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40407" w14:textId="77777777" w:rsidR="00E44B80" w:rsidRPr="00F637B3" w:rsidRDefault="00E44B80" w:rsidP="00E44B80">
      <w:pPr>
        <w:jc w:val="center"/>
        <w:rPr>
          <w:b/>
          <w:szCs w:val="20"/>
        </w:rPr>
      </w:pPr>
      <w:r w:rsidRPr="00F637B3">
        <w:rPr>
          <w:b/>
          <w:noProof/>
          <w:szCs w:val="20"/>
          <w:lang w:eastAsia="en-AU"/>
        </w:rPr>
        <w:drawing>
          <wp:inline distT="0" distB="0" distL="0" distR="0" wp14:anchorId="25F9AE2A" wp14:editId="769B5121">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80B6B93" w14:textId="727A84E3" w:rsidR="00DB6FDF" w:rsidRDefault="00DB6FDF" w:rsidP="005D0ED4">
      <w:pPr>
        <w:pStyle w:val="Title"/>
        <w:spacing w:before="2600"/>
      </w:pPr>
      <w:r>
        <w:t xml:space="preserve">MSAC </w:t>
      </w:r>
      <w:r w:rsidRPr="001906CD">
        <w:t xml:space="preserve">Application </w:t>
      </w:r>
      <w:r>
        <w:t>1658</w:t>
      </w:r>
      <w:r w:rsidR="005D0ED4">
        <w:t xml:space="preserve"> </w:t>
      </w:r>
      <w:r w:rsidR="005D0ED4">
        <w:br/>
        <w:t>(July 202</w:t>
      </w:r>
      <w:r w:rsidR="00554136">
        <w:t>1</w:t>
      </w:r>
      <w:r w:rsidR="00253D1A">
        <w:t xml:space="preserve"> </w:t>
      </w:r>
      <w:r w:rsidR="005D0ED4">
        <w:t>update)</w:t>
      </w:r>
    </w:p>
    <w:p w14:paraId="792AB021" w14:textId="77777777" w:rsidR="00DB6FDF" w:rsidRDefault="00DB6FDF" w:rsidP="00DB6FDF">
      <w:pPr>
        <w:spacing w:before="480" w:after="840"/>
        <w:jc w:val="center"/>
        <w:rPr>
          <w:rFonts w:ascii="Arial" w:hAnsi="Arial" w:cs="Arial"/>
          <w:b/>
          <w:color w:val="548DD4" w:themeColor="text2" w:themeTint="99"/>
          <w:sz w:val="40"/>
          <w:szCs w:val="40"/>
        </w:rPr>
      </w:pPr>
      <w:r w:rsidRPr="00266E16">
        <w:rPr>
          <w:rFonts w:ascii="Arial" w:hAnsi="Arial" w:cs="Arial"/>
          <w:b/>
          <w:color w:val="548DD4" w:themeColor="text2" w:themeTint="99"/>
          <w:sz w:val="40"/>
          <w:szCs w:val="40"/>
        </w:rPr>
        <w:t>Testing of tumour tissue to determine a positive homologous recombination deficiency status in women newly diagnosed with advanced (FIGO stage III-IV) high grade epithelial ovarian, fallopian tube or primary peritoneal cancer, for access to PBS olaparib</w:t>
      </w:r>
    </w:p>
    <w:p w14:paraId="5101772A"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40456558"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414DA7B4"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5B2769D9" w14:textId="77777777" w:rsidR="009F5758" w:rsidRPr="00154B00" w:rsidRDefault="009F5758" w:rsidP="003F7CB9">
      <w:pPr>
        <w:spacing w:before="0" w:after="0"/>
      </w:pPr>
    </w:p>
    <w:p w14:paraId="12149249" w14:textId="77777777" w:rsidR="009F5758" w:rsidRPr="00154B00" w:rsidRDefault="009F5758" w:rsidP="003F7CB9">
      <w:pPr>
        <w:spacing w:before="0" w:after="0"/>
      </w:pPr>
      <w:r w:rsidRPr="00154B00">
        <w:t xml:space="preserve">Email:  </w:t>
      </w:r>
      <w:hyperlink r:id="rId12" w:tooltip="click here to email the Department of Health HTA Team" w:history="1">
        <w:r w:rsidRPr="00154B00">
          <w:rPr>
            <w:rStyle w:val="Hyperlink"/>
            <w:szCs w:val="20"/>
          </w:rPr>
          <w:t>hta@health.gov.au</w:t>
        </w:r>
      </w:hyperlink>
    </w:p>
    <w:p w14:paraId="3A3CB5F0" w14:textId="77777777" w:rsidR="009F5758" w:rsidRPr="00154B00" w:rsidRDefault="009F5758" w:rsidP="003F7CB9">
      <w:pPr>
        <w:spacing w:before="0" w:after="0"/>
      </w:pPr>
      <w:r w:rsidRPr="00154B00">
        <w:t xml:space="preserve">Website:  </w:t>
      </w:r>
      <w:hyperlink r:id="rId13"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461C939A"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51574580"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1C120F14"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975511">
        <w:t>N/A</w:t>
      </w:r>
    </w:p>
    <w:p w14:paraId="7BD921FE"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975511">
        <w:t>AstraZeneca Pty Limited</w:t>
      </w:r>
    </w:p>
    <w:p w14:paraId="53FA0229"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975511">
        <w:t>54009682311</w:t>
      </w:r>
    </w:p>
    <w:p w14:paraId="3931C685"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975511">
        <w:t>AstraZeneca Pty Limited</w:t>
      </w:r>
    </w:p>
    <w:p w14:paraId="4599BE2C" w14:textId="77777777" w:rsidR="00C171FB" w:rsidRPr="00C171FB" w:rsidRDefault="00C171FB" w:rsidP="00C171FB"/>
    <w:p w14:paraId="3621805E" w14:textId="62E099FC" w:rsidR="00C171FB" w:rsidRPr="00C171FB" w:rsidRDefault="00C171FB" w:rsidP="00C171FB">
      <w:pPr>
        <w:rPr>
          <w:b/>
        </w:rPr>
      </w:pPr>
      <w:r>
        <w:rPr>
          <w:b/>
        </w:rPr>
        <w:t xml:space="preserve">Primary contact name: </w:t>
      </w:r>
      <w:r w:rsidR="000D1E44" w:rsidRPr="000D1E44">
        <w:rPr>
          <w:rFonts w:ascii="Calibri" w:hAnsi="Calibri"/>
          <w:b/>
          <w:sz w:val="22"/>
        </w:rPr>
        <w:t>REDACTED</w:t>
      </w:r>
    </w:p>
    <w:p w14:paraId="3E465C95"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2C5A9014" w14:textId="1D782AD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0D1E44" w:rsidRPr="000D1E44">
        <w:rPr>
          <w:rFonts w:ascii="Calibri" w:hAnsi="Calibri"/>
          <w:b/>
          <w:sz w:val="22"/>
        </w:rPr>
        <w:t>REDACTED</w:t>
      </w:r>
    </w:p>
    <w:p w14:paraId="295621D7" w14:textId="5A128C5D"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0D1E44" w:rsidRPr="000D1E44">
        <w:rPr>
          <w:rFonts w:ascii="Calibri" w:hAnsi="Calibri"/>
          <w:b/>
          <w:sz w:val="22"/>
        </w:rPr>
        <w:t>REDACTED</w:t>
      </w:r>
      <w:r w:rsidR="00DB6FDF" w:rsidRPr="00DB6FDF">
        <w:t xml:space="preserve"> </w:t>
      </w:r>
    </w:p>
    <w:p w14:paraId="685CEF06" w14:textId="4C2BB69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0D1E44" w:rsidRPr="000D1E44">
        <w:rPr>
          <w:rFonts w:ascii="Calibri" w:hAnsi="Calibri"/>
          <w:b/>
          <w:sz w:val="22"/>
        </w:rPr>
        <w:t>REDACTED</w:t>
      </w:r>
    </w:p>
    <w:p w14:paraId="504AA2AE" w14:textId="77777777" w:rsidR="00C171FB" w:rsidRDefault="00C171FB" w:rsidP="00C171FB">
      <w:pPr>
        <w:rPr>
          <w:b/>
        </w:rPr>
      </w:pPr>
    </w:p>
    <w:p w14:paraId="5A4FBD75" w14:textId="17DF8176" w:rsidR="00C171FB" w:rsidRPr="00C171FB" w:rsidRDefault="00C171FB" w:rsidP="00C171FB">
      <w:pPr>
        <w:rPr>
          <w:b/>
        </w:rPr>
      </w:pPr>
      <w:r>
        <w:rPr>
          <w:b/>
        </w:rPr>
        <w:t xml:space="preserve">Alternative contact name: </w:t>
      </w:r>
      <w:r w:rsidR="000D1E44" w:rsidRPr="000D1E44">
        <w:rPr>
          <w:rFonts w:ascii="Calibri" w:hAnsi="Calibri"/>
          <w:b/>
          <w:sz w:val="22"/>
        </w:rPr>
        <w:t>REDACTED</w:t>
      </w:r>
    </w:p>
    <w:p w14:paraId="40241FF3"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44EA7D13" w14:textId="78B655A3"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0D1E44" w:rsidRPr="000D1E44">
        <w:rPr>
          <w:rFonts w:ascii="Calibri" w:hAnsi="Calibri"/>
          <w:b/>
          <w:sz w:val="22"/>
        </w:rPr>
        <w:t>REDACTED</w:t>
      </w:r>
    </w:p>
    <w:p w14:paraId="1C57F0A7" w14:textId="521B4FA8" w:rsidR="00DB6FDF" w:rsidRDefault="00C171FB" w:rsidP="00C171FB">
      <w:pPr>
        <w:pBdr>
          <w:top w:val="single" w:sz="4" w:space="1" w:color="auto"/>
          <w:left w:val="single" w:sz="4" w:space="4" w:color="auto"/>
          <w:bottom w:val="single" w:sz="4" w:space="1" w:color="auto"/>
          <w:right w:val="single" w:sz="4" w:space="4" w:color="auto"/>
        </w:pBdr>
      </w:pPr>
      <w:r>
        <w:t xml:space="preserve">Mobile: </w:t>
      </w:r>
      <w:r w:rsidR="000D1E44" w:rsidRPr="000D1E44">
        <w:rPr>
          <w:rFonts w:ascii="Calibri" w:hAnsi="Calibri"/>
          <w:b/>
          <w:sz w:val="22"/>
        </w:rPr>
        <w:t>REDACTED</w:t>
      </w:r>
      <w:r w:rsidR="00DB6FDF">
        <w:t xml:space="preserve"> </w:t>
      </w:r>
    </w:p>
    <w:p w14:paraId="44405C14" w14:textId="2E5E94EB"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0D1E44" w:rsidRPr="000D1E44">
        <w:rPr>
          <w:rFonts w:ascii="Calibri" w:hAnsi="Calibri"/>
          <w:b/>
          <w:sz w:val="22"/>
        </w:rPr>
        <w:t>REDACTED</w:t>
      </w:r>
    </w:p>
    <w:p w14:paraId="74195416" w14:textId="77777777" w:rsidR="00C171FB" w:rsidRPr="00C171FB" w:rsidRDefault="00C171FB" w:rsidP="00C171FB"/>
    <w:p w14:paraId="0ABBD49E" w14:textId="77777777" w:rsidR="00534C5F" w:rsidRPr="00154B00" w:rsidRDefault="00494011" w:rsidP="004A0BF4">
      <w:pPr>
        <w:pStyle w:val="Heading2"/>
      </w:pPr>
      <w:r>
        <w:t xml:space="preserve">(a) </w:t>
      </w:r>
      <w:r w:rsidR="00534C5F">
        <w:t>Are you a lobbyist acting on behalf of an Applicant?</w:t>
      </w:r>
    </w:p>
    <w:p w14:paraId="62D8785B"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61D27">
        <w:rPr>
          <w:szCs w:val="20"/>
        </w:rPr>
      </w:r>
      <w:r w:rsidR="00C61D27">
        <w:rPr>
          <w:szCs w:val="20"/>
        </w:rPr>
        <w:fldChar w:fldCharType="separate"/>
      </w:r>
      <w:r w:rsidRPr="00753C44">
        <w:rPr>
          <w:szCs w:val="20"/>
        </w:rPr>
        <w:fldChar w:fldCharType="end"/>
      </w:r>
      <w:r>
        <w:rPr>
          <w:szCs w:val="20"/>
        </w:rPr>
        <w:t xml:space="preserve"> Yes</w:t>
      </w:r>
    </w:p>
    <w:p w14:paraId="258E156D" w14:textId="77777777" w:rsidR="00A6491A" w:rsidRPr="00753C44" w:rsidRDefault="00975511"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A6491A">
        <w:rPr>
          <w:szCs w:val="20"/>
        </w:rPr>
        <w:t xml:space="preserve"> No</w:t>
      </w:r>
      <w:r w:rsidR="00A6491A" w:rsidRPr="00753C44">
        <w:rPr>
          <w:szCs w:val="20"/>
        </w:rPr>
        <w:t xml:space="preserve">  </w:t>
      </w:r>
    </w:p>
    <w:p w14:paraId="56D8AC52" w14:textId="77777777" w:rsidR="00534C5F" w:rsidRPr="00154B00" w:rsidRDefault="00534C5F" w:rsidP="00CD7245">
      <w:pPr>
        <w:pStyle w:val="Heading2"/>
        <w:numPr>
          <w:ilvl w:val="0"/>
          <w:numId w:val="2"/>
        </w:numPr>
      </w:pPr>
      <w:r w:rsidRPr="00154B00">
        <w:t xml:space="preserve">If yes, </w:t>
      </w:r>
      <w:r>
        <w:t xml:space="preserve">are </w:t>
      </w:r>
      <w:r w:rsidRPr="00FE33A6">
        <w:t>you</w:t>
      </w:r>
      <w:r>
        <w:t xml:space="preserve"> listed on the Register of Lobbyists?</w:t>
      </w:r>
    </w:p>
    <w:p w14:paraId="5157A8B2"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61D27">
        <w:rPr>
          <w:szCs w:val="20"/>
        </w:rPr>
      </w:r>
      <w:r w:rsidR="00C61D27">
        <w:rPr>
          <w:szCs w:val="20"/>
        </w:rPr>
        <w:fldChar w:fldCharType="separate"/>
      </w:r>
      <w:r w:rsidRPr="00753C44">
        <w:rPr>
          <w:szCs w:val="20"/>
        </w:rPr>
        <w:fldChar w:fldCharType="end"/>
      </w:r>
      <w:r>
        <w:rPr>
          <w:szCs w:val="20"/>
        </w:rPr>
        <w:t xml:space="preserve"> Yes</w:t>
      </w:r>
    </w:p>
    <w:p w14:paraId="2AEF8583"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61D27">
        <w:rPr>
          <w:szCs w:val="20"/>
        </w:rPr>
      </w:r>
      <w:r w:rsidR="00C61D27">
        <w:rPr>
          <w:szCs w:val="20"/>
        </w:rPr>
        <w:fldChar w:fldCharType="separate"/>
      </w:r>
      <w:r w:rsidRPr="00753C44">
        <w:rPr>
          <w:szCs w:val="20"/>
        </w:rPr>
        <w:fldChar w:fldCharType="end"/>
      </w:r>
      <w:r>
        <w:rPr>
          <w:szCs w:val="20"/>
        </w:rPr>
        <w:t xml:space="preserve"> No</w:t>
      </w:r>
      <w:r w:rsidRPr="00753C44">
        <w:rPr>
          <w:szCs w:val="20"/>
        </w:rPr>
        <w:t xml:space="preserve">  </w:t>
      </w:r>
    </w:p>
    <w:p w14:paraId="41E1CC0E" w14:textId="77777777" w:rsidR="00E04FB3" w:rsidRDefault="00E04FB3" w:rsidP="005C333E">
      <w:pPr>
        <w:spacing w:before="0" w:after="0"/>
        <w:ind w:left="426"/>
        <w:rPr>
          <w:b/>
          <w:szCs w:val="20"/>
        </w:rPr>
      </w:pPr>
      <w:r w:rsidRPr="00154B00">
        <w:rPr>
          <w:b/>
          <w:szCs w:val="20"/>
        </w:rPr>
        <w:br w:type="page"/>
      </w:r>
    </w:p>
    <w:p w14:paraId="0E5E0A48"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48BD33CA" w14:textId="77777777" w:rsidR="000B3CD0" w:rsidRDefault="000B3CD0" w:rsidP="00730C04">
      <w:pPr>
        <w:pStyle w:val="Heading2"/>
      </w:pPr>
      <w:r w:rsidRPr="00154B00">
        <w:t>Application title</w:t>
      </w:r>
      <w:r w:rsidR="00A8732C">
        <w:t xml:space="preserve"> </w:t>
      </w:r>
    </w:p>
    <w:p w14:paraId="1D7898BD" w14:textId="1A895BC8" w:rsidR="009056C5" w:rsidRDefault="00975511" w:rsidP="0014418A">
      <w:pPr>
        <w:ind w:left="360"/>
        <w:rPr>
          <w:szCs w:val="20"/>
        </w:rPr>
      </w:pPr>
      <w:r>
        <w:t xml:space="preserve">Testing of tumour tissue to </w:t>
      </w:r>
      <w:r w:rsidR="00096CC3">
        <w:t>determine</w:t>
      </w:r>
      <w:r>
        <w:t xml:space="preserve"> </w:t>
      </w:r>
      <w:r w:rsidR="007B0661">
        <w:t xml:space="preserve">a positive </w:t>
      </w:r>
      <w:r>
        <w:t xml:space="preserve">homologous recombination deficiency </w:t>
      </w:r>
      <w:r w:rsidR="00742FAB">
        <w:t xml:space="preserve">(HRD) </w:t>
      </w:r>
      <w:r w:rsidR="007B0661">
        <w:t>status in a woman with newly diagnosed, advanced (FIGO stage III-IV)</w:t>
      </w:r>
      <w:r w:rsidR="007B0661" w:rsidRPr="008670E8">
        <w:rPr>
          <w:i/>
          <w:szCs w:val="20"/>
        </w:rPr>
        <w:t xml:space="preserve"> </w:t>
      </w:r>
      <w:bookmarkStart w:id="1" w:name="_Hlk53669632"/>
      <w:r w:rsidR="007B0661" w:rsidRPr="00A471B3">
        <w:rPr>
          <w:szCs w:val="20"/>
        </w:rPr>
        <w:t>high-grade epithelial ovarian, fallopian tube or primary peritoneal cancer</w:t>
      </w:r>
      <w:r w:rsidR="007B0661">
        <w:rPr>
          <w:szCs w:val="20"/>
        </w:rPr>
        <w:t xml:space="preserve">. </w:t>
      </w:r>
    </w:p>
    <w:bookmarkEnd w:id="1"/>
    <w:p w14:paraId="244BB04F"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06B79E38" w14:textId="2793845D" w:rsidR="003A62C2" w:rsidRDefault="003A62C2" w:rsidP="00C61D27">
      <w:pPr>
        <w:ind w:left="360"/>
      </w:pPr>
      <w:r>
        <w:t>Ovarian cancer is the eighth most commonly diagnosed type of cancer for women in Australia, with an estimated</w:t>
      </w:r>
      <w:r w:rsidR="0025319A">
        <w:t xml:space="preserve"> 1532 new cases in 2020. </w:t>
      </w:r>
      <w:r>
        <w:t>The 5-year relative survival for women with ovarian cancer in Australia is low at 4</w:t>
      </w:r>
      <w:r w:rsidR="0025319A">
        <w:t>6%</w:t>
      </w:r>
      <w:r>
        <w:t>%.</w:t>
      </w:r>
      <w:r w:rsidR="0025319A">
        <w:t xml:space="preserve"> (Cancer Australia</w:t>
      </w:r>
      <w:r w:rsidR="00E87D83">
        <w:t xml:space="preserve"> 2020</w:t>
      </w:r>
      <w:r w:rsidR="0025319A">
        <w:t>).</w:t>
      </w:r>
      <w:r w:rsidR="00E87D83">
        <w:t xml:space="preserve"> </w:t>
      </w:r>
      <w:r>
        <w:t>The most common and most aggressive histological subtype is high-grade serous ovarian cancer (HGSOC)</w:t>
      </w:r>
      <w:r w:rsidR="00BD27F5">
        <w:t xml:space="preserve"> with poor prognosis. Most</w:t>
      </w:r>
      <w:r w:rsidR="0025319A">
        <w:t xml:space="preserve"> women are diagnosed </w:t>
      </w:r>
      <w:r>
        <w:t xml:space="preserve">when their disease is advanced and widespread. </w:t>
      </w:r>
    </w:p>
    <w:p w14:paraId="4DBC7542" w14:textId="56379D56" w:rsidR="00BA4C42" w:rsidRDefault="002C126F" w:rsidP="00C61D27">
      <w:pPr>
        <w:ind w:left="360"/>
      </w:pPr>
      <w:r>
        <w:t xml:space="preserve">There are a multitude of known risk factors for ovarian cancer, including genetic background. Homologous recombination deficiency </w:t>
      </w:r>
      <w:r w:rsidR="007C5395">
        <w:t xml:space="preserve">is one such risk factor, known to occur in as many a </w:t>
      </w:r>
      <w:r w:rsidR="00B76569">
        <w:t>50% of ovarian cancer cases</w:t>
      </w:r>
      <w:r w:rsidR="001921A3">
        <w:t>.</w:t>
      </w:r>
      <w:r w:rsidR="003348F4">
        <w:t xml:space="preserve"> Variants in the BRCA 1 or BRAC 2 genes are particularly known to be associated with an increased risk and </w:t>
      </w:r>
      <w:r w:rsidR="003A759B">
        <w:t>predisposition</w:t>
      </w:r>
      <w:r w:rsidR="003348F4">
        <w:t xml:space="preserve"> to hereditary ovarian cancer. Approximately 25%</w:t>
      </w:r>
      <w:r w:rsidR="00E87D83">
        <w:t>-29%</w:t>
      </w:r>
      <w:r w:rsidR="003348F4">
        <w:t xml:space="preserve"> of overall ovarian cases are BRCA</w:t>
      </w:r>
      <w:r w:rsidR="00BD27F5">
        <w:t>. Non BRCA HRD variants are also associated with risk of ovarian cancer, and are thought to contribute 6% to 27% of genetic risk (</w:t>
      </w:r>
      <w:r w:rsidR="009B01C1">
        <w:t>Norquist et al 2016, Walsh et al 2011)</w:t>
      </w:r>
      <w:r w:rsidR="00BD27F5">
        <w:t>.</w:t>
      </w:r>
      <w:r w:rsidR="003348F4">
        <w:t xml:space="preserve"> </w:t>
      </w:r>
      <w:r w:rsidR="00BA4C42">
        <w:t>Prognosis varies with BRCA status, as BRCA wild-type (</w:t>
      </w:r>
      <w:proofErr w:type="spellStart"/>
      <w:r w:rsidR="00BA4C42">
        <w:t>BRCAwt</w:t>
      </w:r>
      <w:proofErr w:type="spellEnd"/>
      <w:r w:rsidR="00BA4C42">
        <w:t xml:space="preserve">) patients have </w:t>
      </w:r>
      <w:r w:rsidR="003A759B">
        <w:t>significantly</w:t>
      </w:r>
      <w:r w:rsidR="00BA4C42">
        <w:t xml:space="preserve"> worse progression-free and overall survival than BRCA</w:t>
      </w:r>
      <w:r w:rsidR="001A2B4D">
        <w:t xml:space="preserve"> </w:t>
      </w:r>
      <w:r w:rsidR="00BA4C42">
        <w:t>patients</w:t>
      </w:r>
      <w:r w:rsidR="00C5548D">
        <w:t xml:space="preserve"> </w:t>
      </w:r>
      <w:r w:rsidR="00C5548D" w:rsidRPr="009B01C1">
        <w:t>(</w:t>
      </w:r>
      <w:r w:rsidR="009B01C1" w:rsidRPr="009B01C1">
        <w:t>Xu et al 2017</w:t>
      </w:r>
      <w:r w:rsidR="00C5548D" w:rsidRPr="009B01C1">
        <w:t>)</w:t>
      </w:r>
      <w:r w:rsidR="00BA4C42" w:rsidRPr="009B01C1">
        <w:t>.</w:t>
      </w:r>
      <w:r w:rsidR="00BA4C42">
        <w:t xml:space="preserve"> </w:t>
      </w:r>
    </w:p>
    <w:p w14:paraId="4D3D83D0" w14:textId="7C9B189E" w:rsidR="003B519B" w:rsidRPr="003A62C2" w:rsidRDefault="003B519B" w:rsidP="00C61D27">
      <w:pPr>
        <w:ind w:left="360"/>
        <w:rPr>
          <w:vertAlign w:val="superscript"/>
        </w:rPr>
      </w:pPr>
      <w:r>
        <w:t>Cytoreductive surgery and platinum-based chemotherapy are the standard care treatments for women newly diagnosed advanced ovarian cancer.</w:t>
      </w:r>
      <w:r w:rsidRPr="003B519B">
        <w:rPr>
          <w:vertAlign w:val="superscript"/>
        </w:rPr>
        <w:t xml:space="preserve"> </w:t>
      </w:r>
    </w:p>
    <w:p w14:paraId="3F1DA6D8" w14:textId="6F9693DE" w:rsidR="006C3015" w:rsidRDefault="003A62C2" w:rsidP="00C61D27">
      <w:pPr>
        <w:ind w:left="360"/>
      </w:pPr>
      <w:r>
        <w:t xml:space="preserve">Although the goal of first-line treatment is to achieve long term remission, approximately </w:t>
      </w:r>
      <w:r w:rsidRPr="007B7EDC">
        <w:t>70% of women with advanced disease</w:t>
      </w:r>
      <w:r>
        <w:t xml:space="preserve"> who</w:t>
      </w:r>
      <w:r w:rsidRPr="007B7EDC">
        <w:t xml:space="preserve"> initially respond to first-line chemotherapy will eventually relapse and require re-treatment</w:t>
      </w:r>
      <w:r>
        <w:t xml:space="preserve">. </w:t>
      </w:r>
      <w:r w:rsidR="003B519B">
        <w:t xml:space="preserve"> Once ovarian cancer relapses, the disease becomes largely incurable.</w:t>
      </w:r>
      <w:r w:rsidR="00BA4C42">
        <w:t xml:space="preserve"> The emergence of </w:t>
      </w:r>
      <w:proofErr w:type="spellStart"/>
      <w:r w:rsidR="00BA4C42">
        <w:t>PARPi</w:t>
      </w:r>
      <w:proofErr w:type="spellEnd"/>
      <w:r w:rsidR="00BA4C42">
        <w:t xml:space="preserve"> inhibitors</w:t>
      </w:r>
      <w:r w:rsidR="00C5548D">
        <w:t xml:space="preserve">, such as olaparib </w:t>
      </w:r>
      <w:r w:rsidR="00BA4C42">
        <w:t xml:space="preserve">has changed the treatment landscape of advance ovarian cancer with respect to maintenance therapy. Currently olaparib is reimbursed as maintenance treatment in women newly diagnosed with advanced (FIGO Stage III-IV) BRCA mutated ovarian cancer. </w:t>
      </w:r>
    </w:p>
    <w:p w14:paraId="769BD0EC" w14:textId="5B71FDAC" w:rsidR="003A62C2" w:rsidRPr="00AB0D50" w:rsidRDefault="00C5548D" w:rsidP="00C61D27">
      <w:pPr>
        <w:ind w:left="360"/>
      </w:pPr>
      <w:r>
        <w:t xml:space="preserve">However, </w:t>
      </w:r>
      <w:proofErr w:type="spellStart"/>
      <w:r>
        <w:t>BRCAwt</w:t>
      </w:r>
      <w:proofErr w:type="spellEnd"/>
      <w:r>
        <w:t xml:space="preserve"> patients represent a substantial population still in need of more efficacious maintenance strategies at this stage.</w:t>
      </w:r>
    </w:p>
    <w:p w14:paraId="52AAD2A9"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59A7DDFB" w14:textId="2F3C0425" w:rsidR="00CB12EC" w:rsidRPr="00CB12EC" w:rsidRDefault="00A92BE4" w:rsidP="00C61D27">
      <w:pPr>
        <w:ind w:left="360"/>
      </w:pPr>
      <w:r>
        <w:t xml:space="preserve">HRD is caused by impaired DNA repair mechanisms, such as BRCA </w:t>
      </w:r>
      <w:r w:rsidR="001A2B4D">
        <w:t xml:space="preserve">pathogenic gene variant </w:t>
      </w:r>
      <w:r w:rsidR="005A2615">
        <w:t xml:space="preserve">which are considered to be </w:t>
      </w:r>
      <w:r w:rsidR="004A2A53">
        <w:t>a</w:t>
      </w:r>
      <w:r w:rsidR="005A2615">
        <w:t xml:space="preserve"> primary driver of ovarian cancer. </w:t>
      </w:r>
      <w:r>
        <w:t xml:space="preserve">All women with a BRCA mutation are HRD positive, but </w:t>
      </w:r>
      <w:r w:rsidRPr="00873A2D">
        <w:t xml:space="preserve">BRCA </w:t>
      </w:r>
      <w:r w:rsidR="009B01C1" w:rsidRPr="00873A2D">
        <w:t xml:space="preserve">pathogenic </w:t>
      </w:r>
      <w:r w:rsidR="00B77FDF" w:rsidRPr="00873A2D">
        <w:t xml:space="preserve">gene variant </w:t>
      </w:r>
      <w:r w:rsidRPr="00873A2D">
        <w:t>is</w:t>
      </w:r>
      <w:r>
        <w:t xml:space="preserve"> not the only cause of HRD. Deficiencies in HRD are predictive for response to PARP inhibitors</w:t>
      </w:r>
      <w:r w:rsidR="008F3B5D">
        <w:t xml:space="preserve"> such as olaparib</w:t>
      </w:r>
      <w:r>
        <w:t>, and testing tumour tissue for HRD at diagnosis can</w:t>
      </w:r>
      <w:r w:rsidR="00E576E3">
        <w:t xml:space="preserve"> identify all patients </w:t>
      </w:r>
      <w:r w:rsidR="0098693B">
        <w:t xml:space="preserve">with HGSOC </w:t>
      </w:r>
      <w:r w:rsidR="0033587F">
        <w:t>likely</w:t>
      </w:r>
      <w:r w:rsidR="00E576E3">
        <w:t xml:space="preserve"> </w:t>
      </w:r>
      <w:r w:rsidR="0033587F">
        <w:t xml:space="preserve">to achieve a treatment </w:t>
      </w:r>
      <w:r w:rsidR="00E576E3">
        <w:t>benefit with PARP inhibitor</w:t>
      </w:r>
      <w:r w:rsidR="0098693B">
        <w:t>s</w:t>
      </w:r>
      <w:r w:rsidR="00E576E3">
        <w:t>.</w:t>
      </w:r>
      <w:r>
        <w:t xml:space="preserve"> </w:t>
      </w:r>
      <w:r w:rsidR="00435715">
        <w:t xml:space="preserve">  </w:t>
      </w:r>
      <w:r w:rsidR="00DB28BD">
        <w:t>Therefore, i</w:t>
      </w:r>
      <w:r w:rsidR="00435715">
        <w:t xml:space="preserve">t is proposed that HRD testing of tumour tissue </w:t>
      </w:r>
      <w:r w:rsidR="00DB28BD">
        <w:t xml:space="preserve">will </w:t>
      </w:r>
      <w:r w:rsidR="00435715">
        <w:t>replace currently available BRCA testing of tumour tissue</w:t>
      </w:r>
      <w:r w:rsidR="00DB28BD">
        <w:t>.</w:t>
      </w:r>
    </w:p>
    <w:p w14:paraId="684A49D3" w14:textId="26F9B421" w:rsidR="00AB0D50" w:rsidRDefault="00FE56E8" w:rsidP="00C61D27">
      <w:pPr>
        <w:ind w:left="360"/>
      </w:pPr>
      <w:r w:rsidRPr="00941FD4">
        <w:t xml:space="preserve">This application </w:t>
      </w:r>
      <w:r>
        <w:t>requests a new MBS item for HRD testing</w:t>
      </w:r>
      <w:r w:rsidR="00EF4532">
        <w:t xml:space="preserve"> which will detect HRD</w:t>
      </w:r>
      <w:r w:rsidR="00CB673C" w:rsidRPr="008168A3">
        <w:rPr>
          <w:color w:val="4F81BD" w:themeColor="accent1"/>
        </w:rPr>
        <w:t xml:space="preserve">; </w:t>
      </w:r>
      <w:r w:rsidR="009C29DF" w:rsidRPr="008168A3">
        <w:rPr>
          <w:color w:val="4F81BD" w:themeColor="accent1"/>
        </w:rPr>
        <w:t xml:space="preserve"> which includes a measure of genomic instability (</w:t>
      </w:r>
      <w:r w:rsidR="00CB673C" w:rsidRPr="008168A3">
        <w:rPr>
          <w:color w:val="4F81BD" w:themeColor="accent1"/>
        </w:rPr>
        <w:t>GIS</w:t>
      </w:r>
      <w:r w:rsidR="009C29DF" w:rsidRPr="008168A3">
        <w:rPr>
          <w:color w:val="4F81BD" w:themeColor="accent1"/>
        </w:rPr>
        <w:t>)</w:t>
      </w:r>
      <w:r w:rsidR="00EF4532" w:rsidRPr="008168A3">
        <w:rPr>
          <w:color w:val="4F81BD" w:themeColor="accent1"/>
        </w:rPr>
        <w:t xml:space="preserve"> and </w:t>
      </w:r>
      <w:r w:rsidR="00EF4532">
        <w:t>BRCA status</w:t>
      </w:r>
      <w:r w:rsidR="00BD3130">
        <w:t xml:space="preserve"> </w:t>
      </w:r>
      <w:r>
        <w:t xml:space="preserve">in patients with advanced </w:t>
      </w:r>
      <w:r w:rsidR="003B385B" w:rsidRPr="003B385B">
        <w:t xml:space="preserve">ovarian cancer </w:t>
      </w:r>
      <w:r>
        <w:t xml:space="preserve">to determine eligibility for </w:t>
      </w:r>
      <w:r w:rsidR="00A741A6">
        <w:t xml:space="preserve">treatment with </w:t>
      </w:r>
      <w:r w:rsidR="000E551F">
        <w:t>o</w:t>
      </w:r>
      <w:r w:rsidR="00A741A6">
        <w:t>laparib in combination with bevacizumab</w:t>
      </w:r>
      <w:r>
        <w:t>.</w:t>
      </w:r>
      <w:r w:rsidR="000E4AE7">
        <w:t xml:space="preserve"> </w:t>
      </w:r>
      <w:r w:rsidR="00B03941">
        <w:t xml:space="preserve">Olaparib is currently </w:t>
      </w:r>
      <w:r w:rsidR="00C53ADE">
        <w:t xml:space="preserve">listed on the PBS for treatment of </w:t>
      </w:r>
      <w:r w:rsidR="002745D8">
        <w:t>ovarian</w:t>
      </w:r>
      <w:r w:rsidR="00B6504C">
        <w:t xml:space="preserve">, </w:t>
      </w:r>
      <w:r w:rsidR="00B6504C" w:rsidRPr="00B6504C">
        <w:t>fallopian tube or primary peritoneal cancer</w:t>
      </w:r>
      <w:r w:rsidR="002745D8">
        <w:t xml:space="preserve"> with BRCA</w:t>
      </w:r>
      <w:r w:rsidR="00B9666B">
        <w:t xml:space="preserve"> mutations and t</w:t>
      </w:r>
      <w:r w:rsidR="000E4AE7">
        <w:t xml:space="preserve">here are </w:t>
      </w:r>
      <w:r w:rsidR="00B210A7">
        <w:t xml:space="preserve">currently MBS items </w:t>
      </w:r>
      <w:r w:rsidR="00D33587">
        <w:t xml:space="preserve">to detect BRCA </w:t>
      </w:r>
      <w:r w:rsidR="00757A4B">
        <w:t xml:space="preserve">gene variant </w:t>
      </w:r>
      <w:r w:rsidR="00A4014A">
        <w:t xml:space="preserve">status </w:t>
      </w:r>
      <w:r w:rsidR="00B9666B">
        <w:t xml:space="preserve">to determine eligibility for </w:t>
      </w:r>
      <w:r w:rsidR="00440FB1">
        <w:t>olaparib treatment</w:t>
      </w:r>
      <w:r w:rsidR="00A4014A">
        <w:t xml:space="preserve"> (MBS items 7</w:t>
      </w:r>
      <w:r w:rsidR="002C0F8F">
        <w:t xml:space="preserve">3295, 73301). </w:t>
      </w:r>
    </w:p>
    <w:p w14:paraId="7812AF50" w14:textId="730EF7E1" w:rsidR="00C95C99" w:rsidRDefault="002C0F8F" w:rsidP="00C61D27">
      <w:pPr>
        <w:ind w:left="360"/>
      </w:pPr>
      <w:r>
        <w:t xml:space="preserve">However, </w:t>
      </w:r>
      <w:r w:rsidR="00093C39">
        <w:t>recent evidence shows</w:t>
      </w:r>
      <w:r w:rsidR="00DA17EA">
        <w:t xml:space="preserve"> that</w:t>
      </w:r>
      <w:r>
        <w:t xml:space="preserve"> women who </w:t>
      </w:r>
      <w:r w:rsidR="00DB4489">
        <w:t>have</w:t>
      </w:r>
      <w:r>
        <w:t xml:space="preserve"> </w:t>
      </w:r>
      <w:r w:rsidR="002D7C90">
        <w:t>HRD</w:t>
      </w:r>
      <w:r w:rsidR="00525368">
        <w:t xml:space="preserve"> positive, </w:t>
      </w:r>
      <w:proofErr w:type="spellStart"/>
      <w:r>
        <w:t>BRCA</w:t>
      </w:r>
      <w:r w:rsidR="00EF4532">
        <w:t>wt</w:t>
      </w:r>
      <w:proofErr w:type="spellEnd"/>
      <w:r>
        <w:t xml:space="preserve"> </w:t>
      </w:r>
      <w:r w:rsidR="00DA17EA">
        <w:t>ovarian cancer</w:t>
      </w:r>
      <w:r w:rsidR="00525368">
        <w:t xml:space="preserve"> </w:t>
      </w:r>
      <w:r w:rsidR="00DA17EA">
        <w:t>would also</w:t>
      </w:r>
      <w:r w:rsidR="00B506CD">
        <w:t xml:space="preserve"> benefit from treatment with </w:t>
      </w:r>
      <w:r w:rsidR="00AB0D50">
        <w:t>o</w:t>
      </w:r>
      <w:r w:rsidR="00DA17EA">
        <w:t>laparib in combination with bevacizumab</w:t>
      </w:r>
      <w:r w:rsidR="00A33EBE">
        <w:t>.</w:t>
      </w:r>
    </w:p>
    <w:p w14:paraId="6F34F929" w14:textId="77777777" w:rsidR="00AB0D50" w:rsidRDefault="00AB0D50" w:rsidP="00AB0D50">
      <w:pPr>
        <w:ind w:left="284"/>
      </w:pPr>
    </w:p>
    <w:p w14:paraId="17FBC186" w14:textId="10E4FD91" w:rsidR="00D11EB1" w:rsidRPr="0011036E" w:rsidRDefault="001A2B4D"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303BF544" w14:textId="77777777" w:rsidR="00753C44" w:rsidRDefault="003D0724" w:rsidP="00C61D27">
      <w:pPr>
        <w:spacing w:before="0" w:after="0"/>
        <w:ind w:left="360"/>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C61D27">
        <w:rPr>
          <w:szCs w:val="20"/>
        </w:rPr>
      </w:r>
      <w:r w:rsidR="00C61D27">
        <w:rPr>
          <w:szCs w:val="20"/>
        </w:rPr>
        <w:fldChar w:fldCharType="separate"/>
      </w:r>
      <w:r>
        <w:rPr>
          <w:szCs w:val="20"/>
        </w:rPr>
        <w:fldChar w:fldCharType="end"/>
      </w:r>
      <w:bookmarkEnd w:id="2"/>
      <w:r w:rsidR="006B6390">
        <w:rPr>
          <w:szCs w:val="20"/>
        </w:rPr>
        <w:t xml:space="preserve"> Yes</w:t>
      </w:r>
    </w:p>
    <w:p w14:paraId="073D0567" w14:textId="77777777" w:rsidR="00753C44" w:rsidRPr="00753C44" w:rsidRDefault="006B6390" w:rsidP="00C61D27">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61D27">
        <w:rPr>
          <w:szCs w:val="20"/>
        </w:rPr>
      </w:r>
      <w:r w:rsidR="00C61D27">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4B04EFC6" w14:textId="77777777" w:rsidR="000B3CD0" w:rsidRPr="0011036E" w:rsidRDefault="000B3CD0" w:rsidP="00CD7245">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176F50FB" w14:textId="77777777" w:rsidR="00753C44" w:rsidRDefault="006B6390" w:rsidP="00C61D27">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61D27">
        <w:rPr>
          <w:szCs w:val="20"/>
        </w:rPr>
      </w:r>
      <w:r w:rsidR="00C61D27">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24825CB1" w14:textId="77777777" w:rsidR="00753C44" w:rsidRDefault="003D0724" w:rsidP="00C61D27">
      <w:pPr>
        <w:spacing w:before="0" w:after="0"/>
        <w:ind w:left="360"/>
        <w:rPr>
          <w:szCs w:val="20"/>
        </w:rPr>
      </w:pPr>
      <w:r>
        <w:rPr>
          <w:szCs w:val="20"/>
        </w:rPr>
        <w:fldChar w:fldCharType="begin">
          <w:ffData>
            <w:name w:val="Check2"/>
            <w:enabled/>
            <w:calcOnExit w:val="0"/>
            <w:checkBox>
              <w:sizeAuto/>
              <w:default w:val="1"/>
            </w:checkBox>
          </w:ffData>
        </w:fldChar>
      </w:r>
      <w:bookmarkStart w:id="3" w:name="Check2"/>
      <w:r>
        <w:rPr>
          <w:szCs w:val="20"/>
        </w:rPr>
        <w:instrText xml:space="preserve"> FORMCHECKBOX </w:instrText>
      </w:r>
      <w:r w:rsidR="00C61D27">
        <w:rPr>
          <w:szCs w:val="20"/>
        </w:rPr>
      </w:r>
      <w:r w:rsidR="00C61D27">
        <w:rPr>
          <w:szCs w:val="20"/>
        </w:rPr>
        <w:fldChar w:fldCharType="separate"/>
      </w:r>
      <w:r>
        <w:rPr>
          <w:szCs w:val="20"/>
        </w:rPr>
        <w:fldChar w:fldCharType="end"/>
      </w:r>
      <w:bookmarkEnd w:id="3"/>
      <w:r w:rsidR="006B6390">
        <w:rPr>
          <w:szCs w:val="20"/>
        </w:rPr>
        <w:t xml:space="preserve"> </w:t>
      </w:r>
      <w:r w:rsidR="00753C44" w:rsidRPr="00154B00">
        <w:rPr>
          <w:szCs w:val="20"/>
        </w:rPr>
        <w:t>New MBS item</w:t>
      </w:r>
      <w:r w:rsidR="00753C44">
        <w:rPr>
          <w:szCs w:val="20"/>
        </w:rPr>
        <w:t>(s)</w:t>
      </w:r>
    </w:p>
    <w:p w14:paraId="382AABEC" w14:textId="77777777" w:rsidR="00096CC3" w:rsidRDefault="00096CC3" w:rsidP="00A6491A">
      <w:pPr>
        <w:spacing w:before="0" w:after="0"/>
        <w:ind w:left="284"/>
        <w:rPr>
          <w:szCs w:val="20"/>
        </w:rPr>
      </w:pPr>
    </w:p>
    <w:p w14:paraId="58124A5C" w14:textId="65115B0D" w:rsidR="00096CC3" w:rsidRPr="00753C44" w:rsidRDefault="00096CC3" w:rsidP="00A6491A">
      <w:pPr>
        <w:spacing w:before="0" w:after="0"/>
        <w:ind w:left="284"/>
        <w:rPr>
          <w:szCs w:val="20"/>
        </w:rPr>
      </w:pPr>
      <w:r>
        <w:rPr>
          <w:szCs w:val="20"/>
        </w:rPr>
        <w:t>Currently MBS item</w:t>
      </w:r>
      <w:r w:rsidR="001F7E32">
        <w:rPr>
          <w:szCs w:val="20"/>
        </w:rPr>
        <w:t xml:space="preserve"> </w:t>
      </w:r>
      <w:r w:rsidR="002316F8">
        <w:rPr>
          <w:szCs w:val="20"/>
        </w:rPr>
        <w:t>73301</w:t>
      </w:r>
      <w:r>
        <w:rPr>
          <w:szCs w:val="20"/>
        </w:rPr>
        <w:t xml:space="preserve"> exist for testing of tumour tissue</w:t>
      </w:r>
      <w:r w:rsidR="002C0703">
        <w:rPr>
          <w:szCs w:val="20"/>
        </w:rPr>
        <w:t xml:space="preserve"> and </w:t>
      </w:r>
      <w:r w:rsidR="001F7E32">
        <w:rPr>
          <w:szCs w:val="20"/>
        </w:rPr>
        <w:t xml:space="preserve"> item 73295 for testing </w:t>
      </w:r>
      <w:r>
        <w:rPr>
          <w:szCs w:val="20"/>
        </w:rPr>
        <w:t xml:space="preserve"> blood to detect somatic or germline</w:t>
      </w:r>
      <w:r w:rsidR="00C17FC7">
        <w:rPr>
          <w:szCs w:val="20"/>
        </w:rPr>
        <w:t xml:space="preserve"> </w:t>
      </w:r>
      <w:r>
        <w:rPr>
          <w:szCs w:val="20"/>
        </w:rPr>
        <w:t xml:space="preserve">BRCA1 or BRCA2 </w:t>
      </w:r>
      <w:r w:rsidR="009B01C1">
        <w:rPr>
          <w:szCs w:val="20"/>
        </w:rPr>
        <w:t xml:space="preserve">pathogenic </w:t>
      </w:r>
      <w:r w:rsidRPr="00873A2D">
        <w:t xml:space="preserve">gene </w:t>
      </w:r>
      <w:r w:rsidR="00AC3059" w:rsidRPr="00873A2D">
        <w:t>variants</w:t>
      </w:r>
      <w:r w:rsidRPr="00873A2D">
        <w:rPr>
          <w:szCs w:val="20"/>
        </w:rPr>
        <w:t>, in</w:t>
      </w:r>
      <w:r>
        <w:rPr>
          <w:szCs w:val="20"/>
        </w:rPr>
        <w:t xml:space="preserve"> women with newly diagnosed advanced (FIGO stage III-IV) high-grade epithelial ovarian, fallopian tube or primary peritoneal cancer.</w:t>
      </w:r>
    </w:p>
    <w:p w14:paraId="50BB8C27" w14:textId="549469EA" w:rsidR="000B3CD0" w:rsidRDefault="000B3CD0" w:rsidP="00CD7245">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5CB01E4E" w14:textId="08119BE7" w:rsidR="001F7E32" w:rsidRPr="001F7E32" w:rsidRDefault="001F7E32" w:rsidP="001F7E32">
      <w:pPr>
        <w:ind w:left="360"/>
      </w:pPr>
      <w:r>
        <w:t>Not applicable</w:t>
      </w:r>
    </w:p>
    <w:p w14:paraId="07BDB36D" w14:textId="26969921" w:rsidR="006C0843" w:rsidRDefault="006C0843" w:rsidP="00CD7245">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7A7D57E6" w14:textId="0E296FBE" w:rsidR="001F7E32" w:rsidRPr="001F7E32" w:rsidRDefault="001F7E32" w:rsidP="001F7E32">
      <w:pPr>
        <w:ind w:left="360"/>
      </w:pPr>
      <w:r>
        <w:t>Not applicable</w:t>
      </w:r>
    </w:p>
    <w:p w14:paraId="13990091" w14:textId="77777777" w:rsidR="002A270B" w:rsidRPr="004A263B" w:rsidRDefault="002A270B" w:rsidP="00CD724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1D27">
        <w:rPr>
          <w:b/>
          <w:szCs w:val="20"/>
        </w:rPr>
      </w:r>
      <w:r w:rsidR="00C61D2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6FB77558" w14:textId="77777777" w:rsidR="002A270B" w:rsidRPr="004A263B" w:rsidRDefault="002A270B" w:rsidP="00CD724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1D27">
        <w:rPr>
          <w:b/>
          <w:szCs w:val="20"/>
        </w:rPr>
      </w:r>
      <w:r w:rsidR="00C61D2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6C1D936C" w14:textId="77777777" w:rsidR="002A270B" w:rsidRPr="004A263B" w:rsidRDefault="002A270B" w:rsidP="00CD724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1D27">
        <w:rPr>
          <w:b/>
          <w:szCs w:val="20"/>
        </w:rPr>
      </w:r>
      <w:r w:rsidR="00C61D2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45AD8A26" w14:textId="77777777" w:rsidR="002A270B" w:rsidRPr="004A263B" w:rsidRDefault="002A270B" w:rsidP="00CD724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1D27">
        <w:rPr>
          <w:b/>
          <w:szCs w:val="20"/>
        </w:rPr>
      </w:r>
      <w:r w:rsidR="00C61D2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2D99ADA5" w14:textId="77777777" w:rsidR="002A270B" w:rsidRPr="004A263B" w:rsidRDefault="002A270B" w:rsidP="00CD724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1D27">
        <w:rPr>
          <w:b/>
          <w:szCs w:val="20"/>
        </w:rPr>
      </w:r>
      <w:r w:rsidR="00C61D27">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7BA7649C" w14:textId="77777777" w:rsidR="002A270B" w:rsidRPr="004A263B" w:rsidRDefault="002A270B" w:rsidP="00CD724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1D27">
        <w:rPr>
          <w:b/>
          <w:szCs w:val="20"/>
        </w:rPr>
      </w:r>
      <w:r w:rsidR="00C61D27">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5FCBB46C" w14:textId="77777777" w:rsidR="002A270B" w:rsidRPr="004A263B" w:rsidRDefault="002A270B" w:rsidP="00CD724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1D27">
        <w:rPr>
          <w:b/>
          <w:szCs w:val="20"/>
        </w:rPr>
      </w:r>
      <w:r w:rsidR="00C61D2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24D587E6" w14:textId="77777777" w:rsidR="002A270B" w:rsidRPr="004A263B" w:rsidRDefault="002A270B" w:rsidP="00CD7245">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1D27">
        <w:rPr>
          <w:b/>
          <w:szCs w:val="20"/>
        </w:rPr>
      </w:r>
      <w:r w:rsidR="00C61D27">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2ECB5547" w14:textId="77777777" w:rsidR="002A270B" w:rsidRDefault="004A263B" w:rsidP="00CD7245">
      <w:pPr>
        <w:pStyle w:val="ListParagraph"/>
        <w:numPr>
          <w:ilvl w:val="0"/>
          <w:numId w:val="13"/>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61D27">
        <w:rPr>
          <w:b/>
          <w:szCs w:val="20"/>
        </w:rPr>
      </w:r>
      <w:r w:rsidR="00C61D27">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32F05D90" w14:textId="77777777" w:rsidR="00534C5F" w:rsidRPr="007E39E4" w:rsidRDefault="000770BA" w:rsidP="00CD7245">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4A422E4F" w14:textId="77777777" w:rsidR="006B6390" w:rsidRPr="00AA2CFE" w:rsidRDefault="006B6390" w:rsidP="00CD7245">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61D27">
        <w:rPr>
          <w:b/>
          <w:szCs w:val="20"/>
        </w:rPr>
      </w:r>
      <w:r w:rsidR="00C61D27">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67F77419" w14:textId="77777777" w:rsidR="006B6390" w:rsidRPr="00AA2CFE" w:rsidRDefault="003D0724" w:rsidP="00CD7245">
      <w:pPr>
        <w:pStyle w:val="ListParagraph"/>
        <w:numPr>
          <w:ilvl w:val="0"/>
          <w:numId w:val="1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C61D27">
        <w:rPr>
          <w:b/>
          <w:szCs w:val="20"/>
        </w:rPr>
      </w:r>
      <w:r w:rsidR="00C61D27">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1B2DD666" w14:textId="77777777" w:rsidR="006B6390" w:rsidRPr="00AA2CFE" w:rsidRDefault="006B6390" w:rsidP="00CD7245">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61D27">
        <w:rPr>
          <w:b/>
          <w:szCs w:val="20"/>
        </w:rPr>
      </w:r>
      <w:r w:rsidR="00C61D27">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4886CF6F" w14:textId="77777777" w:rsidR="006B6390" w:rsidRPr="00AA2CFE" w:rsidRDefault="006B6390" w:rsidP="00CD7245">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61D27">
        <w:rPr>
          <w:b/>
          <w:szCs w:val="20"/>
        </w:rPr>
      </w:r>
      <w:r w:rsidR="00C61D27">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76D0C0FE" w14:textId="77777777" w:rsidR="003027BB" w:rsidRPr="007E39E4" w:rsidRDefault="00F30C22" w:rsidP="00CD7245">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4188D126" w14:textId="77777777" w:rsidR="000A5B32" w:rsidRDefault="000A5B32" w:rsidP="00C61D27">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sidRPr="000A5B32">
        <w:rPr>
          <w:szCs w:val="20"/>
        </w:rPr>
        <w:t xml:space="preserve"> Yes</w:t>
      </w:r>
    </w:p>
    <w:p w14:paraId="38CC88D4" w14:textId="77777777" w:rsidR="00626365" w:rsidRDefault="004A2A53" w:rsidP="00C61D27">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0A5B32" w:rsidRPr="000A5B32">
        <w:rPr>
          <w:szCs w:val="20"/>
        </w:rPr>
        <w:t xml:space="preserve"> No</w:t>
      </w:r>
    </w:p>
    <w:p w14:paraId="19AA07AE" w14:textId="77777777" w:rsidR="004A2A53" w:rsidRDefault="004A2A53" w:rsidP="00626365">
      <w:pPr>
        <w:spacing w:before="0" w:after="0"/>
        <w:ind w:left="284"/>
        <w:rPr>
          <w:szCs w:val="20"/>
        </w:rPr>
      </w:pPr>
    </w:p>
    <w:p w14:paraId="3AA2E81C" w14:textId="12792EEA" w:rsidR="00626365" w:rsidRPr="00626365" w:rsidRDefault="004A2A53" w:rsidP="00C61D27">
      <w:pPr>
        <w:spacing w:before="0" w:after="0"/>
        <w:ind w:left="360"/>
        <w:rPr>
          <w:rStyle w:val="Strong"/>
          <w:rFonts w:asciiTheme="minorHAnsi" w:eastAsiaTheme="minorHAnsi" w:hAnsiTheme="minorHAnsi" w:cstheme="minorBidi"/>
          <w:b w:val="0"/>
          <w:szCs w:val="20"/>
        </w:rPr>
      </w:pPr>
      <w:r>
        <w:rPr>
          <w:rStyle w:val="Strong"/>
          <w:rFonts w:asciiTheme="minorHAnsi" w:eastAsiaTheme="minorHAnsi" w:hAnsiTheme="minorHAnsi" w:cstheme="minorBidi"/>
          <w:b w:val="0"/>
          <w:szCs w:val="20"/>
        </w:rPr>
        <w:t xml:space="preserve">No other source of funding for tumour testing to determine HRD status other than the MBS is sought, however in this co-dependent submission public funding for PBS access to olaparib in </w:t>
      </w:r>
      <w:r w:rsidR="00096CC3">
        <w:rPr>
          <w:rStyle w:val="Strong"/>
          <w:rFonts w:asciiTheme="minorHAnsi" w:eastAsiaTheme="minorHAnsi" w:hAnsiTheme="minorHAnsi" w:cstheme="minorBidi"/>
          <w:b w:val="0"/>
          <w:szCs w:val="20"/>
        </w:rPr>
        <w:t>women</w:t>
      </w:r>
      <w:r>
        <w:rPr>
          <w:rStyle w:val="Strong"/>
          <w:rFonts w:asciiTheme="minorHAnsi" w:eastAsiaTheme="minorHAnsi" w:hAnsiTheme="minorHAnsi" w:cstheme="minorBidi"/>
          <w:b w:val="0"/>
          <w:szCs w:val="20"/>
        </w:rPr>
        <w:t xml:space="preserve"> with a positive HRD status is also being sought.</w:t>
      </w:r>
    </w:p>
    <w:p w14:paraId="16AF458D" w14:textId="66B07C6D" w:rsidR="003027BB" w:rsidRDefault="003027BB" w:rsidP="00CD7245">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1BA25622" w14:textId="6B68B784" w:rsidR="001F7E32" w:rsidRPr="001F7E32" w:rsidRDefault="001F7E32" w:rsidP="00C61D27">
      <w:pPr>
        <w:ind w:left="284" w:firstLine="76"/>
      </w:pPr>
      <w:r>
        <w:t>Not applicable</w:t>
      </w:r>
    </w:p>
    <w:p w14:paraId="30AAE555" w14:textId="77777777" w:rsidR="000B3CD0" w:rsidRDefault="000B3CD0" w:rsidP="00730C04">
      <w:pPr>
        <w:pStyle w:val="Heading2"/>
      </w:pPr>
      <w:r w:rsidRPr="00154B00">
        <w:t xml:space="preserve">What is the type of </w:t>
      </w:r>
      <w:proofErr w:type="gramStart"/>
      <w:r w:rsidRPr="00154B00">
        <w:t>service:</w:t>
      </w:r>
      <w:proofErr w:type="gramEnd"/>
    </w:p>
    <w:p w14:paraId="272CC087" w14:textId="77777777" w:rsidR="00A6594E" w:rsidRDefault="004A2A53" w:rsidP="00C61D27">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C61D27">
        <w:rPr>
          <w:b/>
          <w:szCs w:val="20"/>
        </w:rPr>
      </w:r>
      <w:r w:rsidR="00C61D27">
        <w:rPr>
          <w:b/>
          <w:szCs w:val="20"/>
        </w:rPr>
        <w:fldChar w:fldCharType="separate"/>
      </w:r>
      <w:r>
        <w:rPr>
          <w:b/>
          <w:szCs w:val="20"/>
        </w:rPr>
        <w:fldChar w:fldCharType="end"/>
      </w:r>
      <w:r w:rsidR="00A6594E" w:rsidRPr="0027105F">
        <w:rPr>
          <w:b/>
          <w:szCs w:val="20"/>
        </w:rPr>
        <w:t xml:space="preserve"> </w:t>
      </w:r>
      <w:r w:rsidR="00A6594E">
        <w:t>Therapeutic medical service</w:t>
      </w:r>
    </w:p>
    <w:p w14:paraId="7AE2BBED" w14:textId="77777777" w:rsidR="00A6594E" w:rsidRDefault="00A6594E" w:rsidP="00C61D2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1D27">
        <w:rPr>
          <w:b/>
          <w:szCs w:val="20"/>
        </w:rPr>
      </w:r>
      <w:r w:rsidR="00C61D27">
        <w:rPr>
          <w:b/>
          <w:szCs w:val="20"/>
        </w:rPr>
        <w:fldChar w:fldCharType="separate"/>
      </w:r>
      <w:r w:rsidRPr="0027105F">
        <w:rPr>
          <w:b/>
          <w:szCs w:val="20"/>
        </w:rPr>
        <w:fldChar w:fldCharType="end"/>
      </w:r>
      <w:r w:rsidRPr="0027105F">
        <w:rPr>
          <w:b/>
          <w:szCs w:val="20"/>
        </w:rPr>
        <w:t xml:space="preserve"> </w:t>
      </w:r>
      <w:r>
        <w:t>Investigative medical service</w:t>
      </w:r>
    </w:p>
    <w:p w14:paraId="67507ED6" w14:textId="77777777" w:rsidR="00A6594E" w:rsidRDefault="00A6594E" w:rsidP="00C61D2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1D27">
        <w:rPr>
          <w:b/>
          <w:szCs w:val="20"/>
        </w:rPr>
      </w:r>
      <w:r w:rsidR="00C61D27">
        <w:rPr>
          <w:b/>
          <w:szCs w:val="20"/>
        </w:rPr>
        <w:fldChar w:fldCharType="separate"/>
      </w:r>
      <w:r w:rsidRPr="0027105F">
        <w:rPr>
          <w:b/>
          <w:szCs w:val="20"/>
        </w:rPr>
        <w:fldChar w:fldCharType="end"/>
      </w:r>
      <w:r w:rsidRPr="0027105F">
        <w:rPr>
          <w:b/>
          <w:szCs w:val="20"/>
        </w:rPr>
        <w:t xml:space="preserve"> </w:t>
      </w:r>
      <w:r>
        <w:t>Single consultation medical service</w:t>
      </w:r>
    </w:p>
    <w:p w14:paraId="161ECECE" w14:textId="77777777" w:rsidR="00A6594E" w:rsidRDefault="00A6594E" w:rsidP="00C61D2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1D27">
        <w:rPr>
          <w:b/>
          <w:szCs w:val="20"/>
        </w:rPr>
      </w:r>
      <w:r w:rsidR="00C61D27">
        <w:rPr>
          <w:b/>
          <w:szCs w:val="20"/>
        </w:rPr>
        <w:fldChar w:fldCharType="separate"/>
      </w:r>
      <w:r w:rsidRPr="0027105F">
        <w:rPr>
          <w:b/>
          <w:szCs w:val="20"/>
        </w:rPr>
        <w:fldChar w:fldCharType="end"/>
      </w:r>
      <w:r w:rsidRPr="0027105F">
        <w:rPr>
          <w:b/>
          <w:szCs w:val="20"/>
        </w:rPr>
        <w:t xml:space="preserve"> </w:t>
      </w:r>
      <w:r>
        <w:t>Global consultation medical service</w:t>
      </w:r>
    </w:p>
    <w:p w14:paraId="36F0805D" w14:textId="77777777" w:rsidR="00A6594E" w:rsidRDefault="00A6594E" w:rsidP="00C61D27">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1D27">
        <w:rPr>
          <w:b/>
          <w:szCs w:val="20"/>
        </w:rPr>
      </w:r>
      <w:r w:rsidR="00C61D27">
        <w:rPr>
          <w:b/>
          <w:szCs w:val="20"/>
        </w:rPr>
        <w:fldChar w:fldCharType="separate"/>
      </w:r>
      <w:r w:rsidRPr="0027105F">
        <w:rPr>
          <w:b/>
          <w:szCs w:val="20"/>
        </w:rPr>
        <w:fldChar w:fldCharType="end"/>
      </w:r>
      <w:r w:rsidRPr="0027105F">
        <w:rPr>
          <w:b/>
          <w:szCs w:val="20"/>
        </w:rPr>
        <w:t xml:space="preserve"> </w:t>
      </w:r>
      <w:r>
        <w:t>Allied health service</w:t>
      </w:r>
    </w:p>
    <w:p w14:paraId="43794D39" w14:textId="77777777" w:rsidR="00A6594E" w:rsidRDefault="004A2A53" w:rsidP="00C61D27">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C61D27">
        <w:rPr>
          <w:b/>
          <w:szCs w:val="20"/>
        </w:rPr>
      </w:r>
      <w:r w:rsidR="00C61D27">
        <w:rPr>
          <w:b/>
          <w:szCs w:val="20"/>
        </w:rPr>
        <w:fldChar w:fldCharType="separate"/>
      </w:r>
      <w:r>
        <w:rPr>
          <w:b/>
          <w:szCs w:val="20"/>
        </w:rPr>
        <w:fldChar w:fldCharType="end"/>
      </w:r>
      <w:r w:rsidR="00A6594E" w:rsidRPr="0027105F">
        <w:rPr>
          <w:b/>
          <w:szCs w:val="20"/>
        </w:rPr>
        <w:t xml:space="preserve"> </w:t>
      </w:r>
      <w:r w:rsidR="00A6594E">
        <w:t>Co-dependent technology</w:t>
      </w:r>
    </w:p>
    <w:p w14:paraId="16FE5641"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363FB575" w14:textId="77777777" w:rsidR="00A6594E" w:rsidRDefault="00A6594E" w:rsidP="00CD7245">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61D27">
        <w:rPr>
          <w:b/>
          <w:szCs w:val="20"/>
        </w:rPr>
      </w:r>
      <w:r w:rsidR="00C61D27">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45212C09" w14:textId="77777777" w:rsidR="00A6594E" w:rsidRDefault="00A6594E" w:rsidP="00CD7245">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61D27">
        <w:rPr>
          <w:b/>
          <w:szCs w:val="20"/>
        </w:rPr>
      </w:r>
      <w:r w:rsidR="00C61D27">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24A329A4" w14:textId="77777777" w:rsidR="00A6594E" w:rsidRDefault="00A6594E" w:rsidP="00CD7245">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61D27">
        <w:rPr>
          <w:b/>
          <w:szCs w:val="20"/>
        </w:rPr>
      </w:r>
      <w:r w:rsidR="00C61D27">
        <w:rPr>
          <w:b/>
          <w:szCs w:val="20"/>
        </w:rPr>
        <w:fldChar w:fldCharType="separate"/>
      </w:r>
      <w:r w:rsidRPr="00AF4466">
        <w:rPr>
          <w:b/>
          <w:szCs w:val="20"/>
        </w:rPr>
        <w:fldChar w:fldCharType="end"/>
      </w:r>
      <w:r w:rsidRPr="00AF4466">
        <w:rPr>
          <w:b/>
          <w:szCs w:val="20"/>
        </w:rPr>
        <w:t xml:space="preserve"> </w:t>
      </w:r>
      <w:r>
        <w:t>Provides information about prognosis</w:t>
      </w:r>
    </w:p>
    <w:p w14:paraId="22814049" w14:textId="77777777" w:rsidR="00A6594E" w:rsidRDefault="004A2A53" w:rsidP="00CD7245">
      <w:pPr>
        <w:pStyle w:val="ListParagraph"/>
        <w:numPr>
          <w:ilvl w:val="0"/>
          <w:numId w:val="15"/>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C61D27">
        <w:rPr>
          <w:b/>
          <w:szCs w:val="20"/>
        </w:rPr>
      </w:r>
      <w:r w:rsidR="00C61D27">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538C03D7" w14:textId="77777777" w:rsidR="00A6594E" w:rsidRPr="00A6594E" w:rsidRDefault="00A6594E" w:rsidP="00CD7245">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61D27">
        <w:rPr>
          <w:b/>
          <w:szCs w:val="20"/>
        </w:rPr>
      </w:r>
      <w:r w:rsidR="00C61D27">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3D7C2858"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F249E9E" w14:textId="77777777" w:rsidR="00FE16C1" w:rsidRDefault="004A2A53"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C61D27">
        <w:rPr>
          <w:b/>
          <w:szCs w:val="20"/>
        </w:rPr>
      </w:r>
      <w:r w:rsidR="00C61D27">
        <w:rPr>
          <w:b/>
          <w:szCs w:val="20"/>
        </w:rPr>
        <w:fldChar w:fldCharType="separate"/>
      </w:r>
      <w:r>
        <w:rPr>
          <w:b/>
          <w:szCs w:val="20"/>
        </w:rPr>
        <w:fldChar w:fldCharType="end"/>
      </w:r>
      <w:r w:rsidR="00FE16C1" w:rsidRPr="0027105F">
        <w:rPr>
          <w:b/>
          <w:szCs w:val="20"/>
        </w:rPr>
        <w:t xml:space="preserve"> </w:t>
      </w:r>
      <w:r w:rsidR="00FE16C1">
        <w:t>Pharmaceutical / Biological</w:t>
      </w:r>
    </w:p>
    <w:p w14:paraId="1AE60DC2"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1D27">
        <w:rPr>
          <w:b/>
          <w:szCs w:val="20"/>
        </w:rPr>
      </w:r>
      <w:r w:rsidR="00C61D27">
        <w:rPr>
          <w:b/>
          <w:szCs w:val="20"/>
        </w:rPr>
        <w:fldChar w:fldCharType="separate"/>
      </w:r>
      <w:r w:rsidRPr="0027105F">
        <w:rPr>
          <w:b/>
          <w:szCs w:val="20"/>
        </w:rPr>
        <w:fldChar w:fldCharType="end"/>
      </w:r>
      <w:r w:rsidRPr="0027105F">
        <w:rPr>
          <w:b/>
          <w:szCs w:val="20"/>
        </w:rPr>
        <w:t xml:space="preserve"> </w:t>
      </w:r>
      <w:r>
        <w:t>Prosthesis or device</w:t>
      </w:r>
    </w:p>
    <w:p w14:paraId="06AA96B5"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61D27">
        <w:rPr>
          <w:b/>
          <w:szCs w:val="20"/>
        </w:rPr>
      </w:r>
      <w:r w:rsidR="00C61D27">
        <w:rPr>
          <w:b/>
          <w:szCs w:val="20"/>
        </w:rPr>
        <w:fldChar w:fldCharType="separate"/>
      </w:r>
      <w:r w:rsidRPr="0027105F">
        <w:rPr>
          <w:b/>
          <w:szCs w:val="20"/>
        </w:rPr>
        <w:fldChar w:fldCharType="end"/>
      </w:r>
      <w:r w:rsidRPr="0027105F">
        <w:rPr>
          <w:b/>
          <w:szCs w:val="20"/>
        </w:rPr>
        <w:t xml:space="preserve"> </w:t>
      </w:r>
      <w:r>
        <w:t>No</w:t>
      </w:r>
    </w:p>
    <w:p w14:paraId="59645F51"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7AA97DCA"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sidRPr="000A5B32">
        <w:rPr>
          <w:szCs w:val="20"/>
        </w:rPr>
        <w:t xml:space="preserve"> Yes</w:t>
      </w:r>
    </w:p>
    <w:p w14:paraId="534BA6A4" w14:textId="77777777" w:rsidR="00FE16C1" w:rsidRDefault="004A2A53"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FE16C1">
        <w:rPr>
          <w:szCs w:val="20"/>
        </w:rPr>
        <w:t xml:space="preserve"> No  </w:t>
      </w:r>
    </w:p>
    <w:p w14:paraId="1844CFF3" w14:textId="77777777" w:rsidR="00D9643D" w:rsidRDefault="00D9643D" w:rsidP="00A6491A">
      <w:pPr>
        <w:spacing w:before="0" w:after="0"/>
        <w:ind w:left="284"/>
        <w:rPr>
          <w:szCs w:val="20"/>
        </w:rPr>
      </w:pPr>
    </w:p>
    <w:p w14:paraId="22EA661C" w14:textId="30008961" w:rsidR="00D9643D" w:rsidRPr="00FE16C1" w:rsidRDefault="00D9643D" w:rsidP="00D9643D">
      <w:pPr>
        <w:spacing w:before="0" w:after="0"/>
        <w:ind w:left="284"/>
        <w:rPr>
          <w:szCs w:val="20"/>
        </w:rPr>
      </w:pPr>
      <w:r>
        <w:rPr>
          <w:szCs w:val="20"/>
        </w:rPr>
        <w:t xml:space="preserve">Only women with a  </w:t>
      </w:r>
      <w:r w:rsidR="00DF2E60">
        <w:rPr>
          <w:szCs w:val="20"/>
        </w:rPr>
        <w:t xml:space="preserve">HGSOC </w:t>
      </w:r>
      <w:r w:rsidRPr="00873A2D">
        <w:t>BRCA1</w:t>
      </w:r>
      <w:r w:rsidR="00AC3059" w:rsidRPr="00873A2D">
        <w:t xml:space="preserve"> or BRCA</w:t>
      </w:r>
      <w:r w:rsidRPr="00873A2D">
        <w:t xml:space="preserve">2 </w:t>
      </w:r>
      <w:r w:rsidR="00104AD4" w:rsidRPr="00873A2D">
        <w:t xml:space="preserve">pathogenic </w:t>
      </w:r>
      <w:r w:rsidRPr="00873A2D">
        <w:t xml:space="preserve">gene </w:t>
      </w:r>
      <w:r w:rsidR="00AC3059" w:rsidRPr="00873A2D">
        <w:t>variants</w:t>
      </w:r>
      <w:r w:rsidR="00DF2E60" w:rsidRPr="00873A2D">
        <w:rPr>
          <w:szCs w:val="20"/>
        </w:rPr>
        <w:t xml:space="preserve"> (</w:t>
      </w:r>
      <w:r w:rsidR="00DF2E60">
        <w:rPr>
          <w:szCs w:val="20"/>
        </w:rPr>
        <w:t>somatic and germline)</w:t>
      </w:r>
      <w:r>
        <w:rPr>
          <w:szCs w:val="20"/>
        </w:rPr>
        <w:t xml:space="preserve"> are currently eligible for PBS </w:t>
      </w:r>
      <w:r w:rsidRPr="00DF2E60">
        <w:rPr>
          <w:szCs w:val="20"/>
        </w:rPr>
        <w:t xml:space="preserve">olaparib (PBS Items </w:t>
      </w:r>
      <w:r w:rsidR="00DF2E60" w:rsidRPr="00DF2E60">
        <w:rPr>
          <w:szCs w:val="20"/>
        </w:rPr>
        <w:t>12157W</w:t>
      </w:r>
      <w:r w:rsidR="00DF2E60">
        <w:rPr>
          <w:szCs w:val="20"/>
        </w:rPr>
        <w:t>, 12170M, 12161C, 12169L, 11528R, 11522K, 11539H, 11503K).</w:t>
      </w:r>
    </w:p>
    <w:p w14:paraId="155C08EE" w14:textId="77777777" w:rsidR="00D9643D" w:rsidRPr="00FE16C1" w:rsidRDefault="00D9643D" w:rsidP="00A6491A">
      <w:pPr>
        <w:spacing w:before="0" w:after="0"/>
        <w:ind w:left="284"/>
        <w:rPr>
          <w:szCs w:val="20"/>
        </w:rPr>
      </w:pPr>
    </w:p>
    <w:p w14:paraId="06CF5440" w14:textId="00206FA5" w:rsidR="00EC127A" w:rsidRDefault="000E5439" w:rsidP="00CD7245">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7767B5ED" w14:textId="58B19F6E" w:rsidR="00DF2E60" w:rsidRPr="00DF2E60" w:rsidRDefault="00DF2E60" w:rsidP="00DF2E60">
      <w:pPr>
        <w:ind w:left="284"/>
      </w:pPr>
      <w:r>
        <w:t>No</w:t>
      </w:r>
      <w:r w:rsidR="00C61D27">
        <w:t>t</w:t>
      </w:r>
      <w:r>
        <w:t xml:space="preserve"> applicable</w:t>
      </w:r>
    </w:p>
    <w:p w14:paraId="59CDA76D" w14:textId="77777777" w:rsidR="00411735" w:rsidRPr="001E6958" w:rsidRDefault="00411735" w:rsidP="00CD7245">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419CF004"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3CB0A71D" w14:textId="77777777" w:rsidR="001E6919" w:rsidRDefault="00D9643D"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1E6919">
        <w:rPr>
          <w:szCs w:val="20"/>
        </w:rPr>
        <w:t xml:space="preserve"> No</w:t>
      </w:r>
    </w:p>
    <w:p w14:paraId="290F3A30" w14:textId="77777777" w:rsidR="000E5439" w:rsidRDefault="000E5439" w:rsidP="00CD7245">
      <w:pPr>
        <w:pStyle w:val="Heading2"/>
        <w:numPr>
          <w:ilvl w:val="0"/>
          <w:numId w:val="4"/>
        </w:numPr>
      </w:pPr>
      <w:r w:rsidRPr="007E39E4">
        <w:t>If you are seeking both MBS and PBS listing</w:t>
      </w:r>
      <w:r w:rsidR="00B75965" w:rsidRPr="007E39E4">
        <w:t>, what is the trade name and generic name of the pharmaceutical?</w:t>
      </w:r>
    </w:p>
    <w:p w14:paraId="4837FE68" w14:textId="77777777" w:rsidR="001E6958" w:rsidRDefault="001E6958" w:rsidP="00950A18">
      <w:pPr>
        <w:spacing w:before="0" w:after="0"/>
        <w:ind w:left="360"/>
      </w:pPr>
      <w:r>
        <w:t xml:space="preserve">Trade name: </w:t>
      </w:r>
      <w:r w:rsidR="00D9643D">
        <w:t>LYNPARZA®</w:t>
      </w:r>
    </w:p>
    <w:p w14:paraId="2727B3C0" w14:textId="6EDB6DEF" w:rsidR="001E6958" w:rsidRDefault="001E6958" w:rsidP="00950A18">
      <w:pPr>
        <w:spacing w:before="0" w:after="0"/>
        <w:ind w:left="360"/>
      </w:pPr>
      <w:r>
        <w:t xml:space="preserve">Generic name: </w:t>
      </w:r>
      <w:r w:rsidR="00D9643D">
        <w:t>Olaparib</w:t>
      </w:r>
    </w:p>
    <w:p w14:paraId="60FA4E2D" w14:textId="1448729E" w:rsidR="00F868FD" w:rsidRDefault="004A7CE7" w:rsidP="00950A18">
      <w:pPr>
        <w:spacing w:before="0" w:after="0"/>
        <w:ind w:left="360"/>
      </w:pPr>
      <w:r>
        <w:t xml:space="preserve">As monotherapy or in </w:t>
      </w:r>
      <w:r w:rsidR="009406F0">
        <w:t>combination with</w:t>
      </w:r>
      <w:r w:rsidR="00F868FD">
        <w:t>;</w:t>
      </w:r>
    </w:p>
    <w:p w14:paraId="74C1768A" w14:textId="3924723A" w:rsidR="00F868FD" w:rsidRDefault="00F868FD" w:rsidP="00950A18">
      <w:pPr>
        <w:spacing w:before="0" w:after="0"/>
        <w:ind w:left="360"/>
      </w:pPr>
      <w:r>
        <w:t>Trade name: AVASTIN®</w:t>
      </w:r>
    </w:p>
    <w:p w14:paraId="130C8CFE" w14:textId="5C7A4379" w:rsidR="009406F0" w:rsidRDefault="00F868FD" w:rsidP="00950A18">
      <w:pPr>
        <w:spacing w:before="0" w:after="0"/>
        <w:ind w:left="360"/>
      </w:pPr>
      <w:r>
        <w:t>Generic name: B</w:t>
      </w:r>
      <w:r w:rsidR="009406F0">
        <w:t>evacizumab</w:t>
      </w:r>
    </w:p>
    <w:p w14:paraId="72E74A22" w14:textId="77777777" w:rsidR="00DF2E60" w:rsidRPr="001E6958" w:rsidRDefault="00DF2E60" w:rsidP="00A6491A">
      <w:pPr>
        <w:spacing w:before="0" w:after="0"/>
        <w:ind w:left="284"/>
      </w:pPr>
    </w:p>
    <w:p w14:paraId="392789AB"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3CD93273"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sidRPr="000A5B32">
        <w:rPr>
          <w:szCs w:val="20"/>
        </w:rPr>
        <w:t xml:space="preserve"> Yes</w:t>
      </w:r>
    </w:p>
    <w:p w14:paraId="059554B2" w14:textId="132D6444" w:rsidR="001E6919" w:rsidRPr="001E6958" w:rsidRDefault="00D9643D" w:rsidP="009406F0">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1E6958">
        <w:rPr>
          <w:szCs w:val="20"/>
        </w:rPr>
        <w:t xml:space="preserve"> No  </w:t>
      </w:r>
    </w:p>
    <w:p w14:paraId="4CDEF0A7" w14:textId="4F6C4A89" w:rsidR="00B75965" w:rsidRDefault="00B75965" w:rsidP="00CD7245">
      <w:pPr>
        <w:pStyle w:val="Heading2"/>
        <w:numPr>
          <w:ilvl w:val="0"/>
          <w:numId w:val="5"/>
        </w:numPr>
      </w:pPr>
      <w:r w:rsidRPr="001E6958">
        <w:t xml:space="preserve">If yes, </w:t>
      </w:r>
      <w:r w:rsidR="00C73B62" w:rsidRPr="001E6958">
        <w:t xml:space="preserve">please provide the following information (where relevant): </w:t>
      </w:r>
    </w:p>
    <w:p w14:paraId="266D3FB6" w14:textId="204865C1" w:rsidR="009939DC" w:rsidRDefault="009406F0" w:rsidP="00DB6FDF">
      <w:pPr>
        <w:ind w:left="284"/>
      </w:pPr>
      <w:r>
        <w:t>Not applicable</w:t>
      </w:r>
    </w:p>
    <w:p w14:paraId="4831E98E" w14:textId="77777777" w:rsidR="00411735" w:rsidRDefault="00411735" w:rsidP="00CD7245">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3DD9CE85"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sidRPr="000A5B32">
        <w:rPr>
          <w:szCs w:val="20"/>
        </w:rPr>
        <w:t xml:space="preserve"> Yes</w:t>
      </w:r>
    </w:p>
    <w:p w14:paraId="67D4874D" w14:textId="77777777" w:rsidR="001E6958" w:rsidRPr="009939DC" w:rsidRDefault="00D9643D"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9939DC">
        <w:rPr>
          <w:szCs w:val="20"/>
        </w:rPr>
        <w:t xml:space="preserve"> No  </w:t>
      </w:r>
    </w:p>
    <w:p w14:paraId="1053B091" w14:textId="77777777" w:rsidR="000D1E44" w:rsidRDefault="000D1E44">
      <w:pPr>
        <w:spacing w:before="0" w:after="200" w:line="276" w:lineRule="auto"/>
        <w:rPr>
          <w:b/>
          <w:szCs w:val="20"/>
        </w:rPr>
      </w:pPr>
      <w:r>
        <w:br w:type="page"/>
      </w:r>
    </w:p>
    <w:p w14:paraId="5F577DA5" w14:textId="67AA6E3B" w:rsidR="00016B6E" w:rsidRPr="009939DC" w:rsidRDefault="00016B6E" w:rsidP="00CD7245">
      <w:pPr>
        <w:pStyle w:val="Heading2"/>
        <w:numPr>
          <w:ilvl w:val="0"/>
          <w:numId w:val="5"/>
        </w:numPr>
      </w:pPr>
      <w:r w:rsidRPr="009939DC">
        <w:t>Are there any other sponsor(s) and / or manufacturer(</w:t>
      </w:r>
      <w:r w:rsidR="008B729C" w:rsidRPr="009939DC">
        <w:t>s) that have a similar prosthesi</w:t>
      </w:r>
      <w:r w:rsidRPr="009939DC">
        <w:t xml:space="preserve">s or device component in the Australian </w:t>
      </w:r>
      <w:proofErr w:type="gramStart"/>
      <w:r w:rsidRPr="009939DC">
        <w:t>market place</w:t>
      </w:r>
      <w:proofErr w:type="gramEnd"/>
      <w:r w:rsidRPr="009939DC">
        <w:t xml:space="preserve"> which this application is relevant to?</w:t>
      </w:r>
    </w:p>
    <w:p w14:paraId="3A7C19A1" w14:textId="77777777" w:rsidR="009939DC" w:rsidRDefault="009939DC" w:rsidP="00C61D27">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sidRPr="000A5B32">
        <w:rPr>
          <w:szCs w:val="20"/>
        </w:rPr>
        <w:t xml:space="preserve"> Yes</w:t>
      </w:r>
    </w:p>
    <w:p w14:paraId="45F0048A" w14:textId="77777777" w:rsidR="009939DC" w:rsidRPr="001E6958" w:rsidRDefault="00D9643D" w:rsidP="00C61D27">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9939DC">
        <w:rPr>
          <w:szCs w:val="20"/>
        </w:rPr>
        <w:t xml:space="preserve"> No  </w:t>
      </w:r>
    </w:p>
    <w:p w14:paraId="23EAEDD0" w14:textId="298F79CA" w:rsidR="009939DC" w:rsidRDefault="00016B6E" w:rsidP="00C61D27">
      <w:pPr>
        <w:pStyle w:val="Heading2"/>
        <w:numPr>
          <w:ilvl w:val="0"/>
          <w:numId w:val="5"/>
        </w:numPr>
        <w:ind w:left="714" w:hanging="357"/>
        <w:contextualSpacing w:val="0"/>
      </w:pPr>
      <w:r w:rsidRPr="009939DC">
        <w:t>If yes, please provide the name(s) of the spon</w:t>
      </w:r>
      <w:r w:rsidR="009939DC">
        <w:t>sor(s) and / or manufacturer(s):</w:t>
      </w:r>
    </w:p>
    <w:p w14:paraId="003FF80E" w14:textId="1D724A95" w:rsidR="00C61D27" w:rsidRPr="00C61D27" w:rsidRDefault="00C61D27" w:rsidP="00C61D27">
      <w:pPr>
        <w:ind w:left="357"/>
      </w:pPr>
      <w:r>
        <w:t>Not applicable</w:t>
      </w:r>
    </w:p>
    <w:p w14:paraId="50E07F3A" w14:textId="6E5D252C" w:rsidR="00F868FD" w:rsidRDefault="00A9062D" w:rsidP="00C61D27">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4F7DB4F4" w14:textId="1136AC36" w:rsidR="00F868FD" w:rsidRPr="00C24569" w:rsidRDefault="00F868FD" w:rsidP="00F868FD">
      <w:pPr>
        <w:spacing w:before="0" w:after="0"/>
        <w:ind w:left="284"/>
      </w:pPr>
      <w:r>
        <w:t>S</w:t>
      </w:r>
      <w:r w:rsidRPr="00C24569">
        <w:t xml:space="preserve">ingle or multi-use consumables for in-house developed IVD assays would be kits which may be used for DNA extraction or quality assurance, or any kit for PCR amplification methods.  </w:t>
      </w:r>
    </w:p>
    <w:p w14:paraId="6D6E3351" w14:textId="6D6EDB50" w:rsidR="00F301F1" w:rsidRPr="00855944" w:rsidRDefault="00F301F1" w:rsidP="00A6491A">
      <w:pPr>
        <w:spacing w:before="0" w:after="0"/>
        <w:ind w:left="284"/>
      </w:pPr>
      <w:r w:rsidRPr="00855944">
        <w:br w:type="page"/>
      </w:r>
    </w:p>
    <w:p w14:paraId="37B39114" w14:textId="77777777" w:rsidR="00226777" w:rsidRPr="00C776B1" w:rsidRDefault="00530204" w:rsidP="0056015F">
      <w:pPr>
        <w:pStyle w:val="Heading1"/>
      </w:pPr>
      <w:r>
        <w:t>PART 3</w:t>
      </w:r>
      <w:r w:rsidR="00F93784">
        <w:t xml:space="preserve"> – </w:t>
      </w:r>
      <w:r w:rsidR="00226777" w:rsidRPr="00C776B1">
        <w:t>INFORMATION ABOUT REGULATORY REQUIREMENTS</w:t>
      </w:r>
    </w:p>
    <w:p w14:paraId="7ED18068" w14:textId="77777777" w:rsidR="001A1ADF"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4638154F" w14:textId="77777777" w:rsidR="00C17FC7" w:rsidRPr="00A26343" w:rsidRDefault="00C17FC7" w:rsidP="00C17FC7">
      <w:pPr>
        <w:spacing w:before="0" w:after="0"/>
        <w:ind w:left="284"/>
        <w:rPr>
          <w:szCs w:val="20"/>
        </w:rPr>
      </w:pPr>
      <w:r w:rsidRPr="00A26343">
        <w:rPr>
          <w:szCs w:val="20"/>
        </w:rPr>
        <w:t>Type of therapeutic good</w:t>
      </w:r>
      <w:r>
        <w:rPr>
          <w:szCs w:val="20"/>
        </w:rPr>
        <w:t xml:space="preserve">: </w:t>
      </w:r>
      <w:r>
        <w:t xml:space="preserve">Pharmaceutical product: </w:t>
      </w:r>
      <w:r w:rsidRPr="005234D2">
        <w:t>L</w:t>
      </w:r>
      <w:r>
        <w:t>YNPARZA</w:t>
      </w:r>
      <w:r w:rsidRPr="005234D2">
        <w:t>®</w:t>
      </w:r>
      <w:r>
        <w:t xml:space="preserve"> </w:t>
      </w:r>
      <w:r w:rsidRPr="005234D2">
        <w:t>(olaparib)</w:t>
      </w:r>
    </w:p>
    <w:p w14:paraId="70965788" w14:textId="77777777" w:rsidR="00C17FC7" w:rsidRPr="00A26343" w:rsidRDefault="00C17FC7" w:rsidP="00C17FC7">
      <w:pPr>
        <w:spacing w:before="0" w:after="0"/>
        <w:ind w:left="284"/>
        <w:rPr>
          <w:szCs w:val="20"/>
        </w:rPr>
      </w:pPr>
      <w:r w:rsidRPr="00A26343">
        <w:rPr>
          <w:szCs w:val="20"/>
        </w:rPr>
        <w:t>Manufacturer’s name</w:t>
      </w:r>
      <w:r>
        <w:rPr>
          <w:szCs w:val="20"/>
        </w:rPr>
        <w:t xml:space="preserve">: </w:t>
      </w:r>
      <w:r w:rsidRPr="00F709B5">
        <w:t>AstraZeneca Pty Ltd</w:t>
      </w:r>
    </w:p>
    <w:p w14:paraId="52A8E275" w14:textId="77777777" w:rsidR="00C17FC7" w:rsidRDefault="00C17FC7" w:rsidP="00C17FC7">
      <w:pPr>
        <w:spacing w:before="0" w:after="0"/>
        <w:ind w:left="284"/>
      </w:pPr>
      <w:r w:rsidRPr="00A26343">
        <w:rPr>
          <w:szCs w:val="20"/>
        </w:rPr>
        <w:t>Sponsor’s name</w:t>
      </w:r>
      <w:r>
        <w:rPr>
          <w:szCs w:val="20"/>
        </w:rPr>
        <w:t xml:space="preserve">: </w:t>
      </w:r>
      <w:r w:rsidRPr="00F709B5">
        <w:t>AstraZeneca Pty Ltd</w:t>
      </w:r>
    </w:p>
    <w:p w14:paraId="34048BA1" w14:textId="77777777" w:rsidR="00C17FC7" w:rsidRDefault="00C17FC7" w:rsidP="00B677C8">
      <w:pPr>
        <w:spacing w:before="0" w:after="0"/>
        <w:ind w:left="284"/>
        <w:jc w:val="right"/>
      </w:pPr>
    </w:p>
    <w:p w14:paraId="2D6D7342" w14:textId="10DBA349" w:rsidR="00C17FC7" w:rsidRPr="000A59F5" w:rsidRDefault="00C17FC7" w:rsidP="001A2B4D">
      <w:pPr>
        <w:tabs>
          <w:tab w:val="left" w:pos="5635"/>
        </w:tabs>
        <w:spacing w:before="0" w:after="0"/>
        <w:ind w:left="284"/>
        <w:rPr>
          <w:szCs w:val="20"/>
        </w:rPr>
      </w:pPr>
      <w:r w:rsidRPr="000A59F5">
        <w:rPr>
          <w:szCs w:val="20"/>
        </w:rPr>
        <w:t>Type of therapeutic good: In-vitro diagnostic test</w:t>
      </w:r>
      <w:r w:rsidR="00AC3059">
        <w:rPr>
          <w:szCs w:val="20"/>
        </w:rPr>
        <w:tab/>
      </w:r>
    </w:p>
    <w:p w14:paraId="5AEB87A9" w14:textId="43BA1FC2" w:rsidR="00C17FC7" w:rsidRPr="000A59F5" w:rsidRDefault="00C17FC7" w:rsidP="00C17FC7">
      <w:pPr>
        <w:spacing w:before="0" w:after="0"/>
        <w:ind w:left="284"/>
        <w:rPr>
          <w:szCs w:val="20"/>
        </w:rPr>
      </w:pPr>
      <w:r w:rsidRPr="000A59F5">
        <w:rPr>
          <w:szCs w:val="20"/>
        </w:rPr>
        <w:t xml:space="preserve">Manufacturer’s name: </w:t>
      </w:r>
      <w:r w:rsidR="000D1E44" w:rsidRPr="000D1E44">
        <w:rPr>
          <w:rFonts w:ascii="Calibri" w:hAnsi="Calibri"/>
          <w:b/>
          <w:sz w:val="22"/>
          <w:szCs w:val="20"/>
        </w:rPr>
        <w:t>REDACTED</w:t>
      </w:r>
      <w:r w:rsidRPr="00BD0201" w:rsidDel="00BD0201">
        <w:rPr>
          <w:szCs w:val="20"/>
        </w:rPr>
        <w:t xml:space="preserve"> </w:t>
      </w:r>
    </w:p>
    <w:p w14:paraId="18C052B0" w14:textId="685893FE" w:rsidR="00C17FC7" w:rsidRDefault="00C17FC7" w:rsidP="00A6491A">
      <w:pPr>
        <w:spacing w:before="0" w:after="0"/>
        <w:ind w:left="284"/>
        <w:rPr>
          <w:szCs w:val="20"/>
        </w:rPr>
      </w:pPr>
      <w:r w:rsidRPr="000A59F5">
        <w:rPr>
          <w:szCs w:val="20"/>
        </w:rPr>
        <w:t>Sponsor’s name:</w:t>
      </w:r>
      <w:r>
        <w:rPr>
          <w:szCs w:val="20"/>
        </w:rPr>
        <w:t xml:space="preserve"> </w:t>
      </w:r>
      <w:r w:rsidR="000D1E44" w:rsidRPr="000D1E44">
        <w:rPr>
          <w:rFonts w:ascii="Calibri" w:hAnsi="Calibri"/>
          <w:b/>
          <w:sz w:val="22"/>
          <w:szCs w:val="20"/>
        </w:rPr>
        <w:t>REDACTED</w:t>
      </w:r>
      <w:r>
        <w:rPr>
          <w:szCs w:val="20"/>
        </w:rPr>
        <w:t xml:space="preserve"> </w:t>
      </w:r>
    </w:p>
    <w:p w14:paraId="3F5276BE" w14:textId="77777777" w:rsidR="00F868FD" w:rsidRDefault="00F868FD" w:rsidP="00A6491A">
      <w:pPr>
        <w:spacing w:before="0" w:after="0"/>
        <w:ind w:left="284"/>
      </w:pPr>
    </w:p>
    <w:p w14:paraId="3A665687" w14:textId="77777777" w:rsidR="005E2CE3" w:rsidRPr="00154B00" w:rsidRDefault="005E2CE3" w:rsidP="00CD7245">
      <w:pPr>
        <w:pStyle w:val="Heading2"/>
        <w:numPr>
          <w:ilvl w:val="0"/>
          <w:numId w:val="6"/>
        </w:numPr>
      </w:pPr>
      <w:r>
        <w:t xml:space="preserve">Is the </w:t>
      </w:r>
      <w:r w:rsidRPr="0043654D">
        <w:t>medical</w:t>
      </w:r>
      <w:r>
        <w:t xml:space="preserve"> device classified by the TGA as either a Class III or Active Implantable Medical Device (AIMD) against the TGA regulatory scheme for devices?</w:t>
      </w:r>
    </w:p>
    <w:p w14:paraId="03123CA2" w14:textId="77777777" w:rsidR="00615F42" w:rsidRPr="00615F42" w:rsidRDefault="00C17FC7" w:rsidP="00C61D27">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6DACC02E" w14:textId="77777777" w:rsidR="00615F42" w:rsidRPr="00615F42" w:rsidRDefault="00615F42" w:rsidP="00C61D27">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sidRPr="000A5B32">
        <w:rPr>
          <w:szCs w:val="20"/>
        </w:rPr>
        <w:t xml:space="preserve"> </w:t>
      </w:r>
      <w:r w:rsidRPr="00615F42">
        <w:rPr>
          <w:szCs w:val="20"/>
        </w:rPr>
        <w:t>AIMD</w:t>
      </w:r>
    </w:p>
    <w:p w14:paraId="1755A0CC" w14:textId="77777777" w:rsidR="005E2CE3" w:rsidRPr="00154B00" w:rsidRDefault="00615F42" w:rsidP="00C61D27">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sidRPr="000A5B32">
        <w:rPr>
          <w:szCs w:val="20"/>
        </w:rPr>
        <w:t xml:space="preserve"> </w:t>
      </w:r>
      <w:r w:rsidRPr="00615F42">
        <w:rPr>
          <w:szCs w:val="20"/>
        </w:rPr>
        <w:t>N/A</w:t>
      </w:r>
    </w:p>
    <w:p w14:paraId="4B0674DF"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51BE62C8" w14:textId="77777777" w:rsidR="00615F42" w:rsidRDefault="00615F42" w:rsidP="00C61D27">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0FE06F59" w14:textId="77777777" w:rsidR="003421AE" w:rsidRPr="00615F42" w:rsidRDefault="00C17FC7" w:rsidP="00C61D27">
      <w:pPr>
        <w:spacing w:before="0" w:after="0"/>
        <w:ind w:left="360"/>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615F42">
        <w:rPr>
          <w:szCs w:val="20"/>
        </w:rPr>
        <w:t xml:space="preserve"> No</w:t>
      </w:r>
    </w:p>
    <w:p w14:paraId="301C50E5" w14:textId="433FB716" w:rsidR="00D85676" w:rsidRDefault="00D85676" w:rsidP="00CD7245">
      <w:pPr>
        <w:pStyle w:val="Heading2"/>
        <w:numPr>
          <w:ilvl w:val="0"/>
          <w:numId w:val="7"/>
        </w:numPr>
      </w:pPr>
      <w:r w:rsidRPr="00154B00">
        <w:t>If no, has it been listed or r</w:t>
      </w:r>
      <w:r w:rsidR="00113456">
        <w:t>e</w:t>
      </w:r>
      <w:r w:rsidRPr="00154B00">
        <w:t xml:space="preserve">gistered or included in the Australian Register of Therapeutic Goods (ARTG) by the Therapeutic </w:t>
      </w:r>
      <w:r w:rsidRPr="0043654D">
        <w:t>Goods</w:t>
      </w:r>
      <w:r w:rsidRPr="00154B00">
        <w:t xml:space="preserve"> Administration (TGA)</w:t>
      </w:r>
      <w:r w:rsidR="00403333">
        <w:t>?</w:t>
      </w:r>
    </w:p>
    <w:p w14:paraId="4958376F" w14:textId="77777777" w:rsidR="0043654D" w:rsidRDefault="0043654D" w:rsidP="00C61D27">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Yes (if yes, please provide details below)</w:t>
      </w:r>
    </w:p>
    <w:p w14:paraId="585379C9" w14:textId="77777777" w:rsidR="0043654D" w:rsidRDefault="00C17FC7" w:rsidP="00C61D27">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43654D">
        <w:rPr>
          <w:szCs w:val="20"/>
        </w:rPr>
        <w:t xml:space="preserve"> No</w:t>
      </w:r>
    </w:p>
    <w:p w14:paraId="1573F368" w14:textId="77777777" w:rsidR="0043654D" w:rsidRDefault="0043654D" w:rsidP="0043654D">
      <w:pPr>
        <w:spacing w:before="0" w:after="0"/>
        <w:ind w:left="284"/>
        <w:rPr>
          <w:b/>
          <w:szCs w:val="20"/>
        </w:rPr>
      </w:pPr>
    </w:p>
    <w:p w14:paraId="7381146A" w14:textId="75A96A10" w:rsidR="00D06E60" w:rsidRPr="005D75F9" w:rsidRDefault="00D06E60" w:rsidP="000D1E44">
      <w:pPr>
        <w:ind w:left="360"/>
      </w:pPr>
      <w:bookmarkStart w:id="4" w:name="_Hlk73575364"/>
      <w:r w:rsidRPr="005D75F9">
        <w:t>Whilst HRD testing is not currently performed in Australia, a local pathology laboratory (</w:t>
      </w:r>
      <w:r w:rsidR="000D1E44" w:rsidRPr="000D1E44">
        <w:rPr>
          <w:rFonts w:ascii="Calibri" w:hAnsi="Calibri"/>
          <w:b/>
          <w:bCs/>
          <w:sz w:val="22"/>
        </w:rPr>
        <w:t>REDACTED</w:t>
      </w:r>
      <w:r w:rsidRPr="005D75F9">
        <w:t xml:space="preserve">) is developing a HRD test which includes two assays performed simultaneously to identify HRD status: BRCA </w:t>
      </w:r>
      <w:r w:rsidR="006E5F4B" w:rsidRPr="005D75F9">
        <w:t xml:space="preserve">mutation analysis </w:t>
      </w:r>
      <w:r w:rsidRPr="005D75F9">
        <w:t xml:space="preserve">and GIS. </w:t>
      </w:r>
      <w:r w:rsidR="000D1E44" w:rsidRPr="000D1E44">
        <w:rPr>
          <w:rFonts w:ascii="Calibri" w:hAnsi="Calibri"/>
          <w:b/>
          <w:bCs/>
          <w:sz w:val="22"/>
        </w:rPr>
        <w:t>REDACTED</w:t>
      </w:r>
      <w:r w:rsidR="00DB6FDF" w:rsidRPr="005D75F9">
        <w:t xml:space="preserve"> </w:t>
      </w:r>
      <w:r w:rsidRPr="005D75F9">
        <w:t xml:space="preserve">is currently undertaking additional experiments to assess the performance of the test. </w:t>
      </w:r>
      <w:r w:rsidR="006E5F4B" w:rsidRPr="005D75F9">
        <w:t>It is intended that v</w:t>
      </w:r>
      <w:r w:rsidRPr="005D75F9">
        <w:t xml:space="preserve">alidation and concordance results </w:t>
      </w:r>
      <w:r w:rsidR="00F71A5D" w:rsidRPr="005D75F9">
        <w:t xml:space="preserve">against the evidentiary standard will be conducted with the results </w:t>
      </w:r>
      <w:r w:rsidRPr="005D75F9">
        <w:t xml:space="preserve">provided </w:t>
      </w:r>
      <w:r w:rsidR="00F71A5D" w:rsidRPr="005D75F9">
        <w:t xml:space="preserve">in </w:t>
      </w:r>
      <w:r w:rsidRPr="005D75F9">
        <w:t xml:space="preserve">the </w:t>
      </w:r>
      <w:r w:rsidR="000D1E44" w:rsidRPr="000D1E44">
        <w:rPr>
          <w:rFonts w:ascii="Calibri" w:hAnsi="Calibri"/>
          <w:b/>
          <w:bCs/>
          <w:sz w:val="22"/>
        </w:rPr>
        <w:t>REDACTED</w:t>
      </w:r>
      <w:r w:rsidR="00DB6FDF" w:rsidRPr="005D75F9">
        <w:t xml:space="preserve"> </w:t>
      </w:r>
      <w:r w:rsidRPr="005D75F9">
        <w:t xml:space="preserve">co-dependent submission. Please refer to Attachment 1 with updated information on the </w:t>
      </w:r>
      <w:r w:rsidR="000D1E44" w:rsidRPr="000D1E44">
        <w:rPr>
          <w:rFonts w:ascii="Calibri" w:hAnsi="Calibri"/>
          <w:b/>
          <w:bCs/>
          <w:sz w:val="22"/>
        </w:rPr>
        <w:t>REDACTED</w:t>
      </w:r>
      <w:r w:rsidR="00DB6FDF" w:rsidRPr="005D75F9">
        <w:t xml:space="preserve"> </w:t>
      </w:r>
      <w:r w:rsidRPr="005D75F9">
        <w:t xml:space="preserve">locally developed test. </w:t>
      </w:r>
    </w:p>
    <w:p w14:paraId="216EBB64" w14:textId="6BC663DE" w:rsidR="00D06E60" w:rsidRPr="005D75F9" w:rsidRDefault="00D06E60" w:rsidP="000D1E44">
      <w:pPr>
        <w:ind w:left="360"/>
      </w:pPr>
      <w:r w:rsidRPr="005D75F9">
        <w:t xml:space="preserve">In addition, </w:t>
      </w:r>
      <w:r w:rsidR="00134789" w:rsidRPr="005D75F9">
        <w:t>A</w:t>
      </w:r>
      <w:r w:rsidR="00A70315" w:rsidRPr="005D75F9">
        <w:t>stra</w:t>
      </w:r>
      <w:r w:rsidR="00134789" w:rsidRPr="005D75F9">
        <w:t>Z</w:t>
      </w:r>
      <w:r w:rsidR="00A70315" w:rsidRPr="005D75F9">
        <w:t>eneca</w:t>
      </w:r>
      <w:r w:rsidR="00134789" w:rsidRPr="005D75F9">
        <w:t xml:space="preserve"> understands that </w:t>
      </w:r>
      <w:r w:rsidR="000D1E44" w:rsidRPr="000D1E44">
        <w:rPr>
          <w:rFonts w:ascii="Calibri" w:hAnsi="Calibri"/>
          <w:b/>
          <w:bCs/>
          <w:sz w:val="22"/>
        </w:rPr>
        <w:t>REDACTED</w:t>
      </w:r>
      <w:r w:rsidR="00253D1A">
        <w:rPr>
          <w:b/>
          <w:bCs/>
        </w:rPr>
        <w:t>.</w:t>
      </w:r>
      <w:r w:rsidR="00DB6FDF" w:rsidRPr="005D75F9">
        <w:t xml:space="preserve"> </w:t>
      </w:r>
      <w:bookmarkEnd w:id="4"/>
      <w:r w:rsidR="00253D1A" w:rsidRPr="005D75F9">
        <w:rPr>
          <w:rFonts w:eastAsia="Times New Roman"/>
          <w:i/>
          <w:iCs/>
        </w:rPr>
        <w:t>(The redacted text refers to the potential Australian provision of a HRD assay which is similar to the HRD assay utilised in the PAOLA1 study (Myriad® myChoice HRD Plus assay). This test is available overseas but is not currently performed in Australia and not included in the ARTG).</w:t>
      </w:r>
    </w:p>
    <w:p w14:paraId="67F45684" w14:textId="77777777" w:rsidR="003C6739" w:rsidRDefault="003C6739" w:rsidP="00C61D27">
      <w:pPr>
        <w:spacing w:before="0" w:after="0"/>
        <w:ind w:left="76"/>
        <w:rPr>
          <w:bCs/>
          <w:szCs w:val="20"/>
        </w:rPr>
      </w:pPr>
    </w:p>
    <w:p w14:paraId="23A7EFE7" w14:textId="77777777" w:rsidR="003C6739" w:rsidRPr="00861C41" w:rsidRDefault="003C6739" w:rsidP="00C61D27">
      <w:pPr>
        <w:spacing w:before="0" w:after="0"/>
        <w:ind w:left="360"/>
        <w:rPr>
          <w:szCs w:val="20"/>
        </w:rPr>
      </w:pPr>
      <w:r w:rsidRPr="00861C41">
        <w:rPr>
          <w:szCs w:val="20"/>
        </w:rPr>
        <w:t xml:space="preserve">The </w:t>
      </w:r>
      <w:r>
        <w:rPr>
          <w:szCs w:val="20"/>
        </w:rPr>
        <w:t xml:space="preserve">co-dependent </w:t>
      </w:r>
      <w:r w:rsidRPr="00861C41">
        <w:rPr>
          <w:szCs w:val="20"/>
        </w:rPr>
        <w:t xml:space="preserve">pharmaceutical product </w:t>
      </w:r>
      <w:bookmarkStart w:id="5" w:name="_Hlk19277696"/>
      <w:r w:rsidRPr="00861C41">
        <w:rPr>
          <w:szCs w:val="20"/>
        </w:rPr>
        <w:t xml:space="preserve">Lynparza® </w:t>
      </w:r>
      <w:bookmarkEnd w:id="5"/>
      <w:r w:rsidRPr="00861C41">
        <w:rPr>
          <w:szCs w:val="20"/>
        </w:rPr>
        <w:t>(olaparib) is currently registered on the ARTG with the following ARTG details:</w:t>
      </w:r>
    </w:p>
    <w:p w14:paraId="7CAB449C" w14:textId="77777777" w:rsidR="003C6739" w:rsidRPr="00861C41" w:rsidRDefault="003C6739" w:rsidP="00C61D27">
      <w:pPr>
        <w:spacing w:before="0" w:after="0"/>
        <w:ind w:left="360"/>
        <w:rPr>
          <w:szCs w:val="20"/>
        </w:rPr>
      </w:pPr>
    </w:p>
    <w:p w14:paraId="517410C1" w14:textId="77777777" w:rsidR="003C6739" w:rsidRPr="00861C41" w:rsidRDefault="003C6739" w:rsidP="00C61D27">
      <w:pPr>
        <w:spacing w:before="0" w:after="0"/>
        <w:ind w:left="360"/>
        <w:rPr>
          <w:szCs w:val="20"/>
        </w:rPr>
      </w:pPr>
      <w:r w:rsidRPr="00861C41">
        <w:rPr>
          <w:szCs w:val="20"/>
        </w:rPr>
        <w:t>ARTG ID:</w:t>
      </w:r>
      <w:r>
        <w:rPr>
          <w:szCs w:val="20"/>
        </w:rPr>
        <w:t xml:space="preserve"> </w:t>
      </w:r>
      <w:r w:rsidRPr="00861C41">
        <w:rPr>
          <w:szCs w:val="20"/>
        </w:rPr>
        <w:t>288614 Lynparza 150mg tablets</w:t>
      </w:r>
    </w:p>
    <w:p w14:paraId="6CB38E28" w14:textId="63C7AE09" w:rsidR="003C6739" w:rsidRDefault="003C6739" w:rsidP="00C61D27">
      <w:pPr>
        <w:spacing w:before="0" w:after="0"/>
        <w:ind w:left="360"/>
        <w:rPr>
          <w:szCs w:val="20"/>
        </w:rPr>
      </w:pPr>
      <w:r w:rsidRPr="00861C41">
        <w:rPr>
          <w:szCs w:val="20"/>
        </w:rPr>
        <w:t xml:space="preserve">ARTG ID: 288613 Lynparza 100mg tablets </w:t>
      </w:r>
    </w:p>
    <w:p w14:paraId="1CFB68FA" w14:textId="77777777" w:rsidR="003C6739" w:rsidRPr="003C6739" w:rsidRDefault="003C6739" w:rsidP="00C61D27">
      <w:pPr>
        <w:spacing w:before="0" w:after="0"/>
        <w:ind w:left="76"/>
        <w:rPr>
          <w:bCs/>
          <w:szCs w:val="20"/>
        </w:rPr>
      </w:pPr>
    </w:p>
    <w:p w14:paraId="1F1E9900" w14:textId="47CAD14E" w:rsidR="00AF6ED8" w:rsidRDefault="00AF6ED8" w:rsidP="00C61D27">
      <w:pPr>
        <w:spacing w:before="0" w:after="0"/>
        <w:ind w:left="360"/>
        <w:rPr>
          <w:szCs w:val="20"/>
        </w:rPr>
      </w:pPr>
      <w:r w:rsidRPr="0047581D">
        <w:rPr>
          <w:szCs w:val="20"/>
        </w:rPr>
        <w:t>TGA approved indication</w:t>
      </w:r>
      <w:r>
        <w:rPr>
          <w:szCs w:val="20"/>
        </w:rPr>
        <w:t xml:space="preserve">s for olaparib </w:t>
      </w:r>
      <w:r w:rsidR="002921CC">
        <w:rPr>
          <w:szCs w:val="20"/>
        </w:rPr>
        <w:t>are</w:t>
      </w:r>
      <w:r>
        <w:rPr>
          <w:szCs w:val="20"/>
        </w:rPr>
        <w:t xml:space="preserve"> as follows:</w:t>
      </w:r>
    </w:p>
    <w:p w14:paraId="73E06386" w14:textId="77777777" w:rsidR="00AF6ED8" w:rsidRPr="002C29DD" w:rsidRDefault="00AF6ED8" w:rsidP="00C61D27">
      <w:pPr>
        <w:spacing w:before="0" w:after="0"/>
        <w:ind w:left="360"/>
        <w:rPr>
          <w:b/>
          <w:bCs/>
          <w:szCs w:val="20"/>
        </w:rPr>
      </w:pPr>
      <w:r w:rsidRPr="002C29DD">
        <w:rPr>
          <w:b/>
          <w:bCs/>
          <w:szCs w:val="20"/>
        </w:rPr>
        <w:t>Ovarian Cancer</w:t>
      </w:r>
    </w:p>
    <w:p w14:paraId="0256F34F" w14:textId="77777777" w:rsidR="00AF6ED8" w:rsidRPr="002C29DD" w:rsidRDefault="00AF6ED8" w:rsidP="00C61D27">
      <w:pPr>
        <w:spacing w:before="0" w:after="0"/>
        <w:ind w:left="360"/>
        <w:rPr>
          <w:szCs w:val="20"/>
        </w:rPr>
      </w:pPr>
      <w:r w:rsidRPr="00861C41">
        <w:rPr>
          <w:szCs w:val="20"/>
        </w:rPr>
        <w:t xml:space="preserve">Lynparza® </w:t>
      </w:r>
      <w:r w:rsidRPr="002C29DD">
        <w:rPr>
          <w:szCs w:val="20"/>
        </w:rPr>
        <w:t>is indicated as monotherapy for the:</w:t>
      </w:r>
    </w:p>
    <w:p w14:paraId="5CC0D944" w14:textId="77777777" w:rsidR="00AF6ED8" w:rsidRDefault="00AF6ED8" w:rsidP="00CD7245">
      <w:pPr>
        <w:pStyle w:val="ListParagraph"/>
        <w:numPr>
          <w:ilvl w:val="0"/>
          <w:numId w:val="16"/>
        </w:numPr>
        <w:spacing w:before="0" w:after="0"/>
        <w:rPr>
          <w:szCs w:val="20"/>
        </w:rPr>
      </w:pPr>
      <w:r w:rsidRPr="002C29DD">
        <w:rPr>
          <w:szCs w:val="20"/>
        </w:rPr>
        <w:t>maintenance treatment of adult patients with advanced BRCA-mutated (germline or somatic) high-grade epithelial ovarian, fallopian tube or primary peritoneal cancer who are in response (complete response or partial response) to first-line platinum-based chemotherapy. BRCA mutation status should be determined by an experienced laboratory using a validated test method.</w:t>
      </w:r>
    </w:p>
    <w:p w14:paraId="6D5BEF0D" w14:textId="39440322" w:rsidR="00AF6ED8" w:rsidRDefault="00AF6ED8" w:rsidP="00CD7245">
      <w:pPr>
        <w:pStyle w:val="ListParagraph"/>
        <w:numPr>
          <w:ilvl w:val="0"/>
          <w:numId w:val="16"/>
        </w:numPr>
        <w:spacing w:before="0" w:after="0"/>
        <w:rPr>
          <w:szCs w:val="20"/>
        </w:rPr>
      </w:pPr>
      <w:r w:rsidRPr="002C29DD">
        <w:rPr>
          <w:szCs w:val="20"/>
        </w:rPr>
        <w:t>maintenance treatment of adult patients with platinum-sensitive relapsed high grade epithelial ovarian, fallopian tube or primary peritoneal cancer who are in response (complete response or partial response) after platinum-based chemotherapy. Prior treatment must have included at least 2 courses of platinum-based regimens.</w:t>
      </w:r>
    </w:p>
    <w:p w14:paraId="013904C6" w14:textId="77777777" w:rsidR="002921CC" w:rsidRDefault="002921CC" w:rsidP="00B71C66">
      <w:pPr>
        <w:pStyle w:val="ListParagraph"/>
        <w:spacing w:before="0" w:after="0"/>
        <w:ind w:left="1004"/>
        <w:rPr>
          <w:szCs w:val="20"/>
        </w:rPr>
      </w:pPr>
    </w:p>
    <w:p w14:paraId="488879FD" w14:textId="77777777" w:rsidR="002921CC" w:rsidRPr="002C29DD" w:rsidRDefault="002921CC" w:rsidP="00B71C66">
      <w:pPr>
        <w:spacing w:before="0" w:after="0"/>
        <w:ind w:left="284"/>
        <w:rPr>
          <w:b/>
          <w:bCs/>
          <w:szCs w:val="20"/>
        </w:rPr>
      </w:pPr>
      <w:r w:rsidRPr="002C29DD">
        <w:rPr>
          <w:b/>
          <w:bCs/>
          <w:szCs w:val="20"/>
        </w:rPr>
        <w:t>Breast Cancer</w:t>
      </w:r>
    </w:p>
    <w:p w14:paraId="36BCC989" w14:textId="77777777" w:rsidR="002921CC" w:rsidRPr="002C29DD" w:rsidRDefault="002921CC" w:rsidP="00B71C66">
      <w:pPr>
        <w:spacing w:before="0" w:after="0"/>
        <w:ind w:left="284"/>
        <w:rPr>
          <w:szCs w:val="20"/>
        </w:rPr>
      </w:pPr>
      <w:r w:rsidRPr="00861C41">
        <w:rPr>
          <w:szCs w:val="20"/>
        </w:rPr>
        <w:t xml:space="preserve">Lynparza® </w:t>
      </w:r>
      <w:r w:rsidRPr="002C29DD">
        <w:rPr>
          <w:szCs w:val="20"/>
        </w:rPr>
        <w:t>is indicated as monotherapy for the:</w:t>
      </w:r>
    </w:p>
    <w:p w14:paraId="6E5B884A" w14:textId="769784CA" w:rsidR="002921CC" w:rsidRPr="002921CC" w:rsidRDefault="002921CC" w:rsidP="00CD7245">
      <w:pPr>
        <w:pStyle w:val="ListParagraph"/>
        <w:numPr>
          <w:ilvl w:val="0"/>
          <w:numId w:val="16"/>
        </w:numPr>
        <w:spacing w:before="0" w:after="0"/>
        <w:rPr>
          <w:szCs w:val="20"/>
        </w:rPr>
      </w:pPr>
      <w:r w:rsidRPr="002C29DD">
        <w:rPr>
          <w:szCs w:val="20"/>
        </w:rPr>
        <w:t>treatment of adult patients with germline BRCA-mutated HER2-negative metastatic breast cancer who have previously been treated with chemotherapy in the neoadjuvant, adjuvant or metastatic setting. Germline BRCA mutation (</w:t>
      </w:r>
      <w:proofErr w:type="spellStart"/>
      <w:r w:rsidRPr="002C29DD">
        <w:rPr>
          <w:szCs w:val="20"/>
        </w:rPr>
        <w:t>gBRCAm</w:t>
      </w:r>
      <w:proofErr w:type="spellEnd"/>
      <w:r w:rsidRPr="002C29DD">
        <w:rPr>
          <w:szCs w:val="20"/>
        </w:rPr>
        <w:t>) status should be determined by an experienced laboratory using a validated test method.</w:t>
      </w:r>
    </w:p>
    <w:p w14:paraId="3AE6C6A5" w14:textId="34FB7EA5" w:rsidR="00AF6ED8" w:rsidRDefault="00AF6ED8" w:rsidP="00AF6ED8">
      <w:pPr>
        <w:spacing w:before="0" w:after="0"/>
      </w:pPr>
    </w:p>
    <w:p w14:paraId="50FA1807" w14:textId="51B31779" w:rsidR="00FE44AE" w:rsidRDefault="00FE44AE" w:rsidP="00FE44AE">
      <w:pPr>
        <w:spacing w:before="0" w:after="0"/>
        <w:ind w:left="284"/>
        <w:rPr>
          <w:szCs w:val="20"/>
        </w:rPr>
      </w:pPr>
      <w:r>
        <w:rPr>
          <w:szCs w:val="20"/>
        </w:rPr>
        <w:t xml:space="preserve">The co-dependent PBAC/MSAC submission will request PBS funding for </w:t>
      </w:r>
      <w:r w:rsidR="00B71C66">
        <w:rPr>
          <w:szCs w:val="20"/>
        </w:rPr>
        <w:t>olaparib</w:t>
      </w:r>
      <w:r>
        <w:rPr>
          <w:szCs w:val="20"/>
        </w:rPr>
        <w:t xml:space="preserve"> </w:t>
      </w:r>
      <w:r w:rsidR="00BA3755">
        <w:rPr>
          <w:szCs w:val="20"/>
        </w:rPr>
        <w:t>as</w:t>
      </w:r>
      <w:r w:rsidR="00EF16F9">
        <w:rPr>
          <w:szCs w:val="20"/>
        </w:rPr>
        <w:t xml:space="preserve"> </w:t>
      </w:r>
      <w:r>
        <w:rPr>
          <w:szCs w:val="20"/>
        </w:rPr>
        <w:t xml:space="preserve">in combination with bevacizumab in patients identified with a positive HRD </w:t>
      </w:r>
      <w:r w:rsidR="00A17678">
        <w:rPr>
          <w:szCs w:val="20"/>
        </w:rPr>
        <w:t xml:space="preserve">and </w:t>
      </w:r>
      <w:proofErr w:type="spellStart"/>
      <w:r w:rsidR="00A17678">
        <w:rPr>
          <w:szCs w:val="20"/>
        </w:rPr>
        <w:t>BRCAwt</w:t>
      </w:r>
      <w:proofErr w:type="spellEnd"/>
      <w:r>
        <w:rPr>
          <w:szCs w:val="20"/>
        </w:rPr>
        <w:t xml:space="preserve"> status. Applicable to this application the ARTG for bevacizumab is as follows:</w:t>
      </w:r>
    </w:p>
    <w:p w14:paraId="2578B1CA" w14:textId="77777777" w:rsidR="00FE44AE" w:rsidRDefault="00FE44AE" w:rsidP="00FE44AE">
      <w:pPr>
        <w:spacing w:before="0" w:after="0"/>
        <w:ind w:left="284"/>
        <w:rPr>
          <w:szCs w:val="20"/>
        </w:rPr>
      </w:pPr>
    </w:p>
    <w:p w14:paraId="224965C8" w14:textId="77777777" w:rsidR="00FE44AE" w:rsidRDefault="00FE44AE" w:rsidP="00FE44AE">
      <w:pPr>
        <w:spacing w:before="0" w:after="0"/>
        <w:ind w:left="284"/>
        <w:rPr>
          <w:szCs w:val="20"/>
        </w:rPr>
      </w:pPr>
      <w:r>
        <w:rPr>
          <w:szCs w:val="20"/>
        </w:rPr>
        <w:t>ARTG: 99757 Avastin 400 mg/16 ml injection vial</w:t>
      </w:r>
    </w:p>
    <w:p w14:paraId="74D2637F" w14:textId="77777777" w:rsidR="00FE44AE" w:rsidRDefault="00FE44AE" w:rsidP="00FE44AE">
      <w:pPr>
        <w:spacing w:before="0" w:after="0"/>
        <w:ind w:left="284"/>
        <w:rPr>
          <w:szCs w:val="20"/>
        </w:rPr>
      </w:pPr>
      <w:r>
        <w:rPr>
          <w:szCs w:val="20"/>
        </w:rPr>
        <w:t>ARTG: 99755 Avastin 100 mg/4 ml injection vial</w:t>
      </w:r>
    </w:p>
    <w:p w14:paraId="46400808" w14:textId="77777777" w:rsidR="00FE44AE" w:rsidRDefault="00FE44AE" w:rsidP="00FE44AE">
      <w:pPr>
        <w:spacing w:before="0" w:after="0"/>
        <w:ind w:left="284"/>
        <w:rPr>
          <w:szCs w:val="20"/>
        </w:rPr>
      </w:pPr>
    </w:p>
    <w:p w14:paraId="2180EF5A" w14:textId="08487ECA" w:rsidR="00FE44AE" w:rsidRDefault="00FE44AE" w:rsidP="00FE44AE">
      <w:pPr>
        <w:spacing w:before="0" w:after="0"/>
        <w:ind w:left="284"/>
        <w:rPr>
          <w:szCs w:val="20"/>
        </w:rPr>
      </w:pPr>
      <w:r>
        <w:rPr>
          <w:szCs w:val="20"/>
        </w:rPr>
        <w:t xml:space="preserve">The TGA approved indication </w:t>
      </w:r>
      <w:r w:rsidR="002921CC">
        <w:rPr>
          <w:szCs w:val="20"/>
        </w:rPr>
        <w:t>for</w:t>
      </w:r>
      <w:r w:rsidR="003C1A44">
        <w:rPr>
          <w:szCs w:val="20"/>
        </w:rPr>
        <w:t xml:space="preserve"> bevacizumab </w:t>
      </w:r>
      <w:r w:rsidR="002921CC">
        <w:rPr>
          <w:szCs w:val="20"/>
        </w:rPr>
        <w:t xml:space="preserve">applicable to this application are </w:t>
      </w:r>
      <w:r>
        <w:rPr>
          <w:szCs w:val="20"/>
        </w:rPr>
        <w:t>as follows:</w:t>
      </w:r>
    </w:p>
    <w:p w14:paraId="4D79F283" w14:textId="77777777" w:rsidR="00B71C66" w:rsidRDefault="00B71C66" w:rsidP="00FE44AE">
      <w:pPr>
        <w:spacing w:before="0" w:after="0"/>
        <w:ind w:left="284"/>
        <w:rPr>
          <w:szCs w:val="20"/>
        </w:rPr>
      </w:pPr>
    </w:p>
    <w:p w14:paraId="6A6B1E5E" w14:textId="77777777" w:rsidR="00FE44AE" w:rsidRDefault="00FE44AE" w:rsidP="00FE44AE">
      <w:pPr>
        <w:spacing w:before="0" w:after="0"/>
        <w:ind w:left="284"/>
        <w:rPr>
          <w:b/>
          <w:bCs/>
        </w:rPr>
      </w:pPr>
      <w:r w:rsidRPr="00FE44AE">
        <w:rPr>
          <w:b/>
          <w:bCs/>
        </w:rPr>
        <w:t xml:space="preserve">Epithelial Ovarian, Fallopian Tube or Primary Peritoneal Cancer </w:t>
      </w:r>
    </w:p>
    <w:p w14:paraId="2A78F1B6" w14:textId="77777777" w:rsidR="00FE44AE" w:rsidRDefault="00FE44AE" w:rsidP="00FE44AE">
      <w:pPr>
        <w:spacing w:before="0" w:after="0"/>
        <w:ind w:left="284"/>
      </w:pPr>
      <w:r w:rsidRPr="00FE44AE">
        <w:t xml:space="preserve">Avastin </w:t>
      </w:r>
      <w:r>
        <w:t xml:space="preserve">(bevacizumab) in combination with carboplatin and paclitaxel, is indicated for first-line treatment of patients with advanced (FIGO stages IIIB, IIIC and IV) epithelial ovarian, fallopian tube, or primary peritoneal cancer. </w:t>
      </w:r>
    </w:p>
    <w:p w14:paraId="7CDDACBA" w14:textId="77777777" w:rsidR="00FE44AE" w:rsidRDefault="00FE44AE" w:rsidP="00FE44AE">
      <w:pPr>
        <w:spacing w:before="0" w:after="0"/>
        <w:ind w:left="284"/>
      </w:pPr>
      <w:r w:rsidRPr="00FE44AE">
        <w:rPr>
          <w:b/>
          <w:bCs/>
        </w:rPr>
        <w:t>Recurrent Epithelial Ovarian, Fallopian Tube or Primary Peritoneal Cancer</w:t>
      </w:r>
      <w:r>
        <w:t xml:space="preserve"> </w:t>
      </w:r>
    </w:p>
    <w:p w14:paraId="5F386510" w14:textId="77777777" w:rsidR="00FE44AE" w:rsidRDefault="00FE44AE" w:rsidP="00FE44AE">
      <w:pPr>
        <w:spacing w:before="0" w:after="0"/>
        <w:ind w:left="284"/>
      </w:pPr>
      <w:r>
        <w:t xml:space="preserve">Avastin (bevacizumab), in combination with carboplatin and paclitaxel or in combination with carboplatin and gemcitabine, is indicated for the treatment of patients with first recurrence of platinum-sensitive, epithelial ovarian, fallopian tube, or primary peritoneal cancer who have not received prior bevacizumab or other VEGF-targeted angiogenesis inhibitors. </w:t>
      </w:r>
    </w:p>
    <w:p w14:paraId="1189FCA5" w14:textId="77777777" w:rsidR="00FE44AE" w:rsidRDefault="00FE44AE" w:rsidP="00FE44AE">
      <w:pPr>
        <w:spacing w:before="0" w:after="0"/>
        <w:ind w:left="284"/>
      </w:pPr>
    </w:p>
    <w:p w14:paraId="75ADF3A5" w14:textId="77777777" w:rsidR="00FE44AE" w:rsidRDefault="00FE44AE" w:rsidP="00FE44AE">
      <w:pPr>
        <w:spacing w:before="0" w:after="0"/>
        <w:ind w:left="284"/>
        <w:rPr>
          <w:szCs w:val="20"/>
        </w:rPr>
      </w:pPr>
      <w:r>
        <w:t>Avastin (bevacizumab) in combination with paclitaxel, topotecan or pegylated liposomal doxorubicin is indicated for the treatment of patients with recurrent, platinum-resistant epithelial ovarian, fallopian tube, or primary peritoneal cancer who have received no more than two prior chemotherapy regimens, and have not received any prior anti-angiogenic therapy including bevacizumab.</w:t>
      </w:r>
    </w:p>
    <w:p w14:paraId="2F364B78" w14:textId="77777777" w:rsidR="00FE44AE" w:rsidRDefault="00FE44AE" w:rsidP="00AF6ED8">
      <w:pPr>
        <w:spacing w:before="0" w:after="0"/>
      </w:pPr>
    </w:p>
    <w:p w14:paraId="3EA6761F"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130E686B" w14:textId="77777777" w:rsidR="0047581D" w:rsidRDefault="003C6739"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47581D">
        <w:rPr>
          <w:szCs w:val="20"/>
        </w:rPr>
        <w:t xml:space="preserve"> Yes (please provide details below)</w:t>
      </w:r>
    </w:p>
    <w:p w14:paraId="2AC88C97" w14:textId="06ECE1AB"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No</w:t>
      </w:r>
    </w:p>
    <w:p w14:paraId="489A06B5" w14:textId="77777777" w:rsidR="00260BDF" w:rsidRDefault="00260BDF" w:rsidP="0047581D">
      <w:pPr>
        <w:spacing w:before="0" w:after="0"/>
        <w:ind w:left="284"/>
        <w:rPr>
          <w:szCs w:val="20"/>
        </w:rPr>
      </w:pPr>
    </w:p>
    <w:p w14:paraId="6AC64DC7" w14:textId="49A00A8C" w:rsidR="0047581D" w:rsidRPr="00AB0F81" w:rsidRDefault="00260BDF" w:rsidP="00C61D27">
      <w:pPr>
        <w:spacing w:before="0" w:after="0"/>
        <w:ind w:left="284"/>
        <w:rPr>
          <w:bCs/>
          <w:szCs w:val="20"/>
        </w:rPr>
      </w:pPr>
      <w:r w:rsidRPr="00AB0F81">
        <w:rPr>
          <w:bCs/>
          <w:szCs w:val="20"/>
        </w:rPr>
        <w:t xml:space="preserve">The TGA </w:t>
      </w:r>
      <w:r w:rsidR="004B5CD1" w:rsidRPr="00AB0F81">
        <w:rPr>
          <w:bCs/>
          <w:szCs w:val="20"/>
        </w:rPr>
        <w:t xml:space="preserve">approved </w:t>
      </w:r>
      <w:r w:rsidRPr="00AB0F81">
        <w:rPr>
          <w:bCs/>
          <w:szCs w:val="20"/>
        </w:rPr>
        <w:t xml:space="preserve">indication applicable to this application is </w:t>
      </w:r>
      <w:r w:rsidR="004B5CD1" w:rsidRPr="00AB0F81">
        <w:rPr>
          <w:bCs/>
          <w:szCs w:val="20"/>
        </w:rPr>
        <w:t xml:space="preserve">as follows: </w:t>
      </w:r>
    </w:p>
    <w:p w14:paraId="09A94C4D" w14:textId="77777777" w:rsidR="004B5CD1" w:rsidRPr="00AB0F81" w:rsidRDefault="004B5CD1" w:rsidP="00C61D27">
      <w:pPr>
        <w:ind w:left="284"/>
        <w:jc w:val="both"/>
      </w:pPr>
      <w:r w:rsidRPr="00AB0F81">
        <w:t xml:space="preserve">LYNPARZA in combination with bevacizumab is indicated for the maintenance treatment of adult patients with advanced epithelial ovarian, fallopian tube or primary peritoneal cancer who are in complete or partial response to first-line platinum-based chemotherapy and whose cancer is associated with homologous recombination deficiency (HRD)-positive status defined by either: </w:t>
      </w:r>
    </w:p>
    <w:p w14:paraId="3EE0D7E0" w14:textId="77777777" w:rsidR="004B5CD1" w:rsidRPr="00AB0F81" w:rsidRDefault="004B5CD1" w:rsidP="00C61D27">
      <w:pPr>
        <w:ind w:left="284"/>
        <w:jc w:val="both"/>
      </w:pPr>
      <w:r w:rsidRPr="00AB0F81">
        <w:t>- a deleterious or suspected deleterious BRCA mutation (germline or somatic), and/or</w:t>
      </w:r>
    </w:p>
    <w:p w14:paraId="52C6852A" w14:textId="77777777" w:rsidR="004B5CD1" w:rsidRPr="00AB0F81" w:rsidRDefault="004B5CD1" w:rsidP="00C61D27">
      <w:pPr>
        <w:ind w:left="284"/>
        <w:jc w:val="both"/>
      </w:pPr>
      <w:r w:rsidRPr="00AB0F81">
        <w:t xml:space="preserve"> - genomic instability HRD status should be determined by an experienced laboratory using a validated test method.</w:t>
      </w:r>
    </w:p>
    <w:p w14:paraId="17E4F070" w14:textId="23707F00" w:rsidR="00260BDF" w:rsidRPr="00AB0F81" w:rsidRDefault="000C6B1B" w:rsidP="00C61D27">
      <w:pPr>
        <w:spacing w:before="0" w:after="0"/>
        <w:ind w:left="284"/>
        <w:rPr>
          <w:bCs/>
          <w:szCs w:val="20"/>
        </w:rPr>
      </w:pPr>
      <w:r w:rsidRPr="00AB0F81">
        <w:rPr>
          <w:bCs/>
          <w:szCs w:val="20"/>
        </w:rPr>
        <w:t>T</w:t>
      </w:r>
      <w:r w:rsidR="00CD78D8" w:rsidRPr="00AB0F81">
        <w:rPr>
          <w:bCs/>
          <w:szCs w:val="20"/>
        </w:rPr>
        <w:t xml:space="preserve">he TGA has </w:t>
      </w:r>
      <w:r w:rsidRPr="00AB0F81">
        <w:rPr>
          <w:bCs/>
          <w:szCs w:val="20"/>
        </w:rPr>
        <w:t xml:space="preserve">specified that HRD status to be determined by a validated test without referencing a threshold to determine positivity. HRD thresholds are specific to a test and therefore has not been proposed in the MBS descriptor,  PBS listing or restrictions. This is to enable other validated locally performed HRD assays (BRCA and GIS) to be utilised and funded on the MBS. </w:t>
      </w:r>
    </w:p>
    <w:p w14:paraId="67C76BE9" w14:textId="77777777" w:rsidR="000C6B1B" w:rsidRPr="00260BDF" w:rsidRDefault="000C6B1B" w:rsidP="00C61D27">
      <w:pPr>
        <w:spacing w:before="0" w:after="0"/>
        <w:ind w:left="284"/>
        <w:rPr>
          <w:bCs/>
          <w:szCs w:val="20"/>
        </w:rPr>
      </w:pPr>
    </w:p>
    <w:p w14:paraId="51E50126" w14:textId="48E10F1E" w:rsidR="0047581D" w:rsidRPr="00AB0F81" w:rsidRDefault="000D1E44" w:rsidP="00C61D27">
      <w:pPr>
        <w:spacing w:before="0" w:after="0"/>
        <w:ind w:left="284"/>
        <w:rPr>
          <w:b/>
          <w:bCs/>
          <w:szCs w:val="20"/>
        </w:rPr>
      </w:pPr>
      <w:r w:rsidRPr="000D1E44">
        <w:rPr>
          <w:rFonts w:ascii="Calibri" w:hAnsi="Calibri"/>
          <w:b/>
          <w:bCs/>
          <w:sz w:val="22"/>
          <w:szCs w:val="20"/>
        </w:rPr>
        <w:t>REDACTED</w:t>
      </w:r>
    </w:p>
    <w:p w14:paraId="1E514BCD" w14:textId="77777777" w:rsidR="00260BDF" w:rsidRDefault="00260BDF" w:rsidP="0047581D">
      <w:pPr>
        <w:spacing w:before="0" w:after="0"/>
        <w:rPr>
          <w:szCs w:val="20"/>
        </w:rPr>
      </w:pPr>
    </w:p>
    <w:p w14:paraId="6DA2B6B8" w14:textId="7A5FF1A8" w:rsidR="00C0796F"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4DC6A4BB" w14:textId="5292A5F2" w:rsidR="00E0087E" w:rsidRPr="00E0087E" w:rsidRDefault="00E0087E" w:rsidP="00C61D27">
      <w:pPr>
        <w:ind w:firstLine="360"/>
      </w:pPr>
      <w:r>
        <w:t>Not applicable</w:t>
      </w:r>
    </w:p>
    <w:p w14:paraId="4213C402" w14:textId="77777777" w:rsidR="00DD308E" w:rsidRDefault="00DD308E">
      <w:pPr>
        <w:rPr>
          <w:b/>
          <w:sz w:val="32"/>
          <w:szCs w:val="32"/>
        </w:rPr>
        <w:sectPr w:rsidR="00DD308E" w:rsidSect="00991EE4">
          <w:footerReference w:type="default" r:id="rId14"/>
          <w:pgSz w:w="11906" w:h="16838"/>
          <w:pgMar w:top="1440" w:right="1440" w:bottom="1440" w:left="1440" w:header="708" w:footer="708" w:gutter="0"/>
          <w:pgNumType w:start="0"/>
          <w:cols w:space="708"/>
          <w:titlePg/>
          <w:docGrid w:linePitch="360"/>
        </w:sectPr>
      </w:pPr>
    </w:p>
    <w:p w14:paraId="0B5365A9" w14:textId="77777777" w:rsidR="00DD308E" w:rsidRPr="00C776B1" w:rsidRDefault="00B17CBE" w:rsidP="0056015F">
      <w:pPr>
        <w:pStyle w:val="Heading1"/>
      </w:pPr>
      <w:r>
        <w:t>PART 4</w:t>
      </w:r>
      <w:r w:rsidR="00DD308E">
        <w:t xml:space="preserve"> – SUMMARY</w:t>
      </w:r>
      <w:r w:rsidR="00DD308E" w:rsidRPr="00C776B1">
        <w:t xml:space="preserve"> OF EVIDENCE</w:t>
      </w:r>
    </w:p>
    <w:p w14:paraId="196FAB36" w14:textId="77777777" w:rsidR="00DD308E" w:rsidRPr="00832B31" w:rsidRDefault="00DD308E" w:rsidP="005C3AE7">
      <w:pPr>
        <w:pStyle w:val="Heading2"/>
        <w:rPr>
          <w:i/>
        </w:rPr>
      </w:pPr>
      <w:r w:rsidRPr="00200620">
        <w:t>Provide an overview of</w:t>
      </w:r>
      <w:r w:rsidRPr="00F222BE">
        <w:t xml:space="preserve">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422"/>
        <w:gridCol w:w="1702"/>
        <w:gridCol w:w="3088"/>
        <w:gridCol w:w="4848"/>
        <w:gridCol w:w="2552"/>
        <w:gridCol w:w="1336"/>
      </w:tblGrid>
      <w:tr w:rsidR="00DD308E" w14:paraId="5F8BBF79" w14:textId="77777777" w:rsidTr="00C61D27">
        <w:trPr>
          <w:cantSplit/>
          <w:tblHeader/>
        </w:trPr>
        <w:tc>
          <w:tcPr>
            <w:tcW w:w="151" w:type="pct"/>
          </w:tcPr>
          <w:p w14:paraId="6C07ED8A" w14:textId="77777777" w:rsidR="00DD308E" w:rsidRDefault="00DD308E" w:rsidP="00855944">
            <w:pPr>
              <w:pStyle w:val="TableHEADER"/>
            </w:pPr>
          </w:p>
        </w:tc>
        <w:tc>
          <w:tcPr>
            <w:tcW w:w="610" w:type="pct"/>
          </w:tcPr>
          <w:p w14:paraId="0730A672" w14:textId="17582464" w:rsidR="00DD308E" w:rsidRDefault="00DD308E" w:rsidP="00855944">
            <w:pPr>
              <w:pStyle w:val="TableHEADER"/>
            </w:pPr>
            <w:r>
              <w:t>Type of study design</w:t>
            </w:r>
          </w:p>
        </w:tc>
        <w:tc>
          <w:tcPr>
            <w:tcW w:w="1107" w:type="pct"/>
          </w:tcPr>
          <w:p w14:paraId="706E18AF" w14:textId="44A3EFF9" w:rsidR="00DD308E" w:rsidRDefault="00DD308E" w:rsidP="00855944">
            <w:pPr>
              <w:pStyle w:val="TableHEADER"/>
            </w:pPr>
            <w:r>
              <w:t xml:space="preserve">Title of journal article or research project </w:t>
            </w:r>
          </w:p>
        </w:tc>
        <w:tc>
          <w:tcPr>
            <w:tcW w:w="1738" w:type="pct"/>
          </w:tcPr>
          <w:p w14:paraId="4AB5F765" w14:textId="5494B524" w:rsidR="00DD308E" w:rsidRDefault="00DD308E" w:rsidP="00855944">
            <w:pPr>
              <w:pStyle w:val="TableHEADER"/>
            </w:pPr>
            <w:r>
              <w:t>Short description of research</w:t>
            </w:r>
          </w:p>
        </w:tc>
        <w:tc>
          <w:tcPr>
            <w:tcW w:w="915" w:type="pct"/>
          </w:tcPr>
          <w:p w14:paraId="41E0C76A" w14:textId="67A07B6A" w:rsidR="00DD308E" w:rsidRDefault="00DD308E" w:rsidP="00855944">
            <w:pPr>
              <w:pStyle w:val="TableHEADER"/>
            </w:pPr>
            <w:r w:rsidRPr="00E82F54">
              <w:t xml:space="preserve">Website link to </w:t>
            </w:r>
            <w:r>
              <w:t>journal article or research</w:t>
            </w:r>
          </w:p>
        </w:tc>
        <w:tc>
          <w:tcPr>
            <w:tcW w:w="479" w:type="pct"/>
          </w:tcPr>
          <w:p w14:paraId="674F12A9" w14:textId="12AB8247" w:rsidR="00DD308E" w:rsidRDefault="00DD308E" w:rsidP="00855944">
            <w:pPr>
              <w:pStyle w:val="TableHEADER"/>
            </w:pPr>
            <w:r w:rsidRPr="00E82F54">
              <w:t>Date</w:t>
            </w:r>
            <w:r>
              <w:t xml:space="preserve"> of publication</w:t>
            </w:r>
          </w:p>
        </w:tc>
      </w:tr>
      <w:tr w:rsidR="00DD308E" w14:paraId="48AE06DE" w14:textId="77777777" w:rsidTr="00C61D27">
        <w:trPr>
          <w:cantSplit/>
        </w:trPr>
        <w:tc>
          <w:tcPr>
            <w:tcW w:w="151" w:type="pct"/>
          </w:tcPr>
          <w:p w14:paraId="0F3D7C3F" w14:textId="77777777" w:rsidR="00DD308E" w:rsidRPr="00965B6B" w:rsidRDefault="00DD308E" w:rsidP="00DD308E">
            <w:pPr>
              <w:rPr>
                <w:szCs w:val="20"/>
              </w:rPr>
            </w:pPr>
            <w:r w:rsidRPr="00965B6B">
              <w:rPr>
                <w:szCs w:val="20"/>
              </w:rPr>
              <w:t>1</w:t>
            </w:r>
            <w:r>
              <w:rPr>
                <w:szCs w:val="20"/>
              </w:rPr>
              <w:t>.</w:t>
            </w:r>
          </w:p>
        </w:tc>
        <w:tc>
          <w:tcPr>
            <w:tcW w:w="610" w:type="pct"/>
          </w:tcPr>
          <w:p w14:paraId="44D436F5" w14:textId="2E8EEA42" w:rsidR="00DD308E" w:rsidRPr="000279D8" w:rsidRDefault="000279D8" w:rsidP="00DD308E">
            <w:pPr>
              <w:rPr>
                <w:bCs/>
                <w:sz w:val="18"/>
                <w:szCs w:val="18"/>
              </w:rPr>
            </w:pPr>
            <w:r w:rsidRPr="000279D8">
              <w:rPr>
                <w:bCs/>
                <w:sz w:val="18"/>
                <w:szCs w:val="18"/>
              </w:rPr>
              <w:t>Comparative diagnostic study based on randomised phase 3, double-blind, placebo-controlled trial</w:t>
            </w:r>
          </w:p>
        </w:tc>
        <w:tc>
          <w:tcPr>
            <w:tcW w:w="1107" w:type="pct"/>
          </w:tcPr>
          <w:p w14:paraId="1C4D2614" w14:textId="54BBB4E7" w:rsidR="00DD308E" w:rsidRPr="004A7694" w:rsidRDefault="000279D8" w:rsidP="004A7694">
            <w:pPr>
              <w:spacing w:before="0" w:after="0"/>
              <w:rPr>
                <w:rFonts w:ascii="Calibri" w:hAnsi="Calibri" w:cs="Calibri"/>
                <w:color w:val="000000"/>
                <w:sz w:val="18"/>
                <w:szCs w:val="18"/>
              </w:rPr>
            </w:pPr>
            <w:r w:rsidRPr="000279D8">
              <w:rPr>
                <w:rFonts w:ascii="Calibri" w:hAnsi="Calibri" w:cs="Calibri"/>
                <w:color w:val="000000"/>
                <w:sz w:val="18"/>
                <w:szCs w:val="18"/>
              </w:rPr>
              <w:t>PAOLA-1: An ENGOT/GCIG phase III trial of olaparib versus placebo combined with bevacizumab as maintenance treatment in patients with advanced ovarian cancer following first-line platinum-based chemotherapy plus bevacizumab</w:t>
            </w:r>
            <w:r w:rsidR="004A7694">
              <w:rPr>
                <w:rFonts w:ascii="Calibri" w:hAnsi="Calibri" w:cs="Calibri"/>
                <w:color w:val="000000"/>
                <w:sz w:val="18"/>
                <w:szCs w:val="18"/>
              </w:rPr>
              <w:t>.</w:t>
            </w:r>
          </w:p>
        </w:tc>
        <w:tc>
          <w:tcPr>
            <w:tcW w:w="1738" w:type="pct"/>
          </w:tcPr>
          <w:p w14:paraId="0E812CEF" w14:textId="77777777" w:rsidR="00DD308E" w:rsidRDefault="00BC5B61" w:rsidP="00C61D27">
            <w:pPr>
              <w:spacing w:before="60" w:after="60"/>
              <w:rPr>
                <w:bCs/>
                <w:sz w:val="18"/>
                <w:szCs w:val="18"/>
              </w:rPr>
            </w:pPr>
            <w:r>
              <w:rPr>
                <w:bCs/>
                <w:sz w:val="18"/>
                <w:szCs w:val="18"/>
              </w:rPr>
              <w:t xml:space="preserve">Comparative </w:t>
            </w:r>
            <w:r w:rsidR="000279D8" w:rsidRPr="000279D8">
              <w:rPr>
                <w:bCs/>
                <w:sz w:val="18"/>
                <w:szCs w:val="18"/>
              </w:rPr>
              <w:t xml:space="preserve">efficacy and safety of a PARP inhibitor with bevacizumab as first-line maintenance therapy in patients regardless of </w:t>
            </w:r>
            <w:proofErr w:type="spellStart"/>
            <w:r w:rsidR="000279D8" w:rsidRPr="000279D8">
              <w:rPr>
                <w:bCs/>
                <w:sz w:val="18"/>
                <w:szCs w:val="18"/>
              </w:rPr>
              <w:t>BRCAm</w:t>
            </w:r>
            <w:proofErr w:type="spellEnd"/>
            <w:r w:rsidR="000279D8" w:rsidRPr="000279D8">
              <w:rPr>
                <w:bCs/>
                <w:sz w:val="18"/>
                <w:szCs w:val="18"/>
              </w:rPr>
              <w:t xml:space="preserve"> statu</w:t>
            </w:r>
            <w:r>
              <w:rPr>
                <w:bCs/>
                <w:sz w:val="18"/>
                <w:szCs w:val="18"/>
              </w:rPr>
              <w:t xml:space="preserve">s. </w:t>
            </w:r>
            <w:proofErr w:type="spellStart"/>
            <w:r>
              <w:rPr>
                <w:bCs/>
                <w:sz w:val="18"/>
                <w:szCs w:val="18"/>
              </w:rPr>
              <w:t>BRCAm</w:t>
            </w:r>
            <w:proofErr w:type="spellEnd"/>
            <w:r>
              <w:rPr>
                <w:bCs/>
                <w:sz w:val="18"/>
                <w:szCs w:val="18"/>
              </w:rPr>
              <w:t xml:space="preserve"> tested using Myriad </w:t>
            </w:r>
            <w:proofErr w:type="spellStart"/>
            <w:r>
              <w:rPr>
                <w:bCs/>
                <w:sz w:val="18"/>
                <w:szCs w:val="18"/>
              </w:rPr>
              <w:t>myChoice®HRD</w:t>
            </w:r>
            <w:proofErr w:type="spellEnd"/>
            <w:r>
              <w:rPr>
                <w:bCs/>
                <w:sz w:val="18"/>
                <w:szCs w:val="18"/>
              </w:rPr>
              <w:t xml:space="preserve"> Plus assay which includes BRCA testing. Presence of tumour </w:t>
            </w:r>
            <w:proofErr w:type="spellStart"/>
            <w:r>
              <w:rPr>
                <w:bCs/>
                <w:sz w:val="18"/>
                <w:szCs w:val="18"/>
              </w:rPr>
              <w:t>BRCAm</w:t>
            </w:r>
            <w:proofErr w:type="spellEnd"/>
            <w:r>
              <w:rPr>
                <w:bCs/>
                <w:sz w:val="18"/>
                <w:szCs w:val="18"/>
              </w:rPr>
              <w:t xml:space="preserve"> or a </w:t>
            </w:r>
            <w:proofErr w:type="spellStart"/>
            <w:r>
              <w:rPr>
                <w:bCs/>
                <w:sz w:val="18"/>
                <w:szCs w:val="18"/>
              </w:rPr>
              <w:t>myChoice®HRD</w:t>
            </w:r>
            <w:proofErr w:type="spellEnd"/>
            <w:r>
              <w:rPr>
                <w:bCs/>
                <w:sz w:val="18"/>
                <w:szCs w:val="18"/>
              </w:rPr>
              <w:t xml:space="preserve"> Plus test score of </w:t>
            </w:r>
            <w:r>
              <w:rPr>
                <w:rFonts w:cstheme="minorHAnsi"/>
                <w:bCs/>
                <w:sz w:val="18"/>
                <w:szCs w:val="18"/>
              </w:rPr>
              <w:t>≥</w:t>
            </w:r>
            <w:r>
              <w:rPr>
                <w:bCs/>
                <w:sz w:val="18"/>
                <w:szCs w:val="18"/>
              </w:rPr>
              <w:t xml:space="preserve">42 classified a patient as HRD positive. </w:t>
            </w:r>
          </w:p>
          <w:p w14:paraId="56BA9545" w14:textId="23AF2B57" w:rsidR="00563E09" w:rsidRPr="000279D8" w:rsidRDefault="00563E09" w:rsidP="00C61D27">
            <w:pPr>
              <w:spacing w:before="60" w:after="60"/>
              <w:rPr>
                <w:bCs/>
                <w:sz w:val="18"/>
                <w:szCs w:val="18"/>
              </w:rPr>
            </w:pPr>
            <w:r>
              <w:rPr>
                <w:bCs/>
                <w:sz w:val="18"/>
                <w:szCs w:val="18"/>
              </w:rPr>
              <w:t>Tumour BRCA status required prior to randomisation. From the total population of 806, 387 (48%) were HRD+ (</w:t>
            </w:r>
            <w:proofErr w:type="spellStart"/>
            <w:r>
              <w:rPr>
                <w:bCs/>
                <w:sz w:val="18"/>
                <w:szCs w:val="18"/>
              </w:rPr>
              <w:t>ie</w:t>
            </w:r>
            <w:proofErr w:type="spellEnd"/>
            <w:r>
              <w:rPr>
                <w:bCs/>
                <w:sz w:val="18"/>
                <w:szCs w:val="18"/>
              </w:rPr>
              <w:t xml:space="preserve"> tumour BRCA or HRD test score &gt; 42) of which  152 </w:t>
            </w:r>
            <w:proofErr w:type="spellStart"/>
            <w:r>
              <w:rPr>
                <w:bCs/>
                <w:sz w:val="18"/>
                <w:szCs w:val="18"/>
              </w:rPr>
              <w:t>HRD+non-tumour</w:t>
            </w:r>
            <w:proofErr w:type="spellEnd"/>
            <w:r>
              <w:rPr>
                <w:bCs/>
                <w:sz w:val="18"/>
                <w:szCs w:val="18"/>
              </w:rPr>
              <w:t xml:space="preserve"> BRCA and 235 (19%) tumour BRCA.</w:t>
            </w:r>
          </w:p>
        </w:tc>
        <w:tc>
          <w:tcPr>
            <w:tcW w:w="915" w:type="pct"/>
          </w:tcPr>
          <w:p w14:paraId="73DAF23C" w14:textId="77777777" w:rsidR="00563E09" w:rsidRPr="00C61D27" w:rsidRDefault="00563E09" w:rsidP="00DD308E">
            <w:pPr>
              <w:rPr>
                <w:sz w:val="18"/>
                <w:szCs w:val="18"/>
              </w:rPr>
            </w:pPr>
            <w:r w:rsidRPr="00C61D27">
              <w:rPr>
                <w:sz w:val="18"/>
                <w:szCs w:val="18"/>
              </w:rPr>
              <w:t>Initial publication</w:t>
            </w:r>
          </w:p>
          <w:p w14:paraId="260C66B1" w14:textId="440154BA" w:rsidR="00DD308E" w:rsidRPr="00C61D27" w:rsidRDefault="00C61D27" w:rsidP="00DD308E">
            <w:pPr>
              <w:rPr>
                <w:sz w:val="18"/>
                <w:szCs w:val="18"/>
              </w:rPr>
            </w:pPr>
            <w:hyperlink r:id="rId15" w:history="1">
              <w:r w:rsidR="00563E09" w:rsidRPr="00C61D27">
                <w:rPr>
                  <w:rStyle w:val="Hyperlink"/>
                  <w:sz w:val="18"/>
                  <w:szCs w:val="18"/>
                </w:rPr>
                <w:t>https://www.nejm.org/doi/full/10.1056/fklfdlsxdlnejmoa1911361</w:t>
              </w:r>
            </w:hyperlink>
          </w:p>
          <w:p w14:paraId="4EFD6742" w14:textId="1FEEC51B" w:rsidR="00563E09" w:rsidRPr="00C61D27" w:rsidRDefault="00563E09" w:rsidP="00DD308E">
            <w:pPr>
              <w:rPr>
                <w:b/>
                <w:sz w:val="18"/>
                <w:szCs w:val="18"/>
              </w:rPr>
            </w:pPr>
          </w:p>
        </w:tc>
        <w:tc>
          <w:tcPr>
            <w:tcW w:w="479" w:type="pct"/>
          </w:tcPr>
          <w:p w14:paraId="6A6F3E18" w14:textId="0125EE0B" w:rsidR="00DD308E" w:rsidRPr="004A7694" w:rsidRDefault="004A7694" w:rsidP="00DD308E">
            <w:pPr>
              <w:rPr>
                <w:bCs/>
                <w:sz w:val="18"/>
                <w:szCs w:val="18"/>
              </w:rPr>
            </w:pPr>
            <w:r w:rsidRPr="004A7694">
              <w:rPr>
                <w:bCs/>
                <w:sz w:val="18"/>
                <w:szCs w:val="18"/>
              </w:rPr>
              <w:t>December 2019</w:t>
            </w:r>
          </w:p>
        </w:tc>
      </w:tr>
      <w:tr w:rsidR="00DD308E" w14:paraId="2F1BB673" w14:textId="77777777" w:rsidTr="00C61D27">
        <w:trPr>
          <w:cantSplit/>
        </w:trPr>
        <w:tc>
          <w:tcPr>
            <w:tcW w:w="151" w:type="pct"/>
          </w:tcPr>
          <w:p w14:paraId="574A5EEB" w14:textId="77777777" w:rsidR="00DD308E" w:rsidRPr="00965B6B" w:rsidRDefault="00DD308E" w:rsidP="00DD308E">
            <w:pPr>
              <w:rPr>
                <w:szCs w:val="20"/>
              </w:rPr>
            </w:pPr>
            <w:r>
              <w:rPr>
                <w:szCs w:val="20"/>
              </w:rPr>
              <w:t>2.</w:t>
            </w:r>
          </w:p>
        </w:tc>
        <w:tc>
          <w:tcPr>
            <w:tcW w:w="610" w:type="pct"/>
          </w:tcPr>
          <w:p w14:paraId="5B284944" w14:textId="0DA6A041" w:rsidR="00D97CE3" w:rsidRDefault="00D97CE3" w:rsidP="00DD308E">
            <w:pPr>
              <w:rPr>
                <w:b/>
                <w:szCs w:val="20"/>
              </w:rPr>
            </w:pPr>
            <w:r w:rsidRPr="000279D8">
              <w:rPr>
                <w:bCs/>
                <w:sz w:val="18"/>
                <w:szCs w:val="18"/>
              </w:rPr>
              <w:t>Comparative diagnostic study based on randomised phase 3, double-blind, placebo-controlled trial</w:t>
            </w:r>
          </w:p>
        </w:tc>
        <w:tc>
          <w:tcPr>
            <w:tcW w:w="1107" w:type="pct"/>
          </w:tcPr>
          <w:p w14:paraId="338FA51F" w14:textId="51A13B98" w:rsidR="00DD308E" w:rsidRPr="00E97CA9" w:rsidRDefault="00E97CA9" w:rsidP="00E97CA9">
            <w:pPr>
              <w:spacing w:before="0" w:after="0"/>
              <w:rPr>
                <w:rFonts w:ascii="Calibri" w:hAnsi="Calibri" w:cs="Calibri"/>
                <w:color w:val="000000"/>
                <w:sz w:val="18"/>
                <w:szCs w:val="18"/>
              </w:rPr>
            </w:pPr>
            <w:r w:rsidRPr="00E97CA9">
              <w:rPr>
                <w:rFonts w:ascii="Calibri" w:hAnsi="Calibri" w:cs="Calibri"/>
                <w:color w:val="000000"/>
                <w:sz w:val="18"/>
                <w:szCs w:val="18"/>
              </w:rPr>
              <w:t>Homologous recombination deficiency (HRD) score and niraparib efficacy in high grade ovarian cancer</w:t>
            </w:r>
          </w:p>
        </w:tc>
        <w:tc>
          <w:tcPr>
            <w:tcW w:w="1738" w:type="pct"/>
          </w:tcPr>
          <w:p w14:paraId="0FDD6C02" w14:textId="5E98597E" w:rsidR="00DD308E" w:rsidRDefault="00E97CA9" w:rsidP="00C61D27">
            <w:pPr>
              <w:spacing w:before="60" w:after="60"/>
              <w:rPr>
                <w:rFonts w:cstheme="minorHAnsi"/>
              </w:rPr>
            </w:pPr>
            <w:r w:rsidRPr="001A0015">
              <w:rPr>
                <w:rFonts w:ascii="Calibri" w:hAnsi="Calibri" w:cs="Calibri"/>
                <w:color w:val="000000"/>
                <w:sz w:val="18"/>
                <w:szCs w:val="18"/>
              </w:rPr>
              <w:t xml:space="preserve">The therapeutic potential of PARP inhibitors is predicted to extend beyond </w:t>
            </w:r>
            <w:r w:rsidRPr="00600BCD">
              <w:rPr>
                <w:rFonts w:ascii="Calibri" w:hAnsi="Calibri"/>
                <w:color w:val="000000"/>
                <w:sz w:val="18"/>
              </w:rPr>
              <w:t>BRCA mutant</w:t>
            </w:r>
            <w:r w:rsidRPr="001A0015">
              <w:rPr>
                <w:rFonts w:ascii="Calibri" w:hAnsi="Calibri" w:cs="Calibri"/>
                <w:color w:val="000000"/>
                <w:sz w:val="18"/>
                <w:szCs w:val="18"/>
              </w:rPr>
              <w:t xml:space="preserve"> (BRCA(mut) ) phenotypes to homologous recombination deficient (HRD) cancers. Niraparib treated patient-derived tumo</w:t>
            </w:r>
            <w:r w:rsidR="00BA3755">
              <w:rPr>
                <w:rFonts w:ascii="Calibri" w:hAnsi="Calibri" w:cs="Calibri"/>
                <w:color w:val="000000"/>
                <w:sz w:val="18"/>
                <w:szCs w:val="18"/>
              </w:rPr>
              <w:t>u</w:t>
            </w:r>
            <w:r w:rsidRPr="001A0015">
              <w:rPr>
                <w:rFonts w:ascii="Calibri" w:hAnsi="Calibri" w:cs="Calibri"/>
                <w:color w:val="000000"/>
                <w:sz w:val="18"/>
                <w:szCs w:val="18"/>
              </w:rPr>
              <w:t>r</w:t>
            </w:r>
            <w:r w:rsidR="00EF16F9">
              <w:rPr>
                <w:rFonts w:ascii="Calibri" w:hAnsi="Calibri" w:cs="Calibri"/>
                <w:color w:val="000000"/>
                <w:sz w:val="18"/>
                <w:szCs w:val="18"/>
              </w:rPr>
              <w:t xml:space="preserve"> </w:t>
            </w:r>
            <w:r w:rsidRPr="001A0015">
              <w:rPr>
                <w:rFonts w:ascii="Calibri" w:hAnsi="Calibri" w:cs="Calibri"/>
                <w:color w:val="000000"/>
                <w:sz w:val="18"/>
                <w:szCs w:val="18"/>
              </w:rPr>
              <w:t>graft models selected from these primary ovarian tumo</w:t>
            </w:r>
            <w:r w:rsidR="00BA3755">
              <w:rPr>
                <w:rFonts w:ascii="Calibri" w:hAnsi="Calibri" w:cs="Calibri"/>
                <w:color w:val="000000"/>
                <w:sz w:val="18"/>
                <w:szCs w:val="18"/>
              </w:rPr>
              <w:t>u</w:t>
            </w:r>
            <w:r w:rsidRPr="001A0015">
              <w:rPr>
                <w:rFonts w:ascii="Calibri" w:hAnsi="Calibri" w:cs="Calibri"/>
                <w:color w:val="000000"/>
                <w:sz w:val="18"/>
                <w:szCs w:val="18"/>
              </w:rPr>
              <w:t>rs were utilized to evaluate the correlation between HRD score, BRCA deficiency, platinum sensitivity and niraparib anti-tumo</w:t>
            </w:r>
            <w:r w:rsidR="00BA3755">
              <w:rPr>
                <w:rFonts w:ascii="Calibri" w:hAnsi="Calibri" w:cs="Calibri"/>
                <w:color w:val="000000"/>
                <w:sz w:val="18"/>
                <w:szCs w:val="18"/>
              </w:rPr>
              <w:t>u</w:t>
            </w:r>
            <w:r w:rsidRPr="001A0015">
              <w:rPr>
                <w:rFonts w:ascii="Calibri" w:hAnsi="Calibri" w:cs="Calibri"/>
                <w:color w:val="000000"/>
                <w:sz w:val="18"/>
                <w:szCs w:val="18"/>
              </w:rPr>
              <w:t xml:space="preserve">r response. The HRD analysis is a DNA-based assay that is capable of detecting homologous recombination deficiency independent of its </w:t>
            </w:r>
            <w:r w:rsidR="00BA3755" w:rsidRPr="001A0015">
              <w:rPr>
                <w:rFonts w:ascii="Calibri" w:hAnsi="Calibri" w:cs="Calibri"/>
                <w:color w:val="000000"/>
                <w:sz w:val="18"/>
                <w:szCs w:val="18"/>
              </w:rPr>
              <w:t>aetiology</w:t>
            </w:r>
            <w:r w:rsidRPr="001A0015">
              <w:rPr>
                <w:rFonts w:ascii="Calibri" w:hAnsi="Calibri" w:cs="Calibri"/>
                <w:color w:val="000000"/>
                <w:sz w:val="18"/>
                <w:szCs w:val="18"/>
              </w:rPr>
              <w:t xml:space="preserve">. Genome-wide SNP data was generated from a custom Agilent </w:t>
            </w:r>
            <w:proofErr w:type="spellStart"/>
            <w:r w:rsidRPr="001A0015">
              <w:rPr>
                <w:rFonts w:ascii="Calibri" w:hAnsi="Calibri" w:cs="Calibri"/>
                <w:color w:val="000000"/>
                <w:sz w:val="18"/>
                <w:szCs w:val="18"/>
              </w:rPr>
              <w:t>SureSelect</w:t>
            </w:r>
            <w:proofErr w:type="spellEnd"/>
            <w:r w:rsidRPr="001A0015">
              <w:rPr>
                <w:rFonts w:ascii="Calibri" w:hAnsi="Calibri" w:cs="Calibri"/>
                <w:color w:val="000000"/>
                <w:sz w:val="18"/>
                <w:szCs w:val="18"/>
              </w:rPr>
              <w:t xml:space="preserve"> XT2 capture followed by sequencing on an Illumina HiSeq2500. SNP data was analy</w:t>
            </w:r>
            <w:r w:rsidR="00BA3755">
              <w:rPr>
                <w:rFonts w:ascii="Calibri" w:hAnsi="Calibri" w:cs="Calibri"/>
                <w:color w:val="000000"/>
                <w:sz w:val="18"/>
                <w:szCs w:val="18"/>
              </w:rPr>
              <w:t>s</w:t>
            </w:r>
            <w:r w:rsidRPr="001A0015">
              <w:rPr>
                <w:rFonts w:ascii="Calibri" w:hAnsi="Calibri" w:cs="Calibri"/>
                <w:color w:val="000000"/>
                <w:sz w:val="18"/>
                <w:szCs w:val="18"/>
              </w:rPr>
              <w:t>ed using all three algorithms; Loss of Heterozygosity (LOH), Telomeric Allelic Imbalance (TAI) and Large-scale State Transitions (LST). The final HRD score is the sum of the LOH+TAI+LST scores with numerical outputs ranging from 0- 100.</w:t>
            </w:r>
            <w:r w:rsidRPr="001A0015">
              <w:rPr>
                <w:rFonts w:cstheme="minorHAnsi"/>
              </w:rPr>
              <w:t xml:space="preserve"> </w:t>
            </w:r>
          </w:p>
          <w:p w14:paraId="28BE73ED" w14:textId="3C8540B3" w:rsidR="00600BCD" w:rsidRPr="001A0015" w:rsidRDefault="00600BCD" w:rsidP="00C61D27">
            <w:pPr>
              <w:spacing w:before="60" w:after="60"/>
              <w:rPr>
                <w:rFonts w:cstheme="minorHAnsi"/>
                <w:b/>
                <w:szCs w:val="20"/>
              </w:rPr>
            </w:pPr>
            <w:r w:rsidRPr="00687942">
              <w:rPr>
                <w:rFonts w:cstheme="minorHAnsi"/>
                <w:bCs/>
                <w:sz w:val="18"/>
                <w:szCs w:val="18"/>
              </w:rPr>
              <w:t xml:space="preserve">106 High grade tumours were evaluated for HRD, BRCA and </w:t>
            </w:r>
            <w:proofErr w:type="spellStart"/>
            <w:r w:rsidRPr="00687942">
              <w:rPr>
                <w:rFonts w:cstheme="minorHAnsi"/>
                <w:bCs/>
                <w:sz w:val="18"/>
                <w:szCs w:val="18"/>
              </w:rPr>
              <w:t>RNAseq</w:t>
            </w:r>
            <w:proofErr w:type="spellEnd"/>
            <w:r w:rsidRPr="00687942">
              <w:rPr>
                <w:rFonts w:cstheme="minorHAnsi"/>
                <w:bCs/>
                <w:sz w:val="18"/>
                <w:szCs w:val="18"/>
              </w:rPr>
              <w:t xml:space="preserve"> analysis</w:t>
            </w:r>
          </w:p>
        </w:tc>
        <w:tc>
          <w:tcPr>
            <w:tcW w:w="915" w:type="pct"/>
          </w:tcPr>
          <w:p w14:paraId="048B1C6C" w14:textId="77777777" w:rsidR="00600BCD" w:rsidRPr="00C61D27" w:rsidRDefault="00600BCD" w:rsidP="00DD308E">
            <w:pPr>
              <w:rPr>
                <w:sz w:val="18"/>
                <w:szCs w:val="18"/>
              </w:rPr>
            </w:pPr>
            <w:r w:rsidRPr="00C61D27">
              <w:rPr>
                <w:sz w:val="18"/>
                <w:szCs w:val="18"/>
              </w:rPr>
              <w:t>Follow-up publication</w:t>
            </w:r>
          </w:p>
          <w:p w14:paraId="13C82A78" w14:textId="63FC79CE" w:rsidR="00DD308E" w:rsidRPr="00C61D27" w:rsidRDefault="00C61D27" w:rsidP="00DD308E">
            <w:pPr>
              <w:rPr>
                <w:bCs/>
                <w:sz w:val="18"/>
                <w:szCs w:val="18"/>
              </w:rPr>
            </w:pPr>
            <w:hyperlink r:id="rId16" w:history="1">
              <w:r w:rsidR="00600BCD" w:rsidRPr="00C61D27">
                <w:rPr>
                  <w:rStyle w:val="Hyperlink"/>
                  <w:bCs/>
                  <w:sz w:val="18"/>
                  <w:szCs w:val="18"/>
                </w:rPr>
                <w:t>https://www.embase.com/search/results?subaction=viewrecord&amp;id=L71734290&amp;from=export</w:t>
              </w:r>
            </w:hyperlink>
          </w:p>
          <w:p w14:paraId="2D720086" w14:textId="5FECA022" w:rsidR="00D97CE3" w:rsidRPr="00C61D27" w:rsidRDefault="00D97CE3" w:rsidP="00DD308E">
            <w:pPr>
              <w:rPr>
                <w:bCs/>
                <w:sz w:val="18"/>
                <w:szCs w:val="18"/>
              </w:rPr>
            </w:pPr>
          </w:p>
        </w:tc>
        <w:tc>
          <w:tcPr>
            <w:tcW w:w="479" w:type="pct"/>
          </w:tcPr>
          <w:p w14:paraId="098ADBB7" w14:textId="4C98327F" w:rsidR="00DD308E" w:rsidRPr="001A0015" w:rsidRDefault="001A0015" w:rsidP="00DD308E">
            <w:pPr>
              <w:rPr>
                <w:b/>
                <w:sz w:val="18"/>
                <w:szCs w:val="18"/>
              </w:rPr>
            </w:pPr>
            <w:r w:rsidRPr="001A0015">
              <w:rPr>
                <w:sz w:val="18"/>
                <w:szCs w:val="18"/>
              </w:rPr>
              <w:t>November 2014</w:t>
            </w:r>
          </w:p>
        </w:tc>
      </w:tr>
      <w:tr w:rsidR="00DD308E" w14:paraId="4BD2AED0" w14:textId="77777777" w:rsidTr="00C61D27">
        <w:trPr>
          <w:cantSplit/>
        </w:trPr>
        <w:tc>
          <w:tcPr>
            <w:tcW w:w="151" w:type="pct"/>
          </w:tcPr>
          <w:p w14:paraId="553331BE" w14:textId="77777777" w:rsidR="00DD308E" w:rsidRPr="00965B6B" w:rsidRDefault="00DD308E" w:rsidP="00DD308E">
            <w:pPr>
              <w:rPr>
                <w:szCs w:val="20"/>
              </w:rPr>
            </w:pPr>
            <w:r>
              <w:rPr>
                <w:szCs w:val="20"/>
              </w:rPr>
              <w:t>3.</w:t>
            </w:r>
          </w:p>
        </w:tc>
        <w:tc>
          <w:tcPr>
            <w:tcW w:w="610" w:type="pct"/>
          </w:tcPr>
          <w:p w14:paraId="2808294E" w14:textId="4E7466E7" w:rsidR="00DD308E" w:rsidRDefault="00BB59B2" w:rsidP="00DD308E">
            <w:pPr>
              <w:rPr>
                <w:b/>
                <w:szCs w:val="20"/>
              </w:rPr>
            </w:pPr>
            <w:r w:rsidRPr="000279D8">
              <w:rPr>
                <w:bCs/>
                <w:sz w:val="18"/>
                <w:szCs w:val="18"/>
              </w:rPr>
              <w:t xml:space="preserve">Comparative diagnostic study based on randomised phase </w:t>
            </w:r>
            <w:r>
              <w:rPr>
                <w:bCs/>
                <w:sz w:val="18"/>
                <w:szCs w:val="18"/>
              </w:rPr>
              <w:t>3</w:t>
            </w:r>
            <w:r w:rsidRPr="000279D8">
              <w:rPr>
                <w:bCs/>
                <w:sz w:val="18"/>
                <w:szCs w:val="18"/>
              </w:rPr>
              <w:t>, double-blind, placebo-controlled trial</w:t>
            </w:r>
          </w:p>
        </w:tc>
        <w:tc>
          <w:tcPr>
            <w:tcW w:w="1107" w:type="pct"/>
          </w:tcPr>
          <w:p w14:paraId="100D0BB7" w14:textId="77777777" w:rsidR="00BB59B2" w:rsidRPr="00BB59B2" w:rsidRDefault="00BB59B2" w:rsidP="00BB59B2">
            <w:pPr>
              <w:spacing w:before="0" w:after="0"/>
              <w:rPr>
                <w:rFonts w:ascii="Calibri" w:hAnsi="Calibri" w:cs="Calibri"/>
                <w:color w:val="000000"/>
                <w:sz w:val="18"/>
                <w:szCs w:val="18"/>
              </w:rPr>
            </w:pPr>
            <w:r w:rsidRPr="00BB59B2">
              <w:rPr>
                <w:rFonts w:ascii="Calibri" w:hAnsi="Calibri" w:cs="Calibri"/>
                <w:color w:val="000000"/>
                <w:sz w:val="18"/>
                <w:szCs w:val="18"/>
              </w:rPr>
              <w:t>Prospective molecular identification of ovarian cancer patients benefiting from PARP inhibitor (</w:t>
            </w:r>
            <w:proofErr w:type="spellStart"/>
            <w:r w:rsidRPr="00BB59B2">
              <w:rPr>
                <w:rFonts w:ascii="Calibri" w:hAnsi="Calibri" w:cs="Calibri"/>
                <w:color w:val="000000"/>
                <w:sz w:val="18"/>
                <w:szCs w:val="18"/>
              </w:rPr>
              <w:t>PARPi</w:t>
            </w:r>
            <w:proofErr w:type="spellEnd"/>
            <w:r w:rsidRPr="00BB59B2">
              <w:rPr>
                <w:rFonts w:ascii="Calibri" w:hAnsi="Calibri" w:cs="Calibri"/>
                <w:color w:val="000000"/>
                <w:sz w:val="18"/>
                <w:szCs w:val="18"/>
              </w:rPr>
              <w:t>, rucaparib) maintenance therapy-reaching beyond germline BRCA mutations</w:t>
            </w:r>
          </w:p>
          <w:p w14:paraId="5C2562A9" w14:textId="5923D955" w:rsidR="00DD308E" w:rsidRDefault="00DD308E" w:rsidP="00BB59B2">
            <w:pPr>
              <w:spacing w:before="0" w:after="0"/>
              <w:rPr>
                <w:b/>
                <w:szCs w:val="20"/>
              </w:rPr>
            </w:pPr>
          </w:p>
        </w:tc>
        <w:tc>
          <w:tcPr>
            <w:tcW w:w="1738" w:type="pct"/>
          </w:tcPr>
          <w:p w14:paraId="2146D89E" w14:textId="04D21AF0" w:rsidR="00DD308E" w:rsidRPr="00BB59B2" w:rsidRDefault="00600BCD" w:rsidP="00C61D27">
            <w:pPr>
              <w:spacing w:before="60" w:after="60"/>
              <w:rPr>
                <w:bCs/>
                <w:sz w:val="18"/>
                <w:szCs w:val="18"/>
              </w:rPr>
            </w:pPr>
            <w:r>
              <w:rPr>
                <w:bCs/>
                <w:sz w:val="18"/>
                <w:szCs w:val="18"/>
              </w:rPr>
              <w:t xml:space="preserve">Two clinical trials used to develop a HRD algorithm. First, </w:t>
            </w:r>
            <w:r w:rsidRPr="00BB59B2">
              <w:rPr>
                <w:bCs/>
                <w:sz w:val="18"/>
                <w:szCs w:val="18"/>
              </w:rPr>
              <w:t>ARIEL2</w:t>
            </w:r>
            <w:r>
              <w:rPr>
                <w:bCs/>
                <w:sz w:val="18"/>
                <w:szCs w:val="18"/>
              </w:rPr>
              <w:t xml:space="preserve">( NCT01891344) is a phase 2 trial of rucaparib which aims to identify a molecular HRD signature that predicts response to treatment. </w:t>
            </w:r>
            <w:r w:rsidRPr="00BB59B2">
              <w:rPr>
                <w:bCs/>
                <w:sz w:val="18"/>
                <w:szCs w:val="18"/>
              </w:rPr>
              <w:t xml:space="preserve"> </w:t>
            </w:r>
            <w:r>
              <w:rPr>
                <w:bCs/>
                <w:sz w:val="18"/>
                <w:szCs w:val="18"/>
              </w:rPr>
              <w:t xml:space="preserve">The signature will be applied prospectively </w:t>
            </w:r>
            <w:r w:rsidRPr="00BB59B2">
              <w:rPr>
                <w:bCs/>
                <w:sz w:val="18"/>
                <w:szCs w:val="18"/>
              </w:rPr>
              <w:t xml:space="preserve">to the final analysis of the Phase 3 pivotal trial </w:t>
            </w:r>
            <w:r>
              <w:rPr>
                <w:bCs/>
                <w:sz w:val="18"/>
                <w:szCs w:val="18"/>
              </w:rPr>
              <w:t xml:space="preserve"> </w:t>
            </w:r>
            <w:r w:rsidRPr="00BB59B2">
              <w:rPr>
                <w:bCs/>
                <w:sz w:val="18"/>
                <w:szCs w:val="18"/>
              </w:rPr>
              <w:t>ARIEL3</w:t>
            </w:r>
            <w:r>
              <w:rPr>
                <w:bCs/>
                <w:sz w:val="18"/>
                <w:szCs w:val="18"/>
              </w:rPr>
              <w:t xml:space="preserve"> (NCT01968213</w:t>
            </w:r>
            <w:r w:rsidRPr="00BB59B2">
              <w:rPr>
                <w:bCs/>
                <w:sz w:val="18"/>
                <w:szCs w:val="18"/>
              </w:rPr>
              <w:t>)</w:t>
            </w:r>
            <w:r>
              <w:rPr>
                <w:bCs/>
                <w:sz w:val="18"/>
                <w:szCs w:val="18"/>
              </w:rPr>
              <w:t xml:space="preserve"> in a similar population</w:t>
            </w:r>
            <w:r w:rsidRPr="00BB59B2">
              <w:rPr>
                <w:bCs/>
                <w:sz w:val="18"/>
                <w:szCs w:val="18"/>
              </w:rPr>
              <w:t>. ARIEL2</w:t>
            </w:r>
            <w:r>
              <w:rPr>
                <w:bCs/>
                <w:sz w:val="18"/>
                <w:szCs w:val="18"/>
              </w:rPr>
              <w:t xml:space="preserve"> (n=180)</w:t>
            </w:r>
            <w:r w:rsidRPr="00BB59B2">
              <w:rPr>
                <w:bCs/>
                <w:sz w:val="18"/>
                <w:szCs w:val="18"/>
              </w:rPr>
              <w:t xml:space="preserve"> is an ongoing, single-arm, open-label biomarker study designed to refine the molecular signature associated with a response to rucaparib. </w:t>
            </w:r>
            <w:proofErr w:type="spellStart"/>
            <w:r w:rsidRPr="00BB59B2">
              <w:rPr>
                <w:bCs/>
                <w:sz w:val="18"/>
                <w:szCs w:val="18"/>
              </w:rPr>
              <w:t>ll</w:t>
            </w:r>
            <w:proofErr w:type="spellEnd"/>
            <w:r w:rsidRPr="00BB59B2">
              <w:rPr>
                <w:bCs/>
                <w:sz w:val="18"/>
                <w:szCs w:val="18"/>
              </w:rPr>
              <w:t xml:space="preserve"> pts undergo a pre-dose biopsy and provide archival tumo</w:t>
            </w:r>
            <w:r>
              <w:rPr>
                <w:bCs/>
                <w:sz w:val="18"/>
                <w:szCs w:val="18"/>
              </w:rPr>
              <w:t>u</w:t>
            </w:r>
            <w:r w:rsidRPr="00BB59B2">
              <w:rPr>
                <w:bCs/>
                <w:sz w:val="18"/>
                <w:szCs w:val="18"/>
              </w:rPr>
              <w:t>r tissue. Tumo</w:t>
            </w:r>
            <w:r>
              <w:rPr>
                <w:bCs/>
                <w:sz w:val="18"/>
                <w:szCs w:val="18"/>
              </w:rPr>
              <w:t>u</w:t>
            </w:r>
            <w:r w:rsidRPr="00BB59B2">
              <w:rPr>
                <w:bCs/>
                <w:sz w:val="18"/>
                <w:szCs w:val="18"/>
              </w:rPr>
              <w:t>r tissue HR status is assessed using Foundation Medicine's next generation sequencing (NGS) platform and University of Washington's BROCA-HR panel, with the current HRD algorithm developed using in vitro/in vivo and TCGA (and similar) bioinformatic data.</w:t>
            </w:r>
            <w:r>
              <w:rPr>
                <w:bCs/>
                <w:sz w:val="18"/>
                <w:szCs w:val="18"/>
              </w:rPr>
              <w:t xml:space="preserve"> The optimised algorithm will be tested prospectively in ARIEL 3 (n=540).</w:t>
            </w:r>
          </w:p>
        </w:tc>
        <w:tc>
          <w:tcPr>
            <w:tcW w:w="915" w:type="pct"/>
          </w:tcPr>
          <w:p w14:paraId="59D1C014" w14:textId="77777777" w:rsidR="00C95C99" w:rsidRPr="00C61D27" w:rsidRDefault="00C95C99" w:rsidP="00DD308E">
            <w:pPr>
              <w:rPr>
                <w:sz w:val="18"/>
                <w:szCs w:val="18"/>
              </w:rPr>
            </w:pPr>
            <w:r w:rsidRPr="00C61D27">
              <w:rPr>
                <w:sz w:val="18"/>
                <w:szCs w:val="18"/>
              </w:rPr>
              <w:t>Follow-up publication</w:t>
            </w:r>
          </w:p>
          <w:p w14:paraId="5D86D88B" w14:textId="666BF6AF" w:rsidR="00DD308E" w:rsidRPr="00C61D27" w:rsidRDefault="00C61D27" w:rsidP="00DD308E">
            <w:pPr>
              <w:rPr>
                <w:bCs/>
                <w:sz w:val="18"/>
                <w:szCs w:val="18"/>
              </w:rPr>
            </w:pPr>
            <w:hyperlink r:id="rId17" w:history="1">
              <w:r w:rsidR="00C95C99" w:rsidRPr="00C61D27">
                <w:rPr>
                  <w:rStyle w:val="Hyperlink"/>
                  <w:bCs/>
                  <w:sz w:val="18"/>
                  <w:szCs w:val="18"/>
                </w:rPr>
                <w:t>https://www.embase.com/search/results?subaction=viewrecord&amp;id=L71718484&amp;from=export</w:t>
              </w:r>
            </w:hyperlink>
          </w:p>
          <w:p w14:paraId="35A35F2C" w14:textId="147B9390" w:rsidR="0082305A" w:rsidRPr="00C61D27" w:rsidRDefault="00C61D27" w:rsidP="00DD308E">
            <w:pPr>
              <w:rPr>
                <w:bCs/>
                <w:sz w:val="18"/>
                <w:szCs w:val="18"/>
              </w:rPr>
            </w:pPr>
            <w:hyperlink r:id="rId18" w:history="1">
              <w:r w:rsidR="0082305A" w:rsidRPr="00C61D27">
                <w:rPr>
                  <w:rStyle w:val="Hyperlink"/>
                  <w:bCs/>
                  <w:sz w:val="18"/>
                  <w:szCs w:val="18"/>
                </w:rPr>
                <w:t>https://cancerres.aacrjournals.org/content/74/19_Supplement/CT339</w:t>
              </w:r>
            </w:hyperlink>
          </w:p>
          <w:p w14:paraId="35F0FC77" w14:textId="4661EBE4" w:rsidR="0082305A" w:rsidRPr="00C61D27" w:rsidRDefault="0082305A" w:rsidP="00DD308E">
            <w:pPr>
              <w:rPr>
                <w:bCs/>
                <w:sz w:val="18"/>
                <w:szCs w:val="18"/>
              </w:rPr>
            </w:pPr>
          </w:p>
        </w:tc>
        <w:tc>
          <w:tcPr>
            <w:tcW w:w="479" w:type="pct"/>
          </w:tcPr>
          <w:p w14:paraId="79123D9D" w14:textId="0F2D1AFC" w:rsidR="00DD308E" w:rsidRPr="0082305A" w:rsidRDefault="0082305A" w:rsidP="00DD308E">
            <w:pPr>
              <w:rPr>
                <w:bCs/>
                <w:sz w:val="18"/>
                <w:szCs w:val="18"/>
              </w:rPr>
            </w:pPr>
            <w:r w:rsidRPr="0082305A">
              <w:rPr>
                <w:bCs/>
                <w:sz w:val="18"/>
                <w:szCs w:val="18"/>
              </w:rPr>
              <w:t>October 2014</w:t>
            </w:r>
          </w:p>
        </w:tc>
      </w:tr>
      <w:tr w:rsidR="00DD308E" w14:paraId="75334E9B" w14:textId="77777777" w:rsidTr="00C61D27">
        <w:trPr>
          <w:cantSplit/>
        </w:trPr>
        <w:tc>
          <w:tcPr>
            <w:tcW w:w="151" w:type="pct"/>
          </w:tcPr>
          <w:p w14:paraId="6C894849" w14:textId="77777777" w:rsidR="00DD308E" w:rsidRPr="00965B6B" w:rsidRDefault="00DD308E" w:rsidP="00DD308E">
            <w:pPr>
              <w:rPr>
                <w:szCs w:val="20"/>
              </w:rPr>
            </w:pPr>
            <w:r>
              <w:rPr>
                <w:szCs w:val="20"/>
              </w:rPr>
              <w:t>4.</w:t>
            </w:r>
          </w:p>
        </w:tc>
        <w:tc>
          <w:tcPr>
            <w:tcW w:w="610" w:type="pct"/>
          </w:tcPr>
          <w:p w14:paraId="69A719D8" w14:textId="55F3717F" w:rsidR="00DD308E" w:rsidRDefault="0082305A" w:rsidP="00DD308E">
            <w:pPr>
              <w:rPr>
                <w:b/>
                <w:szCs w:val="20"/>
              </w:rPr>
            </w:pPr>
            <w:r w:rsidRPr="000279D8">
              <w:rPr>
                <w:bCs/>
                <w:sz w:val="18"/>
                <w:szCs w:val="18"/>
              </w:rPr>
              <w:t xml:space="preserve">Comparative diagnostic study based on randomised phase </w:t>
            </w:r>
            <w:r>
              <w:rPr>
                <w:bCs/>
                <w:sz w:val="18"/>
                <w:szCs w:val="18"/>
              </w:rPr>
              <w:t>3</w:t>
            </w:r>
            <w:r w:rsidRPr="000279D8">
              <w:rPr>
                <w:bCs/>
                <w:sz w:val="18"/>
                <w:szCs w:val="18"/>
              </w:rPr>
              <w:t>, double-blind, placebo-controlled trial</w:t>
            </w:r>
          </w:p>
        </w:tc>
        <w:tc>
          <w:tcPr>
            <w:tcW w:w="1107" w:type="pct"/>
          </w:tcPr>
          <w:p w14:paraId="566F4B3C" w14:textId="77777777" w:rsidR="0082305A" w:rsidRPr="0082305A" w:rsidRDefault="0082305A" w:rsidP="0082305A">
            <w:pPr>
              <w:spacing w:before="0" w:after="0"/>
              <w:rPr>
                <w:rFonts w:ascii="Calibri" w:hAnsi="Calibri" w:cs="Calibri"/>
                <w:color w:val="000000"/>
                <w:sz w:val="18"/>
                <w:szCs w:val="18"/>
              </w:rPr>
            </w:pPr>
            <w:r w:rsidRPr="0082305A">
              <w:rPr>
                <w:rFonts w:ascii="Calibri" w:hAnsi="Calibri" w:cs="Calibri"/>
                <w:color w:val="000000"/>
                <w:sz w:val="18"/>
                <w:szCs w:val="18"/>
              </w:rPr>
              <w:t>Niraparib therapy in patients with newly diagnosed advanced ovarian cancer (PRIMA/ENGOT-OV26/GOG-3012 study)</w:t>
            </w:r>
          </w:p>
          <w:p w14:paraId="4A976117" w14:textId="0F500DF0" w:rsidR="00DD308E" w:rsidRDefault="00DD308E" w:rsidP="00DD308E">
            <w:pPr>
              <w:rPr>
                <w:b/>
                <w:szCs w:val="20"/>
              </w:rPr>
            </w:pPr>
          </w:p>
        </w:tc>
        <w:tc>
          <w:tcPr>
            <w:tcW w:w="1738" w:type="pct"/>
          </w:tcPr>
          <w:p w14:paraId="47FD2099" w14:textId="77777777" w:rsidR="00600BCD" w:rsidRDefault="00600BCD" w:rsidP="00C61D27">
            <w:pPr>
              <w:spacing w:before="60" w:after="60"/>
              <w:rPr>
                <w:sz w:val="18"/>
                <w:szCs w:val="18"/>
              </w:rPr>
            </w:pPr>
            <w:r w:rsidRPr="00B96004">
              <w:rPr>
                <w:sz w:val="18"/>
                <w:szCs w:val="18"/>
              </w:rPr>
              <w:t xml:space="preserve">This study evaluated the efficacy of niraparib in pts </w:t>
            </w:r>
            <w:r>
              <w:rPr>
                <w:sz w:val="18"/>
                <w:szCs w:val="18"/>
              </w:rPr>
              <w:t xml:space="preserve">(N= 733) </w:t>
            </w:r>
            <w:r w:rsidRPr="00B96004">
              <w:rPr>
                <w:sz w:val="18"/>
                <w:szCs w:val="18"/>
              </w:rPr>
              <w:t xml:space="preserve">with newly diagnosed advanced OC after completion of first-line (1L) CT regardless of BRCA status. Stratification factors were best response to the 1L CT regimen (CR/PR), receipt of neoadjuvant CT (NACT; yes/no), and homologous recombination deficiency (HRD) status (positive/negative/unknown) per the Myriad myChoice HRD test. Niraparib-treated pts in the </w:t>
            </w:r>
            <w:proofErr w:type="spellStart"/>
            <w:r w:rsidRPr="00B96004">
              <w:rPr>
                <w:sz w:val="18"/>
                <w:szCs w:val="18"/>
              </w:rPr>
              <w:t>HRDpos</w:t>
            </w:r>
            <w:proofErr w:type="spellEnd"/>
            <w:r w:rsidRPr="00B96004">
              <w:rPr>
                <w:sz w:val="18"/>
                <w:szCs w:val="18"/>
              </w:rPr>
              <w:t xml:space="preserve"> subgroup and overall population had a significant reduction in the risk of disease recurrence or death with a substantial improvement in PFS</w:t>
            </w:r>
            <w:r>
              <w:rPr>
                <w:sz w:val="18"/>
                <w:szCs w:val="18"/>
              </w:rPr>
              <w:t>.</w:t>
            </w:r>
          </w:p>
          <w:p w14:paraId="2C747F3B" w14:textId="54D86ADE" w:rsidR="00DD308E" w:rsidRPr="00B96004" w:rsidRDefault="00600BCD" w:rsidP="00C61D27">
            <w:pPr>
              <w:spacing w:before="60" w:after="60"/>
              <w:rPr>
                <w:b/>
                <w:sz w:val="18"/>
                <w:szCs w:val="18"/>
              </w:rPr>
            </w:pPr>
            <w:r w:rsidRPr="002D4FE8">
              <w:rPr>
                <w:bCs/>
                <w:sz w:val="18"/>
                <w:szCs w:val="18"/>
              </w:rPr>
              <w:t>Patient randomised prior to study, of the 733 patients (niraparib 489, placebo 246), 373 (51%) were HRD positive</w:t>
            </w:r>
            <w:r>
              <w:rPr>
                <w:b/>
                <w:sz w:val="18"/>
                <w:szCs w:val="18"/>
              </w:rPr>
              <w:t>.</w:t>
            </w:r>
          </w:p>
        </w:tc>
        <w:tc>
          <w:tcPr>
            <w:tcW w:w="915" w:type="pct"/>
          </w:tcPr>
          <w:p w14:paraId="57821B50" w14:textId="77777777" w:rsidR="00600BCD" w:rsidRPr="00C61D27" w:rsidRDefault="00600BCD" w:rsidP="00DD308E">
            <w:pPr>
              <w:rPr>
                <w:bCs/>
                <w:sz w:val="18"/>
                <w:szCs w:val="18"/>
              </w:rPr>
            </w:pPr>
            <w:r w:rsidRPr="00C61D27">
              <w:rPr>
                <w:bCs/>
                <w:sz w:val="18"/>
                <w:szCs w:val="18"/>
              </w:rPr>
              <w:t>Initial publication</w:t>
            </w:r>
          </w:p>
          <w:p w14:paraId="6B03E4D7" w14:textId="36A37A28" w:rsidR="00DD308E" w:rsidRPr="00C61D27" w:rsidRDefault="00C61D27" w:rsidP="00DD308E">
            <w:pPr>
              <w:rPr>
                <w:bCs/>
                <w:sz w:val="18"/>
                <w:szCs w:val="18"/>
              </w:rPr>
            </w:pPr>
            <w:hyperlink r:id="rId19" w:history="1">
              <w:r w:rsidR="00600BCD" w:rsidRPr="00C61D27">
                <w:rPr>
                  <w:rStyle w:val="Hyperlink"/>
                  <w:bCs/>
                  <w:sz w:val="18"/>
                  <w:szCs w:val="18"/>
                </w:rPr>
                <w:t>https://www.sciencedirect.com/science/article/pii/S0923753419604126?via%3Dihub</w:t>
              </w:r>
            </w:hyperlink>
          </w:p>
          <w:p w14:paraId="0C41C60A" w14:textId="74EE0A09" w:rsidR="00600BCD" w:rsidRPr="00C61D27" w:rsidRDefault="00600BCD" w:rsidP="00DD308E">
            <w:pPr>
              <w:rPr>
                <w:bCs/>
                <w:sz w:val="18"/>
                <w:szCs w:val="18"/>
              </w:rPr>
            </w:pPr>
          </w:p>
        </w:tc>
        <w:tc>
          <w:tcPr>
            <w:tcW w:w="479" w:type="pct"/>
          </w:tcPr>
          <w:p w14:paraId="52572BAC" w14:textId="672B5C8B" w:rsidR="00DD308E" w:rsidRPr="00B96004" w:rsidRDefault="00B96004" w:rsidP="00DD308E">
            <w:pPr>
              <w:rPr>
                <w:bCs/>
                <w:sz w:val="18"/>
                <w:szCs w:val="18"/>
              </w:rPr>
            </w:pPr>
            <w:r w:rsidRPr="00B96004">
              <w:rPr>
                <w:bCs/>
                <w:sz w:val="18"/>
                <w:szCs w:val="18"/>
              </w:rPr>
              <w:t>October 2019</w:t>
            </w:r>
          </w:p>
        </w:tc>
      </w:tr>
      <w:tr w:rsidR="00DD308E" w14:paraId="2417AE7D" w14:textId="77777777" w:rsidTr="00C61D27">
        <w:trPr>
          <w:cantSplit/>
        </w:trPr>
        <w:tc>
          <w:tcPr>
            <w:tcW w:w="151" w:type="pct"/>
          </w:tcPr>
          <w:p w14:paraId="4C5B8A71" w14:textId="77777777" w:rsidR="00DD308E" w:rsidRPr="00965B6B" w:rsidRDefault="00DD308E" w:rsidP="00DD308E">
            <w:pPr>
              <w:rPr>
                <w:szCs w:val="20"/>
              </w:rPr>
            </w:pPr>
            <w:r>
              <w:rPr>
                <w:szCs w:val="20"/>
              </w:rPr>
              <w:t>5.</w:t>
            </w:r>
          </w:p>
        </w:tc>
        <w:tc>
          <w:tcPr>
            <w:tcW w:w="610" w:type="pct"/>
          </w:tcPr>
          <w:p w14:paraId="6EDAEDE2" w14:textId="28495C41" w:rsidR="00DD308E" w:rsidRDefault="002621BE" w:rsidP="00DD308E">
            <w:pPr>
              <w:rPr>
                <w:b/>
                <w:szCs w:val="20"/>
              </w:rPr>
            </w:pPr>
            <w:r w:rsidRPr="000279D8">
              <w:rPr>
                <w:bCs/>
                <w:sz w:val="18"/>
                <w:szCs w:val="18"/>
              </w:rPr>
              <w:t xml:space="preserve">Comparative diagnostic study based on randomised phase </w:t>
            </w:r>
            <w:r>
              <w:rPr>
                <w:bCs/>
                <w:sz w:val="18"/>
                <w:szCs w:val="18"/>
              </w:rPr>
              <w:t>2</w:t>
            </w:r>
            <w:r w:rsidRPr="000279D8">
              <w:rPr>
                <w:bCs/>
                <w:sz w:val="18"/>
                <w:szCs w:val="18"/>
              </w:rPr>
              <w:t>, double-blind, placebo-controlled trial</w:t>
            </w:r>
          </w:p>
        </w:tc>
        <w:tc>
          <w:tcPr>
            <w:tcW w:w="1107" w:type="pct"/>
          </w:tcPr>
          <w:p w14:paraId="7BA250FD" w14:textId="1E1AB866" w:rsidR="006B348E" w:rsidRPr="002621BE" w:rsidRDefault="006B348E" w:rsidP="006B348E">
            <w:pPr>
              <w:spacing w:before="0" w:after="0"/>
              <w:rPr>
                <w:rFonts w:ascii="Calibri" w:hAnsi="Calibri" w:cs="Calibri"/>
                <w:color w:val="000000"/>
                <w:sz w:val="18"/>
                <w:szCs w:val="18"/>
              </w:rPr>
            </w:pPr>
            <w:r w:rsidRPr="002621BE">
              <w:rPr>
                <w:rFonts w:ascii="Calibri" w:hAnsi="Calibri" w:cs="Calibri"/>
                <w:color w:val="000000"/>
                <w:sz w:val="18"/>
                <w:szCs w:val="18"/>
              </w:rPr>
              <w:t>Candidate biomarkers of PARP inhibitor sensitivity in ovarian cancer beyond the BRCA genes</w:t>
            </w:r>
            <w:r w:rsidR="002621BE">
              <w:rPr>
                <w:rFonts w:ascii="Calibri" w:hAnsi="Calibri" w:cs="Calibri"/>
                <w:color w:val="000000"/>
                <w:sz w:val="18"/>
                <w:szCs w:val="18"/>
              </w:rPr>
              <w:t>.</w:t>
            </w:r>
          </w:p>
          <w:p w14:paraId="5FE4F953" w14:textId="57E6583F" w:rsidR="006B348E" w:rsidRDefault="006B348E" w:rsidP="00DD308E">
            <w:pPr>
              <w:rPr>
                <w:b/>
                <w:szCs w:val="20"/>
              </w:rPr>
            </w:pPr>
          </w:p>
        </w:tc>
        <w:tc>
          <w:tcPr>
            <w:tcW w:w="1738" w:type="pct"/>
          </w:tcPr>
          <w:p w14:paraId="3BFE03E6" w14:textId="77777777" w:rsidR="00DD308E" w:rsidRDefault="002621BE" w:rsidP="00C61D27">
            <w:pPr>
              <w:spacing w:before="60" w:after="60"/>
              <w:rPr>
                <w:rFonts w:cstheme="minorHAnsi"/>
                <w:color w:val="222222"/>
                <w:sz w:val="18"/>
                <w:szCs w:val="18"/>
                <w:shd w:val="clear" w:color="auto" w:fill="FFFFFF"/>
              </w:rPr>
            </w:pPr>
            <w:r w:rsidRPr="002621BE">
              <w:rPr>
                <w:rFonts w:cstheme="minorHAnsi"/>
                <w:color w:val="222222"/>
                <w:sz w:val="18"/>
                <w:szCs w:val="18"/>
                <w:shd w:val="clear" w:color="auto" w:fill="FFFFFF"/>
              </w:rPr>
              <w:t>Exploratory analyses, including the long-term outcome of candidate biomarkers of sensitivity to olaparib in </w:t>
            </w:r>
            <w:r w:rsidRPr="002621BE">
              <w:rPr>
                <w:rFonts w:cstheme="minorHAnsi"/>
                <w:i/>
                <w:iCs/>
                <w:color w:val="222222"/>
                <w:sz w:val="18"/>
                <w:szCs w:val="18"/>
                <w:shd w:val="clear" w:color="auto" w:fill="FFFFFF"/>
              </w:rPr>
              <w:t>BRCA</w:t>
            </w:r>
            <w:r w:rsidRPr="002621BE">
              <w:rPr>
                <w:rFonts w:cstheme="minorHAnsi"/>
                <w:color w:val="222222"/>
                <w:sz w:val="18"/>
                <w:szCs w:val="18"/>
                <w:shd w:val="clear" w:color="auto" w:fill="FFFFFF"/>
              </w:rPr>
              <w:t> wild-type (</w:t>
            </w:r>
            <w:proofErr w:type="spellStart"/>
            <w:r w:rsidRPr="002621BE">
              <w:rPr>
                <w:rFonts w:cstheme="minorHAnsi"/>
                <w:i/>
                <w:iCs/>
                <w:color w:val="222222"/>
                <w:sz w:val="18"/>
                <w:szCs w:val="18"/>
                <w:shd w:val="clear" w:color="auto" w:fill="FFFFFF"/>
              </w:rPr>
              <w:t>BRCA</w:t>
            </w:r>
            <w:r w:rsidRPr="002621BE">
              <w:rPr>
                <w:rFonts w:cstheme="minorHAnsi"/>
                <w:color w:val="222222"/>
                <w:sz w:val="18"/>
                <w:szCs w:val="18"/>
                <w:shd w:val="clear" w:color="auto" w:fill="FFFFFF"/>
              </w:rPr>
              <w:t>wt</w:t>
            </w:r>
            <w:proofErr w:type="spellEnd"/>
            <w:r w:rsidRPr="002621BE">
              <w:rPr>
                <w:rFonts w:cstheme="minorHAnsi"/>
                <w:color w:val="222222"/>
                <w:sz w:val="18"/>
                <w:szCs w:val="18"/>
                <w:shd w:val="clear" w:color="auto" w:fill="FFFFFF"/>
              </w:rPr>
              <w:t>) tumours based on Study 19 ( D0810C00019; NCT00753545). Tumour samples from an olaparib maintenance monotherapy trial were analysed. Analyses included classification of mutations in genes involved in homologous recombination repair (HRR), </w:t>
            </w:r>
            <w:r w:rsidRPr="002621BE">
              <w:rPr>
                <w:rFonts w:cstheme="minorHAnsi"/>
                <w:i/>
                <w:iCs/>
                <w:color w:val="222222"/>
                <w:sz w:val="18"/>
                <w:szCs w:val="18"/>
                <w:shd w:val="clear" w:color="auto" w:fill="FFFFFF"/>
              </w:rPr>
              <w:t>BRCA1</w:t>
            </w:r>
            <w:r w:rsidRPr="002621BE">
              <w:rPr>
                <w:rFonts w:cstheme="minorHAnsi"/>
                <w:color w:val="222222"/>
                <w:sz w:val="18"/>
                <w:szCs w:val="18"/>
                <w:shd w:val="clear" w:color="auto" w:fill="FFFFFF"/>
              </w:rPr>
              <w:t> promoter methylation status, measurement of BRCA1 protein and Myriad HRD score.</w:t>
            </w:r>
          </w:p>
          <w:p w14:paraId="6E3DD9AA" w14:textId="6A00508F" w:rsidR="00600BCD" w:rsidRPr="002621BE" w:rsidRDefault="00600BCD" w:rsidP="00C61D27">
            <w:pPr>
              <w:spacing w:before="60" w:after="60"/>
              <w:rPr>
                <w:rFonts w:cstheme="minorHAnsi"/>
                <w:b/>
                <w:sz w:val="18"/>
                <w:szCs w:val="18"/>
              </w:rPr>
            </w:pPr>
            <w:r w:rsidRPr="00B737C4">
              <w:rPr>
                <w:rFonts w:cstheme="minorHAnsi"/>
                <w:bCs/>
                <w:color w:val="222222"/>
                <w:sz w:val="18"/>
                <w:szCs w:val="18"/>
                <w:shd w:val="clear" w:color="auto" w:fill="FFFFFF"/>
              </w:rPr>
              <w:t xml:space="preserve">Study 19 included 265 patients randomised prior to Study. Subgroup analyses </w:t>
            </w:r>
            <w:r>
              <w:rPr>
                <w:rFonts w:cstheme="minorHAnsi"/>
                <w:bCs/>
                <w:color w:val="222222"/>
                <w:sz w:val="18"/>
                <w:szCs w:val="18"/>
                <w:shd w:val="clear" w:color="auto" w:fill="FFFFFF"/>
              </w:rPr>
              <w:t xml:space="preserve">included 136 patients with a BRCA1/2m and </w:t>
            </w:r>
            <w:r w:rsidRPr="00B737C4">
              <w:rPr>
                <w:rFonts w:cstheme="minorHAnsi"/>
                <w:bCs/>
                <w:color w:val="222222"/>
                <w:sz w:val="18"/>
                <w:szCs w:val="18"/>
                <w:shd w:val="clear" w:color="auto" w:fill="FFFFFF"/>
              </w:rPr>
              <w:t xml:space="preserve">118 patients with wild-type </w:t>
            </w:r>
            <w:proofErr w:type="spellStart"/>
            <w:r w:rsidRPr="00B737C4">
              <w:rPr>
                <w:rFonts w:cstheme="minorHAnsi"/>
                <w:bCs/>
                <w:color w:val="222222"/>
                <w:sz w:val="18"/>
                <w:szCs w:val="18"/>
                <w:shd w:val="clear" w:color="auto" w:fill="FFFFFF"/>
              </w:rPr>
              <w:t>BRCAm</w:t>
            </w:r>
            <w:proofErr w:type="spellEnd"/>
          </w:p>
        </w:tc>
        <w:tc>
          <w:tcPr>
            <w:tcW w:w="915" w:type="pct"/>
          </w:tcPr>
          <w:p w14:paraId="02F9944E" w14:textId="77777777" w:rsidR="00600BCD" w:rsidRPr="00C61D27" w:rsidRDefault="00600BCD" w:rsidP="00DD308E">
            <w:pPr>
              <w:rPr>
                <w:sz w:val="18"/>
                <w:szCs w:val="18"/>
              </w:rPr>
            </w:pPr>
            <w:r w:rsidRPr="00C61D27">
              <w:rPr>
                <w:sz w:val="18"/>
                <w:szCs w:val="18"/>
              </w:rPr>
              <w:t>Follow-up publication</w:t>
            </w:r>
          </w:p>
          <w:p w14:paraId="5E790A58" w14:textId="1EED430B" w:rsidR="002621BE" w:rsidRPr="00C61D27" w:rsidRDefault="00C61D27" w:rsidP="00DD308E">
            <w:pPr>
              <w:rPr>
                <w:bCs/>
                <w:sz w:val="18"/>
                <w:szCs w:val="18"/>
              </w:rPr>
            </w:pPr>
            <w:hyperlink r:id="rId20" w:history="1">
              <w:r w:rsidR="00600BCD" w:rsidRPr="00C61D27">
                <w:rPr>
                  <w:rStyle w:val="Hyperlink"/>
                  <w:bCs/>
                  <w:sz w:val="18"/>
                  <w:szCs w:val="18"/>
                </w:rPr>
                <w:t>https://www.nature.com/articles/s41416-018-0274-8</w:t>
              </w:r>
            </w:hyperlink>
          </w:p>
          <w:p w14:paraId="55D439E7" w14:textId="6CE669E3" w:rsidR="002621BE" w:rsidRPr="00C61D27" w:rsidRDefault="002621BE" w:rsidP="00DD308E">
            <w:pPr>
              <w:rPr>
                <w:bCs/>
                <w:sz w:val="18"/>
                <w:szCs w:val="18"/>
              </w:rPr>
            </w:pPr>
          </w:p>
        </w:tc>
        <w:tc>
          <w:tcPr>
            <w:tcW w:w="479" w:type="pct"/>
          </w:tcPr>
          <w:p w14:paraId="49BE4987" w14:textId="4CF2A5BF" w:rsidR="00DD308E" w:rsidRPr="002621BE" w:rsidRDefault="002621BE" w:rsidP="00DD308E">
            <w:pPr>
              <w:rPr>
                <w:bCs/>
                <w:sz w:val="18"/>
                <w:szCs w:val="18"/>
              </w:rPr>
            </w:pPr>
            <w:r w:rsidRPr="002621BE">
              <w:rPr>
                <w:bCs/>
                <w:sz w:val="18"/>
                <w:szCs w:val="18"/>
              </w:rPr>
              <w:t>October 2018</w:t>
            </w:r>
          </w:p>
        </w:tc>
      </w:tr>
      <w:tr w:rsidR="002621BE" w14:paraId="39BA48C3" w14:textId="77777777" w:rsidTr="00C61D27">
        <w:trPr>
          <w:cantSplit/>
        </w:trPr>
        <w:tc>
          <w:tcPr>
            <w:tcW w:w="151" w:type="pct"/>
          </w:tcPr>
          <w:p w14:paraId="0354E2A4" w14:textId="6909DC48" w:rsidR="002621BE" w:rsidRDefault="00096E57" w:rsidP="00DD308E">
            <w:pPr>
              <w:rPr>
                <w:szCs w:val="20"/>
              </w:rPr>
            </w:pPr>
            <w:r>
              <w:rPr>
                <w:szCs w:val="20"/>
              </w:rPr>
              <w:t>6.</w:t>
            </w:r>
          </w:p>
        </w:tc>
        <w:tc>
          <w:tcPr>
            <w:tcW w:w="610" w:type="pct"/>
          </w:tcPr>
          <w:p w14:paraId="6A874EFE" w14:textId="7AE7350A" w:rsidR="002621BE" w:rsidRPr="000279D8" w:rsidRDefault="00096E57" w:rsidP="00DD308E">
            <w:pPr>
              <w:rPr>
                <w:bCs/>
                <w:sz w:val="18"/>
                <w:szCs w:val="18"/>
              </w:rPr>
            </w:pPr>
            <w:r>
              <w:rPr>
                <w:bCs/>
                <w:sz w:val="18"/>
                <w:szCs w:val="18"/>
              </w:rPr>
              <w:t xml:space="preserve">Exploratory analysis based on comparative randomised phase 3, double-blind, </w:t>
            </w:r>
            <w:proofErr w:type="gramStart"/>
            <w:r>
              <w:rPr>
                <w:bCs/>
                <w:sz w:val="18"/>
                <w:szCs w:val="18"/>
              </w:rPr>
              <w:t>placebo controlled</w:t>
            </w:r>
            <w:proofErr w:type="gramEnd"/>
            <w:r>
              <w:rPr>
                <w:bCs/>
                <w:sz w:val="18"/>
                <w:szCs w:val="18"/>
              </w:rPr>
              <w:t xml:space="preserve"> trial.</w:t>
            </w:r>
          </w:p>
        </w:tc>
        <w:tc>
          <w:tcPr>
            <w:tcW w:w="1107" w:type="pct"/>
          </w:tcPr>
          <w:p w14:paraId="4E64BCB4" w14:textId="15AE1D21" w:rsidR="001628CB" w:rsidRPr="001628CB" w:rsidRDefault="001628CB" w:rsidP="001628CB">
            <w:pPr>
              <w:spacing w:before="0" w:after="0"/>
              <w:rPr>
                <w:rFonts w:ascii="Calibri" w:hAnsi="Calibri" w:cs="Calibri"/>
                <w:color w:val="000000"/>
                <w:sz w:val="18"/>
                <w:szCs w:val="18"/>
              </w:rPr>
            </w:pPr>
            <w:r w:rsidRPr="001628CB">
              <w:rPr>
                <w:rFonts w:ascii="Calibri" w:hAnsi="Calibri" w:cs="Calibri"/>
                <w:color w:val="000000"/>
                <w:sz w:val="18"/>
                <w:szCs w:val="18"/>
              </w:rPr>
              <w:t>DNA repair deficiencies in ovarian cancer: Genomic analysis of high grade serous ovarian tumo</w:t>
            </w:r>
            <w:r w:rsidR="00EF16F9">
              <w:rPr>
                <w:rFonts w:ascii="Calibri" w:hAnsi="Calibri" w:cs="Calibri"/>
                <w:color w:val="000000"/>
                <w:sz w:val="18"/>
                <w:szCs w:val="18"/>
              </w:rPr>
              <w:t>u</w:t>
            </w:r>
            <w:r w:rsidRPr="001628CB">
              <w:rPr>
                <w:rFonts w:ascii="Calibri" w:hAnsi="Calibri" w:cs="Calibri"/>
                <w:color w:val="000000"/>
                <w:sz w:val="18"/>
                <w:szCs w:val="18"/>
              </w:rPr>
              <w:t>rs from the NOVA study</w:t>
            </w:r>
            <w:r>
              <w:rPr>
                <w:rFonts w:ascii="Calibri" w:hAnsi="Calibri" w:cs="Calibri"/>
                <w:color w:val="000000"/>
                <w:sz w:val="18"/>
                <w:szCs w:val="18"/>
              </w:rPr>
              <w:t>.</w:t>
            </w:r>
          </w:p>
          <w:p w14:paraId="63EE66ED" w14:textId="77777777" w:rsidR="002621BE" w:rsidRPr="002621BE" w:rsidRDefault="002621BE" w:rsidP="006B348E">
            <w:pPr>
              <w:spacing w:before="0" w:after="0"/>
              <w:rPr>
                <w:rFonts w:ascii="Calibri" w:hAnsi="Calibri" w:cs="Calibri"/>
                <w:color w:val="000000"/>
                <w:sz w:val="18"/>
                <w:szCs w:val="18"/>
              </w:rPr>
            </w:pPr>
          </w:p>
        </w:tc>
        <w:tc>
          <w:tcPr>
            <w:tcW w:w="1738" w:type="pct"/>
          </w:tcPr>
          <w:p w14:paraId="3FF34C87" w14:textId="1D080D8C" w:rsidR="00C028A3" w:rsidRPr="00B677C8" w:rsidRDefault="00C028A3" w:rsidP="00C61D27">
            <w:pPr>
              <w:spacing w:before="60" w:after="60"/>
              <w:rPr>
                <w:rFonts w:cstheme="minorHAnsi"/>
                <w:color w:val="323232"/>
                <w:sz w:val="18"/>
                <w:szCs w:val="18"/>
                <w:shd w:val="clear" w:color="auto" w:fill="FFFFFF"/>
              </w:rPr>
            </w:pPr>
            <w:r w:rsidRPr="00B677C8">
              <w:rPr>
                <w:rFonts w:cstheme="minorHAnsi"/>
                <w:color w:val="323232"/>
                <w:sz w:val="18"/>
                <w:szCs w:val="18"/>
                <w:shd w:val="clear" w:color="auto" w:fill="FFFFFF"/>
              </w:rPr>
              <w:t>Genome wide analysis was conducted on tumo</w:t>
            </w:r>
            <w:r w:rsidR="00A22538" w:rsidRPr="00B677C8">
              <w:rPr>
                <w:rFonts w:cstheme="minorHAnsi"/>
                <w:color w:val="323232"/>
                <w:sz w:val="18"/>
                <w:szCs w:val="18"/>
                <w:shd w:val="clear" w:color="auto" w:fill="FFFFFF"/>
              </w:rPr>
              <w:t>u</w:t>
            </w:r>
            <w:r w:rsidRPr="00B677C8">
              <w:rPr>
                <w:rFonts w:cstheme="minorHAnsi"/>
                <w:color w:val="323232"/>
                <w:sz w:val="18"/>
                <w:szCs w:val="18"/>
                <w:shd w:val="clear" w:color="auto" w:fill="FFFFFF"/>
              </w:rPr>
              <w:t xml:space="preserve">rs obtained from patients enrolled in the NOVA study, a phase 3 clinical trial evaluating the PARP inhibitor niraparib as a maintenance treatment in patients with platinum sensitive ovarian cancer. Homologous recombination deficiency (HRD), sequence analysis of 43 genes involved in DNA damage response and other measures of genomic instability were evaluated. </w:t>
            </w:r>
          </w:p>
          <w:p w14:paraId="4BEF7E38" w14:textId="00689A47" w:rsidR="002621BE" w:rsidRPr="00600BCD" w:rsidRDefault="00600BCD" w:rsidP="00C61D27">
            <w:pPr>
              <w:spacing w:before="60" w:after="60"/>
            </w:pPr>
            <w:proofErr w:type="spellStart"/>
            <w:r>
              <w:rPr>
                <w:rFonts w:cstheme="minorHAnsi"/>
                <w:color w:val="222222"/>
                <w:sz w:val="18"/>
                <w:szCs w:val="18"/>
                <w:shd w:val="clear" w:color="auto" w:fill="FFFFFF"/>
              </w:rPr>
              <w:t>BRCAm</w:t>
            </w:r>
            <w:proofErr w:type="spellEnd"/>
            <w:r>
              <w:rPr>
                <w:rFonts w:cstheme="minorHAnsi"/>
                <w:color w:val="222222"/>
                <w:sz w:val="18"/>
                <w:szCs w:val="18"/>
                <w:shd w:val="clear" w:color="auto" w:fill="FFFFFF"/>
              </w:rPr>
              <w:t xml:space="preserve"> and HRD score obtained from 174 samples (68, </w:t>
            </w:r>
            <w:proofErr w:type="spellStart"/>
            <w:r>
              <w:rPr>
                <w:rFonts w:cstheme="minorHAnsi"/>
                <w:color w:val="222222"/>
                <w:sz w:val="18"/>
                <w:szCs w:val="18"/>
                <w:shd w:val="clear" w:color="auto" w:fill="FFFFFF"/>
              </w:rPr>
              <w:t>gBRCAm</w:t>
            </w:r>
            <w:proofErr w:type="spellEnd"/>
            <w:r>
              <w:rPr>
                <w:rFonts w:cstheme="minorHAnsi"/>
                <w:color w:val="222222"/>
                <w:sz w:val="18"/>
                <w:szCs w:val="18"/>
                <w:shd w:val="clear" w:color="auto" w:fill="FFFFFF"/>
              </w:rPr>
              <w:t xml:space="preserve"> and 106 non-</w:t>
            </w:r>
            <w:proofErr w:type="spellStart"/>
            <w:r>
              <w:rPr>
                <w:rFonts w:cstheme="minorHAnsi"/>
                <w:color w:val="222222"/>
                <w:sz w:val="18"/>
                <w:szCs w:val="18"/>
                <w:shd w:val="clear" w:color="auto" w:fill="FFFFFF"/>
              </w:rPr>
              <w:t>gBRCAm</w:t>
            </w:r>
            <w:proofErr w:type="spellEnd"/>
            <w:r>
              <w:rPr>
                <w:rFonts w:cstheme="minorHAnsi"/>
                <w:color w:val="222222"/>
                <w:sz w:val="18"/>
                <w:szCs w:val="18"/>
                <w:shd w:val="clear" w:color="auto" w:fill="FFFFFF"/>
              </w:rPr>
              <w:t>) In the non-</w:t>
            </w:r>
            <w:proofErr w:type="spellStart"/>
            <w:r>
              <w:rPr>
                <w:rFonts w:cstheme="minorHAnsi"/>
                <w:color w:val="222222"/>
                <w:sz w:val="18"/>
                <w:szCs w:val="18"/>
                <w:shd w:val="clear" w:color="auto" w:fill="FFFFFF"/>
              </w:rPr>
              <w:t>gBRCA</w:t>
            </w:r>
            <w:proofErr w:type="spellEnd"/>
          </w:p>
        </w:tc>
        <w:tc>
          <w:tcPr>
            <w:tcW w:w="915" w:type="pct"/>
          </w:tcPr>
          <w:p w14:paraId="0A037B42" w14:textId="77777777" w:rsidR="005E4E6B" w:rsidRPr="00C61D27" w:rsidRDefault="005E4E6B" w:rsidP="00DD308E">
            <w:pPr>
              <w:rPr>
                <w:sz w:val="18"/>
                <w:szCs w:val="18"/>
              </w:rPr>
            </w:pPr>
            <w:r w:rsidRPr="00C61D27">
              <w:rPr>
                <w:sz w:val="18"/>
                <w:szCs w:val="18"/>
              </w:rPr>
              <w:t>Follow-up publication</w:t>
            </w:r>
          </w:p>
          <w:p w14:paraId="6D4C788E" w14:textId="2DA859FB" w:rsidR="002621BE" w:rsidRPr="00C61D27" w:rsidRDefault="00C61D27" w:rsidP="00DD308E">
            <w:pPr>
              <w:rPr>
                <w:bCs/>
                <w:sz w:val="18"/>
                <w:szCs w:val="18"/>
              </w:rPr>
            </w:pPr>
            <w:hyperlink r:id="rId21" w:anchor="/search/results?subaction=viewrecord&amp;id=L72066921&amp;from=export" w:history="1">
              <w:r w:rsidR="005E4E6B" w:rsidRPr="00C61D27">
                <w:rPr>
                  <w:rStyle w:val="Hyperlink"/>
                  <w:bCs/>
                  <w:sz w:val="18"/>
                  <w:szCs w:val="18"/>
                </w:rPr>
                <w:t>https://www.embase.com/a/#/search/results?subaction=viewrecord&amp;id=L72066921&amp;from=export</w:t>
              </w:r>
            </w:hyperlink>
          </w:p>
          <w:p w14:paraId="3DCA084E" w14:textId="1C11ADFD" w:rsidR="00096E57" w:rsidRPr="00C61D27" w:rsidRDefault="00096E57" w:rsidP="00DD308E">
            <w:pPr>
              <w:rPr>
                <w:bCs/>
                <w:sz w:val="18"/>
                <w:szCs w:val="18"/>
              </w:rPr>
            </w:pPr>
          </w:p>
        </w:tc>
        <w:tc>
          <w:tcPr>
            <w:tcW w:w="479" w:type="pct"/>
          </w:tcPr>
          <w:p w14:paraId="0AAD69A3" w14:textId="10ADFFFB" w:rsidR="002621BE" w:rsidRPr="002621BE" w:rsidRDefault="00C028A3" w:rsidP="00DD308E">
            <w:pPr>
              <w:rPr>
                <w:bCs/>
                <w:sz w:val="18"/>
                <w:szCs w:val="18"/>
              </w:rPr>
            </w:pPr>
            <w:r>
              <w:rPr>
                <w:bCs/>
                <w:sz w:val="18"/>
                <w:szCs w:val="18"/>
              </w:rPr>
              <w:t>September 2015</w:t>
            </w:r>
          </w:p>
        </w:tc>
      </w:tr>
      <w:tr w:rsidR="00096E57" w14:paraId="4A1FBA61" w14:textId="77777777" w:rsidTr="00C61D27">
        <w:trPr>
          <w:cantSplit/>
        </w:trPr>
        <w:tc>
          <w:tcPr>
            <w:tcW w:w="151" w:type="pct"/>
          </w:tcPr>
          <w:p w14:paraId="5D8DDAFB" w14:textId="5C7D94C5" w:rsidR="00096E57" w:rsidRPr="00096E57" w:rsidRDefault="00096E57" w:rsidP="00DD308E">
            <w:pPr>
              <w:rPr>
                <w:sz w:val="18"/>
                <w:szCs w:val="18"/>
              </w:rPr>
            </w:pPr>
            <w:r w:rsidRPr="00096E57">
              <w:rPr>
                <w:sz w:val="18"/>
                <w:szCs w:val="18"/>
              </w:rPr>
              <w:t>7.</w:t>
            </w:r>
          </w:p>
        </w:tc>
        <w:tc>
          <w:tcPr>
            <w:tcW w:w="610" w:type="pct"/>
          </w:tcPr>
          <w:p w14:paraId="2616AB92" w14:textId="4A0A6EE5" w:rsidR="00096E57" w:rsidRDefault="00096E57" w:rsidP="00DD308E">
            <w:pPr>
              <w:rPr>
                <w:bCs/>
                <w:sz w:val="18"/>
                <w:szCs w:val="18"/>
              </w:rPr>
            </w:pPr>
            <w:r>
              <w:rPr>
                <w:bCs/>
                <w:sz w:val="18"/>
                <w:szCs w:val="18"/>
              </w:rPr>
              <w:t>Diagnostic study</w:t>
            </w:r>
          </w:p>
        </w:tc>
        <w:tc>
          <w:tcPr>
            <w:tcW w:w="1107" w:type="pct"/>
          </w:tcPr>
          <w:p w14:paraId="486CE460" w14:textId="77777777" w:rsidR="00096E57" w:rsidRPr="00096E57" w:rsidRDefault="00096E57" w:rsidP="00096E57">
            <w:pPr>
              <w:spacing w:before="0" w:after="0"/>
              <w:rPr>
                <w:rFonts w:ascii="Calibri" w:hAnsi="Calibri" w:cs="Calibri"/>
                <w:color w:val="000000"/>
                <w:sz w:val="18"/>
                <w:szCs w:val="18"/>
              </w:rPr>
            </w:pPr>
            <w:r w:rsidRPr="00096E57">
              <w:rPr>
                <w:rFonts w:ascii="Calibri" w:hAnsi="Calibri" w:cs="Calibri"/>
                <w:color w:val="000000"/>
                <w:sz w:val="18"/>
                <w:szCs w:val="18"/>
              </w:rPr>
              <w:t>Homologous recombination deficiency status-based classification of high-grade serous ovarian carcinoma</w:t>
            </w:r>
          </w:p>
          <w:p w14:paraId="4EC0D874" w14:textId="77777777" w:rsidR="00096E57" w:rsidRPr="001628CB" w:rsidRDefault="00096E57" w:rsidP="001628CB">
            <w:pPr>
              <w:spacing w:before="0" w:after="0"/>
              <w:rPr>
                <w:rFonts w:ascii="Calibri" w:hAnsi="Calibri" w:cs="Calibri"/>
                <w:color w:val="000000"/>
                <w:sz w:val="18"/>
                <w:szCs w:val="18"/>
              </w:rPr>
            </w:pPr>
          </w:p>
        </w:tc>
        <w:tc>
          <w:tcPr>
            <w:tcW w:w="1738" w:type="pct"/>
          </w:tcPr>
          <w:p w14:paraId="7A20F6D2" w14:textId="77777777" w:rsidR="00096E57" w:rsidRDefault="00A30F79" w:rsidP="00C61D27">
            <w:pPr>
              <w:spacing w:before="60" w:after="60"/>
              <w:rPr>
                <w:rFonts w:cstheme="minorHAnsi"/>
                <w:color w:val="323232"/>
                <w:sz w:val="18"/>
                <w:szCs w:val="18"/>
                <w:shd w:val="clear" w:color="auto" w:fill="FFFFFF"/>
              </w:rPr>
            </w:pPr>
            <w:r w:rsidRPr="00A30F79">
              <w:rPr>
                <w:rFonts w:cstheme="minorHAnsi"/>
                <w:color w:val="323232"/>
                <w:sz w:val="18"/>
                <w:szCs w:val="18"/>
                <w:shd w:val="clear" w:color="auto" w:fill="FFFFFF"/>
              </w:rPr>
              <w:t>This study obtained data from The Cancer Genome Atlas (TCGA) on HGSOC and identified scores for the loss of heterozygosity, telomeric allelic imbalance, and large-scale state transitions, and calculated the HRD score. The authors investigated the relationships among the score, genetic/epigenetic alterations in HRR-related genes, and the clinical data. </w:t>
            </w:r>
          </w:p>
          <w:p w14:paraId="573CC0DE" w14:textId="48E1DDFA" w:rsidR="005E4E6B" w:rsidRPr="00A30F79" w:rsidRDefault="005E4E6B" w:rsidP="00C61D27">
            <w:pPr>
              <w:spacing w:before="60" w:after="60"/>
              <w:rPr>
                <w:rFonts w:cstheme="minorHAnsi"/>
                <w:sz w:val="18"/>
                <w:szCs w:val="18"/>
              </w:rPr>
            </w:pPr>
            <w:r>
              <w:rPr>
                <w:rFonts w:cstheme="minorHAnsi"/>
                <w:color w:val="323232"/>
                <w:sz w:val="18"/>
                <w:szCs w:val="18"/>
                <w:shd w:val="clear" w:color="auto" w:fill="FFFFFF"/>
              </w:rPr>
              <w:t>N=1257 combined breast and ovarian cases</w:t>
            </w:r>
          </w:p>
        </w:tc>
        <w:tc>
          <w:tcPr>
            <w:tcW w:w="915" w:type="pct"/>
          </w:tcPr>
          <w:p w14:paraId="09CF4592" w14:textId="77777777" w:rsidR="005E4E6B" w:rsidRPr="00C61D27" w:rsidRDefault="005E4E6B" w:rsidP="00DD308E">
            <w:pPr>
              <w:rPr>
                <w:sz w:val="18"/>
                <w:szCs w:val="18"/>
              </w:rPr>
            </w:pPr>
            <w:r w:rsidRPr="00C61D27">
              <w:rPr>
                <w:sz w:val="18"/>
                <w:szCs w:val="18"/>
              </w:rPr>
              <w:t>Initial publication</w:t>
            </w:r>
          </w:p>
          <w:p w14:paraId="799CF7F8" w14:textId="2ECD91B0" w:rsidR="00096E57" w:rsidRPr="00C61D27" w:rsidRDefault="00C61D27" w:rsidP="00DD308E">
            <w:pPr>
              <w:rPr>
                <w:bCs/>
                <w:sz w:val="18"/>
                <w:szCs w:val="18"/>
              </w:rPr>
            </w:pPr>
            <w:hyperlink r:id="rId22" w:history="1">
              <w:r w:rsidR="005E4E6B" w:rsidRPr="00C61D27">
                <w:rPr>
                  <w:rStyle w:val="Hyperlink"/>
                  <w:bCs/>
                  <w:sz w:val="18"/>
                  <w:szCs w:val="18"/>
                </w:rPr>
                <w:t>https://www.nature.com/articles/s41598-020-59671-3</w:t>
              </w:r>
            </w:hyperlink>
          </w:p>
          <w:p w14:paraId="50BFDF9C" w14:textId="7480507E" w:rsidR="00A30F79" w:rsidRPr="00C61D27" w:rsidRDefault="00A30F79" w:rsidP="00DD308E">
            <w:pPr>
              <w:rPr>
                <w:bCs/>
                <w:sz w:val="18"/>
                <w:szCs w:val="18"/>
              </w:rPr>
            </w:pPr>
          </w:p>
        </w:tc>
        <w:tc>
          <w:tcPr>
            <w:tcW w:w="479" w:type="pct"/>
          </w:tcPr>
          <w:p w14:paraId="6BF25124" w14:textId="7CDB1301" w:rsidR="00096E57" w:rsidRDefault="00096E57" w:rsidP="00DD308E">
            <w:pPr>
              <w:rPr>
                <w:bCs/>
                <w:sz w:val="18"/>
                <w:szCs w:val="18"/>
              </w:rPr>
            </w:pPr>
            <w:r>
              <w:rPr>
                <w:bCs/>
                <w:sz w:val="18"/>
                <w:szCs w:val="18"/>
              </w:rPr>
              <w:t>October 2020</w:t>
            </w:r>
          </w:p>
        </w:tc>
      </w:tr>
      <w:tr w:rsidR="00A30F79" w14:paraId="4194D209" w14:textId="77777777" w:rsidTr="00C61D27">
        <w:trPr>
          <w:cantSplit/>
        </w:trPr>
        <w:tc>
          <w:tcPr>
            <w:tcW w:w="151" w:type="pct"/>
          </w:tcPr>
          <w:p w14:paraId="5D71A5A1" w14:textId="738047D7" w:rsidR="00A30F79" w:rsidRPr="00096E57" w:rsidRDefault="00113E62" w:rsidP="00DD308E">
            <w:pPr>
              <w:rPr>
                <w:sz w:val="18"/>
                <w:szCs w:val="18"/>
              </w:rPr>
            </w:pPr>
            <w:r>
              <w:rPr>
                <w:sz w:val="18"/>
                <w:szCs w:val="18"/>
              </w:rPr>
              <w:t>8.</w:t>
            </w:r>
          </w:p>
        </w:tc>
        <w:tc>
          <w:tcPr>
            <w:tcW w:w="610" w:type="pct"/>
          </w:tcPr>
          <w:p w14:paraId="6BEBF6B7" w14:textId="114C24AF" w:rsidR="00A30F79" w:rsidRDefault="00113E62" w:rsidP="00DD308E">
            <w:pPr>
              <w:rPr>
                <w:bCs/>
                <w:sz w:val="18"/>
                <w:szCs w:val="18"/>
              </w:rPr>
            </w:pPr>
            <w:r>
              <w:rPr>
                <w:bCs/>
                <w:sz w:val="18"/>
                <w:szCs w:val="18"/>
              </w:rPr>
              <w:t>Diagnostic study</w:t>
            </w:r>
          </w:p>
        </w:tc>
        <w:tc>
          <w:tcPr>
            <w:tcW w:w="1107" w:type="pct"/>
          </w:tcPr>
          <w:p w14:paraId="1F41B0B7" w14:textId="0BB85D45" w:rsidR="00113E62" w:rsidRPr="00113E62" w:rsidRDefault="00113E62" w:rsidP="00113E62">
            <w:pPr>
              <w:spacing w:before="0" w:after="0"/>
              <w:rPr>
                <w:rFonts w:cstheme="minorHAnsi"/>
                <w:color w:val="323232"/>
                <w:sz w:val="18"/>
                <w:szCs w:val="18"/>
                <w:shd w:val="clear" w:color="auto" w:fill="FFFFFF"/>
              </w:rPr>
            </w:pPr>
            <w:r w:rsidRPr="00113E62">
              <w:rPr>
                <w:rFonts w:cstheme="minorHAnsi"/>
                <w:color w:val="323232"/>
                <w:sz w:val="18"/>
                <w:szCs w:val="18"/>
                <w:shd w:val="clear" w:color="auto" w:fill="FFFFFF"/>
              </w:rPr>
              <w:t>Association of BRCA1/2defects with genomic scores predictive of DNA damage repair deficiency among breast cancer subtypes</w:t>
            </w:r>
          </w:p>
          <w:p w14:paraId="5664CA88" w14:textId="77777777" w:rsidR="00A30F79" w:rsidRPr="00096E57" w:rsidRDefault="00A30F79" w:rsidP="00096E57">
            <w:pPr>
              <w:spacing w:before="0" w:after="0"/>
              <w:rPr>
                <w:rFonts w:ascii="Calibri" w:hAnsi="Calibri" w:cs="Calibri"/>
                <w:color w:val="000000"/>
                <w:sz w:val="18"/>
                <w:szCs w:val="18"/>
              </w:rPr>
            </w:pPr>
          </w:p>
        </w:tc>
        <w:tc>
          <w:tcPr>
            <w:tcW w:w="1738" w:type="pct"/>
          </w:tcPr>
          <w:p w14:paraId="5F56A639" w14:textId="58FC6F5A" w:rsidR="00A30F79" w:rsidRDefault="00113E62" w:rsidP="00C61D27">
            <w:pPr>
              <w:spacing w:before="60" w:after="60"/>
              <w:rPr>
                <w:rFonts w:cstheme="minorHAnsi"/>
                <w:color w:val="323232"/>
                <w:sz w:val="18"/>
                <w:szCs w:val="18"/>
                <w:shd w:val="clear" w:color="auto" w:fill="FFFFFF"/>
              </w:rPr>
            </w:pPr>
            <w:r w:rsidRPr="00113E62">
              <w:rPr>
                <w:rFonts w:cstheme="minorHAnsi"/>
                <w:color w:val="323232"/>
                <w:sz w:val="18"/>
                <w:szCs w:val="18"/>
                <w:shd w:val="clear" w:color="auto" w:fill="FFFFFF"/>
              </w:rPr>
              <w:t>This study examines the frequency of BRCA1/2 defects among different breast cancer subtypes, and the ability of the HRD scores to identify breast tumo</w:t>
            </w:r>
            <w:r w:rsidR="00A22538">
              <w:rPr>
                <w:rFonts w:cstheme="minorHAnsi"/>
                <w:color w:val="323232"/>
                <w:sz w:val="18"/>
                <w:szCs w:val="18"/>
                <w:shd w:val="clear" w:color="auto" w:fill="FFFFFF"/>
              </w:rPr>
              <w:t>u</w:t>
            </w:r>
            <w:r w:rsidRPr="00113E62">
              <w:rPr>
                <w:rFonts w:cstheme="minorHAnsi"/>
                <w:color w:val="323232"/>
                <w:sz w:val="18"/>
                <w:szCs w:val="18"/>
                <w:shd w:val="clear" w:color="auto" w:fill="FFFFFF"/>
              </w:rPr>
              <w:t>rs with defects in the homologous recombination DNA repair pathway</w:t>
            </w:r>
            <w:r>
              <w:rPr>
                <w:rFonts w:cstheme="minorHAnsi"/>
                <w:color w:val="323232"/>
                <w:sz w:val="18"/>
                <w:szCs w:val="18"/>
                <w:shd w:val="clear" w:color="auto" w:fill="FFFFFF"/>
              </w:rPr>
              <w:t>.</w:t>
            </w:r>
          </w:p>
          <w:p w14:paraId="1A33C847" w14:textId="77777777" w:rsidR="005E4E6B" w:rsidRDefault="005E4E6B" w:rsidP="00C61D27">
            <w:pPr>
              <w:spacing w:before="60" w:after="60"/>
              <w:rPr>
                <w:rFonts w:cstheme="minorHAnsi"/>
                <w:color w:val="323232"/>
                <w:sz w:val="18"/>
                <w:szCs w:val="18"/>
                <w:shd w:val="clear" w:color="auto" w:fill="FFFFFF"/>
              </w:rPr>
            </w:pPr>
            <w:r>
              <w:rPr>
                <w:rFonts w:cstheme="minorHAnsi"/>
                <w:color w:val="323232"/>
                <w:sz w:val="18"/>
                <w:szCs w:val="18"/>
                <w:shd w:val="clear" w:color="auto" w:fill="FFFFFF"/>
              </w:rPr>
              <w:t>HRD algorithm included in the study as follows:</w:t>
            </w:r>
          </w:p>
          <w:p w14:paraId="4F971107" w14:textId="77777777" w:rsidR="005E4E6B" w:rsidRDefault="005E4E6B" w:rsidP="00C61D27">
            <w:pPr>
              <w:spacing w:before="60" w:after="60"/>
              <w:rPr>
                <w:rFonts w:cstheme="minorHAnsi"/>
                <w:color w:val="323232"/>
                <w:sz w:val="18"/>
                <w:szCs w:val="18"/>
                <w:shd w:val="clear" w:color="auto" w:fill="FFFFFF"/>
              </w:rPr>
            </w:pPr>
            <w:r>
              <w:rPr>
                <w:rFonts w:cstheme="minorHAnsi"/>
                <w:color w:val="323232"/>
                <w:sz w:val="18"/>
                <w:szCs w:val="18"/>
                <w:shd w:val="clear" w:color="auto" w:fill="FFFFFF"/>
              </w:rPr>
              <w:t>HRD-model= 0.11xHRD-LOH + 0.25xHRD-TAI + 0.12xLST</w:t>
            </w:r>
          </w:p>
          <w:p w14:paraId="73BAAD94" w14:textId="71750D16" w:rsidR="005E4E6B" w:rsidRPr="00A30F79" w:rsidRDefault="005E4E6B" w:rsidP="00C61D27">
            <w:pPr>
              <w:spacing w:before="60" w:after="60"/>
              <w:rPr>
                <w:rFonts w:cstheme="minorHAnsi"/>
                <w:color w:val="323232"/>
                <w:sz w:val="18"/>
                <w:szCs w:val="18"/>
                <w:shd w:val="clear" w:color="auto" w:fill="FFFFFF"/>
              </w:rPr>
            </w:pPr>
            <w:r>
              <w:rPr>
                <w:rFonts w:cstheme="minorHAnsi"/>
                <w:color w:val="323232"/>
                <w:sz w:val="18"/>
                <w:szCs w:val="18"/>
                <w:shd w:val="clear" w:color="auto" w:fill="FFFFFF"/>
              </w:rPr>
              <w:t>N=215 breast tumour samples included in analysis</w:t>
            </w:r>
          </w:p>
        </w:tc>
        <w:tc>
          <w:tcPr>
            <w:tcW w:w="915" w:type="pct"/>
          </w:tcPr>
          <w:p w14:paraId="5BABD547" w14:textId="7530D7D6" w:rsidR="00FF4063" w:rsidRPr="00C61D27" w:rsidRDefault="005E4E6B" w:rsidP="00DD308E">
            <w:pPr>
              <w:rPr>
                <w:sz w:val="18"/>
                <w:szCs w:val="18"/>
              </w:rPr>
            </w:pPr>
            <w:r w:rsidRPr="00C61D27">
              <w:rPr>
                <w:sz w:val="18"/>
                <w:szCs w:val="18"/>
              </w:rPr>
              <w:t>Initial publication</w:t>
            </w:r>
          </w:p>
          <w:p w14:paraId="4456E3B5" w14:textId="77FDB8EA" w:rsidR="00A30F79" w:rsidRPr="00C61D27" w:rsidRDefault="00C61D27" w:rsidP="00DD308E">
            <w:pPr>
              <w:rPr>
                <w:bCs/>
                <w:sz w:val="18"/>
                <w:szCs w:val="18"/>
              </w:rPr>
            </w:pPr>
            <w:hyperlink r:id="rId23" w:history="1">
              <w:r w:rsidR="00FF4063" w:rsidRPr="00C61D27">
                <w:rPr>
                  <w:rStyle w:val="Hyperlink"/>
                  <w:bCs/>
                  <w:sz w:val="18"/>
                  <w:szCs w:val="18"/>
                </w:rPr>
                <w:t>https://breast-cancer-research.biomedcentral.com/articles/10.1186/s13058-014-0475-x</w:t>
              </w:r>
            </w:hyperlink>
          </w:p>
          <w:p w14:paraId="5BA1EF5D" w14:textId="2947D8DA" w:rsidR="00113E62" w:rsidRPr="00C61D27" w:rsidRDefault="00113E62" w:rsidP="00DD308E">
            <w:pPr>
              <w:rPr>
                <w:bCs/>
                <w:sz w:val="18"/>
                <w:szCs w:val="18"/>
              </w:rPr>
            </w:pPr>
          </w:p>
        </w:tc>
        <w:tc>
          <w:tcPr>
            <w:tcW w:w="479" w:type="pct"/>
          </w:tcPr>
          <w:p w14:paraId="6E68B280" w14:textId="0461AF7D" w:rsidR="00A30F79" w:rsidRDefault="00113E62" w:rsidP="00DD308E">
            <w:pPr>
              <w:rPr>
                <w:bCs/>
                <w:sz w:val="18"/>
                <w:szCs w:val="18"/>
              </w:rPr>
            </w:pPr>
            <w:r>
              <w:rPr>
                <w:bCs/>
                <w:sz w:val="18"/>
                <w:szCs w:val="18"/>
              </w:rPr>
              <w:t>December 2014</w:t>
            </w:r>
          </w:p>
        </w:tc>
      </w:tr>
      <w:tr w:rsidR="00113E62" w14:paraId="7B12CAD6" w14:textId="77777777" w:rsidTr="00C61D27">
        <w:trPr>
          <w:cantSplit/>
        </w:trPr>
        <w:tc>
          <w:tcPr>
            <w:tcW w:w="151" w:type="pct"/>
          </w:tcPr>
          <w:p w14:paraId="2CA673EB" w14:textId="5FF373F0" w:rsidR="00113E62" w:rsidRDefault="00113E62" w:rsidP="00DD308E">
            <w:pPr>
              <w:rPr>
                <w:sz w:val="18"/>
                <w:szCs w:val="18"/>
              </w:rPr>
            </w:pPr>
            <w:r>
              <w:rPr>
                <w:sz w:val="18"/>
                <w:szCs w:val="18"/>
              </w:rPr>
              <w:t>9.</w:t>
            </w:r>
          </w:p>
        </w:tc>
        <w:tc>
          <w:tcPr>
            <w:tcW w:w="610" w:type="pct"/>
          </w:tcPr>
          <w:p w14:paraId="08B9CAF4" w14:textId="5244300B" w:rsidR="00113E62" w:rsidRDefault="00E14A74" w:rsidP="00E14A74">
            <w:pPr>
              <w:spacing w:before="0" w:after="0"/>
              <w:rPr>
                <w:bCs/>
                <w:sz w:val="18"/>
                <w:szCs w:val="18"/>
              </w:rPr>
            </w:pPr>
            <w:r>
              <w:rPr>
                <w:rFonts w:ascii="Segoe UI" w:hAnsi="Segoe UI" w:cs="Segoe UI"/>
                <w:color w:val="212121"/>
                <w:sz w:val="16"/>
                <w:szCs w:val="16"/>
              </w:rPr>
              <w:t xml:space="preserve"> Diagnostic study</w:t>
            </w:r>
          </w:p>
        </w:tc>
        <w:tc>
          <w:tcPr>
            <w:tcW w:w="1107" w:type="pct"/>
          </w:tcPr>
          <w:p w14:paraId="5AABAF2E" w14:textId="2CFEFE8B" w:rsidR="00113E62" w:rsidRPr="00113E62" w:rsidRDefault="00E14A74" w:rsidP="00113E62">
            <w:pPr>
              <w:spacing w:before="0" w:after="0"/>
              <w:rPr>
                <w:rFonts w:cstheme="minorHAnsi"/>
                <w:color w:val="323232"/>
                <w:sz w:val="18"/>
                <w:szCs w:val="18"/>
                <w:shd w:val="clear" w:color="auto" w:fill="FFFFFF"/>
              </w:rPr>
            </w:pPr>
            <w:r>
              <w:rPr>
                <w:rFonts w:ascii="Segoe UI" w:hAnsi="Segoe UI" w:cs="Segoe UI"/>
                <w:color w:val="212121"/>
                <w:sz w:val="16"/>
                <w:szCs w:val="16"/>
              </w:rPr>
              <w:t>Homologous Recombination Deficiency (HRD) Score Predicts Response to Platinum-Containing Neoadjuvant Chemotherapy in Patients with Triple-Negative Breast Cancer.</w:t>
            </w:r>
          </w:p>
        </w:tc>
        <w:tc>
          <w:tcPr>
            <w:tcW w:w="1738" w:type="pct"/>
          </w:tcPr>
          <w:p w14:paraId="02492720" w14:textId="77777777" w:rsidR="00113E62" w:rsidRDefault="00E14A74" w:rsidP="00C61D27">
            <w:pPr>
              <w:spacing w:before="60" w:after="60"/>
              <w:rPr>
                <w:rFonts w:cstheme="minorHAnsi"/>
                <w:color w:val="323232"/>
                <w:sz w:val="18"/>
                <w:szCs w:val="18"/>
                <w:shd w:val="clear" w:color="auto" w:fill="FFFFFF"/>
              </w:rPr>
            </w:pPr>
            <w:r>
              <w:rPr>
                <w:rFonts w:cstheme="minorHAnsi"/>
                <w:color w:val="323232"/>
                <w:sz w:val="18"/>
                <w:szCs w:val="18"/>
                <w:shd w:val="clear" w:color="auto" w:fill="FFFFFF"/>
              </w:rPr>
              <w:t xml:space="preserve">This study </w:t>
            </w:r>
            <w:r>
              <w:rPr>
                <w:rFonts w:ascii="Segoe UI" w:hAnsi="Segoe UI" w:cs="Segoe UI"/>
                <w:color w:val="212121"/>
                <w:shd w:val="clear" w:color="auto" w:fill="FFFFFF"/>
              </w:rPr>
              <w:t xml:space="preserve"> </w:t>
            </w:r>
            <w:r w:rsidRPr="00E14A74">
              <w:rPr>
                <w:rFonts w:cstheme="minorHAnsi"/>
                <w:color w:val="323232"/>
                <w:sz w:val="18"/>
                <w:szCs w:val="18"/>
                <w:shd w:val="clear" w:color="auto" w:fill="FFFFFF"/>
              </w:rPr>
              <w:t>assessed a combined homologous recombination deficiency (HRD) score, an unweighted sum of LOH, TAI, and LST scores, in three neoadjuvant TNBC trials of platinum-containing therapy. We then tested the association of HR deficiency, defined as HRD score ≥42 or BRCA1/2 mutation, with response to platinum-based therapy.</w:t>
            </w:r>
          </w:p>
          <w:p w14:paraId="076C6EED" w14:textId="5283E7D4" w:rsidR="00FF4063" w:rsidRPr="00113E62" w:rsidRDefault="00FF4063" w:rsidP="00C61D27">
            <w:pPr>
              <w:spacing w:before="60" w:after="60"/>
              <w:rPr>
                <w:rFonts w:cstheme="minorHAnsi"/>
                <w:color w:val="323232"/>
                <w:sz w:val="18"/>
                <w:szCs w:val="18"/>
                <w:shd w:val="clear" w:color="auto" w:fill="FFFFFF"/>
              </w:rPr>
            </w:pPr>
            <w:r>
              <w:rPr>
                <w:rFonts w:cstheme="minorHAnsi"/>
                <w:color w:val="323232"/>
                <w:sz w:val="18"/>
                <w:szCs w:val="18"/>
                <w:shd w:val="clear" w:color="auto" w:fill="FFFFFF"/>
              </w:rPr>
              <w:t>Cohort based on 497 Breast and 561 ovarian chemotherapy-naïve tumours with know BRCA1/2 status</w:t>
            </w:r>
          </w:p>
        </w:tc>
        <w:tc>
          <w:tcPr>
            <w:tcW w:w="915" w:type="pct"/>
          </w:tcPr>
          <w:p w14:paraId="7DB52955" w14:textId="77777777" w:rsidR="00FF4063" w:rsidRPr="00C61D27" w:rsidRDefault="00FF4063" w:rsidP="00FF4063">
            <w:pPr>
              <w:spacing w:before="0" w:after="0"/>
              <w:rPr>
                <w:sz w:val="18"/>
                <w:szCs w:val="18"/>
              </w:rPr>
            </w:pPr>
            <w:r w:rsidRPr="00C61D27">
              <w:rPr>
                <w:sz w:val="18"/>
                <w:szCs w:val="18"/>
              </w:rPr>
              <w:t>Initial publication based on published clinical trials (NCT00148694, NCT00580333, NCT00813956)</w:t>
            </w:r>
          </w:p>
          <w:p w14:paraId="538AD323" w14:textId="77777777" w:rsidR="00FF4063" w:rsidRPr="00C61D27" w:rsidRDefault="00FF4063" w:rsidP="00E14A74">
            <w:pPr>
              <w:spacing w:before="0" w:after="0"/>
              <w:rPr>
                <w:sz w:val="18"/>
                <w:szCs w:val="18"/>
              </w:rPr>
            </w:pPr>
          </w:p>
          <w:p w14:paraId="46A6EC0B" w14:textId="45E73FE3" w:rsidR="00E14A74" w:rsidRPr="00C61D27" w:rsidRDefault="00C61D27" w:rsidP="00E14A74">
            <w:pPr>
              <w:spacing w:before="0" w:after="0"/>
              <w:rPr>
                <w:rFonts w:ascii="Calibri" w:hAnsi="Calibri" w:cs="Calibri"/>
                <w:color w:val="0563C1"/>
                <w:sz w:val="18"/>
                <w:szCs w:val="18"/>
                <w:u w:val="single"/>
              </w:rPr>
            </w:pPr>
            <w:hyperlink r:id="rId24" w:history="1">
              <w:r w:rsidR="00E14A74" w:rsidRPr="00C61D27">
                <w:rPr>
                  <w:rStyle w:val="Hyperlink"/>
                  <w:rFonts w:ascii="Calibri" w:hAnsi="Calibri" w:cs="Calibri"/>
                  <w:sz w:val="18"/>
                  <w:szCs w:val="18"/>
                </w:rPr>
                <w:t>https://doi.org/10.1158/1078-0432.ccr-15-2477</w:t>
              </w:r>
            </w:hyperlink>
          </w:p>
          <w:p w14:paraId="65E82D32" w14:textId="77777777" w:rsidR="00113E62" w:rsidRPr="00C61D27" w:rsidRDefault="00113E62" w:rsidP="00DD308E">
            <w:pPr>
              <w:rPr>
                <w:bCs/>
                <w:sz w:val="18"/>
                <w:szCs w:val="18"/>
              </w:rPr>
            </w:pPr>
          </w:p>
        </w:tc>
        <w:tc>
          <w:tcPr>
            <w:tcW w:w="479" w:type="pct"/>
          </w:tcPr>
          <w:p w14:paraId="171AD2B9" w14:textId="42CF6772" w:rsidR="00113E62" w:rsidRDefault="00E14A74" w:rsidP="00DD308E">
            <w:pPr>
              <w:rPr>
                <w:bCs/>
                <w:sz w:val="18"/>
                <w:szCs w:val="18"/>
              </w:rPr>
            </w:pPr>
            <w:r>
              <w:rPr>
                <w:bCs/>
                <w:sz w:val="18"/>
                <w:szCs w:val="18"/>
              </w:rPr>
              <w:t>March 2016</w:t>
            </w:r>
          </w:p>
        </w:tc>
      </w:tr>
      <w:tr w:rsidR="00E14A74" w14:paraId="1E50639D" w14:textId="77777777" w:rsidTr="00C61D27">
        <w:trPr>
          <w:cantSplit/>
        </w:trPr>
        <w:tc>
          <w:tcPr>
            <w:tcW w:w="151" w:type="pct"/>
          </w:tcPr>
          <w:p w14:paraId="34A3BF31" w14:textId="6F9AF3FF" w:rsidR="00E14A74" w:rsidRDefault="00E14A74" w:rsidP="00DD308E">
            <w:pPr>
              <w:rPr>
                <w:sz w:val="18"/>
                <w:szCs w:val="18"/>
              </w:rPr>
            </w:pPr>
            <w:r>
              <w:rPr>
                <w:sz w:val="18"/>
                <w:szCs w:val="18"/>
              </w:rPr>
              <w:t>10.</w:t>
            </w:r>
          </w:p>
        </w:tc>
        <w:tc>
          <w:tcPr>
            <w:tcW w:w="610" w:type="pct"/>
          </w:tcPr>
          <w:p w14:paraId="08EA9A7D" w14:textId="68D31515" w:rsidR="00E14A74" w:rsidRDefault="00E14A74" w:rsidP="00E14A74">
            <w:pPr>
              <w:spacing w:before="0" w:after="0"/>
              <w:rPr>
                <w:rFonts w:ascii="Segoe UI" w:hAnsi="Segoe UI" w:cs="Segoe UI"/>
                <w:color w:val="212121"/>
                <w:sz w:val="16"/>
                <w:szCs w:val="16"/>
              </w:rPr>
            </w:pPr>
            <w:r>
              <w:rPr>
                <w:rFonts w:ascii="Segoe UI" w:hAnsi="Segoe UI" w:cs="Segoe UI"/>
                <w:color w:val="212121"/>
                <w:sz w:val="16"/>
                <w:szCs w:val="16"/>
              </w:rPr>
              <w:t>Review</w:t>
            </w:r>
          </w:p>
        </w:tc>
        <w:tc>
          <w:tcPr>
            <w:tcW w:w="1107" w:type="pct"/>
          </w:tcPr>
          <w:p w14:paraId="2B355F2A" w14:textId="20CC5B7C" w:rsidR="00E14A74" w:rsidRDefault="00E14A74" w:rsidP="00CE5AB4">
            <w:pPr>
              <w:spacing w:before="0" w:after="0"/>
              <w:rPr>
                <w:rFonts w:ascii="Segoe UI" w:hAnsi="Segoe UI" w:cs="Segoe UI"/>
                <w:color w:val="212121"/>
                <w:sz w:val="16"/>
                <w:szCs w:val="16"/>
              </w:rPr>
            </w:pPr>
            <w:r>
              <w:rPr>
                <w:rFonts w:ascii="Segoe UI" w:hAnsi="Segoe UI" w:cs="Segoe UI"/>
                <w:color w:val="333333"/>
                <w:sz w:val="16"/>
                <w:szCs w:val="16"/>
              </w:rPr>
              <w:t>Genomic scars as biomarkers of homologous recombination deficiency and drug response in breast and ovarian cancers. </w:t>
            </w:r>
            <w:r w:rsidR="00CE5AB4">
              <w:rPr>
                <w:rFonts w:ascii="Segoe UI" w:hAnsi="Segoe UI" w:cs="Segoe UI"/>
                <w:color w:val="212121"/>
                <w:sz w:val="16"/>
                <w:szCs w:val="16"/>
              </w:rPr>
              <w:t xml:space="preserve"> </w:t>
            </w:r>
          </w:p>
        </w:tc>
        <w:tc>
          <w:tcPr>
            <w:tcW w:w="1738" w:type="pct"/>
          </w:tcPr>
          <w:p w14:paraId="3990991D" w14:textId="379E902E" w:rsidR="00E14A74" w:rsidRDefault="00CE5AB4" w:rsidP="00C61D27">
            <w:pPr>
              <w:spacing w:before="60" w:after="60"/>
              <w:rPr>
                <w:rFonts w:cstheme="minorHAnsi"/>
                <w:color w:val="323232"/>
                <w:sz w:val="18"/>
                <w:szCs w:val="18"/>
                <w:shd w:val="clear" w:color="auto" w:fill="FFFFFF"/>
              </w:rPr>
            </w:pPr>
            <w:r>
              <w:rPr>
                <w:rFonts w:cstheme="minorHAnsi"/>
                <w:color w:val="323232"/>
                <w:sz w:val="18"/>
                <w:szCs w:val="18"/>
                <w:shd w:val="clear" w:color="auto" w:fill="FFFFFF"/>
              </w:rPr>
              <w:t xml:space="preserve">The authors propose the </w:t>
            </w:r>
            <w:r w:rsidRPr="00CE5AB4">
              <w:rPr>
                <w:rFonts w:cstheme="minorHAnsi"/>
                <w:color w:val="323232"/>
                <w:sz w:val="18"/>
                <w:szCs w:val="18"/>
                <w:shd w:val="clear" w:color="auto" w:fill="FFFFFF"/>
              </w:rPr>
              <w:t>integration of a genomic scar-based biomarker with a marker of resistance in a high genomic scarring burden context may improve the performance of any companion diagnostic for PARP inhibitors.</w:t>
            </w:r>
          </w:p>
        </w:tc>
        <w:tc>
          <w:tcPr>
            <w:tcW w:w="915" w:type="pct"/>
          </w:tcPr>
          <w:p w14:paraId="35E12D08" w14:textId="77777777" w:rsidR="00B677C8" w:rsidRPr="00C61D27" w:rsidRDefault="00B677C8" w:rsidP="00B614B5">
            <w:pPr>
              <w:rPr>
                <w:sz w:val="18"/>
                <w:szCs w:val="18"/>
              </w:rPr>
            </w:pPr>
            <w:r w:rsidRPr="00C61D27">
              <w:rPr>
                <w:sz w:val="18"/>
                <w:szCs w:val="18"/>
              </w:rPr>
              <w:t>Initial publication</w:t>
            </w:r>
          </w:p>
          <w:p w14:paraId="7B4EB29E" w14:textId="2E27547E" w:rsidR="00E14A74" w:rsidRPr="00C61D27" w:rsidRDefault="00E14A74" w:rsidP="00E14A74">
            <w:pPr>
              <w:spacing w:before="0" w:after="0"/>
              <w:rPr>
                <w:rFonts w:ascii="Calibri" w:hAnsi="Calibri" w:cs="Calibri"/>
                <w:color w:val="0563C1"/>
                <w:sz w:val="18"/>
                <w:szCs w:val="18"/>
                <w:u w:val="single"/>
              </w:rPr>
            </w:pPr>
            <w:r w:rsidRPr="00C61D27">
              <w:rPr>
                <w:rStyle w:val="Hyperlink"/>
                <w:sz w:val="18"/>
                <w:szCs w:val="18"/>
              </w:rPr>
              <w:t>https://breast-cancer-research.biomedcentral.com/articles/10.1186/bcr3670</w:t>
            </w:r>
          </w:p>
        </w:tc>
        <w:tc>
          <w:tcPr>
            <w:tcW w:w="479" w:type="pct"/>
          </w:tcPr>
          <w:p w14:paraId="15274360" w14:textId="0DEB06CC" w:rsidR="00E14A74" w:rsidRDefault="00E14A74" w:rsidP="00DD308E">
            <w:pPr>
              <w:rPr>
                <w:bCs/>
                <w:sz w:val="18"/>
                <w:szCs w:val="18"/>
              </w:rPr>
            </w:pPr>
            <w:r>
              <w:rPr>
                <w:bCs/>
                <w:sz w:val="18"/>
                <w:szCs w:val="18"/>
              </w:rPr>
              <w:t>June 2014</w:t>
            </w:r>
          </w:p>
        </w:tc>
      </w:tr>
      <w:tr w:rsidR="00FF4063" w14:paraId="2E209147" w14:textId="77777777" w:rsidTr="00C61D27">
        <w:trPr>
          <w:cantSplit/>
        </w:trPr>
        <w:tc>
          <w:tcPr>
            <w:tcW w:w="151" w:type="pct"/>
          </w:tcPr>
          <w:p w14:paraId="61D52843" w14:textId="3F83CD02" w:rsidR="00FF4063" w:rsidRDefault="00B677C8" w:rsidP="00DD308E">
            <w:pPr>
              <w:rPr>
                <w:sz w:val="18"/>
                <w:szCs w:val="18"/>
              </w:rPr>
            </w:pPr>
            <w:r>
              <w:rPr>
                <w:sz w:val="18"/>
                <w:szCs w:val="18"/>
              </w:rPr>
              <w:t>11</w:t>
            </w:r>
          </w:p>
        </w:tc>
        <w:tc>
          <w:tcPr>
            <w:tcW w:w="610" w:type="pct"/>
          </w:tcPr>
          <w:p w14:paraId="49768475" w14:textId="262F6331" w:rsidR="00FF4063" w:rsidRDefault="00B677C8" w:rsidP="00E14A74">
            <w:pPr>
              <w:spacing w:before="0" w:after="0"/>
              <w:rPr>
                <w:rFonts w:ascii="Segoe UI" w:hAnsi="Segoe UI" w:cs="Segoe UI"/>
                <w:color w:val="212121"/>
                <w:sz w:val="16"/>
                <w:szCs w:val="16"/>
              </w:rPr>
            </w:pPr>
            <w:r>
              <w:rPr>
                <w:rFonts w:ascii="Segoe UI" w:hAnsi="Segoe UI" w:cs="Segoe UI"/>
                <w:color w:val="212121"/>
                <w:sz w:val="16"/>
                <w:szCs w:val="16"/>
              </w:rPr>
              <w:t>Review</w:t>
            </w:r>
          </w:p>
        </w:tc>
        <w:tc>
          <w:tcPr>
            <w:tcW w:w="1107" w:type="pct"/>
          </w:tcPr>
          <w:p w14:paraId="62C4487B" w14:textId="676BDE03" w:rsidR="00FF4063" w:rsidRDefault="00B677C8" w:rsidP="00CE5AB4">
            <w:pPr>
              <w:spacing w:before="0" w:after="0"/>
              <w:rPr>
                <w:rFonts w:ascii="Segoe UI" w:hAnsi="Segoe UI" w:cs="Segoe UI"/>
                <w:color w:val="333333"/>
                <w:sz w:val="16"/>
                <w:szCs w:val="16"/>
              </w:rPr>
            </w:pPr>
            <w:r>
              <w:rPr>
                <w:rFonts w:ascii="Segoe UI" w:hAnsi="Segoe UI" w:cs="Segoe UI"/>
                <w:color w:val="333333"/>
                <w:sz w:val="16"/>
                <w:szCs w:val="16"/>
              </w:rPr>
              <w:t>ESMO recommendations on predictive biomarker testing for homologous recombination deficiency and PARP inhibitor benefit in ovarian cancer</w:t>
            </w:r>
          </w:p>
        </w:tc>
        <w:tc>
          <w:tcPr>
            <w:tcW w:w="1738" w:type="pct"/>
          </w:tcPr>
          <w:p w14:paraId="1F1D7791" w14:textId="58853F4B" w:rsidR="00FF4063" w:rsidRDefault="00FF4063" w:rsidP="00C61D27">
            <w:pPr>
              <w:spacing w:before="60" w:after="60"/>
              <w:rPr>
                <w:rFonts w:cstheme="minorHAnsi"/>
                <w:color w:val="323232"/>
                <w:sz w:val="18"/>
                <w:szCs w:val="18"/>
                <w:shd w:val="clear" w:color="auto" w:fill="FFFFFF"/>
              </w:rPr>
            </w:pPr>
            <w:r w:rsidRPr="00FF4063">
              <w:rPr>
                <w:rFonts w:cstheme="minorHAnsi"/>
                <w:color w:val="323232"/>
                <w:sz w:val="18"/>
                <w:szCs w:val="18"/>
                <w:shd w:val="clear" w:color="auto" w:fill="FFFFFF"/>
              </w:rPr>
              <w:t>To define best practice for HRD testing in HGSC the ESMO Translational Research and Precision Medicine Working Group launched a collaborative project that incorporated a systematic review approach. The main aims were to (</w:t>
            </w:r>
            <w:proofErr w:type="spellStart"/>
            <w:r w:rsidRPr="00FF4063">
              <w:rPr>
                <w:rFonts w:cstheme="minorHAnsi"/>
                <w:color w:val="323232"/>
                <w:sz w:val="18"/>
                <w:szCs w:val="18"/>
                <w:shd w:val="clear" w:color="auto" w:fill="FFFFFF"/>
              </w:rPr>
              <w:t>i</w:t>
            </w:r>
            <w:proofErr w:type="spellEnd"/>
            <w:r w:rsidRPr="00FF4063">
              <w:rPr>
                <w:rFonts w:cstheme="minorHAnsi"/>
                <w:color w:val="323232"/>
                <w:sz w:val="18"/>
                <w:szCs w:val="18"/>
                <w:shd w:val="clear" w:color="auto" w:fill="FFFFFF"/>
              </w:rPr>
              <w:t>) define the term ‘HRD test’; (ii) provide an overview of the biological rationale and the level of evidence supporting currently available HRD tests; (iii) provide recommendations on the clinical utility of HRD tests in clinical management of HGSC.</w:t>
            </w:r>
          </w:p>
        </w:tc>
        <w:tc>
          <w:tcPr>
            <w:tcW w:w="915" w:type="pct"/>
          </w:tcPr>
          <w:p w14:paraId="64D278DE" w14:textId="77777777" w:rsidR="00FF4063" w:rsidRPr="00C61D27" w:rsidRDefault="00B677C8" w:rsidP="00B614B5">
            <w:pPr>
              <w:rPr>
                <w:sz w:val="18"/>
                <w:szCs w:val="18"/>
              </w:rPr>
            </w:pPr>
            <w:r w:rsidRPr="00C61D27">
              <w:rPr>
                <w:sz w:val="18"/>
                <w:szCs w:val="18"/>
              </w:rPr>
              <w:t>Initial publication</w:t>
            </w:r>
          </w:p>
          <w:p w14:paraId="268DAB55" w14:textId="54F34F69" w:rsidR="00B677C8" w:rsidRPr="00C61D27" w:rsidRDefault="00C61D27" w:rsidP="00E14A74">
            <w:pPr>
              <w:spacing w:before="0" w:after="0"/>
              <w:rPr>
                <w:rStyle w:val="Hyperlink"/>
                <w:sz w:val="18"/>
                <w:szCs w:val="18"/>
              </w:rPr>
            </w:pPr>
            <w:hyperlink r:id="rId25" w:history="1">
              <w:r w:rsidR="00B677C8" w:rsidRPr="00C61D27">
                <w:rPr>
                  <w:rStyle w:val="Hyperlink"/>
                  <w:sz w:val="18"/>
                  <w:szCs w:val="18"/>
                </w:rPr>
                <w:t>https://www.annalsofoncology.org/article/S0923-7534(20)42164-7/fulltext</w:t>
              </w:r>
            </w:hyperlink>
          </w:p>
          <w:p w14:paraId="153A4670" w14:textId="77777777" w:rsidR="00D755A8" w:rsidRPr="00C61D27" w:rsidRDefault="00D755A8" w:rsidP="00E14A74">
            <w:pPr>
              <w:spacing w:before="0" w:after="0"/>
              <w:rPr>
                <w:rFonts w:ascii="Calibri" w:hAnsi="Calibri" w:cs="Calibri"/>
                <w:color w:val="0563C1"/>
                <w:sz w:val="18"/>
                <w:szCs w:val="18"/>
                <w:u w:val="single"/>
              </w:rPr>
            </w:pPr>
          </w:p>
          <w:p w14:paraId="4880CA32" w14:textId="74ACDC55" w:rsidR="00B677C8" w:rsidRPr="00C61D27" w:rsidRDefault="00B677C8" w:rsidP="00E14A74">
            <w:pPr>
              <w:spacing w:before="0" w:after="0"/>
              <w:rPr>
                <w:rFonts w:ascii="Calibri" w:hAnsi="Calibri" w:cs="Calibri"/>
                <w:color w:val="0563C1"/>
                <w:sz w:val="18"/>
                <w:szCs w:val="18"/>
                <w:u w:val="single"/>
              </w:rPr>
            </w:pPr>
          </w:p>
        </w:tc>
        <w:tc>
          <w:tcPr>
            <w:tcW w:w="479" w:type="pct"/>
          </w:tcPr>
          <w:p w14:paraId="0FD9B5CF" w14:textId="16F7A2C4" w:rsidR="00FF4063" w:rsidRDefault="00B677C8" w:rsidP="00DD308E">
            <w:pPr>
              <w:rPr>
                <w:bCs/>
                <w:sz w:val="18"/>
                <w:szCs w:val="18"/>
              </w:rPr>
            </w:pPr>
            <w:r>
              <w:rPr>
                <w:bCs/>
                <w:sz w:val="18"/>
                <w:szCs w:val="18"/>
              </w:rPr>
              <w:t>September 2020</w:t>
            </w:r>
          </w:p>
        </w:tc>
      </w:tr>
    </w:tbl>
    <w:p w14:paraId="20E2D989" w14:textId="77777777" w:rsidR="004C49EF" w:rsidRDefault="004C49EF" w:rsidP="00530204">
      <w:pPr>
        <w:pStyle w:val="Heading2"/>
      </w:pPr>
      <w:r w:rsidRPr="00E82F54">
        <w:t xml:space="preserve">Identify yet to be published research that may have results available </w:t>
      </w:r>
      <w:proofErr w:type="gramStart"/>
      <w:r w:rsidRPr="00E82F54">
        <w:t>in the near 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6150C6E2" w14:textId="5C085ABF" w:rsidR="00DD308E" w:rsidRPr="00C61D27" w:rsidRDefault="00C61D27" w:rsidP="00C61D27">
      <w:pPr>
        <w:ind w:firstLine="360"/>
        <w:rPr>
          <w:bCs/>
          <w:szCs w:val="20"/>
        </w:rPr>
        <w:sectPr w:rsidR="00DD308E" w:rsidRPr="00C61D27" w:rsidSect="00DD308E">
          <w:pgSz w:w="16838" w:h="11906" w:orient="landscape"/>
          <w:pgMar w:top="1440" w:right="1440" w:bottom="1440" w:left="1440" w:header="708" w:footer="708" w:gutter="0"/>
          <w:cols w:space="708"/>
          <w:docGrid w:linePitch="360"/>
        </w:sectPr>
      </w:pPr>
      <w:r w:rsidRPr="00C61D27">
        <w:rPr>
          <w:bCs/>
          <w:szCs w:val="20"/>
        </w:rPr>
        <w:t>None identified</w:t>
      </w:r>
      <w:r w:rsidR="00F301F1" w:rsidRPr="00C61D27">
        <w:rPr>
          <w:bCs/>
          <w:szCs w:val="20"/>
        </w:rPr>
        <w:br w:type="page"/>
      </w:r>
    </w:p>
    <w:p w14:paraId="72EAB705" w14:textId="77777777" w:rsidR="00E82F54" w:rsidRPr="00C776B1" w:rsidRDefault="005C3AE7" w:rsidP="0056015F">
      <w:pPr>
        <w:pStyle w:val="Heading1"/>
      </w:pPr>
      <w:r>
        <w:t>PART 5</w:t>
      </w:r>
      <w:r w:rsidR="00F93784">
        <w:t xml:space="preserve"> – </w:t>
      </w:r>
      <w:r w:rsidR="00E82F54" w:rsidRPr="00C776B1">
        <w:t>CLINICAL ENDORSEMENT AND CONSUMER INFORMATION</w:t>
      </w:r>
    </w:p>
    <w:p w14:paraId="317C42BD"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07191352" w14:textId="1789E999" w:rsidR="00A727B6" w:rsidRPr="00C61D27" w:rsidRDefault="000D1E44" w:rsidP="00A727B6">
      <w:pPr>
        <w:ind w:left="426"/>
        <w:rPr>
          <w:sz w:val="22"/>
          <w:szCs w:val="24"/>
        </w:rPr>
      </w:pPr>
      <w:r w:rsidRPr="000D1E44">
        <w:rPr>
          <w:rFonts w:ascii="Calibri" w:hAnsi="Calibri"/>
          <w:b/>
          <w:bCs/>
          <w:sz w:val="22"/>
          <w:szCs w:val="24"/>
        </w:rPr>
        <w:t>REDACTED</w:t>
      </w:r>
    </w:p>
    <w:p w14:paraId="6806EF47"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6D16635D" w14:textId="77777777" w:rsidR="00103835" w:rsidRDefault="00103835" w:rsidP="00103835">
      <w:pPr>
        <w:ind w:left="426"/>
      </w:pPr>
      <w:r>
        <w:t xml:space="preserve">As above </w:t>
      </w:r>
    </w:p>
    <w:p w14:paraId="0EEEC832" w14:textId="77777777" w:rsidR="00E82F54"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2CA7B175" w14:textId="67BA1683" w:rsidR="002F332D" w:rsidRPr="00C61D27" w:rsidRDefault="000D1E44" w:rsidP="002F332D">
      <w:pPr>
        <w:ind w:left="360"/>
        <w:rPr>
          <w:b/>
          <w:bCs/>
          <w:sz w:val="22"/>
          <w:szCs w:val="24"/>
        </w:rPr>
      </w:pPr>
      <w:r w:rsidRPr="000D1E44">
        <w:rPr>
          <w:rFonts w:ascii="Calibri" w:hAnsi="Calibri"/>
          <w:b/>
          <w:bCs/>
          <w:sz w:val="22"/>
          <w:szCs w:val="24"/>
        </w:rPr>
        <w:t>REDACTED</w:t>
      </w:r>
    </w:p>
    <w:p w14:paraId="384FA35B"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7F7F0275" w14:textId="65ED4C4B" w:rsidR="00F41485" w:rsidRDefault="00D508EB" w:rsidP="00D508EB">
      <w:pPr>
        <w:ind w:left="426"/>
      </w:pPr>
      <w:r>
        <w:t xml:space="preserve">HRD testing is not currently available in Australia. A similar test is </w:t>
      </w:r>
      <w:r w:rsidR="00103835" w:rsidRPr="006B2905">
        <w:t xml:space="preserve">tumour BRCA testing </w:t>
      </w:r>
      <w:r>
        <w:t xml:space="preserve">which is established and MBS funded in </w:t>
      </w:r>
      <w:r w:rsidR="00103835" w:rsidRPr="006B2905">
        <w:t>Australia.</w:t>
      </w:r>
      <w:r w:rsidR="00103835">
        <w:t xml:space="preserve"> </w:t>
      </w:r>
    </w:p>
    <w:p w14:paraId="69C9A3ED" w14:textId="0700B191" w:rsidR="00F41485" w:rsidRPr="00C61D27" w:rsidRDefault="000D1E44" w:rsidP="00C61D27">
      <w:pPr>
        <w:spacing w:before="0" w:after="0"/>
        <w:ind w:firstLine="426"/>
        <w:rPr>
          <w:b/>
          <w:bCs/>
          <w:sz w:val="22"/>
          <w:szCs w:val="24"/>
        </w:rPr>
      </w:pPr>
      <w:r w:rsidRPr="000D1E44">
        <w:rPr>
          <w:rFonts w:ascii="Calibri" w:hAnsi="Calibri"/>
          <w:b/>
          <w:bCs/>
          <w:sz w:val="22"/>
          <w:szCs w:val="24"/>
        </w:rPr>
        <w:t>REDACTED</w:t>
      </w:r>
    </w:p>
    <w:p w14:paraId="77A2AB1D" w14:textId="0C7A13BE" w:rsidR="00103835" w:rsidRDefault="00422F47" w:rsidP="00EE6450">
      <w:pPr>
        <w:ind w:left="426"/>
        <w:rPr>
          <w:szCs w:val="20"/>
        </w:rPr>
      </w:pPr>
      <w:r>
        <w:rPr>
          <w:szCs w:val="20"/>
        </w:rPr>
        <w:t>Myriad</w:t>
      </w:r>
      <w:r w:rsidR="00C81882">
        <w:rPr>
          <w:szCs w:val="20"/>
        </w:rPr>
        <w:t xml:space="preserve"> </w:t>
      </w:r>
      <w:proofErr w:type="spellStart"/>
      <w:r>
        <w:rPr>
          <w:szCs w:val="20"/>
        </w:rPr>
        <w:t>MyChoice</w:t>
      </w:r>
      <w:proofErr w:type="spellEnd"/>
      <w:r>
        <w:rPr>
          <w:szCs w:val="20"/>
        </w:rPr>
        <w:t>® and Foundation Medicine®</w:t>
      </w:r>
      <w:r w:rsidR="000D1E44">
        <w:rPr>
          <w:szCs w:val="20"/>
        </w:rPr>
        <w:t>. B</w:t>
      </w:r>
      <w:r w:rsidR="00757A4B">
        <w:rPr>
          <w:szCs w:val="20"/>
        </w:rPr>
        <w:t xml:space="preserve">oth have a </w:t>
      </w:r>
      <w:r>
        <w:rPr>
          <w:szCs w:val="20"/>
        </w:rPr>
        <w:t xml:space="preserve">commercial HRD approved test </w:t>
      </w:r>
      <w:r w:rsidR="00757A4B">
        <w:rPr>
          <w:szCs w:val="20"/>
        </w:rPr>
        <w:t xml:space="preserve">which is </w:t>
      </w:r>
      <w:r>
        <w:rPr>
          <w:szCs w:val="20"/>
        </w:rPr>
        <w:t>only available overseas.</w:t>
      </w:r>
    </w:p>
    <w:p w14:paraId="2B606918" w14:textId="2306E584" w:rsidR="006C3015" w:rsidRPr="00D14343" w:rsidRDefault="000D1E44" w:rsidP="00EE6450">
      <w:pPr>
        <w:ind w:left="426"/>
        <w:rPr>
          <w:i/>
          <w:iCs/>
          <w:strike/>
          <w:szCs w:val="20"/>
        </w:rPr>
      </w:pPr>
      <w:r w:rsidRPr="000D1E44">
        <w:rPr>
          <w:rFonts w:ascii="Calibri" w:hAnsi="Calibri"/>
          <w:b/>
          <w:bCs/>
          <w:sz w:val="22"/>
          <w:szCs w:val="24"/>
        </w:rPr>
        <w:t>REDACTED</w:t>
      </w:r>
      <w:r w:rsidR="00074CE5" w:rsidRPr="00D14343">
        <w:t xml:space="preserve"> </w:t>
      </w:r>
      <w:r w:rsidR="00692C83" w:rsidRPr="00D14343">
        <w:rPr>
          <w:i/>
          <w:iCs/>
        </w:rPr>
        <w:t xml:space="preserve">(The redacted text refers to the potential Australian provision of a HRD assay which is </w:t>
      </w:r>
      <w:proofErr w:type="gramStart"/>
      <w:r w:rsidR="00692C83" w:rsidRPr="00D14343">
        <w:rPr>
          <w:i/>
          <w:iCs/>
        </w:rPr>
        <w:t>similar to</w:t>
      </w:r>
      <w:proofErr w:type="gramEnd"/>
      <w:r w:rsidR="00692C83" w:rsidRPr="00D14343">
        <w:rPr>
          <w:i/>
          <w:iCs/>
        </w:rPr>
        <w:t xml:space="preserve"> the HRD assay utilised in the PAOLA1 study (Myriad® myChoice HRD Plus assay). This test is not currently performed in Australia).</w:t>
      </w:r>
    </w:p>
    <w:p w14:paraId="1CEB1D1A" w14:textId="6EE28F8E" w:rsidR="00A96329" w:rsidRPr="00A96329" w:rsidRDefault="00E82F54" w:rsidP="00A96329">
      <w:pPr>
        <w:pStyle w:val="Heading2"/>
      </w:pPr>
      <w:r w:rsidRPr="00154B00">
        <w:t>Nominate two experts who could be approached about the proposed medical service and the current clinical management of the service(s):</w:t>
      </w:r>
    </w:p>
    <w:p w14:paraId="6BB1041E" w14:textId="3D9DA77E" w:rsidR="00987ABE" w:rsidRPr="00C61D27" w:rsidRDefault="000D1E44" w:rsidP="00F41485">
      <w:pPr>
        <w:ind w:left="426"/>
        <w:rPr>
          <w:b/>
          <w:bCs/>
          <w:sz w:val="22"/>
        </w:rPr>
      </w:pPr>
      <w:r w:rsidRPr="000D1E44">
        <w:rPr>
          <w:rFonts w:ascii="Calibri" w:hAnsi="Calibri"/>
          <w:b/>
          <w:bCs/>
          <w:sz w:val="22"/>
        </w:rPr>
        <w:t>REDACTED</w:t>
      </w:r>
    </w:p>
    <w:p w14:paraId="24E7FD99" w14:textId="77777777" w:rsidR="00402381" w:rsidRDefault="00402381">
      <w:pPr>
        <w:spacing w:before="0" w:after="200" w:line="276" w:lineRule="auto"/>
        <w:rPr>
          <w:bCs/>
          <w:color w:val="4F81BD" w:themeColor="accent1"/>
          <w:sz w:val="40"/>
          <w:szCs w:val="32"/>
        </w:rPr>
      </w:pPr>
      <w:r>
        <w:br w:type="page"/>
      </w:r>
    </w:p>
    <w:p w14:paraId="13E0DB56" w14:textId="449F0DFA" w:rsidR="00E82F54" w:rsidRPr="00EA173C" w:rsidRDefault="00F93784" w:rsidP="0056015F">
      <w:pPr>
        <w:pStyle w:val="Heading1"/>
      </w:pPr>
      <w:r>
        <w:t>PAR</w:t>
      </w:r>
      <w:r w:rsidR="005C3AE7">
        <w:t>T 6</w:t>
      </w:r>
      <w:r>
        <w:t xml:space="preserve"> – POPULATION</w:t>
      </w:r>
      <w:r w:rsidR="000525BC">
        <w:t xml:space="preserve"> (AND PRIOR TESTS)</w:t>
      </w:r>
      <w:r>
        <w:t xml:space="preserve">, </w:t>
      </w:r>
      <w:r w:rsidR="00CC5AB1">
        <w:t>INTERVENTION</w:t>
      </w:r>
      <w:r>
        <w:t>, COMPARATOR, OUTCOME (PICO)</w:t>
      </w:r>
    </w:p>
    <w:p w14:paraId="344B3B86" w14:textId="77777777" w:rsidR="0021185D" w:rsidRPr="005C3AE7" w:rsidRDefault="005C3AE7" w:rsidP="000D1E44">
      <w:pPr>
        <w:pStyle w:val="Subtitle"/>
        <w:ind w:left="0"/>
      </w:pPr>
      <w:r w:rsidRPr="005C3AE7">
        <w:t xml:space="preserve">PART 6a – </w:t>
      </w:r>
      <w:r w:rsidR="0021185D" w:rsidRPr="005C3AE7">
        <w:t>INFORMATION ABOUT THE PROPOSED POPULATION</w:t>
      </w:r>
    </w:p>
    <w:p w14:paraId="45374FE2"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A96329">
        <w:t>high level</w:t>
      </w:r>
      <w:proofErr w:type="gramEnd"/>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76006086" w14:textId="614C8AF0" w:rsidR="003F1D0C" w:rsidRDefault="003F1D0C" w:rsidP="003F1D0C">
      <w:pPr>
        <w:ind w:left="360"/>
      </w:pPr>
      <w:bookmarkStart w:id="6" w:name="_Hlk507419700"/>
      <w:r>
        <w:t>Ovarian cancer is the eighth most commonly diagnosed type of cancer for women in Australia, with an estimated 1</w:t>
      </w:r>
      <w:r w:rsidR="00791B86">
        <w:t>532</w:t>
      </w:r>
      <w:r>
        <w:t xml:space="preserve"> new cases in 20</w:t>
      </w:r>
      <w:r w:rsidR="00791B86">
        <w:t>20</w:t>
      </w:r>
      <w:r>
        <w:t>.</w:t>
      </w:r>
      <w:bookmarkEnd w:id="6"/>
      <w:r>
        <w:t xml:space="preserve"> The 5-year relative survival for women with ovarian cancer in Australia is low at 4</w:t>
      </w:r>
      <w:r w:rsidR="00791B86">
        <w:t>5% (Cancer Australia</w:t>
      </w:r>
      <w:r w:rsidR="00C81882">
        <w:t xml:space="preserve"> 2020</w:t>
      </w:r>
      <w:r w:rsidR="00791B86">
        <w:t xml:space="preserve">) </w:t>
      </w:r>
      <w:r>
        <w:t xml:space="preserve">. Ovarian cancer is estimated as the </w:t>
      </w:r>
      <w:r w:rsidRPr="00F30863">
        <w:t>6</w:t>
      </w:r>
      <w:r w:rsidRPr="00F30863">
        <w:rPr>
          <w:vertAlign w:val="superscript"/>
        </w:rPr>
        <w:t>th</w:t>
      </w:r>
      <w:r>
        <w:t xml:space="preserve"> highest cause of cancer related deaths for women in Australia in 20</w:t>
      </w:r>
      <w:r w:rsidR="00791B86">
        <w:t>20</w:t>
      </w:r>
      <w:r>
        <w:t>, with 10</w:t>
      </w:r>
      <w:r w:rsidR="00791B86">
        <w:t>68</w:t>
      </w:r>
      <w:r>
        <w:t xml:space="preserve"> deaths</w:t>
      </w:r>
      <w:r w:rsidR="00791B86">
        <w:t>.</w:t>
      </w:r>
      <w:r>
        <w:t xml:space="preserve"> </w:t>
      </w:r>
    </w:p>
    <w:p w14:paraId="0783E334" w14:textId="77777777" w:rsidR="003F1D0C" w:rsidRDefault="003F1D0C" w:rsidP="003F1D0C">
      <w:pPr>
        <w:ind w:left="360"/>
      </w:pPr>
      <w:r w:rsidRPr="00AF4BFE">
        <w:t xml:space="preserve">The most common and most aggressive histological subtype of ovarian cancer is high-grade serous ovarian cancer (HGSOC). Cancer of the fallopian tubes or primary peritoneal cancer also frequently shows similar serous features and is usually treated as for ovarian cancer.  </w:t>
      </w:r>
    </w:p>
    <w:p w14:paraId="69AFF25E" w14:textId="427EF5D7" w:rsidR="003F1D0C" w:rsidRDefault="003F1D0C" w:rsidP="003F1D0C">
      <w:pPr>
        <w:ind w:left="360"/>
      </w:pPr>
      <w:r w:rsidRPr="00522CAE">
        <w:t>HGSOC is difficult to diagnose in its early stages as there are no effective tests for early detection, and symptoms tend to be vague and non-specific (e.g. bloating, fatigue and abdominal pain).  Consequently, the majority of women are diagnosed when their disease is advanced and widespread.  Most women diagnosed with ovarian cancer are treated with primary tumour debulking surgery (cytoreduction), followed by chemotherapy with the aim of eliminating detectable disease</w:t>
      </w:r>
      <w:r w:rsidR="00C81882">
        <w:t xml:space="preserve"> (Cancer Australia 2014)</w:t>
      </w:r>
      <w:r w:rsidRPr="00522CAE">
        <w:t>. Depending on the recommendations of the local multidisciplinary team, the patient may also receive neo-adjuvant chemotherapy prior to surgery.  Primary cytoreduction aims to remove as much of the tumour as possible, to allow adjuvant treatment to be more effective.</w:t>
      </w:r>
      <w:r>
        <w:t xml:space="preserve">  </w:t>
      </w:r>
    </w:p>
    <w:p w14:paraId="1DF1EDFF" w14:textId="06CDC8EF" w:rsidR="003F1D0C" w:rsidRDefault="003F1D0C" w:rsidP="00074BD8">
      <w:pPr>
        <w:ind w:left="357"/>
      </w:pPr>
      <w:r>
        <w:t>Standard first line treatment of advanced ovarian cancer is platinum-based chemotherapy</w:t>
      </w:r>
      <w:r w:rsidR="00C81882">
        <w:t xml:space="preserve"> (Cancer Australia 2014)</w:t>
      </w:r>
      <w:r>
        <w:t>.</w:t>
      </w:r>
      <w:r>
        <w:rPr>
          <w:vertAlign w:val="superscript"/>
        </w:rPr>
        <w:t xml:space="preserve"> </w:t>
      </w:r>
      <w:r>
        <w:t>Ovarian cancer is a highly chemo-sensitive tumour, but more than 70% of women with advanced disease initially responding to first-line chemotherapy will relapse and require re-treatment within the first three years of diagnosis</w:t>
      </w:r>
      <w:r w:rsidR="00C81882">
        <w:t xml:space="preserve"> (Lederman et al 2013)</w:t>
      </w:r>
      <w:r>
        <w:t xml:space="preserve">.  </w:t>
      </w:r>
      <w:r w:rsidRPr="005577BD">
        <w:t>Subsequent treatment options for patients with relapsed HGSOC involve repeat courses of platinum-based chemotherapy, with ever-decreasing treatment-free (remission) intervals.</w:t>
      </w:r>
    </w:p>
    <w:p w14:paraId="0CF063DB" w14:textId="2768F3A1" w:rsidR="00074BD8" w:rsidRDefault="00074BD8" w:rsidP="00074BD8">
      <w:pPr>
        <w:ind w:left="357"/>
      </w:pPr>
      <w:r>
        <w:t>Over the past decade, the most important improvement of established systemic first-line treatment with platinum-</w:t>
      </w:r>
      <w:proofErr w:type="spellStart"/>
      <w:r>
        <w:t>taxane</w:t>
      </w:r>
      <w:proofErr w:type="spellEnd"/>
      <w:r>
        <w:t xml:space="preserve"> chemotherapy has been the introduction of novel targeted therapies in the front-line setting. Ovarian cancer is a highly vascular tumour markedly elevated serum VEGF levels have associated with advanced stage ovarian cancer, high-grade histology, increased incidence of metastases, occurrence of large volume ascites and decreased surv</w:t>
      </w:r>
      <w:r w:rsidR="000F5545">
        <w:t>ival (</w:t>
      </w:r>
      <w:proofErr w:type="spellStart"/>
      <w:r w:rsidR="000F5545">
        <w:t>Tomao</w:t>
      </w:r>
      <w:proofErr w:type="spellEnd"/>
      <w:r w:rsidR="000F5545">
        <w:t xml:space="preserve"> et al 2013).  The VEGF inhibitor, bevacizumab in combination with carboplatin and paclitaxel followed by bevacizumab maintenance, is the first targeted non-chemotherapy treatment approved in the first-line ovarian cancer setting and has become an established standard of care, regardless of their BRCA mutation status.</w:t>
      </w:r>
    </w:p>
    <w:p w14:paraId="0057314C" w14:textId="3F7F8C57" w:rsidR="000F5545" w:rsidRDefault="000F5545" w:rsidP="00074BD8">
      <w:pPr>
        <w:ind w:left="357"/>
      </w:pPr>
      <w:r>
        <w:t xml:space="preserve">In addition to being a VEGF responsive tumour, the high prevalence of homologous recombination repair (HRR) deficiency in high-grade epithelial ovarian cancer provides a strong rationale for targeted treatment with poly-adenosine 5’ </w:t>
      </w:r>
      <w:proofErr w:type="spellStart"/>
      <w:r>
        <w:t>diphosphoribose</w:t>
      </w:r>
      <w:proofErr w:type="spellEnd"/>
      <w:r>
        <w:t xml:space="preserve"> polymerase (PARP) inhibitors in this patient population (</w:t>
      </w:r>
      <w:proofErr w:type="spellStart"/>
      <w:r>
        <w:t>Konstantinop</w:t>
      </w:r>
      <w:r w:rsidR="00A83E57">
        <w:t>oulos</w:t>
      </w:r>
      <w:proofErr w:type="spellEnd"/>
      <w:r w:rsidR="00A83E57">
        <w:t xml:space="preserve"> et al 2015)</w:t>
      </w:r>
      <w:r w:rsidR="008C751D">
        <w:t xml:space="preserve">. Olaparib, a potent PARP inhibitor, exploits deficiencies in deoxyribonucleic acid (DNA) repair pathways to preferentially kill cancer cells with these deficits compared to normal cells.  </w:t>
      </w:r>
    </w:p>
    <w:p w14:paraId="1B37C4C5" w14:textId="40AE22D3" w:rsidR="0035631A" w:rsidRDefault="0035631A" w:rsidP="00074BD8">
      <w:pPr>
        <w:ind w:left="357"/>
      </w:pPr>
      <w:r>
        <w:t>Pre-clinical data have suggested a potential clinical synergistic benefit may be achieved when combining VEGF and PARP inhibitors, as there have been multiple observations around the impact of hypoxia on cell stress, including the DNA damage response and specifically inhibition of HRR (</w:t>
      </w:r>
      <w:proofErr w:type="spellStart"/>
      <w:r>
        <w:t>Bindra</w:t>
      </w:r>
      <w:proofErr w:type="spellEnd"/>
      <w:r>
        <w:t xml:space="preserve"> et al 2004, </w:t>
      </w:r>
      <w:proofErr w:type="spellStart"/>
      <w:r>
        <w:t>Bindra</w:t>
      </w:r>
      <w:proofErr w:type="spellEnd"/>
      <w:r>
        <w:t xml:space="preserve"> et al 2005, </w:t>
      </w:r>
      <w:proofErr w:type="spellStart"/>
      <w:r>
        <w:t>Bindra</w:t>
      </w:r>
      <w:proofErr w:type="spellEnd"/>
      <w:r>
        <w:t xml:space="preserve"> et al 2007, Glazer et al 2013, Kaplan et al 2019).</w:t>
      </w:r>
    </w:p>
    <w:p w14:paraId="6F944D5E" w14:textId="77777777" w:rsidR="000F5545" w:rsidRDefault="000F5545" w:rsidP="00074BD8">
      <w:pPr>
        <w:ind w:left="357"/>
      </w:pPr>
    </w:p>
    <w:p w14:paraId="68B63078" w14:textId="77777777" w:rsidR="00074BD8" w:rsidRDefault="00074BD8" w:rsidP="003F1D0C">
      <w:pPr>
        <w:ind w:left="360"/>
      </w:pPr>
    </w:p>
    <w:p w14:paraId="17A2BC63" w14:textId="77777777" w:rsidR="006348C8" w:rsidRDefault="006348C8" w:rsidP="003F1D0C">
      <w:pPr>
        <w:ind w:left="360"/>
      </w:pPr>
    </w:p>
    <w:p w14:paraId="03C96D6C" w14:textId="77777777" w:rsidR="006348C8" w:rsidRDefault="006348C8" w:rsidP="003F1D0C">
      <w:pPr>
        <w:ind w:left="360"/>
      </w:pPr>
    </w:p>
    <w:p w14:paraId="6588FBCA" w14:textId="7F56DB46" w:rsidR="00F71793" w:rsidRDefault="006348C8" w:rsidP="006348C8">
      <w:pPr>
        <w:ind w:left="284"/>
      </w:pPr>
      <w:r>
        <w:t xml:space="preserve">There are a multitude of known risk factors for ovarian cancer, including genetic background. Homologous recombination deficiency is one such risk factor, known to occur in as many a 50% of ovarian cancer cases. Variants in the BRCA 1 or BRAC 2 genes are particularly known to be associated with an increased risk and </w:t>
      </w:r>
      <w:r w:rsidR="00571C6D">
        <w:t>predisposition</w:t>
      </w:r>
      <w:r>
        <w:t xml:space="preserve"> to hereditary ovarian cancer. Approximately 25% of overall ovarian cases are BRCA. Non BRCA HRD variants are also associated with risk of ovarian cancer, and are thought to contribute 6% to 27% of genetic risk (</w:t>
      </w:r>
      <w:r w:rsidR="00C81882">
        <w:t>Norquist et al 2016, Walsh et al 2011)</w:t>
      </w:r>
      <w:r w:rsidRPr="00C81882">
        <w:t>.</w:t>
      </w:r>
      <w:r>
        <w:t xml:space="preserve"> Prognosis varies with BRCA status, as BRCA wild-type (</w:t>
      </w:r>
      <w:proofErr w:type="spellStart"/>
      <w:r>
        <w:t>BRCAwt</w:t>
      </w:r>
      <w:proofErr w:type="spellEnd"/>
      <w:r>
        <w:t xml:space="preserve">) patients have </w:t>
      </w:r>
      <w:r w:rsidR="00571C6D">
        <w:t>significantly</w:t>
      </w:r>
      <w:r>
        <w:t xml:space="preserve"> worse progression-free and overall survival than </w:t>
      </w:r>
      <w:proofErr w:type="spellStart"/>
      <w:r>
        <w:t>BRCAm</w:t>
      </w:r>
      <w:proofErr w:type="spellEnd"/>
      <w:r>
        <w:t xml:space="preserve"> patients </w:t>
      </w:r>
      <w:r w:rsidR="000D1E44">
        <w:br/>
      </w:r>
      <w:r w:rsidRPr="00C81882">
        <w:t>(</w:t>
      </w:r>
      <w:r w:rsidR="00C81882" w:rsidRPr="00C81882">
        <w:t>Xu et al 2017</w:t>
      </w:r>
      <w:r w:rsidRPr="00C81882">
        <w:t>).</w:t>
      </w:r>
      <w:r>
        <w:t xml:space="preserve"> </w:t>
      </w:r>
      <w:r w:rsidR="0099222F">
        <w:t xml:space="preserve"> </w:t>
      </w:r>
    </w:p>
    <w:p w14:paraId="4B165026" w14:textId="77777777" w:rsidR="00EB3BE7" w:rsidRPr="005D75F9" w:rsidRDefault="00EB3BE7" w:rsidP="00EB3BE7">
      <w:pPr>
        <w:ind w:left="284"/>
        <w:jc w:val="both"/>
      </w:pPr>
      <w:r w:rsidRPr="005D75F9">
        <w:t xml:space="preserve">In a meta-analysis of data from 18,396 patients with ovarian cancer, OS and progression free survival (PFS) were significantly better in </w:t>
      </w:r>
      <w:proofErr w:type="spellStart"/>
      <w:r w:rsidRPr="005D75F9">
        <w:rPr>
          <w:iCs/>
        </w:rPr>
        <w:t>BRCA</w:t>
      </w:r>
      <w:r w:rsidRPr="005D75F9">
        <w:t>m</w:t>
      </w:r>
      <w:proofErr w:type="spellEnd"/>
      <w:r w:rsidRPr="005D75F9">
        <w:t xml:space="preserve"> patients compared to </w:t>
      </w:r>
      <w:proofErr w:type="spellStart"/>
      <w:r w:rsidRPr="005D75F9">
        <w:rPr>
          <w:iCs/>
        </w:rPr>
        <w:t>BRCA</w:t>
      </w:r>
      <w:r w:rsidRPr="005D75F9">
        <w:t>wt</w:t>
      </w:r>
      <w:proofErr w:type="spellEnd"/>
      <w:r w:rsidRPr="005D75F9">
        <w:t>, with HRs of 0.67 (95% CI 0.57, 0.78; p</w:t>
      </w:r>
      <w:r w:rsidRPr="005D75F9">
        <w:rPr>
          <w:i/>
        </w:rPr>
        <w:t>&lt;</w:t>
      </w:r>
      <w:r w:rsidRPr="005D75F9">
        <w:t xml:space="preserve">0.001) and 0.62 (95% CI 0.53, 0.73; p=0.261), respectively (Xu 2017). This was consistent irrespective of study quality, tumour stage, study design, sample size, number of research centres, duration of follow-up, adjusted baseline characteristics and tumour histology. However, this study did not investigate or adjust for any treatment effect. </w:t>
      </w:r>
    </w:p>
    <w:p w14:paraId="320D907B" w14:textId="77777777" w:rsidR="00EB3BE7" w:rsidRPr="005D75F9" w:rsidRDefault="00EB3BE7" w:rsidP="00EB3BE7">
      <w:pPr>
        <w:ind w:left="284"/>
        <w:jc w:val="both"/>
      </w:pPr>
      <w:r w:rsidRPr="005D75F9">
        <w:t xml:space="preserve">Given </w:t>
      </w:r>
      <w:proofErr w:type="spellStart"/>
      <w:r w:rsidRPr="005D75F9">
        <w:rPr>
          <w:iCs/>
        </w:rPr>
        <w:t>BRCA</w:t>
      </w:r>
      <w:r w:rsidRPr="005D75F9">
        <w:t>wt</w:t>
      </w:r>
      <w:proofErr w:type="spellEnd"/>
      <w:r w:rsidRPr="005D75F9">
        <w:t xml:space="preserve"> patients represent a substantial proportion of the AOC population (up to 75%), the above data highlight the unmet need for more efficacious treatments for patients regardless of BRCA status and specifically </w:t>
      </w:r>
      <w:proofErr w:type="spellStart"/>
      <w:r w:rsidRPr="005D75F9">
        <w:t>BRCAwt</w:t>
      </w:r>
      <w:proofErr w:type="spellEnd"/>
      <w:r w:rsidRPr="005D75F9">
        <w:t xml:space="preserve"> patients to increase their OS and PFS compared to current rates in line with </w:t>
      </w:r>
      <w:proofErr w:type="spellStart"/>
      <w:r w:rsidRPr="005D75F9">
        <w:rPr>
          <w:i/>
        </w:rPr>
        <w:t>BRCA</w:t>
      </w:r>
      <w:r w:rsidRPr="005D75F9">
        <w:t>m</w:t>
      </w:r>
      <w:proofErr w:type="spellEnd"/>
      <w:r w:rsidRPr="005D75F9">
        <w:t>.</w:t>
      </w:r>
    </w:p>
    <w:p w14:paraId="3E11C744" w14:textId="541CB9A7" w:rsidR="00EB3BE7" w:rsidRPr="005D75F9" w:rsidRDefault="00EB3BE7" w:rsidP="005D75F9">
      <w:pPr>
        <w:ind w:left="284"/>
        <w:jc w:val="both"/>
        <w:rPr>
          <w:b/>
          <w:bCs/>
        </w:rPr>
      </w:pPr>
      <w:r w:rsidRPr="005D75F9">
        <w:rPr>
          <w:b/>
          <w:bCs/>
        </w:rPr>
        <w:t xml:space="preserve">Therefore, the target population for treatment in the upcoming co-dependent submission  are HGSOC patients with a HRD positive, </w:t>
      </w:r>
      <w:proofErr w:type="spellStart"/>
      <w:r w:rsidRPr="005D75F9">
        <w:rPr>
          <w:b/>
          <w:bCs/>
        </w:rPr>
        <w:t>BRCAwt</w:t>
      </w:r>
      <w:proofErr w:type="spellEnd"/>
      <w:r w:rsidRPr="005D75F9">
        <w:rPr>
          <w:b/>
          <w:bCs/>
        </w:rPr>
        <w:t xml:space="preserve"> status.</w:t>
      </w:r>
    </w:p>
    <w:p w14:paraId="48BE1A5D" w14:textId="515A5E45" w:rsidR="0004141E" w:rsidRPr="00873A2D" w:rsidRDefault="00F71793" w:rsidP="001C4706">
      <w:pPr>
        <w:ind w:left="284"/>
      </w:pPr>
      <w:r>
        <w:t>HRD carcinomas exhibit an increased responsiven</w:t>
      </w:r>
      <w:r w:rsidR="0035631A">
        <w:t>e</w:t>
      </w:r>
      <w:r>
        <w:t xml:space="preserve">ss to chemotherapy, especially </w:t>
      </w:r>
      <w:proofErr w:type="gramStart"/>
      <w:r>
        <w:t>platinum based</w:t>
      </w:r>
      <w:proofErr w:type="gramEnd"/>
      <w:r>
        <w:t xml:space="preserve"> agen</w:t>
      </w:r>
      <w:r w:rsidR="0035631A">
        <w:t>t</w:t>
      </w:r>
      <w:r>
        <w:t>s in different treatment lines. (</w:t>
      </w:r>
      <w:proofErr w:type="spellStart"/>
      <w:r w:rsidR="007A7B61">
        <w:t>Bonadio</w:t>
      </w:r>
      <w:proofErr w:type="spellEnd"/>
      <w:r>
        <w:t xml:space="preserve"> et al 2018). Platinum agents act via directly damaging DNA, and when HRD is present, the reduction of DNA repair increase the accumulation of DNA damage, leading to apopt</w:t>
      </w:r>
      <w:r w:rsidR="0029222A">
        <w:t xml:space="preserve">osis.  Pennington et al </w:t>
      </w:r>
      <w:r w:rsidR="004F719A">
        <w:t>(</w:t>
      </w:r>
      <w:r w:rsidR="006348C8" w:rsidRPr="009B5CBD">
        <w:t>201</w:t>
      </w:r>
      <w:r w:rsidR="002D09CC" w:rsidRPr="009B5CBD">
        <w:t>4</w:t>
      </w:r>
      <w:r w:rsidR="004F719A" w:rsidRPr="009B5CBD">
        <w:t>)</w:t>
      </w:r>
      <w:r w:rsidR="004F719A">
        <w:t xml:space="preserve"> </w:t>
      </w:r>
      <w:r w:rsidR="0029222A">
        <w:t xml:space="preserve">showed that somatic </w:t>
      </w:r>
      <w:r w:rsidR="0029222A" w:rsidRPr="00873A2D">
        <w:t xml:space="preserve">BRCA1/2 </w:t>
      </w:r>
      <w:r w:rsidR="009B5CBD" w:rsidRPr="00873A2D">
        <w:t xml:space="preserve">pathogenic </w:t>
      </w:r>
      <w:r w:rsidR="00E43B90" w:rsidRPr="00873A2D">
        <w:t>gene variants</w:t>
      </w:r>
      <w:r w:rsidR="0029222A" w:rsidRPr="00873A2D">
        <w:t xml:space="preserve"> and </w:t>
      </w:r>
      <w:r w:rsidR="00E43B90" w:rsidRPr="00873A2D">
        <w:t>variants</w:t>
      </w:r>
      <w:r w:rsidR="0029222A" w:rsidRPr="00873A2D">
        <w:t xml:space="preserve"> in other HR genes predict platinum responsiveness and positively impact overall survival, similar to germline BRCA </w:t>
      </w:r>
      <w:r w:rsidR="00EA5800" w:rsidRPr="00873A2D">
        <w:t xml:space="preserve">1 or 2 </w:t>
      </w:r>
      <w:r w:rsidR="009B5CBD" w:rsidRPr="00873A2D">
        <w:t xml:space="preserve">pathogenic </w:t>
      </w:r>
      <w:r w:rsidR="00E43B90" w:rsidRPr="00873A2D">
        <w:t>gene variant</w:t>
      </w:r>
      <w:r w:rsidR="0029222A" w:rsidRPr="00873A2D">
        <w:t xml:space="preserve">s. </w:t>
      </w:r>
      <w:r w:rsidR="0099222F" w:rsidRPr="00873A2D">
        <w:t>PARP inhibitors in patients with HRD compromises two pathway</w:t>
      </w:r>
      <w:r w:rsidR="00204DA9" w:rsidRPr="00873A2D">
        <w:t xml:space="preserve"> of DNA repair, resulting in synthetic lethality </w:t>
      </w:r>
      <w:r w:rsidRPr="00873A2D">
        <w:t>(</w:t>
      </w:r>
      <w:proofErr w:type="spellStart"/>
      <w:r w:rsidR="007A7B61" w:rsidRPr="00873A2D">
        <w:t>Bonadio</w:t>
      </w:r>
      <w:proofErr w:type="spellEnd"/>
      <w:r w:rsidR="00204DA9" w:rsidRPr="00873A2D">
        <w:t xml:space="preserve"> et al 2018). Recent studies have confirmed that the efficacy of PARP inhibitors is improved not only in ovarian cancers displaying germline or somatic BRCA </w:t>
      </w:r>
      <w:r w:rsidR="009B5CBD" w:rsidRPr="00873A2D">
        <w:t xml:space="preserve">pathogenic </w:t>
      </w:r>
      <w:r w:rsidR="00E43B90" w:rsidRPr="00873A2D">
        <w:t>gene variant</w:t>
      </w:r>
      <w:r w:rsidR="00204DA9" w:rsidRPr="00873A2D">
        <w:t xml:space="preserve"> but also cancers in which HRD is caused by other underlying aetiologies (ARIEL3, NOVA, PAOLA1</w:t>
      </w:r>
      <w:r w:rsidR="00C32CF1" w:rsidRPr="00873A2D">
        <w:t>, PRIMA</w:t>
      </w:r>
      <w:r w:rsidR="00204DA9" w:rsidRPr="00873A2D">
        <w:t>).</w:t>
      </w:r>
    </w:p>
    <w:p w14:paraId="7EB9F0B3" w14:textId="7D9ABDA8" w:rsidR="00597223" w:rsidRDefault="009A6929" w:rsidP="001C4706">
      <w:pPr>
        <w:ind w:left="284"/>
      </w:pPr>
      <w:r w:rsidRPr="00873A2D">
        <w:t>Approximately 5</w:t>
      </w:r>
      <w:r w:rsidR="00E43B90" w:rsidRPr="00873A2D">
        <w:t>6</w:t>
      </w:r>
      <w:r w:rsidRPr="00873A2D">
        <w:t xml:space="preserve">% of ovarian carcinomas are estimated to exhibit </w:t>
      </w:r>
      <w:r w:rsidR="005A3240" w:rsidRPr="00873A2D">
        <w:t xml:space="preserve">defect DNA repair by </w:t>
      </w:r>
      <w:r w:rsidR="00204DA9" w:rsidRPr="00873A2D">
        <w:t>HRD</w:t>
      </w:r>
      <w:r w:rsidRPr="00873A2D">
        <w:t xml:space="preserve">.  Germline BRCA1 and BRCA2 </w:t>
      </w:r>
      <w:r w:rsidR="009B5CBD" w:rsidRPr="00873A2D">
        <w:t xml:space="preserve">pathogenic </w:t>
      </w:r>
      <w:r w:rsidR="00E43B90" w:rsidRPr="00873A2D">
        <w:t>gene variants</w:t>
      </w:r>
      <w:r w:rsidRPr="00873A2D">
        <w:t xml:space="preserve"> are the most well-known HRD aetiology, other</w:t>
      </w:r>
      <w:r w:rsidR="0024723C" w:rsidRPr="00873A2D">
        <w:t>s</w:t>
      </w:r>
      <w:r w:rsidRPr="00873A2D">
        <w:t xml:space="preserve"> include somatic BRCA </w:t>
      </w:r>
      <w:r w:rsidR="00495F81" w:rsidRPr="00873A2D">
        <w:t>1 or BRCA 2</w:t>
      </w:r>
      <w:r w:rsidR="00E43B90" w:rsidRPr="00873A2D">
        <w:t xml:space="preserve"> gene variants</w:t>
      </w:r>
      <w:r w:rsidRPr="00873A2D">
        <w:t xml:space="preserve"> and germline and somatic </w:t>
      </w:r>
      <w:r w:rsidR="00E43B90" w:rsidRPr="00873A2D">
        <w:t>gene variants</w:t>
      </w:r>
      <w:r w:rsidRPr="00873A2D">
        <w:t xml:space="preserve"> in other genes related to HRD repair</w:t>
      </w:r>
      <w:r w:rsidR="00117CE4" w:rsidRPr="00873A2D">
        <w:t xml:space="preserve"> </w:t>
      </w:r>
      <w:r w:rsidRPr="00873A2D">
        <w:t>(</w:t>
      </w:r>
      <w:proofErr w:type="spellStart"/>
      <w:r w:rsidR="005C1017">
        <w:t>Bonadio</w:t>
      </w:r>
      <w:proofErr w:type="spellEnd"/>
      <w:r w:rsidRPr="00873A2D">
        <w:t xml:space="preserve"> et al 2018</w:t>
      </w:r>
      <w:r w:rsidR="00597223" w:rsidRPr="00873A2D">
        <w:t>, Panagiotis et al 2015</w:t>
      </w:r>
      <w:r w:rsidRPr="00873A2D">
        <w:t>).</w:t>
      </w:r>
      <w:r w:rsidR="0024723C" w:rsidRPr="00873A2D">
        <w:t xml:space="preserve"> </w:t>
      </w:r>
      <w:r w:rsidR="002D09CC" w:rsidRPr="00873A2D">
        <w:t xml:space="preserve">Overall, BRCA </w:t>
      </w:r>
      <w:r w:rsidR="009B5CBD" w:rsidRPr="00873A2D">
        <w:t xml:space="preserve">pathogenic </w:t>
      </w:r>
      <w:r w:rsidR="002D09CC" w:rsidRPr="00873A2D">
        <w:t xml:space="preserve">gene variants contribute to 29% of the HRD positive pathway. </w:t>
      </w:r>
      <w:r w:rsidR="0024723C" w:rsidRPr="00873A2D">
        <w:t xml:space="preserve">That is all women with a BRCA </w:t>
      </w:r>
      <w:r w:rsidR="001E3E32" w:rsidRPr="00873A2D">
        <w:t xml:space="preserve">pathogenic </w:t>
      </w:r>
      <w:r w:rsidR="00E43B90" w:rsidRPr="00873A2D">
        <w:t>gene variants</w:t>
      </w:r>
      <w:r w:rsidR="0024723C" w:rsidRPr="00873A2D">
        <w:t xml:space="preserve"> are HRD positive</w:t>
      </w:r>
      <w:r w:rsidR="00BF6DB8" w:rsidRPr="00873A2D">
        <w:t xml:space="preserve"> or </w:t>
      </w:r>
      <w:r w:rsidR="00930A83" w:rsidRPr="00873A2D">
        <w:t>defic</w:t>
      </w:r>
      <w:r w:rsidR="00BF6DB8" w:rsidRPr="00873A2D">
        <w:t>ie</w:t>
      </w:r>
      <w:r w:rsidR="00930A83" w:rsidRPr="00873A2D">
        <w:t>nt</w:t>
      </w:r>
      <w:r w:rsidR="0024723C" w:rsidRPr="00873A2D">
        <w:t xml:space="preserve"> </w:t>
      </w:r>
      <w:r w:rsidR="00BF6DB8" w:rsidRPr="00873A2D">
        <w:t xml:space="preserve">however, a </w:t>
      </w:r>
      <w:r w:rsidR="0024723C" w:rsidRPr="00873A2D">
        <w:t xml:space="preserve">BRCA </w:t>
      </w:r>
      <w:r w:rsidR="001E3E32" w:rsidRPr="00873A2D">
        <w:t xml:space="preserve">pathogenic </w:t>
      </w:r>
      <w:r w:rsidR="00E43B90" w:rsidRPr="00873A2D">
        <w:t>gene variants</w:t>
      </w:r>
      <w:r w:rsidR="0024723C" w:rsidRPr="00873A2D">
        <w:t xml:space="preserve"> is not the only cause of HRD.</w:t>
      </w:r>
    </w:p>
    <w:p w14:paraId="073BF458" w14:textId="3D5E10CC" w:rsidR="001D09C8" w:rsidRDefault="001D09C8" w:rsidP="001C4706">
      <w:pPr>
        <w:ind w:left="284"/>
      </w:pPr>
      <w:r>
        <w:t>Figure 1 shows the</w:t>
      </w:r>
      <w:r w:rsidR="003D214F">
        <w:t xml:space="preserve"> aberration in HR genes or potentially relevant HR genes responsible for </w:t>
      </w:r>
      <w:r w:rsidR="00F87A7A">
        <w:t>HRD</w:t>
      </w:r>
      <w:r w:rsidR="003D214F">
        <w:t xml:space="preserve">. </w:t>
      </w:r>
      <w:r w:rsidR="004C2D45">
        <w:t xml:space="preserve"> According to the Cancer </w:t>
      </w:r>
      <w:r w:rsidR="00BB32C4">
        <w:t xml:space="preserve">Genome </w:t>
      </w:r>
      <w:proofErr w:type="spellStart"/>
      <w:r w:rsidR="00BB32C4">
        <w:t>Altas</w:t>
      </w:r>
      <w:proofErr w:type="spellEnd"/>
      <w:r w:rsidR="00BB32C4">
        <w:t xml:space="preserve"> (TCGA) ovarian cancers can be classified as HR-proficient and other (34%), possibly HR-deficient (10%) (including those with alterations in 42 other potentially relevant HR genes and HR-deficient (56%) including those with alterations of BRCA1/2; the amplification or </w:t>
      </w:r>
      <w:r w:rsidR="003A7A79">
        <w:t xml:space="preserve">variant </w:t>
      </w:r>
      <w:r w:rsidR="00BB32C4">
        <w:t xml:space="preserve">of EMSY; the deletion of PTEN, Fanconi </w:t>
      </w:r>
      <w:r w:rsidR="00571C6D">
        <w:t>anaemia</w:t>
      </w:r>
      <w:r w:rsidR="00BB32C4">
        <w:t xml:space="preserve"> genes, core HR RAD genes or HR-related DNA damage response genes (Jiang et al 2018).</w:t>
      </w:r>
    </w:p>
    <w:p w14:paraId="6F336C3A" w14:textId="2D200287" w:rsidR="0062059C" w:rsidRDefault="0062059C">
      <w:pPr>
        <w:spacing w:before="0" w:after="200" w:line="276" w:lineRule="auto"/>
      </w:pPr>
      <w:r>
        <w:br w:type="page"/>
      </w:r>
    </w:p>
    <w:p w14:paraId="400DD194" w14:textId="77777777" w:rsidR="00BF6DB8" w:rsidRDefault="00BF6DB8" w:rsidP="00597223">
      <w:pPr>
        <w:ind w:left="360"/>
      </w:pPr>
    </w:p>
    <w:p w14:paraId="09BB370B" w14:textId="270CF180" w:rsidR="0024723C" w:rsidRPr="0013630B" w:rsidRDefault="0072641B" w:rsidP="00597223">
      <w:pPr>
        <w:pStyle w:val="Caption"/>
        <w:ind w:left="426"/>
        <w:rPr>
          <w:color w:val="auto"/>
          <w:sz w:val="20"/>
          <w:szCs w:val="20"/>
        </w:rPr>
      </w:pPr>
      <w:r w:rsidRPr="0013630B">
        <w:rPr>
          <w:color w:val="auto"/>
          <w:sz w:val="20"/>
          <w:szCs w:val="20"/>
        </w:rPr>
        <w:t xml:space="preserve">Figure </w:t>
      </w:r>
      <w:r w:rsidR="006D01BE" w:rsidRPr="0013630B">
        <w:rPr>
          <w:color w:val="auto"/>
          <w:sz w:val="20"/>
          <w:szCs w:val="20"/>
        </w:rPr>
        <w:fldChar w:fldCharType="begin"/>
      </w:r>
      <w:r w:rsidR="006D01BE" w:rsidRPr="0013630B">
        <w:rPr>
          <w:color w:val="auto"/>
          <w:sz w:val="20"/>
          <w:szCs w:val="20"/>
        </w:rPr>
        <w:instrText xml:space="preserve"> SEQ Figure \* ARABIC </w:instrText>
      </w:r>
      <w:r w:rsidR="006D01BE" w:rsidRPr="0013630B">
        <w:rPr>
          <w:color w:val="auto"/>
          <w:sz w:val="20"/>
          <w:szCs w:val="20"/>
        </w:rPr>
        <w:fldChar w:fldCharType="separate"/>
      </w:r>
      <w:r w:rsidR="00EA35EE" w:rsidRPr="0013630B">
        <w:rPr>
          <w:noProof/>
          <w:color w:val="auto"/>
          <w:sz w:val="20"/>
          <w:szCs w:val="20"/>
        </w:rPr>
        <w:t>1</w:t>
      </w:r>
      <w:r w:rsidR="006D01BE" w:rsidRPr="0013630B">
        <w:rPr>
          <w:noProof/>
          <w:color w:val="auto"/>
          <w:sz w:val="20"/>
          <w:szCs w:val="20"/>
        </w:rPr>
        <w:fldChar w:fldCharType="end"/>
      </w:r>
      <w:r w:rsidRPr="0013630B">
        <w:rPr>
          <w:color w:val="auto"/>
          <w:sz w:val="20"/>
          <w:szCs w:val="20"/>
        </w:rPr>
        <w:t xml:space="preserve"> </w:t>
      </w:r>
      <w:r w:rsidR="00597223" w:rsidRPr="0013630B">
        <w:rPr>
          <w:color w:val="auto"/>
          <w:sz w:val="20"/>
          <w:szCs w:val="20"/>
        </w:rPr>
        <w:t xml:space="preserve">Frequency of genetic and epigenetic genes  involved in </w:t>
      </w:r>
      <w:r w:rsidRPr="0013630B">
        <w:rPr>
          <w:color w:val="auto"/>
          <w:sz w:val="20"/>
          <w:szCs w:val="20"/>
        </w:rPr>
        <w:t>homologous recombination</w:t>
      </w:r>
      <w:r w:rsidR="00597223" w:rsidRPr="0013630B">
        <w:rPr>
          <w:color w:val="auto"/>
          <w:sz w:val="20"/>
          <w:szCs w:val="20"/>
        </w:rPr>
        <w:t xml:space="preserve"> and non-homologous recombination pathway </w:t>
      </w:r>
      <w:r w:rsidR="0062059C" w:rsidRPr="0013630B">
        <w:rPr>
          <w:color w:val="auto"/>
          <w:sz w:val="20"/>
          <w:szCs w:val="20"/>
        </w:rPr>
        <w:t>based on The Cancer Genome Atlas (TCGA) – Jiang et al 2018</w:t>
      </w:r>
    </w:p>
    <w:p w14:paraId="30CC15E7" w14:textId="40CD9913" w:rsidR="005A3240" w:rsidRPr="005A3240" w:rsidRDefault="0062059C" w:rsidP="005A3240">
      <w:r w:rsidRPr="0062059C">
        <w:rPr>
          <w:noProof/>
        </w:rPr>
        <w:drawing>
          <wp:inline distT="0" distB="0" distL="0" distR="0" wp14:anchorId="26BB2982" wp14:editId="68B1B880">
            <wp:extent cx="5731510" cy="3875405"/>
            <wp:effectExtent l="0" t="0" r="254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3875405"/>
                    </a:xfrm>
                    <a:prstGeom prst="rect">
                      <a:avLst/>
                    </a:prstGeom>
                    <a:noFill/>
                    <a:ln>
                      <a:noFill/>
                    </a:ln>
                  </pic:spPr>
                </pic:pic>
              </a:graphicData>
            </a:graphic>
          </wp:inline>
        </w:drawing>
      </w:r>
    </w:p>
    <w:p w14:paraId="79E24FBE" w14:textId="6D2E011E" w:rsidR="0024723C" w:rsidRDefault="0024723C" w:rsidP="00E357B9">
      <w:pPr>
        <w:ind w:left="426"/>
      </w:pPr>
    </w:p>
    <w:p w14:paraId="0A356B8A" w14:textId="77777777" w:rsidR="0024723C" w:rsidRDefault="0024723C" w:rsidP="00E357B9">
      <w:pPr>
        <w:ind w:left="426"/>
      </w:pPr>
    </w:p>
    <w:p w14:paraId="066C33F0" w14:textId="0680612D" w:rsidR="00BF6DB8" w:rsidRDefault="001F0250" w:rsidP="00C64274">
      <w:r>
        <w:t>HRD can be tested using the three main strategies:</w:t>
      </w:r>
    </w:p>
    <w:p w14:paraId="061C9E7E" w14:textId="1FFB884A" w:rsidR="001F0250" w:rsidRDefault="001F0250" w:rsidP="00CD7245">
      <w:pPr>
        <w:pStyle w:val="ListParagraph"/>
        <w:numPr>
          <w:ilvl w:val="0"/>
          <w:numId w:val="22"/>
        </w:numPr>
        <w:ind w:left="720"/>
      </w:pPr>
      <w:r>
        <w:t xml:space="preserve">Germline </w:t>
      </w:r>
      <w:r w:rsidR="003A7A79">
        <w:t xml:space="preserve">variant </w:t>
      </w:r>
      <w:r w:rsidR="00244FFD">
        <w:t>screening of genes related to HR repair;</w:t>
      </w:r>
    </w:p>
    <w:p w14:paraId="24F5A103" w14:textId="0FA84099" w:rsidR="00244FFD" w:rsidRDefault="00244FFD" w:rsidP="00CD7245">
      <w:pPr>
        <w:pStyle w:val="ListParagraph"/>
        <w:numPr>
          <w:ilvl w:val="0"/>
          <w:numId w:val="22"/>
        </w:numPr>
        <w:ind w:left="720"/>
      </w:pPr>
      <w:r>
        <w:t xml:space="preserve">Somatic </w:t>
      </w:r>
      <w:r w:rsidR="003A7A79">
        <w:t xml:space="preserve">variant </w:t>
      </w:r>
      <w:r>
        <w:t>screening of genes related to HR repair; and</w:t>
      </w:r>
    </w:p>
    <w:p w14:paraId="70651A0B" w14:textId="052670CF" w:rsidR="00244FFD" w:rsidRDefault="00244FFD" w:rsidP="000D1E44">
      <w:pPr>
        <w:pStyle w:val="ListParagraph"/>
        <w:numPr>
          <w:ilvl w:val="0"/>
          <w:numId w:val="22"/>
        </w:numPr>
        <w:ind w:left="720"/>
      </w:pPr>
      <w:r>
        <w:t>Evaluation of a genomic scar, which represents the genomic instability secondary to HRD. An HRD score can be calculated based on the loss of heterozygosity (LOH), telomeric allelic imbalance, and large-scale transitions.</w:t>
      </w:r>
    </w:p>
    <w:p w14:paraId="7EDBEE52" w14:textId="2EBC3C90" w:rsidR="00AA5FDA" w:rsidRPr="00154B00" w:rsidRDefault="00AA5FDA" w:rsidP="00244FFD">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w:t>
      </w:r>
      <w:proofErr w:type="gramStart"/>
      <w:r w:rsidR="0018630F" w:rsidRPr="00154B00">
        <w:t>managed</w:t>
      </w:r>
      <w:proofErr w:type="gramEnd"/>
      <w:r w:rsidR="0018630F" w:rsidRPr="00154B00">
        <w:t xml:space="preserve">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4DF54F9D" w14:textId="2EC25F9C" w:rsidR="00EB3BE7" w:rsidRPr="000D1E44" w:rsidRDefault="00EB10C6" w:rsidP="000D1E44">
      <w:pPr>
        <w:ind w:left="426"/>
        <w:jc w:val="both"/>
        <w:rPr>
          <w:szCs w:val="20"/>
        </w:rPr>
      </w:pPr>
      <w:r w:rsidRPr="005D75F9">
        <w:t>The target population for the proposed medical service a</w:t>
      </w:r>
      <w:r w:rsidR="00C01C39" w:rsidRPr="005D75F9">
        <w:t>re</w:t>
      </w:r>
      <w:r w:rsidRPr="005D75F9">
        <w:t xml:space="preserve"> women newly diagnosed, histologically confirmed, </w:t>
      </w:r>
      <w:r w:rsidR="00CF7238" w:rsidRPr="005D75F9">
        <w:t xml:space="preserve">with </w:t>
      </w:r>
      <w:r w:rsidRPr="005D75F9">
        <w:t xml:space="preserve">high risk advanced (FIGO III-IV) </w:t>
      </w:r>
      <w:r w:rsidR="00CF7238" w:rsidRPr="005D75F9">
        <w:t xml:space="preserve">a </w:t>
      </w:r>
      <w:r w:rsidRPr="005D75F9">
        <w:rPr>
          <w:szCs w:val="20"/>
        </w:rPr>
        <w:t xml:space="preserve">high-grade epithelial ovarian, fallopian tube or primary peritoneal cancer.  </w:t>
      </w:r>
      <w:r w:rsidR="00214BCF" w:rsidRPr="005D75F9">
        <w:rPr>
          <w:szCs w:val="20"/>
        </w:rPr>
        <w:t>The proposed population for testing is consistent with the patient population in the pivotal olaparib clinical trial (described in Q42)</w:t>
      </w:r>
      <w:r w:rsidR="0013630B" w:rsidRPr="005D75F9">
        <w:rPr>
          <w:szCs w:val="20"/>
        </w:rPr>
        <w:t>.</w:t>
      </w:r>
    </w:p>
    <w:p w14:paraId="637630D6" w14:textId="77777777" w:rsidR="009329AD" w:rsidRPr="009329AD" w:rsidRDefault="009329AD" w:rsidP="00DE2F8A">
      <w:pPr>
        <w:ind w:left="426"/>
        <w:jc w:val="both"/>
        <w:rPr>
          <w:i/>
          <w:iCs/>
          <w:szCs w:val="20"/>
        </w:rPr>
      </w:pPr>
      <w:r w:rsidRPr="009329AD">
        <w:rPr>
          <w:i/>
          <w:iCs/>
          <w:szCs w:val="20"/>
        </w:rPr>
        <w:t>Diagnosis of ovarian cancer</w:t>
      </w:r>
    </w:p>
    <w:p w14:paraId="373B701D" w14:textId="294434B6" w:rsidR="009329AD" w:rsidRDefault="003840C6" w:rsidP="00DE2F8A">
      <w:pPr>
        <w:ind w:left="426"/>
        <w:jc w:val="both"/>
        <w:rPr>
          <w:szCs w:val="20"/>
        </w:rPr>
      </w:pPr>
      <w:r>
        <w:rPr>
          <w:szCs w:val="20"/>
        </w:rPr>
        <w:t xml:space="preserve">A number of tests may be </w:t>
      </w:r>
      <w:r w:rsidR="00EA5800">
        <w:rPr>
          <w:szCs w:val="20"/>
        </w:rPr>
        <w:t>performed</w:t>
      </w:r>
      <w:r>
        <w:rPr>
          <w:szCs w:val="20"/>
        </w:rPr>
        <w:t xml:space="preserve"> to investigate</w:t>
      </w:r>
      <w:r w:rsidR="009329AD">
        <w:rPr>
          <w:szCs w:val="20"/>
        </w:rPr>
        <w:t xml:space="preserve"> the symptoms of ovarian cancer and confirm diagnosis. The commonly performed tests include (Cancer Australia 2020):</w:t>
      </w:r>
    </w:p>
    <w:p w14:paraId="3F74CAE4" w14:textId="1FBFF081" w:rsidR="009329AD" w:rsidRPr="009329AD" w:rsidRDefault="009329AD" w:rsidP="00CD7245">
      <w:pPr>
        <w:numPr>
          <w:ilvl w:val="0"/>
          <w:numId w:val="18"/>
        </w:numPr>
        <w:shd w:val="clear" w:color="auto" w:fill="FFFFFF"/>
        <w:spacing w:before="100" w:beforeAutospacing="1" w:after="100" w:afterAutospacing="1"/>
        <w:rPr>
          <w:szCs w:val="20"/>
        </w:rPr>
      </w:pPr>
      <w:r w:rsidRPr="009329AD">
        <w:rPr>
          <w:szCs w:val="20"/>
        </w:rPr>
        <w:t>physical examination of the abdomen and pelvis, including rectal examination. </w:t>
      </w:r>
    </w:p>
    <w:p w14:paraId="7E98695C" w14:textId="77777777" w:rsidR="009329AD" w:rsidRPr="009329AD" w:rsidRDefault="009329AD" w:rsidP="00CD7245">
      <w:pPr>
        <w:numPr>
          <w:ilvl w:val="0"/>
          <w:numId w:val="18"/>
        </w:numPr>
        <w:shd w:val="clear" w:color="auto" w:fill="FFFFFF"/>
        <w:spacing w:before="100" w:beforeAutospacing="1" w:after="100" w:afterAutospacing="1"/>
        <w:rPr>
          <w:szCs w:val="20"/>
        </w:rPr>
      </w:pPr>
      <w:r w:rsidRPr="009329AD">
        <w:rPr>
          <w:szCs w:val="20"/>
        </w:rPr>
        <w:t>imaging of the pelvis and abdomen using transvaginal ultrasound, abdominal ultrasound, computed tomography (CT) scans, magnetic resonance imaging (MRI) scans or positron emission tomography (PET) scans</w:t>
      </w:r>
    </w:p>
    <w:p w14:paraId="380EFB23" w14:textId="77777777" w:rsidR="009329AD" w:rsidRPr="009329AD" w:rsidRDefault="009329AD" w:rsidP="00CD7245">
      <w:pPr>
        <w:numPr>
          <w:ilvl w:val="0"/>
          <w:numId w:val="18"/>
        </w:numPr>
        <w:shd w:val="clear" w:color="auto" w:fill="FFFFFF"/>
        <w:spacing w:before="100" w:beforeAutospacing="1" w:after="100" w:afterAutospacing="1"/>
        <w:rPr>
          <w:szCs w:val="20"/>
        </w:rPr>
      </w:pPr>
      <w:r w:rsidRPr="009329AD">
        <w:rPr>
          <w:szCs w:val="20"/>
        </w:rPr>
        <w:t>chest X-rays</w:t>
      </w:r>
    </w:p>
    <w:p w14:paraId="31C54C5A" w14:textId="77777777" w:rsidR="009329AD" w:rsidRPr="009329AD" w:rsidRDefault="009329AD" w:rsidP="00CD7245">
      <w:pPr>
        <w:numPr>
          <w:ilvl w:val="0"/>
          <w:numId w:val="18"/>
        </w:numPr>
        <w:shd w:val="clear" w:color="auto" w:fill="FFFFFF"/>
        <w:spacing w:before="100" w:beforeAutospacing="1" w:after="100" w:afterAutospacing="1"/>
        <w:rPr>
          <w:szCs w:val="20"/>
        </w:rPr>
      </w:pPr>
      <w:r w:rsidRPr="009329AD">
        <w:rPr>
          <w:szCs w:val="20"/>
        </w:rPr>
        <w:t>blood tests to check for tumour markers such as CA125, and to measure complete blood count and levels of chemicals in the blood</w:t>
      </w:r>
    </w:p>
    <w:p w14:paraId="790EDBFA" w14:textId="77777777" w:rsidR="009329AD" w:rsidRPr="009329AD" w:rsidRDefault="009329AD" w:rsidP="00CD7245">
      <w:pPr>
        <w:numPr>
          <w:ilvl w:val="0"/>
          <w:numId w:val="18"/>
        </w:numPr>
        <w:shd w:val="clear" w:color="auto" w:fill="FFFFFF"/>
        <w:spacing w:before="100" w:beforeAutospacing="1" w:after="100" w:afterAutospacing="1"/>
        <w:rPr>
          <w:szCs w:val="20"/>
        </w:rPr>
      </w:pPr>
      <w:r w:rsidRPr="009329AD">
        <w:rPr>
          <w:szCs w:val="20"/>
        </w:rPr>
        <w:t>use of scopes to see inside the gastrointestinal tract</w:t>
      </w:r>
    </w:p>
    <w:p w14:paraId="4A1A0A5E" w14:textId="483C7B6D" w:rsidR="009329AD" w:rsidRDefault="009329AD" w:rsidP="00CD7245">
      <w:pPr>
        <w:numPr>
          <w:ilvl w:val="0"/>
          <w:numId w:val="18"/>
        </w:numPr>
        <w:shd w:val="clear" w:color="auto" w:fill="FFFFFF"/>
        <w:spacing w:before="100" w:beforeAutospacing="1" w:after="100" w:afterAutospacing="1"/>
        <w:rPr>
          <w:szCs w:val="20"/>
        </w:rPr>
      </w:pPr>
      <w:r w:rsidRPr="009329AD">
        <w:rPr>
          <w:szCs w:val="20"/>
        </w:rPr>
        <w:t xml:space="preserve">biopsy – where a small sample of tissue is removed to be examined under a microscope. This is usually done as part of the initial </w:t>
      </w:r>
      <w:proofErr w:type="gramStart"/>
      <w:r w:rsidRPr="009329AD">
        <w:rPr>
          <w:szCs w:val="20"/>
        </w:rPr>
        <w:t>surgery, because</w:t>
      </w:r>
      <w:proofErr w:type="gramEnd"/>
      <w:r w:rsidRPr="009329AD">
        <w:rPr>
          <w:szCs w:val="20"/>
        </w:rPr>
        <w:t xml:space="preserve"> the only way to confirm a diagnosis of ovarian cancer is through an operation. The surgeon will also take samples of any fluid in the abdomen</w:t>
      </w:r>
    </w:p>
    <w:p w14:paraId="5357DDD6" w14:textId="0A005088" w:rsidR="009329AD" w:rsidRDefault="009329AD" w:rsidP="00A571A0">
      <w:pPr>
        <w:shd w:val="clear" w:color="auto" w:fill="FFFFFF"/>
        <w:spacing w:before="100" w:beforeAutospacing="1" w:after="100" w:afterAutospacing="1"/>
        <w:ind w:left="360"/>
        <w:rPr>
          <w:i/>
          <w:iCs/>
          <w:szCs w:val="20"/>
        </w:rPr>
      </w:pPr>
      <w:r w:rsidRPr="009329AD">
        <w:rPr>
          <w:i/>
          <w:iCs/>
          <w:szCs w:val="20"/>
        </w:rPr>
        <w:t>Staging of ovarian cancer</w:t>
      </w:r>
    </w:p>
    <w:p w14:paraId="47A68B8C" w14:textId="77777777" w:rsidR="009329AD" w:rsidRDefault="009329AD" w:rsidP="00A571A0">
      <w:pPr>
        <w:shd w:val="clear" w:color="auto" w:fill="FFFFFF"/>
        <w:spacing w:before="0" w:after="100" w:afterAutospacing="1"/>
        <w:ind w:left="360"/>
        <w:rPr>
          <w:szCs w:val="20"/>
        </w:rPr>
      </w:pPr>
      <w:r w:rsidRPr="009329AD">
        <w:rPr>
          <w:szCs w:val="20"/>
        </w:rPr>
        <w:t>Ovarian cancer is surgically staged, based on the extent of the cancer. Knowing the stage of the disease helps your medical team plan the best treatment for you.</w:t>
      </w:r>
    </w:p>
    <w:p w14:paraId="739C53DE" w14:textId="00047FC6" w:rsidR="009329AD" w:rsidRPr="009329AD" w:rsidRDefault="009329AD" w:rsidP="00A571A0">
      <w:pPr>
        <w:shd w:val="clear" w:color="auto" w:fill="FFFFFF"/>
        <w:spacing w:before="0" w:after="100" w:afterAutospacing="1"/>
        <w:ind w:left="360"/>
        <w:rPr>
          <w:szCs w:val="20"/>
        </w:rPr>
      </w:pPr>
      <w:r w:rsidRPr="009329AD">
        <w:rPr>
          <w:szCs w:val="20"/>
        </w:rPr>
        <w:t>Surgical staging involves taking biopsy samples from tissues and organs that ovarian cancer often spreads to.</w:t>
      </w:r>
    </w:p>
    <w:p w14:paraId="4F4A5479" w14:textId="77777777" w:rsidR="009329AD" w:rsidRPr="009329AD" w:rsidRDefault="009329AD" w:rsidP="00A571A0">
      <w:pPr>
        <w:shd w:val="clear" w:color="auto" w:fill="FFFFFF"/>
        <w:spacing w:before="0" w:after="100" w:afterAutospacing="1"/>
        <w:ind w:left="360"/>
        <w:rPr>
          <w:szCs w:val="20"/>
        </w:rPr>
      </w:pPr>
      <w:r w:rsidRPr="009329AD">
        <w:rPr>
          <w:szCs w:val="20"/>
        </w:rPr>
        <w:t>Ovarian cancer is divided into 4 main stages:</w:t>
      </w:r>
    </w:p>
    <w:p w14:paraId="7197844A" w14:textId="77777777" w:rsidR="009329AD" w:rsidRPr="009329AD" w:rsidRDefault="009329AD" w:rsidP="00CD7245">
      <w:pPr>
        <w:numPr>
          <w:ilvl w:val="0"/>
          <w:numId w:val="19"/>
        </w:numPr>
        <w:shd w:val="clear" w:color="auto" w:fill="FFFFFF"/>
        <w:spacing w:before="100" w:beforeAutospacing="1" w:after="100" w:afterAutospacing="1"/>
        <w:rPr>
          <w:szCs w:val="20"/>
        </w:rPr>
      </w:pPr>
      <w:r w:rsidRPr="009329AD">
        <w:rPr>
          <w:szCs w:val="20"/>
        </w:rPr>
        <w:t>Stage I: the cancer is in 1 or both ovaries and has not spread to other organs or tissues.</w:t>
      </w:r>
    </w:p>
    <w:p w14:paraId="5CBAFF05" w14:textId="77777777" w:rsidR="009329AD" w:rsidRPr="009329AD" w:rsidRDefault="009329AD" w:rsidP="00CD7245">
      <w:pPr>
        <w:numPr>
          <w:ilvl w:val="0"/>
          <w:numId w:val="19"/>
        </w:numPr>
        <w:shd w:val="clear" w:color="auto" w:fill="FFFFFF"/>
        <w:spacing w:before="100" w:beforeAutospacing="1" w:after="100" w:afterAutospacing="1"/>
        <w:rPr>
          <w:szCs w:val="20"/>
        </w:rPr>
      </w:pPr>
      <w:r w:rsidRPr="009329AD">
        <w:rPr>
          <w:szCs w:val="20"/>
        </w:rPr>
        <w:t>Stage II: the cancer is in 1 or both ovaries and has spread to other organs in the pelvis, such as the uterus, fallopian tubes, bladder or colon.</w:t>
      </w:r>
    </w:p>
    <w:p w14:paraId="0CD651A4" w14:textId="77777777" w:rsidR="009329AD" w:rsidRPr="009329AD" w:rsidRDefault="009329AD" w:rsidP="00CD7245">
      <w:pPr>
        <w:numPr>
          <w:ilvl w:val="0"/>
          <w:numId w:val="19"/>
        </w:numPr>
        <w:shd w:val="clear" w:color="auto" w:fill="FFFFFF"/>
        <w:spacing w:before="100" w:beforeAutospacing="1" w:after="100" w:afterAutospacing="1"/>
        <w:rPr>
          <w:szCs w:val="20"/>
        </w:rPr>
      </w:pPr>
      <w:r w:rsidRPr="009329AD">
        <w:rPr>
          <w:szCs w:val="20"/>
        </w:rPr>
        <w:t>Stage III: the cancer is in 1 or both ovaries and has spread outside the pelvis to other parts of the abdomen or nearby lymph nodes.</w:t>
      </w:r>
    </w:p>
    <w:p w14:paraId="1506A67F" w14:textId="77777777" w:rsidR="009329AD" w:rsidRPr="009329AD" w:rsidRDefault="009329AD" w:rsidP="00CD7245">
      <w:pPr>
        <w:numPr>
          <w:ilvl w:val="0"/>
          <w:numId w:val="19"/>
        </w:numPr>
        <w:shd w:val="clear" w:color="auto" w:fill="FFFFFF"/>
        <w:spacing w:before="100" w:beforeAutospacing="1" w:after="100" w:afterAutospacing="1"/>
        <w:rPr>
          <w:szCs w:val="20"/>
        </w:rPr>
      </w:pPr>
      <w:r w:rsidRPr="009329AD">
        <w:rPr>
          <w:szCs w:val="20"/>
        </w:rPr>
        <w:t>Stage IV: the cancer has spread to other parts of the body beyond the pelvis and abdomen, such as the lungs or liver.</w:t>
      </w:r>
    </w:p>
    <w:p w14:paraId="3B2E062B" w14:textId="5B4451AD" w:rsidR="009329AD" w:rsidRDefault="009329AD" w:rsidP="00A571A0">
      <w:pPr>
        <w:shd w:val="clear" w:color="auto" w:fill="FFFFFF"/>
        <w:spacing w:before="0" w:after="100" w:afterAutospacing="1"/>
        <w:ind w:left="360"/>
        <w:rPr>
          <w:szCs w:val="20"/>
        </w:rPr>
      </w:pPr>
      <w:r w:rsidRPr="009329AD">
        <w:rPr>
          <w:szCs w:val="20"/>
        </w:rPr>
        <w:t>Each stage has a number of substages.</w:t>
      </w:r>
    </w:p>
    <w:p w14:paraId="66FE3D0D" w14:textId="46AACA19" w:rsidR="009329AD" w:rsidRDefault="009329AD" w:rsidP="00A571A0">
      <w:pPr>
        <w:shd w:val="clear" w:color="auto" w:fill="FFFFFF"/>
        <w:spacing w:before="0" w:after="100" w:afterAutospacing="1"/>
        <w:ind w:left="360"/>
        <w:rPr>
          <w:i/>
          <w:iCs/>
          <w:szCs w:val="20"/>
        </w:rPr>
      </w:pPr>
      <w:r w:rsidRPr="009329AD">
        <w:rPr>
          <w:i/>
          <w:iCs/>
          <w:szCs w:val="20"/>
        </w:rPr>
        <w:t>Genetic testing</w:t>
      </w:r>
    </w:p>
    <w:p w14:paraId="305B1D66" w14:textId="14D3CBA7" w:rsidR="00460152" w:rsidRDefault="00460152" w:rsidP="000D1E44">
      <w:pPr>
        <w:ind w:left="360"/>
      </w:pPr>
      <w:r>
        <w:t xml:space="preserve">Cancer Australia recommends that women newly diagnosed with invasive epithelial ovarian cancer, regardless of their age or family history, should be offered assessment of their genetic risk. It is recommended that women with a previous diagnosis of invasive epithelial ovarian cancer be offered assessment of genetic risk </w:t>
      </w:r>
      <w:r w:rsidR="00957BD0">
        <w:t xml:space="preserve">if she meets the criteria from the </w:t>
      </w:r>
      <w:r w:rsidR="00D508EB">
        <w:t>E</w:t>
      </w:r>
      <w:r w:rsidR="00957BD0">
        <w:t>VIQ guidelines</w:t>
      </w:r>
      <w:r>
        <w:t xml:space="preserve"> </w:t>
      </w:r>
      <w:r w:rsidR="005B3B99">
        <w:t>(July 20</w:t>
      </w:r>
      <w:r w:rsidR="001E3E32">
        <w:t>19</w:t>
      </w:r>
      <w:r w:rsidR="005B3B99">
        <w:t>)</w:t>
      </w:r>
      <w:r>
        <w:t xml:space="preserve">. </w:t>
      </w:r>
      <w:r w:rsidR="00957BD0">
        <w:t xml:space="preserve"> Currently, </w:t>
      </w:r>
      <w:r w:rsidR="00B14C70">
        <w:t xml:space="preserve">a </w:t>
      </w:r>
      <w:r w:rsidR="00957BD0">
        <w:t xml:space="preserve">woman with invasive epithelial ovarian cancer </w:t>
      </w:r>
      <w:r w:rsidR="00294BA1">
        <w:t xml:space="preserve">are </w:t>
      </w:r>
      <w:r w:rsidR="00957BD0">
        <w:t xml:space="preserve">offered genetic testing for a heritable </w:t>
      </w:r>
      <w:r w:rsidR="00B14C70">
        <w:t xml:space="preserve">pathogenic </w:t>
      </w:r>
      <w:r w:rsidR="00957BD0">
        <w:t>BRCA1 or BRCA2</w:t>
      </w:r>
      <w:r w:rsidR="00B14C70">
        <w:t xml:space="preserve"> gene variant</w:t>
      </w:r>
      <w:r w:rsidR="00957BD0">
        <w:t xml:space="preserve"> if she meets the following criteria:</w:t>
      </w:r>
    </w:p>
    <w:p w14:paraId="298C360E" w14:textId="7644CE3B" w:rsidR="00957BD0" w:rsidRDefault="00957BD0" w:rsidP="00CD7245">
      <w:pPr>
        <w:pStyle w:val="ListParagraph"/>
        <w:numPr>
          <w:ilvl w:val="0"/>
          <w:numId w:val="20"/>
        </w:numPr>
        <w:spacing w:before="0" w:after="200" w:line="276" w:lineRule="auto"/>
      </w:pPr>
      <w:r>
        <w:t xml:space="preserve">has high grade  invasive non-mucinous ovarian cancer, diagnosed at </w:t>
      </w:r>
      <w:r w:rsidR="005B3B99">
        <w:t xml:space="preserve">any age </w:t>
      </w:r>
    </w:p>
    <w:p w14:paraId="03027F52" w14:textId="77777777" w:rsidR="00957BD0" w:rsidRDefault="00957BD0" w:rsidP="00CD7245">
      <w:pPr>
        <w:pStyle w:val="ListParagraph"/>
        <w:numPr>
          <w:ilvl w:val="0"/>
          <w:numId w:val="20"/>
        </w:numPr>
        <w:spacing w:before="0" w:after="200" w:line="276" w:lineRule="auto"/>
      </w:pPr>
      <w:r>
        <w:t>has invasive non-mucinous ovarian cancer at any age, with a personal history of breast cancer, or a family history of breast or ovarian cancer.</w:t>
      </w:r>
    </w:p>
    <w:p w14:paraId="11DB242A" w14:textId="77777777" w:rsidR="00957BD0" w:rsidRDefault="00957BD0" w:rsidP="00CD7245">
      <w:pPr>
        <w:pStyle w:val="ListParagraph"/>
        <w:numPr>
          <w:ilvl w:val="0"/>
          <w:numId w:val="20"/>
        </w:numPr>
        <w:spacing w:before="0" w:after="200" w:line="276" w:lineRule="auto"/>
      </w:pPr>
      <w:r>
        <w:t>is from a population where a common founder mutation exists, such as the Ashkenazi Jewish population.</w:t>
      </w:r>
    </w:p>
    <w:p w14:paraId="29B029E0" w14:textId="719464AE" w:rsidR="00957BD0" w:rsidRDefault="00957BD0" w:rsidP="00CD7245">
      <w:pPr>
        <w:pStyle w:val="ListParagraph"/>
        <w:numPr>
          <w:ilvl w:val="0"/>
          <w:numId w:val="20"/>
        </w:numPr>
        <w:spacing w:before="0" w:after="200" w:line="276" w:lineRule="auto"/>
      </w:pPr>
      <w:r>
        <w:t xml:space="preserve">is assessed as &gt;10% chance of having a BRCA1/2 mutation, using a prediction tool (such as </w:t>
      </w:r>
      <w:proofErr w:type="spellStart"/>
      <w:r w:rsidR="005B3B99">
        <w:t>CanRisk</w:t>
      </w:r>
      <w:proofErr w:type="spellEnd"/>
      <w:r w:rsidR="005B3B99">
        <w:t xml:space="preserve"> </w:t>
      </w:r>
      <w:r>
        <w:t>or Manchester score).</w:t>
      </w:r>
    </w:p>
    <w:p w14:paraId="4C089579" w14:textId="50E84D60" w:rsidR="003840C6" w:rsidRDefault="00957BD0" w:rsidP="00CD7245">
      <w:pPr>
        <w:pStyle w:val="ListParagraph"/>
        <w:numPr>
          <w:ilvl w:val="0"/>
          <w:numId w:val="20"/>
        </w:numPr>
        <w:spacing w:before="0" w:after="200" w:line="276" w:lineRule="auto"/>
      </w:pPr>
      <w:r>
        <w:t>has relapsed platinum- sensitive ovarian cancer, is a candidate for treatment with PARP inhibitors and meets MBS criteria.</w:t>
      </w:r>
    </w:p>
    <w:p w14:paraId="7AED303E" w14:textId="56F75A60" w:rsidR="00EA5800" w:rsidRPr="00957BD0" w:rsidRDefault="00EA5800" w:rsidP="00EA5800">
      <w:pPr>
        <w:ind w:left="360"/>
      </w:pPr>
      <w:r>
        <w:t>Until recently, testing</w:t>
      </w:r>
      <w:r w:rsidR="00B14C70">
        <w:t xml:space="preserve"> for BRCA pathogenic gene variants</w:t>
      </w:r>
      <w:r>
        <w:t xml:space="preserve"> is included as part of the routine diagnostic work-up for patients with advanced ovarian cancer. The medical oncologist or gynaecological oncologist would </w:t>
      </w:r>
      <w:r w:rsidR="00063812">
        <w:t xml:space="preserve">request the test or </w:t>
      </w:r>
      <w:r>
        <w:t xml:space="preserve">refer the patient on for BRCA testing. </w:t>
      </w:r>
      <w:r w:rsidR="000C11F2">
        <w:t xml:space="preserve">BRCA testing currently funded under the </w:t>
      </w:r>
      <w:r>
        <w:t>M</w:t>
      </w:r>
      <w:r w:rsidR="000C11F2">
        <w:t xml:space="preserve">BS are listed in </w:t>
      </w:r>
      <w:r w:rsidR="000C11F2">
        <w:fldChar w:fldCharType="begin"/>
      </w:r>
      <w:r w:rsidR="000C11F2">
        <w:instrText xml:space="preserve"> REF _Ref55115325 \h </w:instrText>
      </w:r>
      <w:r w:rsidR="000C11F2">
        <w:fldChar w:fldCharType="separate"/>
      </w:r>
      <w:r w:rsidR="00EA35EE" w:rsidRPr="001D3817">
        <w:rPr>
          <w:szCs w:val="20"/>
        </w:rPr>
        <w:t xml:space="preserve">Table </w:t>
      </w:r>
      <w:r w:rsidR="00EA35EE">
        <w:rPr>
          <w:noProof/>
          <w:szCs w:val="20"/>
        </w:rPr>
        <w:t>1</w:t>
      </w:r>
      <w:r w:rsidR="000C11F2">
        <w:fldChar w:fldCharType="end"/>
      </w:r>
      <w:r w:rsidR="000C11F2">
        <w:t>.</w:t>
      </w:r>
    </w:p>
    <w:p w14:paraId="38BA34D7" w14:textId="23C3A7FF" w:rsidR="000C280B" w:rsidRPr="0013630B" w:rsidRDefault="002A0C86" w:rsidP="002A0C86">
      <w:pPr>
        <w:pStyle w:val="Caption"/>
        <w:rPr>
          <w:color w:val="auto"/>
          <w:sz w:val="20"/>
          <w:szCs w:val="20"/>
        </w:rPr>
      </w:pPr>
      <w:bookmarkStart w:id="7" w:name="_Ref55115325"/>
      <w:r w:rsidRPr="0013630B">
        <w:rPr>
          <w:color w:val="auto"/>
          <w:sz w:val="20"/>
          <w:szCs w:val="20"/>
        </w:rPr>
        <w:t xml:space="preserve">Table </w:t>
      </w:r>
      <w:r w:rsidR="006D01BE" w:rsidRPr="0013630B">
        <w:rPr>
          <w:color w:val="auto"/>
          <w:sz w:val="20"/>
          <w:szCs w:val="20"/>
        </w:rPr>
        <w:fldChar w:fldCharType="begin"/>
      </w:r>
      <w:r w:rsidR="006D01BE" w:rsidRPr="0013630B">
        <w:rPr>
          <w:color w:val="auto"/>
          <w:sz w:val="20"/>
          <w:szCs w:val="20"/>
        </w:rPr>
        <w:instrText xml:space="preserve"> SEQ Table \* ARABIC </w:instrText>
      </w:r>
      <w:r w:rsidR="006D01BE" w:rsidRPr="0013630B">
        <w:rPr>
          <w:color w:val="auto"/>
          <w:sz w:val="20"/>
          <w:szCs w:val="20"/>
        </w:rPr>
        <w:fldChar w:fldCharType="separate"/>
      </w:r>
      <w:r w:rsidR="00EA35EE" w:rsidRPr="0013630B">
        <w:rPr>
          <w:noProof/>
          <w:color w:val="auto"/>
          <w:sz w:val="20"/>
          <w:szCs w:val="20"/>
        </w:rPr>
        <w:t>1</w:t>
      </w:r>
      <w:r w:rsidR="006D01BE" w:rsidRPr="0013630B">
        <w:rPr>
          <w:noProof/>
          <w:color w:val="auto"/>
          <w:sz w:val="20"/>
          <w:szCs w:val="20"/>
        </w:rPr>
        <w:fldChar w:fldCharType="end"/>
      </w:r>
      <w:bookmarkEnd w:id="7"/>
      <w:r w:rsidRPr="0013630B">
        <w:rPr>
          <w:color w:val="auto"/>
          <w:sz w:val="20"/>
          <w:szCs w:val="20"/>
        </w:rPr>
        <w:tab/>
        <w:t xml:space="preserve">MBS items for testing BRCA 1 or BRCA2 mutations for  ovarian cancer  patients currently on MBS </w:t>
      </w:r>
    </w:p>
    <w:tbl>
      <w:tblPr>
        <w:tblStyle w:val="TableGrid"/>
        <w:tblW w:w="9209" w:type="dxa"/>
        <w:tblLayout w:type="fixed"/>
        <w:tblLook w:val="04A0" w:firstRow="1" w:lastRow="0" w:firstColumn="1" w:lastColumn="0" w:noHBand="0" w:noVBand="1"/>
      </w:tblPr>
      <w:tblGrid>
        <w:gridCol w:w="1555"/>
        <w:gridCol w:w="5953"/>
        <w:gridCol w:w="1701"/>
      </w:tblGrid>
      <w:tr w:rsidR="002A0C86" w:rsidRPr="00832DCA" w14:paraId="4CB409ED" w14:textId="77777777" w:rsidTr="00D508EB">
        <w:trPr>
          <w:cantSplit/>
          <w:tblHeader/>
        </w:trPr>
        <w:tc>
          <w:tcPr>
            <w:tcW w:w="1555" w:type="dxa"/>
          </w:tcPr>
          <w:p w14:paraId="7B4F191A" w14:textId="77777777" w:rsidR="002A0C86" w:rsidRDefault="002A0C86" w:rsidP="00D508EB">
            <w:r>
              <w:t xml:space="preserve">MBS Item </w:t>
            </w:r>
          </w:p>
        </w:tc>
        <w:tc>
          <w:tcPr>
            <w:tcW w:w="5953" w:type="dxa"/>
          </w:tcPr>
          <w:p w14:paraId="2482E6CB" w14:textId="77777777" w:rsidR="002A0C86" w:rsidRDefault="002A0C86" w:rsidP="00D508EB">
            <w:r>
              <w:t xml:space="preserve">Description </w:t>
            </w:r>
          </w:p>
        </w:tc>
        <w:tc>
          <w:tcPr>
            <w:tcW w:w="1701" w:type="dxa"/>
          </w:tcPr>
          <w:p w14:paraId="4CDCC666" w14:textId="77777777" w:rsidR="002A0C86" w:rsidRPr="00832DCA" w:rsidRDefault="002A0C86" w:rsidP="00D508EB">
            <w:pPr>
              <w:rPr>
                <w:b/>
                <w:bCs/>
                <w:color w:val="222222"/>
                <w:shd w:val="clear" w:color="auto" w:fill="FBFBFB"/>
              </w:rPr>
            </w:pPr>
          </w:p>
        </w:tc>
      </w:tr>
      <w:tr w:rsidR="002A0C86" w:rsidRPr="00832DCA" w14:paraId="6D473D45" w14:textId="77777777" w:rsidTr="00D508EB">
        <w:tc>
          <w:tcPr>
            <w:tcW w:w="1555" w:type="dxa"/>
          </w:tcPr>
          <w:p w14:paraId="31ED9EE4" w14:textId="77777777" w:rsidR="002A0C86" w:rsidRDefault="002A0C86" w:rsidP="00D508EB">
            <w:r>
              <w:t>73295</w:t>
            </w:r>
          </w:p>
        </w:tc>
        <w:tc>
          <w:tcPr>
            <w:tcW w:w="5953" w:type="dxa"/>
          </w:tcPr>
          <w:p w14:paraId="2526A8B5" w14:textId="77777777" w:rsidR="002A0C86" w:rsidRDefault="002A0C86" w:rsidP="00D508EB">
            <w:r w:rsidRPr="002A0C86">
              <w:t>Detection of germline BRCA1 or BRCA2 pathogenic or likely pathogenic gene variants, in a patient with advanced (FIGO III-IV) high-grade serous or high-grade epithelial ovarian, fallopian tube or primary peritoneal cancer for whom testing of tumour tissue is not feasible, requested by a specialist or consultant physician, to determine eligibility for olaparib under the Pharmaceutical Benefits Scheme (PBS)</w:t>
            </w:r>
            <w:r>
              <w:t>.</w:t>
            </w:r>
          </w:p>
          <w:p w14:paraId="78EA5536" w14:textId="77777777" w:rsidR="002A0C86" w:rsidRDefault="002A0C86" w:rsidP="00D508EB">
            <w:r>
              <w:t>Maximum one test per lifetime</w:t>
            </w:r>
          </w:p>
        </w:tc>
        <w:tc>
          <w:tcPr>
            <w:tcW w:w="1701" w:type="dxa"/>
          </w:tcPr>
          <w:p w14:paraId="50D3FF56" w14:textId="77777777" w:rsidR="002A0C86" w:rsidRDefault="002A0C86" w:rsidP="00D508EB">
            <w:pPr>
              <w:rPr>
                <w:color w:val="222222"/>
                <w:shd w:val="clear" w:color="auto" w:fill="FBFBFB"/>
              </w:rPr>
            </w:pPr>
            <w:r w:rsidRPr="00832DCA">
              <w:rPr>
                <w:b/>
                <w:bCs/>
                <w:color w:val="222222"/>
                <w:shd w:val="clear" w:color="auto" w:fill="FBFBFB"/>
              </w:rPr>
              <w:t>Fee:</w:t>
            </w:r>
            <w:r>
              <w:rPr>
                <w:b/>
                <w:bCs/>
                <w:color w:val="222222"/>
                <w:shd w:val="clear" w:color="auto" w:fill="FBFBFB"/>
              </w:rPr>
              <w:t xml:space="preserve"> </w:t>
            </w:r>
            <w:r w:rsidRPr="00832DCA">
              <w:rPr>
                <w:color w:val="222222"/>
                <w:shd w:val="clear" w:color="auto" w:fill="FBFBFB"/>
              </w:rPr>
              <w:t>$1,200.00</w:t>
            </w:r>
          </w:p>
          <w:p w14:paraId="6FF776DB" w14:textId="77777777" w:rsidR="002A0C86" w:rsidRDefault="002A0C86" w:rsidP="00D508EB">
            <w:pPr>
              <w:rPr>
                <w:color w:val="222222"/>
                <w:shd w:val="clear" w:color="auto" w:fill="FBFBFB"/>
              </w:rPr>
            </w:pPr>
            <w:r w:rsidRPr="00832DCA">
              <w:rPr>
                <w:b/>
                <w:bCs/>
                <w:color w:val="222222"/>
                <w:shd w:val="clear" w:color="auto" w:fill="FBFBFB"/>
              </w:rPr>
              <w:t>Benefit:</w:t>
            </w:r>
          </w:p>
          <w:p w14:paraId="0397AFFD" w14:textId="17BE2CCF" w:rsidR="002A0C86" w:rsidRPr="00832DCA" w:rsidRDefault="002A0C86" w:rsidP="00D508EB">
            <w:r w:rsidRPr="00832DCA">
              <w:rPr>
                <w:color w:val="222222"/>
                <w:shd w:val="clear" w:color="auto" w:fill="FBFBFB"/>
              </w:rPr>
              <w:t>75% = $900.00 85% = $1,11</w:t>
            </w:r>
            <w:r>
              <w:rPr>
                <w:color w:val="222222"/>
                <w:shd w:val="clear" w:color="auto" w:fill="FBFBFB"/>
              </w:rPr>
              <w:t>5</w:t>
            </w:r>
            <w:r w:rsidRPr="00832DCA">
              <w:rPr>
                <w:color w:val="222222"/>
                <w:shd w:val="clear" w:color="auto" w:fill="FBFBFB"/>
              </w:rPr>
              <w:t>.30</w:t>
            </w:r>
          </w:p>
        </w:tc>
      </w:tr>
      <w:tr w:rsidR="002A0C86" w:rsidRPr="00832DCA" w14:paraId="75B8FB37" w14:textId="77777777" w:rsidTr="00D508EB">
        <w:tc>
          <w:tcPr>
            <w:tcW w:w="1555" w:type="dxa"/>
          </w:tcPr>
          <w:p w14:paraId="61068164" w14:textId="77777777" w:rsidR="002A0C86" w:rsidRDefault="002A0C86" w:rsidP="00D508EB">
            <w:r>
              <w:t>73296</w:t>
            </w:r>
          </w:p>
        </w:tc>
        <w:tc>
          <w:tcPr>
            <w:tcW w:w="5953" w:type="dxa"/>
          </w:tcPr>
          <w:p w14:paraId="519EC6F3" w14:textId="77777777" w:rsidR="002A0C86" w:rsidRDefault="002A0C86" w:rsidP="00D508EB">
            <w:r w:rsidRPr="00E63BCA">
              <w:t>Characterisation of germline gene mutations, requested by a specialist or consultant physician, including copy number variation in BRCA1 and BRCA2 genes and one or more of the following genes STK11, PTEN, CDH1, PALB2, or TP53 in a patient with breast or ovarian cancer for whom clinical and family history criteria, as assessed by the specialist or consultant physician who requests the service using a quantitative algorithm, place the patient at &gt;10% risk of having a pathogenic mutation identified in one or more of the genes specified above.</w:t>
            </w:r>
          </w:p>
        </w:tc>
        <w:tc>
          <w:tcPr>
            <w:tcW w:w="1701" w:type="dxa"/>
          </w:tcPr>
          <w:p w14:paraId="53432826" w14:textId="77777777" w:rsidR="002A0C86" w:rsidRDefault="002A0C86" w:rsidP="00D508EB">
            <w:pPr>
              <w:rPr>
                <w:color w:val="222222"/>
                <w:shd w:val="clear" w:color="auto" w:fill="FBFBFB"/>
              </w:rPr>
            </w:pPr>
            <w:r w:rsidRPr="00832DCA">
              <w:rPr>
                <w:b/>
                <w:bCs/>
                <w:color w:val="222222"/>
                <w:shd w:val="clear" w:color="auto" w:fill="FBFBFB"/>
              </w:rPr>
              <w:t>Fee:</w:t>
            </w:r>
            <w:r>
              <w:rPr>
                <w:b/>
                <w:bCs/>
                <w:color w:val="222222"/>
                <w:shd w:val="clear" w:color="auto" w:fill="FBFBFB"/>
              </w:rPr>
              <w:t xml:space="preserve"> </w:t>
            </w:r>
            <w:r w:rsidRPr="00832DCA">
              <w:rPr>
                <w:color w:val="222222"/>
                <w:shd w:val="clear" w:color="auto" w:fill="FBFBFB"/>
              </w:rPr>
              <w:t>$1,200.00</w:t>
            </w:r>
          </w:p>
          <w:p w14:paraId="52682BC5" w14:textId="77777777" w:rsidR="002A0C86" w:rsidRDefault="002A0C86" w:rsidP="00D508EB">
            <w:pPr>
              <w:rPr>
                <w:color w:val="222222"/>
                <w:shd w:val="clear" w:color="auto" w:fill="FBFBFB"/>
              </w:rPr>
            </w:pPr>
            <w:r w:rsidRPr="00832DCA">
              <w:rPr>
                <w:b/>
                <w:bCs/>
                <w:color w:val="222222"/>
                <w:shd w:val="clear" w:color="auto" w:fill="FBFBFB"/>
              </w:rPr>
              <w:t>Benefit:</w:t>
            </w:r>
          </w:p>
          <w:p w14:paraId="016408F9" w14:textId="77777777" w:rsidR="002A0C86" w:rsidRPr="00832DCA" w:rsidRDefault="002A0C86" w:rsidP="00D508EB">
            <w:r w:rsidRPr="00832DCA">
              <w:rPr>
                <w:color w:val="222222"/>
                <w:shd w:val="clear" w:color="auto" w:fill="FBFBFB"/>
              </w:rPr>
              <w:t>75% = $900.00 85% = $1,118.30</w:t>
            </w:r>
          </w:p>
        </w:tc>
      </w:tr>
      <w:tr w:rsidR="002A0C86" w:rsidRPr="0047265C" w14:paraId="0309F0ED" w14:textId="77777777" w:rsidTr="00D508EB">
        <w:trPr>
          <w:trHeight w:val="1837"/>
        </w:trPr>
        <w:tc>
          <w:tcPr>
            <w:tcW w:w="1555" w:type="dxa"/>
          </w:tcPr>
          <w:p w14:paraId="548A671D" w14:textId="77777777" w:rsidR="002A0C86" w:rsidRDefault="002A0C86" w:rsidP="00D508EB">
            <w:pPr>
              <w:keepNext/>
              <w:keepLines/>
            </w:pPr>
            <w:r>
              <w:t>73297</w:t>
            </w:r>
          </w:p>
        </w:tc>
        <w:tc>
          <w:tcPr>
            <w:tcW w:w="5953" w:type="dxa"/>
          </w:tcPr>
          <w:p w14:paraId="5CA2ABC2" w14:textId="77777777" w:rsidR="002A0C86" w:rsidRDefault="002A0C86" w:rsidP="002A0C86">
            <w:pPr>
              <w:keepNext/>
              <w:keepLines/>
            </w:pPr>
            <w:r w:rsidRPr="00E63BCA">
              <w:t xml:space="preserve">Characterisation of germline gene mutations, requested by a specialist or consultant physician, including copy number variation in </w:t>
            </w:r>
            <w:r w:rsidRPr="00970FAD">
              <w:rPr>
                <w:i/>
              </w:rPr>
              <w:t>BRCA1</w:t>
            </w:r>
            <w:r w:rsidRPr="00E63BCA">
              <w:t xml:space="preserve"> and </w:t>
            </w:r>
            <w:r w:rsidRPr="00970FAD">
              <w:rPr>
                <w:i/>
              </w:rPr>
              <w:t>BRCA2</w:t>
            </w:r>
            <w:r w:rsidRPr="00E63BCA">
              <w:t xml:space="preserve"> genes and one or more of the following genes </w:t>
            </w:r>
            <w:r w:rsidRPr="00970FAD">
              <w:rPr>
                <w:i/>
              </w:rPr>
              <w:t>STK11, PTEN, CDH1, PALB2</w:t>
            </w:r>
            <w:r w:rsidRPr="00E63BCA">
              <w:t xml:space="preserve">, or </w:t>
            </w:r>
            <w:r w:rsidRPr="00970FAD">
              <w:rPr>
                <w:i/>
              </w:rPr>
              <w:t>TP53</w:t>
            </w:r>
            <w:r w:rsidRPr="00E63BCA">
              <w:t xml:space="preserve"> in a patient who is a biological relative of a patient who has had a pathogenic mutation identified in one or more of the genes specified above, and has not previously received a service under item 73296.</w:t>
            </w:r>
          </w:p>
        </w:tc>
        <w:tc>
          <w:tcPr>
            <w:tcW w:w="1701" w:type="dxa"/>
          </w:tcPr>
          <w:p w14:paraId="67A424B7" w14:textId="77777777" w:rsidR="002A0C86" w:rsidRDefault="002A0C86" w:rsidP="00D508EB">
            <w:pPr>
              <w:keepNext/>
              <w:keepLines/>
              <w:rPr>
                <w:color w:val="222222"/>
                <w:shd w:val="clear" w:color="auto" w:fill="FBFBFB"/>
              </w:rPr>
            </w:pPr>
            <w:r w:rsidRPr="00832DCA">
              <w:rPr>
                <w:b/>
                <w:bCs/>
                <w:color w:val="222222"/>
                <w:shd w:val="clear" w:color="auto" w:fill="FBFBFB"/>
              </w:rPr>
              <w:t>Fee:</w:t>
            </w:r>
            <w:r>
              <w:rPr>
                <w:b/>
                <w:bCs/>
                <w:color w:val="222222"/>
                <w:shd w:val="clear" w:color="auto" w:fill="FBFBFB"/>
              </w:rPr>
              <w:t xml:space="preserve"> </w:t>
            </w:r>
            <w:r w:rsidRPr="00832DCA">
              <w:rPr>
                <w:color w:val="222222"/>
                <w:shd w:val="clear" w:color="auto" w:fill="FBFBFB"/>
              </w:rPr>
              <w:t>$400.00</w:t>
            </w:r>
          </w:p>
          <w:p w14:paraId="1F216842" w14:textId="77777777" w:rsidR="002A0C86" w:rsidRDefault="002A0C86" w:rsidP="00D508EB">
            <w:pPr>
              <w:keepNext/>
              <w:keepLines/>
              <w:rPr>
                <w:color w:val="222222"/>
                <w:shd w:val="clear" w:color="auto" w:fill="FBFBFB"/>
              </w:rPr>
            </w:pPr>
            <w:r w:rsidRPr="00832DCA">
              <w:rPr>
                <w:b/>
                <w:bCs/>
                <w:color w:val="222222"/>
                <w:shd w:val="clear" w:color="auto" w:fill="FBFBFB"/>
              </w:rPr>
              <w:t>Benefit:</w:t>
            </w:r>
          </w:p>
          <w:p w14:paraId="5FA97568" w14:textId="77777777" w:rsidR="002A0C86" w:rsidRPr="0047265C" w:rsidRDefault="002A0C86" w:rsidP="00D508EB">
            <w:pPr>
              <w:keepNext/>
              <w:keepLines/>
              <w:rPr>
                <w:color w:val="222222"/>
                <w:shd w:val="clear" w:color="auto" w:fill="FBFBFB"/>
              </w:rPr>
            </w:pPr>
            <w:r w:rsidRPr="00832DCA">
              <w:rPr>
                <w:color w:val="222222"/>
                <w:shd w:val="clear" w:color="auto" w:fill="FBFBFB"/>
              </w:rPr>
              <w:t>75% = $300.00 85% = $340.00</w:t>
            </w:r>
          </w:p>
        </w:tc>
      </w:tr>
      <w:tr w:rsidR="002A0C86" w:rsidRPr="0004217B" w14:paraId="04978F49" w14:textId="77777777" w:rsidTr="00D508EB">
        <w:tc>
          <w:tcPr>
            <w:tcW w:w="1555" w:type="dxa"/>
          </w:tcPr>
          <w:p w14:paraId="2F6C54EB" w14:textId="35B61920" w:rsidR="002A0C86" w:rsidRDefault="00CF1360" w:rsidP="00D508EB">
            <w:r>
              <w:t>73301</w:t>
            </w:r>
          </w:p>
        </w:tc>
        <w:tc>
          <w:tcPr>
            <w:tcW w:w="5953" w:type="dxa"/>
          </w:tcPr>
          <w:p w14:paraId="0984B2C9" w14:textId="00D5AAFB" w:rsidR="00CF1360" w:rsidRPr="00CF1360" w:rsidRDefault="00CF1360" w:rsidP="00CF1360">
            <w:pPr>
              <w:shd w:val="clear" w:color="auto" w:fill="FBFBFB"/>
            </w:pPr>
            <w:r w:rsidRPr="00CF1360">
              <w:t>A test of tumour tissue from a patient with advanced (FIGO III-IV), high-grade serous or high-grade epithelial ovarian, fallopian tube or primary peritoneal cancer, requested by a specialist or consultant physician, to determine eligibility relating to BRCA status for access to olaparib under the Pharmaceutical Benefits Scheme (PBS).</w:t>
            </w:r>
          </w:p>
          <w:p w14:paraId="6A028447" w14:textId="154E2934" w:rsidR="002A0C86" w:rsidRDefault="00CF1360" w:rsidP="00CF1360">
            <w:pPr>
              <w:shd w:val="clear" w:color="auto" w:fill="FBFBFB"/>
            </w:pPr>
            <w:r w:rsidRPr="00CF1360">
              <w:t>Applicable once per primary tumour diagnosis</w:t>
            </w:r>
          </w:p>
        </w:tc>
        <w:tc>
          <w:tcPr>
            <w:tcW w:w="1701" w:type="dxa"/>
          </w:tcPr>
          <w:p w14:paraId="0B5B63D8" w14:textId="77777777" w:rsidR="00CF1360" w:rsidRDefault="00CF1360" w:rsidP="00CF1360">
            <w:pPr>
              <w:rPr>
                <w:color w:val="222222"/>
                <w:shd w:val="clear" w:color="auto" w:fill="FBFBFB"/>
              </w:rPr>
            </w:pPr>
            <w:r w:rsidRPr="00832DCA">
              <w:rPr>
                <w:b/>
                <w:bCs/>
                <w:color w:val="222222"/>
                <w:shd w:val="clear" w:color="auto" w:fill="FBFBFB"/>
              </w:rPr>
              <w:t>Fee:</w:t>
            </w:r>
            <w:r>
              <w:rPr>
                <w:b/>
                <w:bCs/>
                <w:color w:val="222222"/>
                <w:shd w:val="clear" w:color="auto" w:fill="FBFBFB"/>
              </w:rPr>
              <w:t xml:space="preserve"> </w:t>
            </w:r>
            <w:r w:rsidRPr="00832DCA">
              <w:rPr>
                <w:color w:val="222222"/>
                <w:shd w:val="clear" w:color="auto" w:fill="FBFBFB"/>
              </w:rPr>
              <w:t>$1,200.00</w:t>
            </w:r>
          </w:p>
          <w:p w14:paraId="4C11FC5B" w14:textId="77777777" w:rsidR="00CF1360" w:rsidRDefault="00CF1360" w:rsidP="00CF1360">
            <w:pPr>
              <w:rPr>
                <w:color w:val="222222"/>
                <w:shd w:val="clear" w:color="auto" w:fill="FBFBFB"/>
              </w:rPr>
            </w:pPr>
            <w:r w:rsidRPr="00832DCA">
              <w:rPr>
                <w:b/>
                <w:bCs/>
                <w:color w:val="222222"/>
                <w:shd w:val="clear" w:color="auto" w:fill="FBFBFB"/>
              </w:rPr>
              <w:t>Benefit:</w:t>
            </w:r>
          </w:p>
          <w:p w14:paraId="7D997E84" w14:textId="690B134F" w:rsidR="002A0C86" w:rsidRPr="0004217B" w:rsidRDefault="00CF1360" w:rsidP="00CF1360">
            <w:pPr>
              <w:rPr>
                <w:bCs/>
                <w:color w:val="222222"/>
                <w:shd w:val="clear" w:color="auto" w:fill="FBFBFB"/>
                <w:vertAlign w:val="superscript"/>
              </w:rPr>
            </w:pPr>
            <w:r w:rsidRPr="00832DCA">
              <w:rPr>
                <w:color w:val="222222"/>
                <w:shd w:val="clear" w:color="auto" w:fill="FBFBFB"/>
              </w:rPr>
              <w:t>75% = $900.00 85% = $1,11</w:t>
            </w:r>
            <w:r>
              <w:rPr>
                <w:color w:val="222222"/>
                <w:shd w:val="clear" w:color="auto" w:fill="FBFBFB"/>
              </w:rPr>
              <w:t>5</w:t>
            </w:r>
            <w:r w:rsidRPr="00832DCA">
              <w:rPr>
                <w:color w:val="222222"/>
                <w:shd w:val="clear" w:color="auto" w:fill="FBFBFB"/>
              </w:rPr>
              <w:t>.30</w:t>
            </w:r>
          </w:p>
        </w:tc>
      </w:tr>
      <w:tr w:rsidR="002A0C86" w:rsidRPr="0004217B" w14:paraId="4709F0AB" w14:textId="77777777" w:rsidTr="00D508EB">
        <w:tc>
          <w:tcPr>
            <w:tcW w:w="1555" w:type="dxa"/>
          </w:tcPr>
          <w:p w14:paraId="72C6C1C2" w14:textId="6A95BC85" w:rsidR="002A0C86" w:rsidRDefault="002A0C86" w:rsidP="00D508EB">
            <w:r>
              <w:t>73302</w:t>
            </w:r>
          </w:p>
        </w:tc>
        <w:tc>
          <w:tcPr>
            <w:tcW w:w="5953" w:type="dxa"/>
          </w:tcPr>
          <w:p w14:paraId="20880ECB" w14:textId="0744D5E1" w:rsidR="002A0C86" w:rsidRPr="002A0C86" w:rsidRDefault="002A0C86" w:rsidP="002A0C86">
            <w:pPr>
              <w:shd w:val="clear" w:color="auto" w:fill="FBFBFB"/>
            </w:pPr>
            <w:r w:rsidRPr="002A0C86">
              <w:t>Characterisation of germline gene variants including copy number variants, in BRCA1 or BRCA2 genes, in a patient who has had a pathogenic or likely pathogenic variant identified in either gene by tumour testing and who has not previously received a service to which items 73295, 73296 or 73297 applies, requested by a specialist or consultant physician.</w:t>
            </w:r>
          </w:p>
          <w:p w14:paraId="4E042065" w14:textId="6CB45D5B" w:rsidR="002A0C86" w:rsidRDefault="002A0C86" w:rsidP="002A0C86">
            <w:pPr>
              <w:shd w:val="clear" w:color="auto" w:fill="FBFBFB"/>
            </w:pPr>
            <w:r w:rsidRPr="002A0C86">
              <w:t>Applicable once per primary tumour diagnosis</w:t>
            </w:r>
          </w:p>
        </w:tc>
        <w:tc>
          <w:tcPr>
            <w:tcW w:w="1701" w:type="dxa"/>
          </w:tcPr>
          <w:p w14:paraId="423B704F" w14:textId="77777777" w:rsidR="00CF1360" w:rsidRDefault="00CF1360" w:rsidP="00CF1360">
            <w:pPr>
              <w:keepNext/>
              <w:keepLines/>
              <w:rPr>
                <w:color w:val="222222"/>
                <w:shd w:val="clear" w:color="auto" w:fill="FBFBFB"/>
              </w:rPr>
            </w:pPr>
            <w:r w:rsidRPr="00832DCA">
              <w:rPr>
                <w:b/>
                <w:bCs/>
                <w:color w:val="222222"/>
                <w:shd w:val="clear" w:color="auto" w:fill="FBFBFB"/>
              </w:rPr>
              <w:t>Fee:</w:t>
            </w:r>
            <w:r>
              <w:rPr>
                <w:b/>
                <w:bCs/>
                <w:color w:val="222222"/>
                <w:shd w:val="clear" w:color="auto" w:fill="FBFBFB"/>
              </w:rPr>
              <w:t xml:space="preserve"> </w:t>
            </w:r>
            <w:r w:rsidRPr="00832DCA">
              <w:rPr>
                <w:color w:val="222222"/>
                <w:shd w:val="clear" w:color="auto" w:fill="FBFBFB"/>
              </w:rPr>
              <w:t>$400.00</w:t>
            </w:r>
          </w:p>
          <w:p w14:paraId="7D506C4C" w14:textId="77777777" w:rsidR="00CF1360" w:rsidRDefault="00CF1360" w:rsidP="00CF1360">
            <w:pPr>
              <w:keepNext/>
              <w:keepLines/>
              <w:rPr>
                <w:color w:val="222222"/>
                <w:shd w:val="clear" w:color="auto" w:fill="FBFBFB"/>
              </w:rPr>
            </w:pPr>
            <w:r w:rsidRPr="00832DCA">
              <w:rPr>
                <w:b/>
                <w:bCs/>
                <w:color w:val="222222"/>
                <w:shd w:val="clear" w:color="auto" w:fill="FBFBFB"/>
              </w:rPr>
              <w:t>Benefit:</w:t>
            </w:r>
          </w:p>
          <w:p w14:paraId="0F5B9258" w14:textId="1157AB81" w:rsidR="002A0C86" w:rsidRPr="009E7BBC" w:rsidRDefault="00CF1360" w:rsidP="00CF1360">
            <w:pPr>
              <w:rPr>
                <w:b/>
                <w:bCs/>
                <w:color w:val="222222"/>
                <w:shd w:val="clear" w:color="auto" w:fill="FBFBFB"/>
              </w:rPr>
            </w:pPr>
            <w:r w:rsidRPr="00832DCA">
              <w:rPr>
                <w:color w:val="222222"/>
                <w:shd w:val="clear" w:color="auto" w:fill="FBFBFB"/>
              </w:rPr>
              <w:t>75% = $300.00 85% = $340.00</w:t>
            </w:r>
          </w:p>
        </w:tc>
      </w:tr>
    </w:tbl>
    <w:p w14:paraId="09396E74" w14:textId="449B6841" w:rsidR="002A0C86" w:rsidRDefault="00CF1360" w:rsidP="00957BD0">
      <w:pPr>
        <w:jc w:val="both"/>
        <w:rPr>
          <w:sz w:val="18"/>
          <w:szCs w:val="18"/>
        </w:rPr>
      </w:pPr>
      <w:r>
        <w:rPr>
          <w:sz w:val="18"/>
          <w:szCs w:val="18"/>
        </w:rPr>
        <w:t xml:space="preserve">Source: MBS Online </w:t>
      </w:r>
      <w:r w:rsidRPr="00CF1360">
        <w:rPr>
          <w:sz w:val="18"/>
          <w:szCs w:val="18"/>
        </w:rPr>
        <w:t>http://www9.health.gov.au/mbs/search</w:t>
      </w:r>
      <w:r>
        <w:rPr>
          <w:sz w:val="18"/>
          <w:szCs w:val="18"/>
        </w:rPr>
        <w:t xml:space="preserve">. </w:t>
      </w:r>
      <w:r w:rsidRPr="00B502CB">
        <w:rPr>
          <w:sz w:val="18"/>
          <w:szCs w:val="18"/>
        </w:rPr>
        <w:t>MBS = Medicare Benefits Schedule</w:t>
      </w:r>
    </w:p>
    <w:p w14:paraId="18FB629A" w14:textId="22F1A675" w:rsidR="003C5567" w:rsidRDefault="003C5567" w:rsidP="00957BD0">
      <w:pPr>
        <w:jc w:val="both"/>
        <w:rPr>
          <w:sz w:val="18"/>
          <w:szCs w:val="18"/>
        </w:rPr>
      </w:pPr>
    </w:p>
    <w:p w14:paraId="073FAF87" w14:textId="72A0AE28" w:rsidR="0029222A" w:rsidRPr="00C64274" w:rsidRDefault="0029222A" w:rsidP="00C64274">
      <w:pPr>
        <w:ind w:left="360"/>
        <w:jc w:val="both"/>
      </w:pPr>
      <w:r>
        <w:t>Tumour tissue specimens for the majority of target patient population will be available for testing following primary tumour debulking surgery or may be obtained as formalin-fixed paraffin-embedded (FFPE) blocks, which were archived following primary tumour debulking surgery</w:t>
      </w:r>
      <w:r w:rsidRPr="00CF7238">
        <w:t xml:space="preserve">. </w:t>
      </w:r>
      <w:r w:rsidR="000C11F2">
        <w:t>Retrieval and review of one or more archived FFPE block is funded un</w:t>
      </w:r>
      <w:r w:rsidR="00C44767">
        <w:t xml:space="preserve">der </w:t>
      </w:r>
      <w:r w:rsidR="00C44767" w:rsidRPr="00C64274">
        <w:t xml:space="preserve">MBS item </w:t>
      </w:r>
      <w:r w:rsidR="000C11F2" w:rsidRPr="00C64274">
        <w:t>72860</w:t>
      </w:r>
      <w:r w:rsidR="00C44767">
        <w:t xml:space="preserve"> </w:t>
      </w:r>
      <w:r w:rsidR="000C11F2">
        <w:t xml:space="preserve">are </w:t>
      </w:r>
      <w:r w:rsidR="00C44767">
        <w:t>f</w:t>
      </w:r>
      <w:r w:rsidRPr="00CF7238">
        <w:t>orward</w:t>
      </w:r>
      <w:r w:rsidR="00C44767">
        <w:t>ed on</w:t>
      </w:r>
      <w:r w:rsidRPr="00CF7238">
        <w:t xml:space="preserve"> to the specialist molecular diagnostic laboratories who are able to analyse the tissue.</w:t>
      </w:r>
    </w:p>
    <w:p w14:paraId="2B8BA70E" w14:textId="77777777" w:rsidR="0029222A" w:rsidRPr="00CF1360" w:rsidRDefault="0029222A" w:rsidP="00957BD0">
      <w:pPr>
        <w:jc w:val="both"/>
        <w:rPr>
          <w:sz w:val="18"/>
          <w:szCs w:val="18"/>
        </w:rPr>
      </w:pPr>
    </w:p>
    <w:p w14:paraId="5D9B6F66" w14:textId="77777777" w:rsidR="00EB10C6" w:rsidRPr="00154B00" w:rsidRDefault="00EB10C6" w:rsidP="00F22761">
      <w:pPr>
        <w:rPr>
          <w:szCs w:val="20"/>
        </w:rPr>
      </w:pPr>
    </w:p>
    <w:p w14:paraId="2F0D888D"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3BF38AFE" w14:textId="346ACA3F" w:rsidR="00021258" w:rsidRDefault="005C399F" w:rsidP="00C64274">
      <w:pPr>
        <w:ind w:left="360"/>
      </w:pPr>
      <w:r>
        <w:t xml:space="preserve">Currently BRCA mutation testing </w:t>
      </w:r>
      <w:r w:rsidR="001E399D" w:rsidRPr="00581029">
        <w:t xml:space="preserve">via </w:t>
      </w:r>
      <w:r w:rsidR="00581029">
        <w:t xml:space="preserve">NGS </w:t>
      </w:r>
      <w:r>
        <w:t xml:space="preserve">is included as part of routine diagnostic work-up for patients with advanced ovarian cancer. The medical oncologist or gynaecological oncologist </w:t>
      </w:r>
      <w:r w:rsidR="00426421">
        <w:t xml:space="preserve">orders or </w:t>
      </w:r>
      <w:r>
        <w:t>refer</w:t>
      </w:r>
      <w:r w:rsidR="005372FF">
        <w:t>s</w:t>
      </w:r>
      <w:r>
        <w:t xml:space="preserve"> the patient for BRCA testing. </w:t>
      </w:r>
      <w:r w:rsidR="00021258">
        <w:t xml:space="preserve"> A positive BRCA result</w:t>
      </w:r>
      <w:r w:rsidR="005372FF">
        <w:t xml:space="preserve"> allows </w:t>
      </w:r>
      <w:r w:rsidR="00021258">
        <w:t xml:space="preserve">a patient to access olaparib as maintenance treatment for advanced ovarian cancer. </w:t>
      </w:r>
      <w:r w:rsidR="00426421">
        <w:t>If required, p</w:t>
      </w:r>
      <w:r w:rsidR="00021258">
        <w:t xml:space="preserve">atients </w:t>
      </w:r>
      <w:r w:rsidR="005372FF">
        <w:t xml:space="preserve">are also </w:t>
      </w:r>
      <w:r w:rsidR="00021258">
        <w:t>provided genetic counselling and a germline BRCA test is offered to determine i</w:t>
      </w:r>
      <w:r w:rsidR="005372FF">
        <w:t>f</w:t>
      </w:r>
      <w:r w:rsidR="00021258">
        <w:t xml:space="preserve"> the </w:t>
      </w:r>
      <w:r w:rsidR="00E56DF0">
        <w:t xml:space="preserve">pathogenic gene variant </w:t>
      </w:r>
      <w:r w:rsidR="00021258">
        <w:t>is hereditary.</w:t>
      </w:r>
    </w:p>
    <w:p w14:paraId="672FD88C" w14:textId="3C4DFD2D" w:rsidR="005C399F" w:rsidRPr="0017755B" w:rsidRDefault="005C399F" w:rsidP="0017755B">
      <w:pPr>
        <w:ind w:left="360"/>
        <w:rPr>
          <w:szCs w:val="20"/>
        </w:rPr>
      </w:pPr>
      <w:r>
        <w:t xml:space="preserve">The referral pathway to BRCA testing is illustrated in </w:t>
      </w:r>
      <w:r w:rsidR="006C3BFE" w:rsidRPr="00C64274">
        <w:rPr>
          <w:szCs w:val="20"/>
        </w:rPr>
        <w:fldChar w:fldCharType="begin"/>
      </w:r>
      <w:r w:rsidR="006C3BFE" w:rsidRPr="00C64274">
        <w:rPr>
          <w:szCs w:val="20"/>
        </w:rPr>
        <w:instrText xml:space="preserve"> REF _Ref53939370 \h </w:instrText>
      </w:r>
      <w:r w:rsidR="00C64274">
        <w:rPr>
          <w:szCs w:val="20"/>
        </w:rPr>
        <w:instrText xml:space="preserve"> \* MERGEFORMAT </w:instrText>
      </w:r>
      <w:r w:rsidR="006C3BFE" w:rsidRPr="00C64274">
        <w:rPr>
          <w:szCs w:val="20"/>
        </w:rPr>
      </w:r>
      <w:r w:rsidR="006C3BFE" w:rsidRPr="00C64274">
        <w:rPr>
          <w:szCs w:val="20"/>
        </w:rPr>
        <w:fldChar w:fldCharType="separate"/>
      </w:r>
      <w:r w:rsidR="00EA35EE" w:rsidRPr="001D3817">
        <w:rPr>
          <w:szCs w:val="20"/>
        </w:rPr>
        <w:t>Figure</w:t>
      </w:r>
      <w:r w:rsidR="00EA35EE" w:rsidRPr="001D3817">
        <w:rPr>
          <w:noProof/>
          <w:szCs w:val="20"/>
        </w:rPr>
        <w:t xml:space="preserve"> </w:t>
      </w:r>
      <w:r w:rsidR="00EA35EE">
        <w:rPr>
          <w:noProof/>
          <w:szCs w:val="20"/>
        </w:rPr>
        <w:t>2</w:t>
      </w:r>
      <w:r w:rsidR="006C3BFE" w:rsidRPr="00C64274">
        <w:rPr>
          <w:szCs w:val="20"/>
        </w:rPr>
        <w:fldChar w:fldCharType="end"/>
      </w:r>
      <w:r>
        <w:t>.</w:t>
      </w:r>
    </w:p>
    <w:p w14:paraId="3545C102" w14:textId="67E5B697" w:rsidR="001D3817" w:rsidRPr="0017755B" w:rsidRDefault="001D3817" w:rsidP="0017755B">
      <w:pPr>
        <w:ind w:left="360"/>
        <w:rPr>
          <w:szCs w:val="20"/>
        </w:rPr>
      </w:pPr>
      <w:bookmarkStart w:id="8" w:name="_Ref53939370"/>
    </w:p>
    <w:p w14:paraId="68C82D73" w14:textId="716B3C9C" w:rsidR="008800F6" w:rsidRPr="0013630B" w:rsidRDefault="00EE2444" w:rsidP="00EE2444">
      <w:pPr>
        <w:pStyle w:val="Caption"/>
        <w:rPr>
          <w:color w:val="auto"/>
          <w:sz w:val="20"/>
          <w:szCs w:val="20"/>
        </w:rPr>
      </w:pPr>
      <w:r w:rsidRPr="0013630B">
        <w:rPr>
          <w:color w:val="auto"/>
          <w:sz w:val="20"/>
          <w:szCs w:val="20"/>
        </w:rPr>
        <w:t xml:space="preserve">Figure </w:t>
      </w:r>
      <w:r w:rsidR="00204DA9" w:rsidRPr="0013630B">
        <w:rPr>
          <w:color w:val="auto"/>
          <w:sz w:val="20"/>
          <w:szCs w:val="20"/>
        </w:rPr>
        <w:fldChar w:fldCharType="begin"/>
      </w:r>
      <w:r w:rsidR="00204DA9" w:rsidRPr="0013630B">
        <w:rPr>
          <w:color w:val="auto"/>
          <w:sz w:val="20"/>
          <w:szCs w:val="20"/>
        </w:rPr>
        <w:instrText xml:space="preserve"> SEQ Figure \* ARABIC </w:instrText>
      </w:r>
      <w:r w:rsidR="00204DA9" w:rsidRPr="0013630B">
        <w:rPr>
          <w:color w:val="auto"/>
          <w:sz w:val="20"/>
          <w:szCs w:val="20"/>
        </w:rPr>
        <w:fldChar w:fldCharType="separate"/>
      </w:r>
      <w:r w:rsidR="00EA35EE" w:rsidRPr="0013630B">
        <w:rPr>
          <w:noProof/>
          <w:color w:val="auto"/>
          <w:sz w:val="20"/>
          <w:szCs w:val="20"/>
        </w:rPr>
        <w:t>2</w:t>
      </w:r>
      <w:r w:rsidR="00204DA9" w:rsidRPr="0013630B">
        <w:rPr>
          <w:noProof/>
          <w:color w:val="auto"/>
          <w:sz w:val="20"/>
          <w:szCs w:val="20"/>
        </w:rPr>
        <w:fldChar w:fldCharType="end"/>
      </w:r>
      <w:bookmarkEnd w:id="8"/>
      <w:r w:rsidRPr="0013630B">
        <w:rPr>
          <w:color w:val="auto"/>
          <w:sz w:val="20"/>
          <w:szCs w:val="20"/>
        </w:rPr>
        <w:tab/>
      </w:r>
      <w:r w:rsidR="006C3BFE" w:rsidRPr="0013630B">
        <w:rPr>
          <w:color w:val="auto"/>
          <w:sz w:val="20"/>
          <w:szCs w:val="20"/>
        </w:rPr>
        <w:t xml:space="preserve"> </w:t>
      </w:r>
      <w:r w:rsidRPr="0013630B">
        <w:rPr>
          <w:color w:val="auto"/>
          <w:sz w:val="20"/>
          <w:szCs w:val="20"/>
        </w:rPr>
        <w:t xml:space="preserve">Current referral pathway for </w:t>
      </w:r>
      <w:proofErr w:type="spellStart"/>
      <w:r w:rsidRPr="0013630B">
        <w:rPr>
          <w:color w:val="auto"/>
          <w:sz w:val="20"/>
          <w:szCs w:val="20"/>
        </w:rPr>
        <w:t>BRCAm</w:t>
      </w:r>
      <w:proofErr w:type="spellEnd"/>
      <w:r w:rsidRPr="0013630B">
        <w:rPr>
          <w:color w:val="auto"/>
          <w:sz w:val="20"/>
          <w:szCs w:val="20"/>
        </w:rPr>
        <w:t xml:space="preserve"> testing to determine eligibility for olaparib</w:t>
      </w:r>
    </w:p>
    <w:p w14:paraId="2A4A6AAF" w14:textId="53C6DF45" w:rsidR="00EF283F" w:rsidRDefault="00EF283F" w:rsidP="00D73646">
      <w:pPr>
        <w:ind w:left="426"/>
      </w:pPr>
      <w:r>
        <w:rPr>
          <w:noProof/>
          <w:lang w:eastAsia="en-AU"/>
        </w:rPr>
        <w:drawing>
          <wp:inline distT="0" distB="0" distL="0" distR="0" wp14:anchorId="4658A9B6" wp14:editId="20E702BA">
            <wp:extent cx="5731510" cy="1720261"/>
            <wp:effectExtent l="0" t="0" r="2540" b="13335"/>
            <wp:docPr id="7" name="Diagram 7" descr="Pi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1AB546C8" w14:textId="77777777" w:rsidR="00F22761" w:rsidRPr="00BC424B" w:rsidRDefault="00F22761" w:rsidP="000D1E44"/>
    <w:p w14:paraId="6284738F" w14:textId="77777777" w:rsidR="002A50FD" w:rsidRPr="00881F93" w:rsidRDefault="005C3AE7" w:rsidP="000D1E44">
      <w:pPr>
        <w:pStyle w:val="Subtitle"/>
        <w:ind w:left="0"/>
      </w:pPr>
      <w:r>
        <w:t xml:space="preserve">PART 6b – </w:t>
      </w:r>
      <w:r w:rsidR="002A50FD" w:rsidRPr="00881F93">
        <w:t>INFORMATION ABOUT THE INTERVENTION</w:t>
      </w:r>
    </w:p>
    <w:p w14:paraId="0E522C8A"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00928342" w14:textId="6AD83447" w:rsidR="002D4B50" w:rsidRPr="00C61D27" w:rsidRDefault="001016A8" w:rsidP="00E357B9">
      <w:pPr>
        <w:ind w:left="426"/>
      </w:pPr>
      <w:r w:rsidRPr="00C61D27">
        <w:t>Th</w:t>
      </w:r>
      <w:r w:rsidR="00526F3C" w:rsidRPr="00C61D27">
        <w:t>e medical service for this MSAC application is testing of tumour tissue to determine a positive HRD status</w:t>
      </w:r>
      <w:r w:rsidR="00201F8A" w:rsidRPr="00C61D27">
        <w:t xml:space="preserve">, which includes BRCA </w:t>
      </w:r>
      <w:r w:rsidR="004B5CD1" w:rsidRPr="00C61D27">
        <w:t xml:space="preserve">and GIS </w:t>
      </w:r>
      <w:r w:rsidR="00201F8A" w:rsidRPr="00C61D27">
        <w:t>status</w:t>
      </w:r>
      <w:r w:rsidR="00526F3C" w:rsidRPr="00C61D27">
        <w:t xml:space="preserve"> in women newly diagnosed with advanced (FIGO stage III-IV) high-grade epithelial ovarian, fallopian tube or primary peritoneal cancer. </w:t>
      </w:r>
    </w:p>
    <w:p w14:paraId="2DC65BA2" w14:textId="37897FDD" w:rsidR="001016A8" w:rsidRPr="00C61D27" w:rsidRDefault="00560484" w:rsidP="00E357B9">
      <w:pPr>
        <w:ind w:left="426"/>
      </w:pPr>
      <w:r w:rsidRPr="00C61D27">
        <w:t>I</w:t>
      </w:r>
      <w:r w:rsidR="00480726" w:rsidRPr="00C61D27">
        <w:t>n addition to dete</w:t>
      </w:r>
      <w:r w:rsidR="004C6B80" w:rsidRPr="00C61D27">
        <w:t>rmining</w:t>
      </w:r>
      <w:r w:rsidR="00480726" w:rsidRPr="00C61D27">
        <w:t xml:space="preserve"> BRCA status, </w:t>
      </w:r>
      <w:r w:rsidR="002D4B50" w:rsidRPr="00C61D27">
        <w:t xml:space="preserve">HRD </w:t>
      </w:r>
      <w:r w:rsidR="00480726" w:rsidRPr="00C61D27">
        <w:t xml:space="preserve">testing determines </w:t>
      </w:r>
      <w:r w:rsidR="004B5CD1" w:rsidRPr="00C61D27">
        <w:t>GIS</w:t>
      </w:r>
      <w:r w:rsidR="00480726" w:rsidRPr="00C61D27">
        <w:t xml:space="preserve"> status, which is</w:t>
      </w:r>
      <w:r w:rsidR="002D4B50" w:rsidRPr="00C61D27">
        <w:t xml:space="preserve"> a</w:t>
      </w:r>
      <w:r w:rsidR="008151F7" w:rsidRPr="00C61D27">
        <w:t xml:space="preserve"> quantitative assessment</w:t>
      </w:r>
      <w:r w:rsidR="00601C90" w:rsidRPr="00C61D27">
        <w:t xml:space="preserve"> of the </w:t>
      </w:r>
      <w:r w:rsidR="002D4B50" w:rsidRPr="00C61D27">
        <w:t xml:space="preserve">genomic </w:t>
      </w:r>
      <w:r w:rsidR="00FA61B4" w:rsidRPr="00C61D27">
        <w:t xml:space="preserve">scarring </w:t>
      </w:r>
      <w:r w:rsidR="005C1017" w:rsidRPr="00C61D27">
        <w:t>which</w:t>
      </w:r>
      <w:r w:rsidR="00FA61B4" w:rsidRPr="00C61D27">
        <w:t xml:space="preserve"> measure</w:t>
      </w:r>
      <w:r w:rsidR="005C1017" w:rsidRPr="00C61D27">
        <w:t>s</w:t>
      </w:r>
      <w:r w:rsidR="00FA61B4" w:rsidRPr="00C61D27">
        <w:t xml:space="preserve"> genomic instability status based on</w:t>
      </w:r>
      <w:r w:rsidR="001C4706" w:rsidRPr="00C61D27">
        <w:t xml:space="preserve"> </w:t>
      </w:r>
      <w:r w:rsidR="00CC6253" w:rsidRPr="00C61D27">
        <w:t xml:space="preserve">either </w:t>
      </w:r>
      <w:r w:rsidR="00601C90" w:rsidRPr="00C61D27">
        <w:t>loss of heterozygosity (LOH), telomeric allelic imbalance (TAI), and large-scale state transitions (LST)</w:t>
      </w:r>
      <w:r w:rsidR="00480726" w:rsidRPr="00C61D27">
        <w:t xml:space="preserve">.  </w:t>
      </w:r>
    </w:p>
    <w:p w14:paraId="0B886C0F" w14:textId="69A6A975" w:rsidR="009416D1" w:rsidRPr="00C61D27" w:rsidRDefault="009416D1" w:rsidP="001D3817">
      <w:pPr>
        <w:ind w:left="426"/>
      </w:pPr>
      <w:r w:rsidRPr="00C61D27">
        <w:t xml:space="preserve">The HRD test </w:t>
      </w:r>
      <w:r w:rsidR="001C4706" w:rsidRPr="00C61D27">
        <w:t xml:space="preserve">includes </w:t>
      </w:r>
      <w:r w:rsidRPr="00C61D27">
        <w:t xml:space="preserve">two assays performed </w:t>
      </w:r>
      <w:r w:rsidR="00CC6253" w:rsidRPr="00C61D27">
        <w:t>simultaneously</w:t>
      </w:r>
      <w:r w:rsidRPr="00C61D27">
        <w:t xml:space="preserve"> to determine BRCA status and</w:t>
      </w:r>
      <w:r w:rsidR="00FD18C4" w:rsidRPr="00C61D27">
        <w:t xml:space="preserve"> </w:t>
      </w:r>
      <w:r w:rsidR="00CC6253" w:rsidRPr="00C61D27">
        <w:t>GIS</w:t>
      </w:r>
      <w:r w:rsidRPr="00C61D27">
        <w:t xml:space="preserve"> status using next generation sequencing (NGS) technology. </w:t>
      </w:r>
    </w:p>
    <w:p w14:paraId="033B1286" w14:textId="04D4E495" w:rsidR="00560484" w:rsidRPr="001D3817" w:rsidRDefault="00695A08" w:rsidP="00E24FE5">
      <w:pPr>
        <w:ind w:left="426"/>
        <w:rPr>
          <w:szCs w:val="20"/>
        </w:rPr>
      </w:pPr>
      <w:r>
        <w:t xml:space="preserve">The key components and steps involved in delivering HRD testing is summarised and illustrated in </w:t>
      </w:r>
      <w:r w:rsidR="00560484" w:rsidRPr="001D3817">
        <w:rPr>
          <w:szCs w:val="20"/>
        </w:rPr>
        <w:fldChar w:fldCharType="begin"/>
      </w:r>
      <w:r w:rsidR="00560484" w:rsidRPr="001D3817">
        <w:rPr>
          <w:szCs w:val="20"/>
        </w:rPr>
        <w:instrText xml:space="preserve"> REF _Ref54872022 \h </w:instrText>
      </w:r>
      <w:r w:rsidR="001D3817">
        <w:rPr>
          <w:szCs w:val="20"/>
        </w:rPr>
        <w:instrText xml:space="preserve"> \* MERGEFORMAT </w:instrText>
      </w:r>
      <w:r w:rsidR="00560484" w:rsidRPr="001D3817">
        <w:rPr>
          <w:szCs w:val="20"/>
        </w:rPr>
      </w:r>
      <w:r w:rsidR="00560484" w:rsidRPr="001D3817">
        <w:rPr>
          <w:szCs w:val="20"/>
        </w:rPr>
        <w:fldChar w:fldCharType="separate"/>
      </w:r>
      <w:r w:rsidR="00EA35EE" w:rsidRPr="001D3817">
        <w:rPr>
          <w:szCs w:val="20"/>
        </w:rPr>
        <w:t xml:space="preserve">Figure </w:t>
      </w:r>
      <w:r w:rsidR="00EA35EE">
        <w:rPr>
          <w:noProof/>
          <w:szCs w:val="20"/>
        </w:rPr>
        <w:t>3</w:t>
      </w:r>
      <w:r w:rsidR="00560484" w:rsidRPr="001D3817">
        <w:rPr>
          <w:szCs w:val="20"/>
        </w:rPr>
        <w:fldChar w:fldCharType="end"/>
      </w:r>
      <w:r w:rsidR="00560484" w:rsidRPr="001D3817">
        <w:rPr>
          <w:szCs w:val="20"/>
        </w:rPr>
        <w:t>.</w:t>
      </w:r>
    </w:p>
    <w:p w14:paraId="0B4FAAD9" w14:textId="77777777" w:rsidR="00EA35EE" w:rsidRPr="00EA35EE" w:rsidRDefault="00560484" w:rsidP="00CD7245">
      <w:pPr>
        <w:pStyle w:val="ListParagraph"/>
        <w:numPr>
          <w:ilvl w:val="0"/>
          <w:numId w:val="23"/>
        </w:numPr>
        <w:rPr>
          <w:szCs w:val="20"/>
        </w:rPr>
      </w:pPr>
      <w:proofErr w:type="gramStart"/>
      <w:r>
        <w:t>Steps  1</w:t>
      </w:r>
      <w:proofErr w:type="gramEnd"/>
      <w:r>
        <w:t xml:space="preserve"> to 4 are similar to the current referral pathway summarised in </w:t>
      </w:r>
      <w:r w:rsidRPr="00C2147A">
        <w:rPr>
          <w:szCs w:val="20"/>
        </w:rPr>
        <w:fldChar w:fldCharType="begin"/>
      </w:r>
      <w:r w:rsidRPr="00C2147A">
        <w:rPr>
          <w:szCs w:val="20"/>
        </w:rPr>
        <w:instrText xml:space="preserve"> REF _Ref53939370 \h </w:instrText>
      </w:r>
      <w:r w:rsidR="00C2147A">
        <w:rPr>
          <w:szCs w:val="20"/>
        </w:rPr>
        <w:instrText xml:space="preserve"> \* MERGEFORMAT </w:instrText>
      </w:r>
      <w:r w:rsidRPr="00C2147A">
        <w:rPr>
          <w:szCs w:val="20"/>
        </w:rPr>
      </w:r>
      <w:r w:rsidRPr="00C2147A">
        <w:rPr>
          <w:szCs w:val="20"/>
        </w:rPr>
        <w:fldChar w:fldCharType="separate"/>
      </w:r>
    </w:p>
    <w:p w14:paraId="08BC600A" w14:textId="21EFB6BA" w:rsidR="00560484" w:rsidRDefault="00EA35EE" w:rsidP="00FA61B4">
      <w:pPr>
        <w:pStyle w:val="ListParagraph"/>
        <w:ind w:left="1194"/>
      </w:pPr>
      <w:r w:rsidRPr="001D3817">
        <w:rPr>
          <w:szCs w:val="20"/>
        </w:rPr>
        <w:t>Figure</w:t>
      </w:r>
      <w:r w:rsidRPr="001D3817">
        <w:rPr>
          <w:noProof/>
          <w:szCs w:val="20"/>
        </w:rPr>
        <w:t xml:space="preserve"> </w:t>
      </w:r>
      <w:r>
        <w:rPr>
          <w:noProof/>
          <w:szCs w:val="20"/>
        </w:rPr>
        <w:t>2</w:t>
      </w:r>
      <w:r w:rsidR="00560484" w:rsidRPr="00C2147A">
        <w:rPr>
          <w:szCs w:val="20"/>
        </w:rPr>
        <w:fldChar w:fldCharType="end"/>
      </w:r>
      <w:r w:rsidR="00560484" w:rsidRPr="00C2147A">
        <w:rPr>
          <w:szCs w:val="20"/>
        </w:rPr>
        <w:t>.</w:t>
      </w:r>
      <w:r w:rsidR="00560484">
        <w:t xml:space="preserve"> </w:t>
      </w:r>
      <w:r w:rsidR="00C2147A">
        <w:t>Tissue sample is retrieve</w:t>
      </w:r>
      <w:r w:rsidR="00FA61B4">
        <w:t>d</w:t>
      </w:r>
      <w:r w:rsidR="00C2147A">
        <w:t xml:space="preserve"> under MBS item </w:t>
      </w:r>
      <w:r w:rsidR="005372FF">
        <w:t xml:space="preserve">72860 </w:t>
      </w:r>
      <w:r w:rsidR="00C2147A">
        <w:t xml:space="preserve">and </w:t>
      </w:r>
      <w:r w:rsidR="000B13AD">
        <w:t>DNA is extracted, purified and may be quantified using the laboratory’s preferred metho</w:t>
      </w:r>
      <w:r w:rsidR="007076F0">
        <w:t>do</w:t>
      </w:r>
      <w:r w:rsidR="000B13AD">
        <w:t>logy.</w:t>
      </w:r>
    </w:p>
    <w:p w14:paraId="01CE5E4C" w14:textId="35A120F1" w:rsidR="00560484" w:rsidRDefault="00560484" w:rsidP="00CD7245">
      <w:pPr>
        <w:pStyle w:val="ListParagraph"/>
        <w:numPr>
          <w:ilvl w:val="0"/>
          <w:numId w:val="23"/>
        </w:numPr>
      </w:pPr>
      <w:r>
        <w:t xml:space="preserve">Step 5 HRD workflow with tumour BRCA </w:t>
      </w:r>
      <w:r w:rsidR="00CC6253">
        <w:t xml:space="preserve">assay and GIS assay </w:t>
      </w:r>
      <w:r>
        <w:t>testing</w:t>
      </w:r>
      <w:r w:rsidR="00C2147A">
        <w:t xml:space="preserve">. </w:t>
      </w:r>
    </w:p>
    <w:p w14:paraId="369DE810" w14:textId="2EC05F60" w:rsidR="000B13AD" w:rsidRDefault="000B13AD" w:rsidP="00CD7245">
      <w:pPr>
        <w:pStyle w:val="ListParagraph"/>
        <w:numPr>
          <w:ilvl w:val="0"/>
          <w:numId w:val="23"/>
        </w:numPr>
      </w:pPr>
      <w:r>
        <w:t xml:space="preserve">Step </w:t>
      </w:r>
      <w:r w:rsidR="00CC6253">
        <w:t>6</w:t>
      </w:r>
      <w:r>
        <w:t xml:space="preserve"> HRD</w:t>
      </w:r>
      <w:r w:rsidR="001B6A86">
        <w:t xml:space="preserve"> (which includes </w:t>
      </w:r>
      <w:r w:rsidR="00534FA7">
        <w:t xml:space="preserve">BRCA and </w:t>
      </w:r>
      <w:r w:rsidR="001B6A86">
        <w:t>genomic instability)</w:t>
      </w:r>
      <w:r>
        <w:t xml:space="preserve"> status results interpreted and reported by qua</w:t>
      </w:r>
      <w:r w:rsidR="00073379">
        <w:t>l</w:t>
      </w:r>
      <w:r>
        <w:t>if</w:t>
      </w:r>
      <w:r w:rsidR="008E42F0">
        <w:t>ied/trained Pathologist and provided to gynae-oncologist, medical oncologist or treating physician</w:t>
      </w:r>
    </w:p>
    <w:p w14:paraId="6085856A" w14:textId="18AD28FB" w:rsidR="008E42F0" w:rsidRDefault="008E42F0" w:rsidP="00CD7245">
      <w:pPr>
        <w:pStyle w:val="ListParagraph"/>
        <w:numPr>
          <w:ilvl w:val="0"/>
          <w:numId w:val="23"/>
        </w:numPr>
      </w:pPr>
      <w:r>
        <w:t xml:space="preserve">Step </w:t>
      </w:r>
      <w:r w:rsidR="00CC6253">
        <w:t>7</w:t>
      </w:r>
      <w:r>
        <w:t xml:space="preserve"> Patient informed of results</w:t>
      </w:r>
      <w:r w:rsidR="004C6B80">
        <w:t>.  I</w:t>
      </w:r>
      <w:r>
        <w:t>f BRCA positive</w:t>
      </w:r>
      <w:r w:rsidR="004C6B80">
        <w:t>,</w:t>
      </w:r>
      <w:r>
        <w:t xml:space="preserve"> a patient will be offered genetic counselling and germline BRCA testing to inform </w:t>
      </w:r>
      <w:r w:rsidR="00F5393A">
        <w:t>o</w:t>
      </w:r>
      <w:r w:rsidR="004C6B80">
        <w:t>f</w:t>
      </w:r>
      <w:r w:rsidR="00F5393A">
        <w:t xml:space="preserve"> </w:t>
      </w:r>
      <w:r>
        <w:t>familial risk</w:t>
      </w:r>
    </w:p>
    <w:p w14:paraId="1F1A1ABA" w14:textId="5ACCBDA4" w:rsidR="000B13AD" w:rsidRDefault="000B13AD" w:rsidP="00F5393A">
      <w:pPr>
        <w:pStyle w:val="ListParagraph"/>
        <w:ind w:left="1194"/>
      </w:pPr>
    </w:p>
    <w:p w14:paraId="623A69AA" w14:textId="50085E24" w:rsidR="00417E50" w:rsidRDefault="00F5393A" w:rsidP="007B7AD6">
      <w:pPr>
        <w:ind w:left="426"/>
      </w:pPr>
      <w:r>
        <w:t>At the time of this Application</w:t>
      </w:r>
      <w:r w:rsidR="00756670">
        <w:t>,</w:t>
      </w:r>
      <w:r w:rsidR="009F1FD2">
        <w:t xml:space="preserve"> (November 2020)</w:t>
      </w:r>
      <w:r>
        <w:t xml:space="preserve"> </w:t>
      </w:r>
      <w:r w:rsidR="000D1E44" w:rsidRPr="000D1E44">
        <w:rPr>
          <w:rFonts w:ascii="Calibri" w:hAnsi="Calibri"/>
          <w:b/>
          <w:sz w:val="22"/>
        </w:rPr>
        <w:t>REDACTED</w:t>
      </w:r>
      <w:r w:rsidR="00074CE5">
        <w:t xml:space="preserve"> </w:t>
      </w:r>
      <w:r>
        <w:t xml:space="preserve">is the only laboratory developing a </w:t>
      </w:r>
      <w:r w:rsidR="00CC6253" w:rsidRPr="00CC6253">
        <w:rPr>
          <w:color w:val="4F81BD" w:themeColor="accent1"/>
        </w:rPr>
        <w:t>local</w:t>
      </w:r>
      <w:r w:rsidR="00CC6253">
        <w:t xml:space="preserve"> </w:t>
      </w:r>
      <w:r>
        <w:t>HRD tes</w:t>
      </w:r>
      <w:r w:rsidR="00417E50">
        <w:t>t</w:t>
      </w:r>
      <w:r w:rsidR="00CC6253">
        <w:t xml:space="preserve">. </w:t>
      </w:r>
      <w:r w:rsidR="000D1E44" w:rsidRPr="000D1E44">
        <w:rPr>
          <w:rFonts w:ascii="Calibri" w:hAnsi="Calibri"/>
          <w:b/>
          <w:sz w:val="22"/>
        </w:rPr>
        <w:t>REDACTED</w:t>
      </w:r>
      <w:r w:rsidR="00074CE5">
        <w:t xml:space="preserve"> </w:t>
      </w:r>
      <w:r w:rsidR="00417E50" w:rsidRPr="00F5393A">
        <w:t xml:space="preserve">offers a </w:t>
      </w:r>
      <w:r w:rsidR="00417E50">
        <w:t>n</w:t>
      </w:r>
      <w:r w:rsidR="00417E50" w:rsidRPr="00F5393A">
        <w:t xml:space="preserve">ational service </w:t>
      </w:r>
      <w:r w:rsidR="00934931">
        <w:t>which</w:t>
      </w:r>
      <w:r w:rsidR="00417E50">
        <w:t xml:space="preserve"> </w:t>
      </w:r>
      <w:r w:rsidR="00417E50" w:rsidRPr="00F5393A">
        <w:t>provide</w:t>
      </w:r>
      <w:r w:rsidR="00C143AC">
        <w:t>s</w:t>
      </w:r>
      <w:r w:rsidR="00417E50" w:rsidRPr="00F5393A">
        <w:t xml:space="preserve"> high quality, timely service for all patients</w:t>
      </w:r>
      <w:r w:rsidR="00417E50">
        <w:t>.</w:t>
      </w:r>
      <w:r w:rsidR="00DC6627">
        <w:t xml:space="preserve"> </w:t>
      </w:r>
    </w:p>
    <w:p w14:paraId="74B48864" w14:textId="4C699821" w:rsidR="007B7AD6" w:rsidRDefault="00FE1819" w:rsidP="001C4706">
      <w:pPr>
        <w:ind w:left="426"/>
      </w:pPr>
      <w:r>
        <w:t xml:space="preserve">Besides </w:t>
      </w:r>
      <w:r w:rsidR="000D1E44" w:rsidRPr="000D1E44">
        <w:rPr>
          <w:rFonts w:ascii="Calibri" w:hAnsi="Calibri"/>
          <w:b/>
          <w:sz w:val="22"/>
        </w:rPr>
        <w:t>REDACTED</w:t>
      </w:r>
      <w:r w:rsidR="001B0806">
        <w:t xml:space="preserve">, </w:t>
      </w:r>
      <w:r w:rsidR="002C617A">
        <w:t xml:space="preserve">three </w:t>
      </w:r>
      <w:r w:rsidR="001B0806">
        <w:t xml:space="preserve">other laboratories </w:t>
      </w:r>
      <w:r w:rsidR="001B0806" w:rsidRPr="001B0806">
        <w:t xml:space="preserve">have developed and validated their own in-house methods for tumour BRCA testing to detect germline and somatic BRCA1/2 </w:t>
      </w:r>
      <w:r w:rsidR="004C6B80">
        <w:t>pathogenic gene variant</w:t>
      </w:r>
      <w:r w:rsidR="004C6B80" w:rsidRPr="001B0806">
        <w:t>s</w:t>
      </w:r>
      <w:r w:rsidR="001B0806" w:rsidRPr="001B0806">
        <w:t xml:space="preserve">. </w:t>
      </w:r>
      <w:r w:rsidR="001B0806">
        <w:t xml:space="preserve"> </w:t>
      </w:r>
      <w:r w:rsidR="00DC6627">
        <w:t xml:space="preserve"> </w:t>
      </w:r>
      <w:r w:rsidR="00753699">
        <w:t xml:space="preserve"> It is anticipated that commercial kits will enter the market over the next 1-2 years.</w:t>
      </w:r>
    </w:p>
    <w:p w14:paraId="3CD7BA8F" w14:textId="71E51BCB" w:rsidR="00F5393A" w:rsidRDefault="00FD2CBC" w:rsidP="007B7AD6">
      <w:pPr>
        <w:pStyle w:val="ListParagraph"/>
        <w:tabs>
          <w:tab w:val="left" w:pos="2955"/>
        </w:tabs>
        <w:ind w:left="1194"/>
      </w:pPr>
      <w:r>
        <w:tab/>
      </w:r>
    </w:p>
    <w:p w14:paraId="1F6EBDC7" w14:textId="3CE3E232" w:rsidR="00880189" w:rsidRDefault="00880189" w:rsidP="00880189">
      <w:pPr>
        <w:pStyle w:val="Caption"/>
        <w:rPr>
          <w:sz w:val="20"/>
          <w:szCs w:val="20"/>
        </w:rPr>
      </w:pPr>
      <w:bookmarkStart w:id="9" w:name="_Ref54872022"/>
      <w:r w:rsidRPr="001D3817">
        <w:rPr>
          <w:sz w:val="20"/>
          <w:szCs w:val="20"/>
        </w:rPr>
        <w:t xml:space="preserve">Figure </w:t>
      </w:r>
      <w:r w:rsidRPr="001D3817">
        <w:rPr>
          <w:sz w:val="20"/>
          <w:szCs w:val="20"/>
        </w:rPr>
        <w:fldChar w:fldCharType="begin"/>
      </w:r>
      <w:r w:rsidRPr="001D3817">
        <w:rPr>
          <w:sz w:val="20"/>
          <w:szCs w:val="20"/>
        </w:rPr>
        <w:instrText xml:space="preserve"> SEQ Figure \* ARABIC </w:instrText>
      </w:r>
      <w:r w:rsidRPr="001D3817">
        <w:rPr>
          <w:sz w:val="20"/>
          <w:szCs w:val="20"/>
        </w:rPr>
        <w:fldChar w:fldCharType="separate"/>
      </w:r>
      <w:r w:rsidR="00EA35EE">
        <w:rPr>
          <w:noProof/>
          <w:sz w:val="20"/>
          <w:szCs w:val="20"/>
        </w:rPr>
        <w:t>3</w:t>
      </w:r>
      <w:r w:rsidRPr="001D3817">
        <w:rPr>
          <w:sz w:val="20"/>
          <w:szCs w:val="20"/>
        </w:rPr>
        <w:fldChar w:fldCharType="end"/>
      </w:r>
      <w:bookmarkEnd w:id="9"/>
      <w:r w:rsidRPr="001D3817">
        <w:rPr>
          <w:sz w:val="20"/>
          <w:szCs w:val="20"/>
        </w:rPr>
        <w:t xml:space="preserve"> Proposed future referral pathway for HRD (includes tumour BRCA) testing to determine eligibility for olaparib</w:t>
      </w:r>
    </w:p>
    <w:p w14:paraId="2F62AC25" w14:textId="279EE452" w:rsidR="00F5393A" w:rsidRPr="00402381" w:rsidRDefault="00692C83" w:rsidP="00402381">
      <w:pPr>
        <w:ind w:left="426"/>
      </w:pPr>
      <w:r w:rsidRPr="0004141E">
        <w:rPr>
          <w:rFonts w:ascii="Arial" w:eastAsia="Calibri" w:hAnsi="Arial" w:cs="Times New Roman"/>
          <w:noProof/>
          <w:sz w:val="22"/>
          <w:lang w:eastAsia="en-AU"/>
        </w:rPr>
        <w:drawing>
          <wp:inline distT="0" distB="0" distL="0" distR="0" wp14:anchorId="2D83B983" wp14:editId="613BB737">
            <wp:extent cx="5731510" cy="2561590"/>
            <wp:effectExtent l="0" t="0" r="0" b="10160"/>
            <wp:docPr id="3" name="Diagram 3" descr="Pi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3EA5BCA8" w14:textId="77777777" w:rsidR="007C1F9D" w:rsidRPr="00154B00" w:rsidRDefault="007C1F9D" w:rsidP="00E357B9">
      <w:pPr>
        <w:ind w:left="426"/>
        <w:rPr>
          <w:szCs w:val="20"/>
        </w:rPr>
      </w:pPr>
    </w:p>
    <w:p w14:paraId="7F2BB60B"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38E493E5" w14:textId="0B7C5806" w:rsidR="00753699" w:rsidRDefault="00CF5477" w:rsidP="00753699">
      <w:pPr>
        <w:ind w:left="426"/>
      </w:pPr>
      <w:r>
        <w:t xml:space="preserve">Registered trademarks may be held by various commercial kits used at stages of the testing process, for example for DNA extraction, quality assurance, quantification, PCR amplification, as well as the NGS platform itself. </w:t>
      </w:r>
      <w:r w:rsidR="00753699">
        <w:t xml:space="preserve"> It is also anticipated that commercial kits will enter the market over the next 1-2 years.</w:t>
      </w:r>
    </w:p>
    <w:p w14:paraId="27ED5D6E" w14:textId="7E60CF06" w:rsidR="00753699" w:rsidRDefault="00753699" w:rsidP="00E357B9">
      <w:pPr>
        <w:ind w:left="426"/>
      </w:pPr>
      <w:r>
        <w:t xml:space="preserve">The HRD test used in the pivotal PAOLA1 clinical trial was Myriad MyChoice® HRD </w:t>
      </w:r>
      <w:r w:rsidR="007B7AD6">
        <w:t>Plus</w:t>
      </w:r>
      <w:r>
        <w:t xml:space="preserve"> which is not currently available in Australia.</w:t>
      </w:r>
    </w:p>
    <w:p w14:paraId="79B76A25" w14:textId="7DBF1DF6" w:rsidR="009419E5" w:rsidRDefault="009419E5" w:rsidP="00E357B9">
      <w:pPr>
        <w:ind w:left="426"/>
      </w:pPr>
      <w:r>
        <w:t xml:space="preserve">HRD assays developed by </w:t>
      </w:r>
      <w:r w:rsidR="00452E9F">
        <w:t>individual</w:t>
      </w:r>
      <w:r>
        <w:t xml:space="preserve"> laboratories will be </w:t>
      </w:r>
      <w:r w:rsidR="00452E9F">
        <w:t>remain their intellectual</w:t>
      </w:r>
      <w:r>
        <w:t xml:space="preserve"> property.</w:t>
      </w:r>
    </w:p>
    <w:p w14:paraId="7B9DA119" w14:textId="59B46C9B" w:rsidR="00CF5477" w:rsidRPr="00154B00" w:rsidRDefault="00CF5477" w:rsidP="00E357B9">
      <w:pPr>
        <w:ind w:left="426"/>
        <w:rPr>
          <w:szCs w:val="20"/>
        </w:rPr>
      </w:pPr>
      <w:r>
        <w:t>The drug LYNPARZA has a registered trademark</w:t>
      </w:r>
    </w:p>
    <w:p w14:paraId="01CAFC0F" w14:textId="01EC9E3C" w:rsidR="00C22AD8"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3DFB326A" w14:textId="71E51D9D" w:rsidR="00CF5477" w:rsidRDefault="00CF5477" w:rsidP="00CF5477">
      <w:pPr>
        <w:ind w:left="360"/>
      </w:pPr>
      <w:r>
        <w:t>Germline BRCA testing is well established in Australia provided under MBS item</w:t>
      </w:r>
      <w:r w:rsidR="001D3817">
        <w:t>s</w:t>
      </w:r>
      <w:r>
        <w:t xml:space="preserve"> 73296 and 73295. </w:t>
      </w:r>
    </w:p>
    <w:p w14:paraId="1772DFC6" w14:textId="0B0D6694" w:rsidR="001D3817" w:rsidRDefault="00CF5477" w:rsidP="001D3817">
      <w:pPr>
        <w:ind w:left="360"/>
      </w:pPr>
      <w:r>
        <w:t xml:space="preserve">Since August 2020, tumour </w:t>
      </w:r>
      <w:r w:rsidR="007C1F9D">
        <w:t xml:space="preserve">BRCA </w:t>
      </w:r>
      <w:r>
        <w:t xml:space="preserve">testing to identify both germline and somatic BRCA </w:t>
      </w:r>
      <w:r w:rsidR="00695C92">
        <w:t xml:space="preserve">pathogenic gene variants </w:t>
      </w:r>
      <w:r w:rsidR="007C1F9D">
        <w:t>is</w:t>
      </w:r>
      <w:r w:rsidR="00680F3D">
        <w:t xml:space="preserve"> funded under MBS item 73301. </w:t>
      </w:r>
    </w:p>
    <w:p w14:paraId="70F03085"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294BDFB5" w14:textId="705BB3E4" w:rsidR="00474E3B" w:rsidRPr="00154B00" w:rsidRDefault="00474E3B" w:rsidP="00E357B9">
      <w:pPr>
        <w:ind w:left="426"/>
        <w:rPr>
          <w:szCs w:val="20"/>
        </w:rPr>
      </w:pPr>
      <w:r>
        <w:t xml:space="preserve">HRD tumour testing is new to Australia, with a test being developed by </w:t>
      </w:r>
      <w:r w:rsidR="000D1E44" w:rsidRPr="000D1E44">
        <w:rPr>
          <w:rFonts w:ascii="Calibri" w:hAnsi="Calibri"/>
          <w:b/>
          <w:sz w:val="22"/>
        </w:rPr>
        <w:t>REDACTED</w:t>
      </w:r>
      <w:r>
        <w:t xml:space="preserve">. </w:t>
      </w:r>
    </w:p>
    <w:p w14:paraId="2515983E" w14:textId="660293CA" w:rsidR="00791C8D"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0BECABC4" w14:textId="7F14C3F2" w:rsidR="001D3817" w:rsidRPr="001D3817" w:rsidRDefault="001D3817" w:rsidP="001D3817">
      <w:pPr>
        <w:ind w:left="360"/>
      </w:pPr>
      <w:r w:rsidRPr="00EC1E81">
        <w:t>No other medical services or healthcare resources need to be deliver</w:t>
      </w:r>
      <w:r>
        <w:t>ed at the same time as HRD</w:t>
      </w:r>
      <w:r w:rsidRPr="00EC1E81">
        <w:t xml:space="preserve"> testing</w:t>
      </w:r>
      <w:r>
        <w:t>.</w:t>
      </w:r>
    </w:p>
    <w:p w14:paraId="31CCD76B" w14:textId="284B1833" w:rsidR="00B17E26"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63EC274E" w14:textId="59D02650" w:rsidR="00946716" w:rsidRPr="001C4706" w:rsidRDefault="00946716" w:rsidP="001C4706">
      <w:pPr>
        <w:ind w:left="426"/>
        <w:rPr>
          <w:szCs w:val="20"/>
        </w:rPr>
      </w:pPr>
      <w:r w:rsidRPr="004D1096">
        <w:rPr>
          <w:szCs w:val="20"/>
        </w:rPr>
        <w:t xml:space="preserve">Testing to identify </w:t>
      </w:r>
      <w:r>
        <w:rPr>
          <w:szCs w:val="20"/>
        </w:rPr>
        <w:t xml:space="preserve">HRD </w:t>
      </w:r>
      <w:r w:rsidR="00452E9F">
        <w:rPr>
          <w:szCs w:val="20"/>
        </w:rPr>
        <w:t>status</w:t>
      </w:r>
      <w:r w:rsidRPr="004D1096">
        <w:rPr>
          <w:szCs w:val="20"/>
        </w:rPr>
        <w:t xml:space="preserve"> should be conducted and the results interpreted and reported by suitably qualified and trained molecular pathologists.  Testing should be conducted in specialist laboratories holding the appropriate accreditation and registration for this diagnostic testing procedure.</w:t>
      </w:r>
    </w:p>
    <w:p w14:paraId="778091CD" w14:textId="74E58E48" w:rsidR="00B17E26"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25905B7D" w14:textId="71870EA6" w:rsidR="00946716" w:rsidRPr="000D1E44" w:rsidRDefault="00934931" w:rsidP="00946716">
      <w:pPr>
        <w:ind w:left="360"/>
      </w:pPr>
      <w:r>
        <w:t xml:space="preserve">At the time of this Application, (November 2020) </w:t>
      </w:r>
      <w:r w:rsidR="000D1E44" w:rsidRPr="000D1E44">
        <w:rPr>
          <w:rFonts w:ascii="Calibri" w:hAnsi="Calibri"/>
          <w:b/>
          <w:sz w:val="22"/>
        </w:rPr>
        <w:t>REDACTED</w:t>
      </w:r>
      <w:r>
        <w:t xml:space="preserve"> is the only laboratory developing </w:t>
      </w:r>
      <w:r w:rsidRPr="000D1E44">
        <w:t xml:space="preserve">a </w:t>
      </w:r>
      <w:r w:rsidR="00CC6253" w:rsidRPr="000D1E44">
        <w:t xml:space="preserve">local </w:t>
      </w:r>
      <w:r w:rsidRPr="000D1E44">
        <w:t>HRD test</w:t>
      </w:r>
      <w:r w:rsidR="00CC6253" w:rsidRPr="000D1E44">
        <w:t xml:space="preserve">. </w:t>
      </w:r>
      <w:r w:rsidR="000D1E44" w:rsidRPr="000D1E44">
        <w:rPr>
          <w:rFonts w:ascii="Calibri" w:hAnsi="Calibri"/>
          <w:b/>
          <w:bCs/>
          <w:sz w:val="22"/>
          <w:szCs w:val="24"/>
        </w:rPr>
        <w:t>REDACTED</w:t>
      </w:r>
      <w:r w:rsidRPr="000D1E44">
        <w:t xml:space="preserve"> offers a national service </w:t>
      </w:r>
      <w:r w:rsidR="00560D17" w:rsidRPr="000D1E44">
        <w:t xml:space="preserve">and provides </w:t>
      </w:r>
      <w:r w:rsidRPr="000D1E44">
        <w:t>timely service for all patients</w:t>
      </w:r>
      <w:r w:rsidR="00560D17" w:rsidRPr="000D1E44">
        <w:t>.</w:t>
      </w:r>
    </w:p>
    <w:p w14:paraId="5912BF1B" w14:textId="30FB1A3A" w:rsidR="00560D17" w:rsidRPr="00C61D27" w:rsidRDefault="00560D17" w:rsidP="00946716">
      <w:pPr>
        <w:ind w:left="360"/>
      </w:pPr>
      <w:r w:rsidRPr="00C61D27">
        <w:t xml:space="preserve">It is expected that </w:t>
      </w:r>
      <w:r w:rsidR="003273F8" w:rsidRPr="00C61D27">
        <w:t>once HRD testing is</w:t>
      </w:r>
      <w:r w:rsidRPr="00C61D27">
        <w:t xml:space="preserve"> MBS </w:t>
      </w:r>
      <w:r w:rsidR="003273F8" w:rsidRPr="00C61D27">
        <w:t xml:space="preserve">funded </w:t>
      </w:r>
      <w:r w:rsidRPr="00C61D27">
        <w:t>more laboratories will have capability and accreditation for HRD</w:t>
      </w:r>
      <w:r w:rsidR="005563E9" w:rsidRPr="00C61D27">
        <w:t xml:space="preserve"> testing</w:t>
      </w:r>
      <w:r w:rsidRPr="00C61D27">
        <w:t xml:space="preserve">.  </w:t>
      </w:r>
    </w:p>
    <w:p w14:paraId="639FA374" w14:textId="309B6BFF" w:rsidR="00EA0E25"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558AED01" w14:textId="0582D5FD" w:rsidR="00946716" w:rsidRPr="00946716" w:rsidRDefault="00946716" w:rsidP="00946716">
      <w:pPr>
        <w:ind w:left="426"/>
        <w:rPr>
          <w:szCs w:val="20"/>
        </w:rPr>
      </w:pPr>
      <w:r w:rsidRPr="004D1096">
        <w:rPr>
          <w:szCs w:val="20"/>
        </w:rPr>
        <w:t xml:space="preserve">Testing to identify </w:t>
      </w:r>
      <w:r>
        <w:rPr>
          <w:szCs w:val="20"/>
        </w:rPr>
        <w:t>HRD</w:t>
      </w:r>
      <w:r w:rsidRPr="004D1096">
        <w:rPr>
          <w:szCs w:val="20"/>
        </w:rPr>
        <w:t xml:space="preserve"> </w:t>
      </w:r>
      <w:r w:rsidR="009F5744">
        <w:rPr>
          <w:szCs w:val="20"/>
        </w:rPr>
        <w:t>status</w:t>
      </w:r>
      <w:r w:rsidRPr="004D1096">
        <w:rPr>
          <w:szCs w:val="20"/>
        </w:rPr>
        <w:t xml:space="preserve"> in patients with </w:t>
      </w:r>
      <w:r>
        <w:rPr>
          <w:szCs w:val="20"/>
        </w:rPr>
        <w:t>advanced ovarian cancer</w:t>
      </w:r>
      <w:r w:rsidRPr="004D1096">
        <w:rPr>
          <w:szCs w:val="20"/>
        </w:rPr>
        <w:t xml:space="preserve"> should be based on a referral request from a specialist or consultant physician and should not be pathologist determinable.</w:t>
      </w:r>
    </w:p>
    <w:p w14:paraId="272444BD" w14:textId="0216BA4B" w:rsidR="00EA0E25"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3CF5898A" w14:textId="5028FA5B" w:rsidR="00946716" w:rsidRPr="00946716" w:rsidRDefault="00946716" w:rsidP="00946716">
      <w:pPr>
        <w:ind w:left="360"/>
      </w:pPr>
      <w:r w:rsidRPr="004D1096">
        <w:rPr>
          <w:szCs w:val="20"/>
        </w:rPr>
        <w:t xml:space="preserve">Testing to identify </w:t>
      </w:r>
      <w:r>
        <w:rPr>
          <w:szCs w:val="20"/>
        </w:rPr>
        <w:t>HRD</w:t>
      </w:r>
      <w:r w:rsidRPr="004D1096">
        <w:rPr>
          <w:szCs w:val="20"/>
        </w:rPr>
        <w:t xml:space="preserve"> </w:t>
      </w:r>
      <w:r w:rsidR="009F5744">
        <w:rPr>
          <w:szCs w:val="20"/>
        </w:rPr>
        <w:t>status</w:t>
      </w:r>
      <w:r w:rsidRPr="004D1096">
        <w:rPr>
          <w:szCs w:val="20"/>
        </w:rPr>
        <w:t xml:space="preserve"> should be conducted and the results interpreted and reported by suitably qualified and trained pathologists. Testing should be conducted in specialist laboratories holding the appropriate accreditation and registration for this diagnostic testing procedure</w:t>
      </w:r>
      <w:r>
        <w:rPr>
          <w:szCs w:val="20"/>
        </w:rPr>
        <w:t>.</w:t>
      </w:r>
    </w:p>
    <w:p w14:paraId="518FB416" w14:textId="248F7155" w:rsidR="005F3F07" w:rsidRDefault="00625114" w:rsidP="00530204">
      <w:pPr>
        <w:pStyle w:val="Heading2"/>
      </w:pPr>
      <w:r>
        <w:t xml:space="preserve"> </w:t>
      </w:r>
      <w:r w:rsidR="005C3AE7">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10FC9E3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464E5EE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479A885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0E6E8BEB"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Public outpatient clinic</w:t>
      </w:r>
    </w:p>
    <w:p w14:paraId="41FA5CF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w:t>
      </w:r>
      <w:r>
        <w:t>Emergency Department</w:t>
      </w:r>
    </w:p>
    <w:p w14:paraId="3CCD11C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222EB810"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Private consulting rooms – specialist</w:t>
      </w:r>
    </w:p>
    <w:p w14:paraId="7557F1F6"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Private consulting rooms – other health practitioner (nurse or allied health)</w:t>
      </w:r>
    </w:p>
    <w:p w14:paraId="49EA546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3DB45B11"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Private day surgery clinic (non-admitted patient)</w:t>
      </w:r>
    </w:p>
    <w:p w14:paraId="4B1673BE"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Public day surgery clinic (admitted patient)</w:t>
      </w:r>
    </w:p>
    <w:p w14:paraId="37630E53"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Public day surgery clinic (non-admitted patient)</w:t>
      </w:r>
    </w:p>
    <w:p w14:paraId="6E2958D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w:t>
      </w:r>
      <w:r>
        <w:t>Residential aged care facility</w:t>
      </w:r>
    </w:p>
    <w:p w14:paraId="4343513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w:t>
      </w:r>
      <w:r>
        <w:t>Patient’s home</w:t>
      </w:r>
    </w:p>
    <w:p w14:paraId="089025C5" w14:textId="4265E2A6" w:rsidR="000A478F" w:rsidRDefault="00946716"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0A478F">
        <w:rPr>
          <w:szCs w:val="20"/>
        </w:rPr>
        <w:t xml:space="preserve"> </w:t>
      </w:r>
      <w:r w:rsidR="000A478F">
        <w:t>Laboratory</w:t>
      </w:r>
    </w:p>
    <w:p w14:paraId="1D05A82C"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61D27">
        <w:rPr>
          <w:szCs w:val="20"/>
        </w:rPr>
      </w:r>
      <w:r w:rsidR="00C61D27">
        <w:rPr>
          <w:szCs w:val="20"/>
        </w:rPr>
        <w:fldChar w:fldCharType="separate"/>
      </w:r>
      <w:r w:rsidRPr="000A5B32">
        <w:rPr>
          <w:szCs w:val="20"/>
        </w:rPr>
        <w:fldChar w:fldCharType="end"/>
      </w:r>
      <w:r>
        <w:rPr>
          <w:szCs w:val="20"/>
        </w:rPr>
        <w:t xml:space="preserve"> </w:t>
      </w:r>
      <w:r>
        <w:t>Other – please specify below</w:t>
      </w:r>
    </w:p>
    <w:p w14:paraId="2640E3FF" w14:textId="77777777" w:rsidR="00625114" w:rsidRDefault="00625114" w:rsidP="00946716">
      <w:pPr>
        <w:spacing w:before="0" w:after="0"/>
        <w:ind w:left="426"/>
        <w:rPr>
          <w:szCs w:val="20"/>
        </w:rPr>
      </w:pPr>
    </w:p>
    <w:p w14:paraId="65C2CE25" w14:textId="2DFB8C44" w:rsidR="00946716" w:rsidRPr="000A478F" w:rsidRDefault="00946716" w:rsidP="00946716">
      <w:pPr>
        <w:spacing w:before="0" w:after="0"/>
        <w:ind w:left="426"/>
      </w:pPr>
      <w:r w:rsidRPr="004D1096">
        <w:rPr>
          <w:szCs w:val="20"/>
        </w:rPr>
        <w:t>The</w:t>
      </w:r>
      <w:r w:rsidR="00246301">
        <w:rPr>
          <w:szCs w:val="20"/>
        </w:rPr>
        <w:t xml:space="preserve"> proposed</w:t>
      </w:r>
      <w:r w:rsidRPr="004D1096">
        <w:rPr>
          <w:szCs w:val="20"/>
        </w:rPr>
        <w:t xml:space="preserve"> medical service will be conducted in pathology laboratories which may be private companies or may be domiciled within private or public research institutes or hospitals. All laboratories are accredited to the Royal College of Pathologist of Australasia (RCPA) Quality Assurance Programs. For further information please refer to the website</w:t>
      </w:r>
      <w:bookmarkStart w:id="10" w:name="_Hlk19279077"/>
      <w:r w:rsidRPr="004D1096">
        <w:rPr>
          <w:szCs w:val="20"/>
        </w:rPr>
        <w:t xml:space="preserve">: </w:t>
      </w:r>
      <w:hyperlink r:id="rId37" w:history="1">
        <w:r w:rsidRPr="004D1096">
          <w:rPr>
            <w:rStyle w:val="Hyperlink"/>
            <w:szCs w:val="20"/>
          </w:rPr>
          <w:t>https://www.rcpaqap.com.au/home-page</w:t>
        </w:r>
      </w:hyperlink>
      <w:bookmarkEnd w:id="10"/>
    </w:p>
    <w:p w14:paraId="4A4C220B" w14:textId="77777777" w:rsidR="00946716" w:rsidRDefault="00946716" w:rsidP="0073597B">
      <w:pPr>
        <w:ind w:left="426"/>
        <w:rPr>
          <w:b/>
          <w:szCs w:val="20"/>
        </w:rPr>
      </w:pPr>
    </w:p>
    <w:p w14:paraId="1E25D73F" w14:textId="78652876" w:rsidR="003433D1" w:rsidRDefault="00E048ED" w:rsidP="00CD7245">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5BCE3FFC" w14:textId="5D167ADC" w:rsidR="00946716" w:rsidRPr="00946716" w:rsidRDefault="00946716" w:rsidP="00946716">
      <w:pPr>
        <w:pStyle w:val="ListParagraph"/>
        <w:rPr>
          <w:bCs/>
          <w:szCs w:val="20"/>
        </w:rPr>
      </w:pPr>
      <w:r w:rsidRPr="00946716">
        <w:rPr>
          <w:bCs/>
          <w:szCs w:val="20"/>
        </w:rPr>
        <w:t>N/A</w:t>
      </w:r>
    </w:p>
    <w:p w14:paraId="42898674" w14:textId="77777777" w:rsidR="003E30FB" w:rsidRDefault="003E30FB" w:rsidP="00530204">
      <w:pPr>
        <w:pStyle w:val="Heading2"/>
      </w:pPr>
      <w:r>
        <w:t xml:space="preserve">Is the </w:t>
      </w:r>
      <w:r w:rsidRPr="001B29A1">
        <w:t>proposed</w:t>
      </w:r>
      <w:r>
        <w:t xml:space="preserve"> medical service intended to be entirely rendered in Australia?</w:t>
      </w:r>
    </w:p>
    <w:p w14:paraId="30F7EC87" w14:textId="27499FCD" w:rsidR="000A478F" w:rsidRDefault="00246301"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0A478F">
        <w:rPr>
          <w:szCs w:val="20"/>
        </w:rPr>
        <w:t xml:space="preserve"> Yes</w:t>
      </w:r>
    </w:p>
    <w:p w14:paraId="07D48C66" w14:textId="49B53B65" w:rsidR="000A478F" w:rsidRDefault="000A478F" w:rsidP="00452E9F">
      <w:pPr>
        <w:spacing w:before="0" w:after="0"/>
        <w:ind w:left="426"/>
        <w:rPr>
          <w:b/>
          <w:i/>
          <w:szCs w:val="20"/>
          <w:u w:val="single"/>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61D27">
        <w:rPr>
          <w:szCs w:val="20"/>
        </w:rPr>
      </w:r>
      <w:r w:rsidR="00C61D27">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48B46EC1" w14:textId="4D09AC84" w:rsidR="00402381" w:rsidRDefault="00402381" w:rsidP="00452E9F">
      <w:pPr>
        <w:spacing w:before="0" w:after="0"/>
        <w:ind w:left="426"/>
        <w:rPr>
          <w:b/>
          <w:i/>
          <w:szCs w:val="20"/>
          <w:u w:val="single"/>
        </w:rPr>
      </w:pPr>
    </w:p>
    <w:p w14:paraId="072C2BF5" w14:textId="77777777" w:rsidR="00402381" w:rsidRPr="00452E9F" w:rsidRDefault="00402381" w:rsidP="00452E9F">
      <w:pPr>
        <w:spacing w:before="0" w:after="0"/>
        <w:ind w:left="426"/>
        <w:rPr>
          <w:szCs w:val="20"/>
        </w:rPr>
      </w:pPr>
    </w:p>
    <w:p w14:paraId="001AEC51" w14:textId="77777777" w:rsidR="00E60529" w:rsidRPr="00881F93" w:rsidRDefault="005C3AE7" w:rsidP="000D1E44">
      <w:pPr>
        <w:pStyle w:val="Subtitle"/>
        <w:ind w:left="0"/>
      </w:pPr>
      <w:r>
        <w:t xml:space="preserve">PART 6c – </w:t>
      </w:r>
      <w:r w:rsidR="00E60529" w:rsidRPr="00881F93">
        <w:t>INFORMATION ABOUT THE COMPARATOR</w:t>
      </w:r>
      <w:r w:rsidR="00A83EC6" w:rsidRPr="00881F93">
        <w:t>(S)</w:t>
      </w:r>
    </w:p>
    <w:p w14:paraId="23E888F0"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5364E569" w14:textId="60C1D7D7" w:rsidR="00601164" w:rsidRPr="0049171C" w:rsidRDefault="00601164" w:rsidP="00873A2D">
      <w:pPr>
        <w:ind w:left="426"/>
        <w:rPr>
          <w:b/>
          <w:bCs/>
          <w:i/>
          <w:iCs/>
          <w:szCs w:val="20"/>
        </w:rPr>
      </w:pPr>
      <w:r w:rsidRPr="0049171C">
        <w:rPr>
          <w:b/>
          <w:bCs/>
          <w:i/>
          <w:iCs/>
          <w:szCs w:val="20"/>
        </w:rPr>
        <w:t>The Test</w:t>
      </w:r>
    </w:p>
    <w:p w14:paraId="07824620" w14:textId="4D328765" w:rsidR="00601164" w:rsidRPr="0049171C" w:rsidRDefault="00601164" w:rsidP="00873A2D">
      <w:pPr>
        <w:ind w:left="426"/>
        <w:rPr>
          <w:szCs w:val="20"/>
        </w:rPr>
      </w:pPr>
      <w:r w:rsidRPr="0049171C">
        <w:rPr>
          <w:szCs w:val="20"/>
        </w:rPr>
        <w:t xml:space="preserve">Currently tumour BRCA 1 or BRCA 2 testing is funded under MBS item 73301 for women newly diagnosed with advanced (FIGO Stage III-IV) high-grade epithelial ovarian, fallopian tube or primary peritoneal cancer. </w:t>
      </w:r>
    </w:p>
    <w:p w14:paraId="26811073" w14:textId="7DA26CC2" w:rsidR="00601164" w:rsidRDefault="00601164" w:rsidP="00873A2D">
      <w:pPr>
        <w:ind w:left="426"/>
        <w:rPr>
          <w:szCs w:val="20"/>
        </w:rPr>
      </w:pPr>
      <w:r w:rsidRPr="0049171C">
        <w:rPr>
          <w:szCs w:val="20"/>
        </w:rPr>
        <w:t xml:space="preserve">Therefore tumour BRCA 1 or BRCA 2 testing is the </w:t>
      </w:r>
      <w:r w:rsidR="001A56CF">
        <w:rPr>
          <w:szCs w:val="20"/>
        </w:rPr>
        <w:t xml:space="preserve">main </w:t>
      </w:r>
      <w:r w:rsidRPr="0049171C">
        <w:rPr>
          <w:szCs w:val="20"/>
        </w:rPr>
        <w:t xml:space="preserve">comparator for the proposed medical service: tumour HRD testing </w:t>
      </w:r>
    </w:p>
    <w:p w14:paraId="3E951C77" w14:textId="1003A754" w:rsidR="0049171C" w:rsidRDefault="0049171C" w:rsidP="00873A2D">
      <w:pPr>
        <w:ind w:left="426"/>
        <w:rPr>
          <w:b/>
          <w:bCs/>
          <w:i/>
          <w:iCs/>
          <w:szCs w:val="20"/>
        </w:rPr>
      </w:pPr>
      <w:r w:rsidRPr="0049171C">
        <w:rPr>
          <w:b/>
          <w:bCs/>
          <w:i/>
          <w:iCs/>
          <w:szCs w:val="20"/>
        </w:rPr>
        <w:t>The drug</w:t>
      </w:r>
    </w:p>
    <w:p w14:paraId="2F397B88" w14:textId="04916D58" w:rsidR="00D52091" w:rsidRDefault="00D52091" w:rsidP="00D52091">
      <w:pPr>
        <w:ind w:left="426"/>
        <w:rPr>
          <w:szCs w:val="20"/>
        </w:rPr>
      </w:pPr>
      <w:r>
        <w:t xml:space="preserve">As of 1 November 2020, </w:t>
      </w:r>
      <w:r w:rsidRPr="0049171C">
        <w:rPr>
          <w:szCs w:val="20"/>
        </w:rPr>
        <w:t>women newly diagnosed with advanced (FIGO Stage III-IV) high-grade epithelial ovarian, fallopian tube or primary peritoneal cancer</w:t>
      </w:r>
      <w:r>
        <w:rPr>
          <w:szCs w:val="20"/>
        </w:rPr>
        <w:t xml:space="preserve"> </w:t>
      </w:r>
      <w:r w:rsidR="00BB4603">
        <w:rPr>
          <w:szCs w:val="20"/>
        </w:rPr>
        <w:t>and BRCA pathogenic gene variant are eligible for treatment with olaparib on the PBS.</w:t>
      </w:r>
    </w:p>
    <w:p w14:paraId="147DD011" w14:textId="24B3876C" w:rsidR="003273F8" w:rsidRDefault="00BB4603" w:rsidP="001A56CF">
      <w:pPr>
        <w:ind w:left="426"/>
      </w:pPr>
      <w:r>
        <w:rPr>
          <w:szCs w:val="20"/>
        </w:rPr>
        <w:t>For patient</w:t>
      </w:r>
      <w:r w:rsidR="00CC67BE">
        <w:rPr>
          <w:szCs w:val="20"/>
        </w:rPr>
        <w:t>s</w:t>
      </w:r>
      <w:r>
        <w:rPr>
          <w:szCs w:val="20"/>
        </w:rPr>
        <w:t xml:space="preserve"> who are non BRCA the current treatment option is </w:t>
      </w:r>
      <w:r w:rsidR="0049171C">
        <w:t>b</w:t>
      </w:r>
      <w:r w:rsidR="0049171C" w:rsidRPr="00C64274">
        <w:t>evacizumab</w:t>
      </w:r>
      <w:r>
        <w:t xml:space="preserve">. </w:t>
      </w:r>
    </w:p>
    <w:p w14:paraId="3EE10FE7" w14:textId="2EF737F2" w:rsidR="0049171C" w:rsidRPr="00C61D27" w:rsidRDefault="003273F8" w:rsidP="001A56CF">
      <w:pPr>
        <w:ind w:left="426"/>
      </w:pPr>
      <w:r w:rsidRPr="00C61D27">
        <w:t xml:space="preserve">Prior, to 1 June 2021 </w:t>
      </w:r>
      <w:r w:rsidR="00BB4603" w:rsidRPr="00C61D27">
        <w:t xml:space="preserve">Bevacizumab </w:t>
      </w:r>
      <w:r w:rsidR="00CC67BE" w:rsidRPr="00C61D27">
        <w:t>was</w:t>
      </w:r>
      <w:r w:rsidR="0049171C" w:rsidRPr="00C61D27">
        <w:t xml:space="preserve"> PBS listed as maintenance treatment for patients with advanced (FIGO Stage IIIB, IIIC or Stage IV) epithelial ovarian, fallopian tube or primary peritoneal cancer with high-risk prognostic factors, which includes sub-optimally debulked and have a WHO performance status of 2 or less.  </w:t>
      </w:r>
      <w:r w:rsidR="001A56CF" w:rsidRPr="00C61D27">
        <w:t xml:space="preserve">Otherwise treatment </w:t>
      </w:r>
      <w:r w:rsidR="00CC67BE" w:rsidRPr="00C61D27">
        <w:t>was</w:t>
      </w:r>
      <w:r w:rsidR="001A56CF" w:rsidRPr="00C61D27">
        <w:t xml:space="preserve"> ‘watch and wait’ if PBS criteria </w:t>
      </w:r>
      <w:r w:rsidR="00CC67BE" w:rsidRPr="00C61D27">
        <w:t>was</w:t>
      </w:r>
      <w:r w:rsidR="001A56CF" w:rsidRPr="00C61D27">
        <w:t xml:space="preserve"> not met. However, it is assumed that the majority of patients </w:t>
      </w:r>
      <w:r w:rsidR="00793F88" w:rsidRPr="00C61D27">
        <w:t>are</w:t>
      </w:r>
      <w:r w:rsidR="001A56CF" w:rsidRPr="00C61D27">
        <w:t xml:space="preserve"> treated with </w:t>
      </w:r>
      <w:r w:rsidR="00793F88" w:rsidRPr="00C61D27">
        <w:t>drug</w:t>
      </w:r>
      <w:r w:rsidR="001A56CF" w:rsidRPr="00C61D27">
        <w:t xml:space="preserve"> rather than ‘watch and wait’. </w:t>
      </w:r>
    </w:p>
    <w:p w14:paraId="5FFC05A6" w14:textId="627CD33A" w:rsidR="00CC67BE" w:rsidRPr="00C61D27" w:rsidRDefault="00CC67BE" w:rsidP="00CD78D8">
      <w:pPr>
        <w:ind w:left="426"/>
        <w:jc w:val="both"/>
      </w:pPr>
      <w:r w:rsidRPr="00C61D27">
        <w:t xml:space="preserve">Following the expansion of the bevacizumab PBS criteria,  patients who test negative for BRCA1 or BRCA 2 </w:t>
      </w:r>
      <w:r w:rsidR="005563E9" w:rsidRPr="00C61D27">
        <w:t>bevacizumab will continue to be</w:t>
      </w:r>
      <w:r w:rsidRPr="00C61D27">
        <w:t xml:space="preserve"> treatment option  with some patients continuing to receive ‘watch &amp; wait’. </w:t>
      </w:r>
    </w:p>
    <w:p w14:paraId="3B459F55" w14:textId="0CB6DFF9" w:rsidR="001A56CF" w:rsidRDefault="001A56CF" w:rsidP="0049171C">
      <w:pPr>
        <w:pStyle w:val="ListParagraph"/>
        <w:ind w:left="426"/>
      </w:pPr>
      <w:r>
        <w:t>F</w:t>
      </w:r>
      <w:r w:rsidR="00BB4603">
        <w:t xml:space="preserve">or </w:t>
      </w:r>
      <w:r w:rsidR="0049171C">
        <w:t>patients</w:t>
      </w:r>
      <w:r w:rsidR="00BB4603">
        <w:t xml:space="preserve"> identified as </w:t>
      </w:r>
      <w:proofErr w:type="spellStart"/>
      <w:r w:rsidR="0049171C">
        <w:t>HRD+BRCAwt</w:t>
      </w:r>
      <w:proofErr w:type="spellEnd"/>
      <w:r w:rsidR="00BB4603">
        <w:t xml:space="preserve"> via tumour HRD testing the treatment is </w:t>
      </w:r>
      <w:r>
        <w:t>the addition of olaparib to their current bevacizumab treatment</w:t>
      </w:r>
      <w:r w:rsidR="00793F88">
        <w:t xml:space="preserve"> (</w:t>
      </w:r>
      <w:r w:rsidR="000C5189">
        <w:t>i.e.</w:t>
      </w:r>
      <w:r w:rsidR="00793F88">
        <w:t xml:space="preserve"> olaparib + bevacizumab).</w:t>
      </w:r>
    </w:p>
    <w:p w14:paraId="0BCA07BA" w14:textId="77777777" w:rsidR="001A56CF" w:rsidRDefault="001A56CF" w:rsidP="0049171C">
      <w:pPr>
        <w:pStyle w:val="ListParagraph"/>
        <w:ind w:left="426"/>
      </w:pPr>
    </w:p>
    <w:p w14:paraId="3FEB7669" w14:textId="71DAB62A" w:rsidR="00C501DA" w:rsidRPr="000D1E44" w:rsidRDefault="001A56CF" w:rsidP="000D1E44">
      <w:pPr>
        <w:pStyle w:val="ListParagraph"/>
        <w:ind w:left="426"/>
      </w:pPr>
      <w:r>
        <w:t xml:space="preserve">Therefore </w:t>
      </w:r>
      <w:r w:rsidR="0049171C">
        <w:t>placebo</w:t>
      </w:r>
      <w:r w:rsidR="00565F11">
        <w:t xml:space="preserve"> + bevacizumab</w:t>
      </w:r>
      <w:r w:rsidR="00793F88">
        <w:t xml:space="preserve"> </w:t>
      </w:r>
      <w:r>
        <w:t>is the main drug comparator.</w:t>
      </w:r>
    </w:p>
    <w:p w14:paraId="0EA87A2D"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7063CE50" w14:textId="65FE4AEB" w:rsidR="006A1038" w:rsidRDefault="00F968EA"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3FEEB538" w14:textId="5234216C" w:rsidR="000159B9" w:rsidRDefault="00F968EA" w:rsidP="006A1038">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6A1038">
        <w:rPr>
          <w:szCs w:val="20"/>
        </w:rPr>
        <w:t xml:space="preserve"> No  </w:t>
      </w:r>
    </w:p>
    <w:p w14:paraId="276C187F" w14:textId="306B5C0D" w:rsidR="00F968EA" w:rsidRPr="00154B00" w:rsidRDefault="00F968EA" w:rsidP="001B29A1">
      <w:pPr>
        <w:ind w:left="426"/>
        <w:rPr>
          <w:szCs w:val="20"/>
        </w:rPr>
      </w:pPr>
      <w:r>
        <w:t>MBS items</w:t>
      </w:r>
      <w:r w:rsidR="00625114">
        <w:t xml:space="preserve"> numbers:</w:t>
      </w:r>
      <w:r>
        <w:t xml:space="preserve"> 73295, 73296, 73301</w:t>
      </w:r>
    </w:p>
    <w:p w14:paraId="11C782DA" w14:textId="695B4AF1" w:rsidR="00AF5D1E" w:rsidRDefault="00AF5D1E" w:rsidP="00530204">
      <w:pPr>
        <w:pStyle w:val="Heading2"/>
      </w:pPr>
      <w:r w:rsidRPr="00154B00">
        <w:t xml:space="preserve">Define and </w:t>
      </w:r>
      <w:r w:rsidRPr="001B29A1">
        <w:t>summarise</w:t>
      </w:r>
      <w:r w:rsidRPr="00154B00">
        <w:t xml:space="preserve"> </w:t>
      </w:r>
      <w:r w:rsidRPr="00994749">
        <w:t>the current cl</w:t>
      </w:r>
      <w:r w:rsidR="00F33F1A" w:rsidRPr="00994749">
        <w:t>inical management pathway</w:t>
      </w:r>
      <w:r w:rsidR="003904AC" w:rsidRPr="00994749">
        <w:t>/</w:t>
      </w:r>
      <w:r w:rsidR="00F33F1A" w:rsidRPr="00994749">
        <w:t>s</w:t>
      </w:r>
      <w:r w:rsidR="00F33F1A" w:rsidRPr="00154B00">
        <w:t xml:space="preserve"> that patients may follow </w:t>
      </w:r>
      <w:r w:rsidR="00F33F1A" w:rsidRPr="00994749">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0933640E" w14:textId="77777777" w:rsidR="00012058" w:rsidRPr="00950A18" w:rsidRDefault="00012058" w:rsidP="000D1E44">
      <w:pPr>
        <w:ind w:left="360"/>
        <w:rPr>
          <w:i/>
          <w:iCs/>
        </w:rPr>
      </w:pPr>
      <w:r w:rsidRPr="00950A18">
        <w:rPr>
          <w:i/>
          <w:iCs/>
        </w:rPr>
        <w:t>Treatment of advanced ovarian cancer</w:t>
      </w:r>
    </w:p>
    <w:p w14:paraId="68A75E18" w14:textId="506C97F3" w:rsidR="00012058" w:rsidRPr="00C64274" w:rsidRDefault="00012058" w:rsidP="000D1E44">
      <w:pPr>
        <w:ind w:left="360"/>
      </w:pPr>
      <w:r w:rsidRPr="00C64274">
        <w:t>First-line treatment for women with newly diagnosed advanced HGEOC is curative in intent, aiming to achieve and maintain complete remission</w:t>
      </w:r>
      <w:r w:rsidR="00534FA7">
        <w:rPr>
          <w:noProof/>
        </w:rPr>
        <w:t xml:space="preserve"> (Raja FA, 2012)</w:t>
      </w:r>
      <w:r w:rsidRPr="00C64274">
        <w:t xml:space="preserve">; </w:t>
      </w:r>
      <w:r w:rsidR="00534FA7" w:rsidRPr="00C64274">
        <w:t>(Ledermann JA, 2017)</w:t>
      </w:r>
      <w:r w:rsidRPr="00C64274">
        <w:t>. The mainstay of treatment involves cytoreductive surgery</w:t>
      </w:r>
      <w:r>
        <w:t>,</w:t>
      </w:r>
      <w:r w:rsidRPr="00C64274">
        <w:t xml:space="preserve"> platinum-based doublet chemotherapy</w:t>
      </w:r>
      <w:r>
        <w:t>. Currently, p</w:t>
      </w:r>
      <w:r w:rsidRPr="00145E94">
        <w:t xml:space="preserve">atients </w:t>
      </w:r>
      <w:r>
        <w:t>who harbour a BRCA</w:t>
      </w:r>
      <w:r w:rsidRPr="00145E94">
        <w:t>-</w:t>
      </w:r>
      <w:r>
        <w:t xml:space="preserve">variant </w:t>
      </w:r>
      <w:r w:rsidRPr="00145E94">
        <w:t>ovarian cancer receive the same first-line</w:t>
      </w:r>
      <w:r>
        <w:t xml:space="preserve"> maintenance treatment </w:t>
      </w:r>
      <w:r w:rsidRPr="00145E94">
        <w:t>as those with non-BRCA-</w:t>
      </w:r>
      <w:r>
        <w:t>variant</w:t>
      </w:r>
      <w:r w:rsidRPr="00145E94">
        <w:t xml:space="preserve"> disease.</w:t>
      </w:r>
    </w:p>
    <w:p w14:paraId="77D1A944" w14:textId="394C14DB" w:rsidR="00012058" w:rsidRPr="00C64274" w:rsidRDefault="00012058" w:rsidP="000D1E44">
      <w:pPr>
        <w:ind w:left="360"/>
      </w:pPr>
      <w:r w:rsidRPr="006E429B">
        <w:t xml:space="preserve">Surgery for advanced ovarian cancer is intensive and aims to achieve complete resection with no residual visible disease, as this is associated with significantly improved </w:t>
      </w:r>
      <w:r>
        <w:t>progression-free survival (</w:t>
      </w:r>
      <w:r w:rsidRPr="006E429B">
        <w:t>PFS</w:t>
      </w:r>
      <w:r>
        <w:t>)</w:t>
      </w:r>
      <w:r w:rsidRPr="006E429B">
        <w:t xml:space="preserve"> and </w:t>
      </w:r>
      <w:r>
        <w:t>overall survival (</w:t>
      </w:r>
      <w:r w:rsidRPr="006E429B">
        <w:t>OS</w:t>
      </w:r>
      <w:r>
        <w:t>)</w:t>
      </w:r>
      <w:r w:rsidR="00534FA7">
        <w:t xml:space="preserve"> (Ledermann, et al., 2013)</w:t>
      </w:r>
      <w:r>
        <w:t>;</w:t>
      </w:r>
      <w:r w:rsidR="00534FA7">
        <w:t xml:space="preserve"> (du </w:t>
      </w:r>
      <w:proofErr w:type="spellStart"/>
      <w:r w:rsidR="00534FA7">
        <w:t>Bois</w:t>
      </w:r>
      <w:proofErr w:type="spellEnd"/>
      <w:r w:rsidR="00534FA7">
        <w:t xml:space="preserve"> A, 2009)</w:t>
      </w:r>
      <w:r>
        <w:t xml:space="preserve">; </w:t>
      </w:r>
      <w:r w:rsidR="00534FA7">
        <w:t>(van der Burg ME, 1995)</w:t>
      </w:r>
      <w:r>
        <w:t xml:space="preserve">; </w:t>
      </w:r>
      <w:r w:rsidR="00534FA7">
        <w:t>(</w:t>
      </w:r>
      <w:proofErr w:type="spellStart"/>
      <w:r w:rsidR="00534FA7">
        <w:t>Vergote</w:t>
      </w:r>
      <w:proofErr w:type="spellEnd"/>
      <w:r w:rsidR="00534FA7">
        <w:t xml:space="preserve"> I, 2010)</w:t>
      </w:r>
      <w:r w:rsidRPr="006E429B">
        <w:t xml:space="preserve">. A maximal surgical effort is required, including intestinal resection, peritoneal stripping, diaphragmatic resection, removal of bulky para-aortic lymph nodes and splenectomy. Surgery is quickly followed by chemotherapy to reduce the risk of disease recurrence. The standard first-line regimen is carboplatin in combination with paclitaxel, both administered intravenously every </w:t>
      </w:r>
      <w:r>
        <w:t>3</w:t>
      </w:r>
      <w:r w:rsidRPr="006E429B">
        <w:t xml:space="preserve"> weeks, for six cycles</w:t>
      </w:r>
      <w:r>
        <w:t xml:space="preserve"> (</w:t>
      </w:r>
      <w:r w:rsidR="00534FA7">
        <w:t xml:space="preserve"> (</w:t>
      </w:r>
      <w:proofErr w:type="spellStart"/>
      <w:r w:rsidR="00534FA7">
        <w:t>Fotopoulou</w:t>
      </w:r>
      <w:proofErr w:type="spellEnd"/>
      <w:r w:rsidR="00534FA7">
        <w:t xml:space="preserve"> C, 2017)</w:t>
      </w:r>
      <w:r>
        <w:t>;</w:t>
      </w:r>
      <w:r w:rsidR="00534FA7">
        <w:t xml:space="preserve"> (Ledermann, et al., 2013)</w:t>
      </w:r>
      <w:r>
        <w:t xml:space="preserve">; </w:t>
      </w:r>
      <w:r w:rsidR="00534FA7">
        <w:t>(AIHW, 2018)</w:t>
      </w:r>
      <w:r>
        <w:t xml:space="preserve"> </w:t>
      </w:r>
      <w:r w:rsidR="00534FA7">
        <w:t>(AIHW, 2018) (NICE, Clinical Guideline 122, 2011)</w:t>
      </w:r>
      <w:r>
        <w:t>.</w:t>
      </w:r>
      <w:r w:rsidRPr="006E429B">
        <w:t xml:space="preserve">The combination of cisplatin and paclitaxel is equally effective but is more toxic and less convenient to administer. Docetaxel may be given as </w:t>
      </w:r>
      <w:r>
        <w:t xml:space="preserve">an </w:t>
      </w:r>
      <w:r w:rsidRPr="006E429B">
        <w:t>alternativ</w:t>
      </w:r>
      <w:r>
        <w:t>e</w:t>
      </w:r>
      <w:r w:rsidRPr="006E429B">
        <w:t xml:space="preserve"> in patients who cannot tolerate paclitaxel</w:t>
      </w:r>
      <w:r>
        <w:t>;</w:t>
      </w:r>
      <w:r w:rsidR="00534FA7">
        <w:t xml:space="preserve"> (Ledermann, et al., 2013)</w:t>
      </w:r>
      <w:r>
        <w:t xml:space="preserve"> </w:t>
      </w:r>
      <w:r w:rsidR="00534FA7">
        <w:t>(NICE, Clinical Guideline 122, 2011)</w:t>
      </w:r>
      <w:r w:rsidRPr="006E429B">
        <w:t xml:space="preserve">. </w:t>
      </w:r>
      <w:r w:rsidRPr="00C64274">
        <w:t xml:space="preserve">Bevacizumab in combination with carboplatin and paclitaxel is used in patients with sub-optimally debulked Stage III or Stage IV ovarian cancer. </w:t>
      </w:r>
    </w:p>
    <w:p w14:paraId="41577AC8" w14:textId="34FDC940" w:rsidR="00012058" w:rsidRPr="00C61D27" w:rsidRDefault="00CC67BE" w:rsidP="000D1E44">
      <w:pPr>
        <w:ind w:left="360"/>
      </w:pPr>
      <w:r w:rsidRPr="00C61D27">
        <w:t xml:space="preserve">Prior to 1 June 2021, </w:t>
      </w:r>
      <w:r w:rsidR="00012058" w:rsidRPr="00C61D27">
        <w:t xml:space="preserve">Bevacizumab </w:t>
      </w:r>
      <w:r w:rsidRPr="00C61D27">
        <w:t>was</w:t>
      </w:r>
      <w:r w:rsidR="00012058" w:rsidRPr="00C61D27">
        <w:t xml:space="preserve"> PBS listed as maintenance treatment for patients with advanced (FIGO Stage IIIB, IIIC or Stage IV) epithelial ovarian, fallopian tube or primary peritoneal cancer who are sub- optimally debulked and have a WHO performance status of 2 or less. Treatment </w:t>
      </w:r>
      <w:r w:rsidRPr="00C61D27">
        <w:t>was</w:t>
      </w:r>
      <w:r w:rsidR="00012058" w:rsidRPr="00C61D27">
        <w:t xml:space="preserve"> limited to a lifetime total of 18 cycles of bevacizumab. Patients eligible for bevacizumab treatment rarely harbour a BRCA pathogenic gene variant  and their clinical features tend to be distinct from patients who do. </w:t>
      </w:r>
    </w:p>
    <w:p w14:paraId="64FD1302" w14:textId="668F3CEF" w:rsidR="00221059" w:rsidRPr="00C61D27" w:rsidRDefault="00221059" w:rsidP="000D1E44">
      <w:pPr>
        <w:ind w:left="360"/>
        <w:rPr>
          <w:szCs w:val="20"/>
        </w:rPr>
      </w:pPr>
      <w:r w:rsidRPr="00C61D27">
        <w:rPr>
          <w:szCs w:val="20"/>
        </w:rPr>
        <w:t xml:space="preserve">Based on current ovarian cancer guidelines it is recommended that women newly diagnosed with ovarian cancer be referred for BRCA testing. </w:t>
      </w:r>
    </w:p>
    <w:p w14:paraId="51E94000" w14:textId="1A04BD7F" w:rsidR="00012058" w:rsidRPr="00C61D27" w:rsidRDefault="00221059" w:rsidP="000D1E44">
      <w:pPr>
        <w:ind w:left="360"/>
        <w:rPr>
          <w:szCs w:val="20"/>
        </w:rPr>
      </w:pPr>
      <w:r w:rsidRPr="00C61D27">
        <w:rPr>
          <w:szCs w:val="20"/>
        </w:rPr>
        <w:t xml:space="preserve">BRCA testing is MBS funded under MBS item 73296 for germline testing or MBS item 73301 for tumour testing to determine </w:t>
      </w:r>
      <w:r w:rsidR="000C5FA3" w:rsidRPr="00C61D27">
        <w:rPr>
          <w:szCs w:val="20"/>
        </w:rPr>
        <w:t>eligibility</w:t>
      </w:r>
      <w:r w:rsidRPr="00C61D27">
        <w:rPr>
          <w:szCs w:val="20"/>
        </w:rPr>
        <w:t xml:space="preserve"> to olaparib as maintenance treatment.</w:t>
      </w:r>
      <w:r w:rsidR="00DF483E" w:rsidRPr="00C61D27">
        <w:rPr>
          <w:szCs w:val="20"/>
        </w:rPr>
        <w:t xml:space="preserve">  Patients with a positive BRCA </w:t>
      </w:r>
      <w:r w:rsidR="00037338" w:rsidRPr="00C61D27">
        <w:rPr>
          <w:szCs w:val="20"/>
        </w:rPr>
        <w:t xml:space="preserve">pathogenic gene variant </w:t>
      </w:r>
      <w:r w:rsidR="00DF483E" w:rsidRPr="00C61D27">
        <w:rPr>
          <w:szCs w:val="20"/>
        </w:rPr>
        <w:t>will be eligible for ola</w:t>
      </w:r>
      <w:r w:rsidR="00DC2EAC" w:rsidRPr="00C61D27">
        <w:rPr>
          <w:szCs w:val="20"/>
        </w:rPr>
        <w:t xml:space="preserve">parib after first completing and responding to </w:t>
      </w:r>
      <w:r w:rsidR="00DF483E" w:rsidRPr="00C61D27">
        <w:rPr>
          <w:szCs w:val="20"/>
        </w:rPr>
        <w:t xml:space="preserve">a course of platinum-based chemotherapy. </w:t>
      </w:r>
    </w:p>
    <w:p w14:paraId="75E54578" w14:textId="774D5AA6" w:rsidR="00DC2EAC" w:rsidRPr="00C61D27" w:rsidRDefault="00DF483E" w:rsidP="000D1E44">
      <w:pPr>
        <w:ind w:left="360"/>
        <w:rPr>
          <w:szCs w:val="20"/>
        </w:rPr>
      </w:pPr>
      <w:r w:rsidRPr="00C61D27">
        <w:rPr>
          <w:szCs w:val="20"/>
        </w:rPr>
        <w:t xml:space="preserve">Those patients who </w:t>
      </w:r>
      <w:r w:rsidR="00DC2EAC" w:rsidRPr="00C61D27">
        <w:rPr>
          <w:szCs w:val="20"/>
        </w:rPr>
        <w:t xml:space="preserve">are BRCA negative </w:t>
      </w:r>
      <w:r w:rsidR="00645BE0" w:rsidRPr="00C61D27">
        <w:rPr>
          <w:bCs/>
          <w:iCs/>
          <w:szCs w:val="20"/>
        </w:rPr>
        <w:t xml:space="preserve">will be treated with platinum-based chemotherapy followed by </w:t>
      </w:r>
      <w:r w:rsidR="00BC3704" w:rsidRPr="00C61D27">
        <w:rPr>
          <w:bCs/>
          <w:iCs/>
          <w:szCs w:val="20"/>
        </w:rPr>
        <w:t>‘wait and watch’</w:t>
      </w:r>
      <w:r w:rsidR="00645BE0" w:rsidRPr="00C61D27">
        <w:rPr>
          <w:bCs/>
          <w:iCs/>
          <w:szCs w:val="20"/>
        </w:rPr>
        <w:t xml:space="preserve"> or bevacizumab as maintenance treatment</w:t>
      </w:r>
      <w:r w:rsidR="00CC67BE" w:rsidRPr="00C61D27">
        <w:rPr>
          <w:bCs/>
          <w:iCs/>
          <w:szCs w:val="20"/>
        </w:rPr>
        <w:t>.</w:t>
      </w:r>
      <w:r w:rsidR="00645BE0" w:rsidRPr="00C61D27">
        <w:rPr>
          <w:szCs w:val="20"/>
        </w:rPr>
        <w:t xml:space="preserve"> </w:t>
      </w:r>
    </w:p>
    <w:p w14:paraId="5FF5F098" w14:textId="7DD36269" w:rsidR="00DC2EAC" w:rsidRDefault="00DC2EAC" w:rsidP="000D1E44">
      <w:pPr>
        <w:ind w:left="360"/>
        <w:rPr>
          <w:szCs w:val="20"/>
        </w:rPr>
      </w:pPr>
      <w:r>
        <w:rPr>
          <w:szCs w:val="20"/>
        </w:rPr>
        <w:t xml:space="preserve">Germline BRCA testing is offered to those patients with a positive tumour </w:t>
      </w:r>
      <w:r w:rsidR="003D3190">
        <w:rPr>
          <w:szCs w:val="20"/>
        </w:rPr>
        <w:t>BRCA result to determine if the mutation originated from germline mutation and thus will provide information of any familial risk. Cascade testing is also under MBS item 73297 to family members who wish to be informed of their BRCA status.</w:t>
      </w:r>
    </w:p>
    <w:p w14:paraId="1C798AED" w14:textId="2CD93A0E" w:rsidR="00625114" w:rsidRDefault="00625114" w:rsidP="000D1E44">
      <w:pPr>
        <w:ind w:left="360"/>
        <w:rPr>
          <w:szCs w:val="20"/>
        </w:rPr>
      </w:pPr>
      <w:r>
        <w:rPr>
          <w:szCs w:val="20"/>
        </w:rPr>
        <w:t xml:space="preserve">Refer to </w:t>
      </w:r>
      <w:r>
        <w:rPr>
          <w:szCs w:val="20"/>
        </w:rPr>
        <w:fldChar w:fldCharType="begin"/>
      </w:r>
      <w:r>
        <w:rPr>
          <w:szCs w:val="20"/>
        </w:rPr>
        <w:instrText xml:space="preserve"> REF _Ref55209156 \h </w:instrText>
      </w:r>
      <w:r>
        <w:rPr>
          <w:szCs w:val="20"/>
        </w:rPr>
      </w:r>
      <w:r w:rsidR="000D1E44">
        <w:rPr>
          <w:szCs w:val="20"/>
        </w:rPr>
        <w:instrText xml:space="preserve"> \* MERGEFORMAT </w:instrText>
      </w:r>
      <w:r>
        <w:rPr>
          <w:szCs w:val="20"/>
        </w:rPr>
        <w:fldChar w:fldCharType="separate"/>
      </w:r>
      <w:r w:rsidR="00EA35EE" w:rsidRPr="00625114">
        <w:rPr>
          <w:szCs w:val="20"/>
        </w:rPr>
        <w:t xml:space="preserve">Figure </w:t>
      </w:r>
      <w:r w:rsidR="00EA35EE">
        <w:rPr>
          <w:noProof/>
          <w:szCs w:val="20"/>
        </w:rPr>
        <w:t>4</w:t>
      </w:r>
      <w:r>
        <w:rPr>
          <w:szCs w:val="20"/>
        </w:rPr>
        <w:fldChar w:fldCharType="end"/>
      </w:r>
      <w:r>
        <w:rPr>
          <w:szCs w:val="20"/>
        </w:rPr>
        <w:t xml:space="preserve"> for the current clinical management pathway for patients after they have received tumour BRCA testing (the main comparator</w:t>
      </w:r>
      <w:r w:rsidR="004B7252">
        <w:rPr>
          <w:szCs w:val="20"/>
        </w:rPr>
        <w:t>)</w:t>
      </w:r>
      <w:r>
        <w:rPr>
          <w:szCs w:val="20"/>
        </w:rPr>
        <w:t>. A small proportion of patients may</w:t>
      </w:r>
      <w:r w:rsidR="00BC3704">
        <w:rPr>
          <w:szCs w:val="20"/>
        </w:rPr>
        <w:t xml:space="preserve"> </w:t>
      </w:r>
      <w:r>
        <w:rPr>
          <w:szCs w:val="20"/>
        </w:rPr>
        <w:t xml:space="preserve">be tested with a germline BRCA test, if there is no available or quality tumour tissue sample. </w:t>
      </w:r>
    </w:p>
    <w:p w14:paraId="1D29DA60" w14:textId="7CC9CE0F" w:rsidR="00012058" w:rsidRDefault="00012058" w:rsidP="00012058">
      <w:pPr>
        <w:ind w:left="426"/>
        <w:rPr>
          <w:szCs w:val="20"/>
        </w:rPr>
      </w:pPr>
    </w:p>
    <w:p w14:paraId="64F308C3" w14:textId="5AA40FA8" w:rsidR="00D755A8" w:rsidRDefault="00D755A8">
      <w:pPr>
        <w:spacing w:before="0" w:after="200" w:line="276" w:lineRule="auto"/>
        <w:rPr>
          <w:szCs w:val="20"/>
        </w:rPr>
      </w:pPr>
      <w:r>
        <w:rPr>
          <w:szCs w:val="20"/>
        </w:rPr>
        <w:br w:type="page"/>
      </w:r>
    </w:p>
    <w:p w14:paraId="62F992AB" w14:textId="77777777" w:rsidR="00D755A8" w:rsidRPr="00012058" w:rsidRDefault="00D755A8" w:rsidP="00012058">
      <w:pPr>
        <w:ind w:left="426"/>
        <w:rPr>
          <w:szCs w:val="20"/>
        </w:rPr>
      </w:pPr>
    </w:p>
    <w:p w14:paraId="5C3B9F31" w14:textId="21A1869F" w:rsidR="00823AA1" w:rsidRPr="0013630B" w:rsidRDefault="00424314" w:rsidP="00012058">
      <w:pPr>
        <w:pStyle w:val="Caption"/>
        <w:rPr>
          <w:color w:val="auto"/>
          <w:sz w:val="20"/>
          <w:szCs w:val="20"/>
        </w:rPr>
      </w:pPr>
      <w:bookmarkStart w:id="11" w:name="_Ref55209156"/>
      <w:r w:rsidRPr="0013630B">
        <w:rPr>
          <w:color w:val="auto"/>
          <w:sz w:val="20"/>
          <w:szCs w:val="20"/>
        </w:rPr>
        <w:t xml:space="preserve">Figure </w:t>
      </w:r>
      <w:r w:rsidR="006D01BE" w:rsidRPr="0013630B">
        <w:rPr>
          <w:color w:val="auto"/>
          <w:sz w:val="20"/>
          <w:szCs w:val="20"/>
        </w:rPr>
        <w:fldChar w:fldCharType="begin"/>
      </w:r>
      <w:r w:rsidR="006D01BE" w:rsidRPr="0013630B">
        <w:rPr>
          <w:color w:val="auto"/>
          <w:sz w:val="20"/>
          <w:szCs w:val="20"/>
        </w:rPr>
        <w:instrText xml:space="preserve"> SEQ Figure \* ARABIC </w:instrText>
      </w:r>
      <w:r w:rsidR="006D01BE" w:rsidRPr="0013630B">
        <w:rPr>
          <w:color w:val="auto"/>
          <w:sz w:val="20"/>
          <w:szCs w:val="20"/>
        </w:rPr>
        <w:fldChar w:fldCharType="separate"/>
      </w:r>
      <w:r w:rsidR="00EA35EE" w:rsidRPr="0013630B">
        <w:rPr>
          <w:noProof/>
          <w:color w:val="auto"/>
          <w:sz w:val="20"/>
          <w:szCs w:val="20"/>
        </w:rPr>
        <w:t>4</w:t>
      </w:r>
      <w:r w:rsidR="006D01BE" w:rsidRPr="0013630B">
        <w:rPr>
          <w:noProof/>
          <w:color w:val="auto"/>
          <w:sz w:val="20"/>
          <w:szCs w:val="20"/>
        </w:rPr>
        <w:fldChar w:fldCharType="end"/>
      </w:r>
      <w:bookmarkEnd w:id="11"/>
      <w:r w:rsidRPr="0013630B">
        <w:rPr>
          <w:color w:val="auto"/>
          <w:sz w:val="20"/>
          <w:szCs w:val="20"/>
        </w:rPr>
        <w:tab/>
        <w:t>Current clinical treatment management for patients with advanced ovarian cancer</w:t>
      </w:r>
      <w:r w:rsidR="009C0D44" w:rsidRPr="0013630B">
        <w:rPr>
          <w:color w:val="auto"/>
          <w:sz w:val="20"/>
          <w:szCs w:val="20"/>
        </w:rPr>
        <w:t xml:space="preserve"> (updated)</w:t>
      </w:r>
    </w:p>
    <w:p w14:paraId="6785B094" w14:textId="5425233A" w:rsidR="00EF283F" w:rsidRDefault="00C61D27" w:rsidP="00EF283F">
      <w:r>
        <w:object w:dxaOrig="10101" w:dyaOrig="7541" w14:anchorId="497CC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style="width:450.75pt;height:336.75pt" o:ole="">
            <v:imagedata r:id="rId38" o:title=""/>
          </v:shape>
          <o:OLEObject Type="Embed" ProgID="Visio.Drawing.15" ShapeID="_x0000_i1025" DrawAspect="Content" ObjectID="_1705395281" r:id="rId39"/>
        </w:object>
      </w:r>
    </w:p>
    <w:p w14:paraId="006FCF34" w14:textId="77777777" w:rsidR="00823AA1" w:rsidRDefault="00823AA1" w:rsidP="00424314">
      <w:pPr>
        <w:rPr>
          <w:rFonts w:ascii="Arial Narrow" w:hAnsi="Arial Narrow"/>
          <w:sz w:val="18"/>
          <w:szCs w:val="18"/>
          <w:lang w:val="en-GB" w:eastAsia="ja-JP"/>
        </w:rPr>
      </w:pPr>
    </w:p>
    <w:p w14:paraId="01EDE880" w14:textId="7656F131" w:rsidR="00424314" w:rsidRPr="00550056" w:rsidRDefault="00424314" w:rsidP="00424314">
      <w:pPr>
        <w:rPr>
          <w:rFonts w:ascii="Arial Narrow" w:hAnsi="Arial Narrow"/>
          <w:sz w:val="18"/>
          <w:szCs w:val="18"/>
          <w:lang w:val="en-GB" w:eastAsia="ja-JP"/>
        </w:rPr>
      </w:pPr>
      <w:r>
        <w:rPr>
          <w:rFonts w:ascii="Arial Narrow" w:hAnsi="Arial Narrow"/>
          <w:sz w:val="18"/>
          <w:szCs w:val="18"/>
          <w:lang w:val="en-GB" w:eastAsia="ja-JP"/>
        </w:rPr>
        <w:t xml:space="preserve">Abbreviations: </w:t>
      </w:r>
      <w:r w:rsidRPr="00550056">
        <w:rPr>
          <w:rFonts w:ascii="Arial Narrow" w:hAnsi="Arial Narrow"/>
          <w:sz w:val="18"/>
          <w:szCs w:val="18"/>
          <w:lang w:val="en-GB" w:eastAsia="ja-JP"/>
        </w:rPr>
        <w:t>FIGO = the International Federation of Gynaecology and Obstetrics; gBRCAm = germline BRCA1 or BRCA2 mutation</w:t>
      </w:r>
      <w:r w:rsidR="00502C6B">
        <w:rPr>
          <w:rFonts w:ascii="Arial Narrow" w:hAnsi="Arial Narrow"/>
          <w:sz w:val="18"/>
          <w:szCs w:val="18"/>
          <w:lang w:val="en-GB" w:eastAsia="ja-JP"/>
        </w:rPr>
        <w:t>, tBRCA = tumour BRCA 1 or BRCA2 mutation</w:t>
      </w:r>
    </w:p>
    <w:p w14:paraId="799A2FC1" w14:textId="77777777" w:rsidR="00EF283F" w:rsidRPr="00EF283F" w:rsidRDefault="00EF283F" w:rsidP="00EF283F">
      <w:pPr>
        <w:ind w:left="360"/>
      </w:pPr>
    </w:p>
    <w:p w14:paraId="78766AA6" w14:textId="58BCB2D8" w:rsidR="00A83EC6" w:rsidRPr="00154B00" w:rsidRDefault="00625114" w:rsidP="00530204">
      <w:pPr>
        <w:pStyle w:val="Heading2"/>
      </w:pPr>
      <w:r>
        <w:t xml:space="preserve"> </w:t>
      </w:r>
      <w:r w:rsidR="005C3AE7">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71E65C36"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61D27">
        <w:rPr>
          <w:szCs w:val="20"/>
        </w:rPr>
      </w:r>
      <w:r w:rsidR="00C61D27">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2D6C71D7" w14:textId="0DA6539F" w:rsidR="001B29A1" w:rsidRDefault="00CD4C9D"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40E2C457" w14:textId="569325AE" w:rsidR="003E6AFB" w:rsidRDefault="003E6AFB" w:rsidP="001B29A1">
      <w:pPr>
        <w:spacing w:before="0" w:after="0"/>
        <w:ind w:left="426"/>
        <w:rPr>
          <w:szCs w:val="20"/>
        </w:rPr>
      </w:pPr>
    </w:p>
    <w:p w14:paraId="2A00D12B" w14:textId="227A1DD3" w:rsidR="00264A24" w:rsidRDefault="00264A24" w:rsidP="001B29A1">
      <w:pPr>
        <w:spacing w:before="0" w:after="0"/>
        <w:ind w:left="426"/>
        <w:rPr>
          <w:szCs w:val="20"/>
        </w:rPr>
      </w:pPr>
      <w:r>
        <w:rPr>
          <w:szCs w:val="20"/>
        </w:rPr>
        <w:t xml:space="preserve">HRD test </w:t>
      </w:r>
      <w:r w:rsidR="005634B8">
        <w:rPr>
          <w:szCs w:val="20"/>
        </w:rPr>
        <w:t>will be used instead of tumour BRCA testing as it provide</w:t>
      </w:r>
      <w:r w:rsidR="00534FA7">
        <w:rPr>
          <w:szCs w:val="20"/>
        </w:rPr>
        <w:t>s</w:t>
      </w:r>
      <w:r w:rsidR="005634B8">
        <w:rPr>
          <w:szCs w:val="20"/>
        </w:rPr>
        <w:t xml:space="preserve"> both BRCA and </w:t>
      </w:r>
      <w:r w:rsidR="00C44849" w:rsidRPr="00C44849">
        <w:rPr>
          <w:color w:val="4F81BD" w:themeColor="accent1"/>
          <w:szCs w:val="20"/>
        </w:rPr>
        <w:t>GIS</w:t>
      </w:r>
      <w:r w:rsidR="005634B8">
        <w:rPr>
          <w:szCs w:val="20"/>
        </w:rPr>
        <w:t xml:space="preserve"> status.  </w:t>
      </w:r>
    </w:p>
    <w:p w14:paraId="34580013" w14:textId="77777777" w:rsidR="00E70D86" w:rsidRPr="00154B00" w:rsidRDefault="00E70D86" w:rsidP="00CD7245">
      <w:pPr>
        <w:pStyle w:val="Heading2"/>
        <w:numPr>
          <w:ilvl w:val="0"/>
          <w:numId w:val="9"/>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0D55D3F7" w14:textId="652326E6" w:rsidR="00F43416" w:rsidRDefault="00BB16A4" w:rsidP="001B29A1">
      <w:pPr>
        <w:ind w:left="426"/>
      </w:pPr>
      <w:r w:rsidRPr="00B90F5D">
        <w:t>It is a</w:t>
      </w:r>
      <w:r w:rsidR="00CD4C9D" w:rsidRPr="00B90F5D">
        <w:t>ssume</w:t>
      </w:r>
      <w:r w:rsidRPr="00B90F5D">
        <w:t xml:space="preserve">d </w:t>
      </w:r>
      <w:r w:rsidR="00CD4C9D" w:rsidRPr="00B90F5D">
        <w:t xml:space="preserve"> </w:t>
      </w:r>
      <w:r w:rsidR="00115147" w:rsidRPr="00B90F5D">
        <w:t xml:space="preserve">that  </w:t>
      </w:r>
      <w:r w:rsidR="00CD4C9D" w:rsidRPr="00B90F5D">
        <w:t>95%</w:t>
      </w:r>
      <w:r w:rsidR="00115147" w:rsidRPr="00B90F5D">
        <w:t xml:space="preserve"> of eligible patients are </w:t>
      </w:r>
      <w:r w:rsidR="00CD4C9D" w:rsidRPr="00B90F5D">
        <w:t>able to provide a quality tumour sample for testing</w:t>
      </w:r>
      <w:r w:rsidR="00F43416">
        <w:t>. Of these patients 100% will take</w:t>
      </w:r>
      <w:r w:rsidR="003E6AFB" w:rsidRPr="00B90F5D">
        <w:t xml:space="preserve"> up HRD testing</w:t>
      </w:r>
      <w:r w:rsidR="00123375" w:rsidRPr="00B90F5D">
        <w:t xml:space="preserve"> </w:t>
      </w:r>
      <w:r w:rsidR="0047283C">
        <w:t>(</w:t>
      </w:r>
      <w:r w:rsidR="00A51C21">
        <w:t xml:space="preserve">which include testing for both </w:t>
      </w:r>
      <w:r w:rsidR="0047283C">
        <w:t xml:space="preserve">BRCA </w:t>
      </w:r>
      <w:r w:rsidR="00A51C21">
        <w:t>and</w:t>
      </w:r>
      <w:r w:rsidR="0047283C">
        <w:t xml:space="preserve"> </w:t>
      </w:r>
      <w:r w:rsidR="00C44849" w:rsidRPr="00C44849">
        <w:rPr>
          <w:color w:val="4F81BD" w:themeColor="accent1"/>
        </w:rPr>
        <w:t>GIS</w:t>
      </w:r>
      <w:r w:rsidR="0047283C" w:rsidRPr="00C44849">
        <w:rPr>
          <w:color w:val="4F81BD" w:themeColor="accent1"/>
        </w:rPr>
        <w:t xml:space="preserve"> </w:t>
      </w:r>
      <w:r w:rsidR="0047283C">
        <w:t>status determination)</w:t>
      </w:r>
      <w:r w:rsidR="00F43416">
        <w:t>.</w:t>
      </w:r>
    </w:p>
    <w:p w14:paraId="6DA5F383" w14:textId="4785E74E" w:rsidR="00CD4C9D" w:rsidRDefault="00F43416" w:rsidP="001B29A1">
      <w:pPr>
        <w:ind w:left="426"/>
      </w:pPr>
      <w:r>
        <w:t xml:space="preserve">The remaining 5% of patients will be able to access germline BRCA testing. </w:t>
      </w:r>
    </w:p>
    <w:p w14:paraId="7C71D638" w14:textId="567126E9" w:rsidR="00123375" w:rsidRPr="001B29A1" w:rsidRDefault="00123375" w:rsidP="001B29A1">
      <w:pPr>
        <w:ind w:left="426"/>
        <w:rPr>
          <w:szCs w:val="20"/>
        </w:rPr>
      </w:pPr>
      <w:r>
        <w:t>Refer to Section 7 for further details of the utilisation of HRD test.</w:t>
      </w:r>
    </w:p>
    <w:p w14:paraId="37A6F42B" w14:textId="77777777" w:rsidR="000D1E44" w:rsidRDefault="000D1E44">
      <w:pPr>
        <w:spacing w:before="0" w:after="200" w:line="276" w:lineRule="auto"/>
        <w:rPr>
          <w:b/>
          <w:szCs w:val="20"/>
        </w:rPr>
      </w:pPr>
      <w:r>
        <w:br w:type="page"/>
      </w:r>
    </w:p>
    <w:p w14:paraId="551917ED" w14:textId="74DF5AAF" w:rsidR="0054594B" w:rsidRPr="00154B00" w:rsidRDefault="009C03FB" w:rsidP="00530204">
      <w:pPr>
        <w:pStyle w:val="Heading2"/>
      </w:pPr>
      <w:r w:rsidRPr="00154B00">
        <w:t xml:space="preserve">Define and </w:t>
      </w:r>
      <w:r w:rsidRPr="004A0BF4">
        <w:t>summarise</w:t>
      </w:r>
      <w:r w:rsidRPr="00154B00">
        <w:t xml:space="preserve"> </w:t>
      </w:r>
      <w:r w:rsidRPr="00994749">
        <w:t>how</w:t>
      </w:r>
      <w:r w:rsidR="00F33F1A" w:rsidRPr="00994749">
        <w:t xml:space="preserve"> curr</w:t>
      </w:r>
      <w:r w:rsidRPr="00994749">
        <w:t>ent clinical management pathways</w:t>
      </w:r>
      <w:r w:rsidRPr="00154B00">
        <w:t xml:space="preserve"> (from the point of service delivery onwards) are</w:t>
      </w:r>
      <w:r w:rsidR="00F33F1A" w:rsidRPr="00154B00">
        <w:t xml:space="preserve"> expected to </w:t>
      </w:r>
      <w:r w:rsidR="00F33F1A" w:rsidRPr="003A2860">
        <w:t>change</w:t>
      </w:r>
      <w:r w:rsidR="00F33F1A" w:rsidRPr="00154B00">
        <w:t xml:space="preserve"> </w:t>
      </w:r>
      <w:proofErr w:type="gramStart"/>
      <w:r w:rsidR="00F33F1A" w:rsidRPr="00154B00">
        <w:t>as a consequence of</w:t>
      </w:r>
      <w:proofErr w:type="gramEnd"/>
      <w:r w:rsidR="00F33F1A" w:rsidRPr="00154B00">
        <w:t xml:space="preserve">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3CFC2C98" w14:textId="6B191015" w:rsidR="0078241B" w:rsidRPr="00C61D27" w:rsidRDefault="0078241B" w:rsidP="000D1E44">
      <w:pPr>
        <w:pStyle w:val="Caption"/>
        <w:ind w:left="360"/>
        <w:rPr>
          <w:i w:val="0"/>
          <w:iCs w:val="0"/>
          <w:color w:val="auto"/>
          <w:sz w:val="20"/>
          <w:szCs w:val="20"/>
        </w:rPr>
      </w:pPr>
      <w:r w:rsidRPr="00C61D27">
        <w:rPr>
          <w:i w:val="0"/>
          <w:iCs w:val="0"/>
          <w:color w:val="auto"/>
          <w:sz w:val="20"/>
          <w:szCs w:val="20"/>
        </w:rPr>
        <w:t>The application propose</w:t>
      </w:r>
      <w:r w:rsidR="000B05C4" w:rsidRPr="00C61D27">
        <w:rPr>
          <w:i w:val="0"/>
          <w:iCs w:val="0"/>
          <w:color w:val="auto"/>
          <w:sz w:val="20"/>
          <w:szCs w:val="20"/>
        </w:rPr>
        <w:t>s</w:t>
      </w:r>
      <w:r w:rsidRPr="00C61D27">
        <w:rPr>
          <w:i w:val="0"/>
          <w:iCs w:val="0"/>
          <w:color w:val="auto"/>
          <w:sz w:val="20"/>
          <w:szCs w:val="20"/>
        </w:rPr>
        <w:t xml:space="preserve"> that HRD testing occurs upfront at the time of diagnosis, to ensure that optimal treatment options are provided to the clinicians and patients, maximising improved patient outcomes.</w:t>
      </w:r>
    </w:p>
    <w:p w14:paraId="3588B14F" w14:textId="37498564" w:rsidR="0078241B" w:rsidRPr="00C61D27" w:rsidRDefault="00C06E51" w:rsidP="000D1E44">
      <w:pPr>
        <w:pStyle w:val="Caption"/>
        <w:ind w:left="360"/>
        <w:rPr>
          <w:i w:val="0"/>
          <w:iCs w:val="0"/>
          <w:color w:val="auto"/>
          <w:sz w:val="20"/>
          <w:szCs w:val="20"/>
        </w:rPr>
      </w:pPr>
      <w:r w:rsidRPr="00C61D27">
        <w:rPr>
          <w:i w:val="0"/>
          <w:iCs w:val="0"/>
          <w:color w:val="auto"/>
          <w:sz w:val="20"/>
          <w:szCs w:val="20"/>
        </w:rPr>
        <w:t>The proposed medical Service HRD test provides both BRCA</w:t>
      </w:r>
      <w:r w:rsidR="005634B8" w:rsidRPr="00C61D27">
        <w:rPr>
          <w:i w:val="0"/>
          <w:iCs w:val="0"/>
          <w:color w:val="auto"/>
          <w:sz w:val="20"/>
          <w:szCs w:val="20"/>
        </w:rPr>
        <w:t xml:space="preserve"> </w:t>
      </w:r>
      <w:r w:rsidRPr="00C61D27">
        <w:rPr>
          <w:i w:val="0"/>
          <w:iCs w:val="0"/>
          <w:color w:val="auto"/>
          <w:sz w:val="20"/>
          <w:szCs w:val="20"/>
        </w:rPr>
        <w:t xml:space="preserve">and </w:t>
      </w:r>
      <w:r w:rsidR="00C44849" w:rsidRPr="00C61D27">
        <w:rPr>
          <w:i w:val="0"/>
          <w:iCs w:val="0"/>
          <w:color w:val="auto"/>
          <w:sz w:val="20"/>
          <w:szCs w:val="20"/>
        </w:rPr>
        <w:t>GIS</w:t>
      </w:r>
      <w:r w:rsidRPr="00C61D27">
        <w:rPr>
          <w:i w:val="0"/>
          <w:iCs w:val="0"/>
          <w:color w:val="auto"/>
          <w:sz w:val="20"/>
          <w:szCs w:val="20"/>
        </w:rPr>
        <w:t xml:space="preserve"> status</w:t>
      </w:r>
      <w:r w:rsidR="00E53E1C" w:rsidRPr="00C61D27">
        <w:rPr>
          <w:i w:val="0"/>
          <w:iCs w:val="0"/>
          <w:color w:val="auto"/>
          <w:sz w:val="20"/>
          <w:szCs w:val="20"/>
        </w:rPr>
        <w:t xml:space="preserve"> and </w:t>
      </w:r>
      <w:r w:rsidR="005634B8" w:rsidRPr="00C61D27">
        <w:rPr>
          <w:i w:val="0"/>
          <w:iCs w:val="0"/>
          <w:color w:val="auto"/>
          <w:sz w:val="20"/>
          <w:szCs w:val="20"/>
        </w:rPr>
        <w:t xml:space="preserve">will </w:t>
      </w:r>
      <w:r w:rsidRPr="00C61D27">
        <w:rPr>
          <w:i w:val="0"/>
          <w:iCs w:val="0"/>
          <w:color w:val="auto"/>
          <w:sz w:val="20"/>
          <w:szCs w:val="20"/>
        </w:rPr>
        <w:t xml:space="preserve">replace </w:t>
      </w:r>
      <w:r w:rsidR="00E53E1C" w:rsidRPr="00C61D27">
        <w:rPr>
          <w:i w:val="0"/>
          <w:iCs w:val="0"/>
          <w:color w:val="auto"/>
          <w:sz w:val="20"/>
          <w:szCs w:val="20"/>
        </w:rPr>
        <w:t xml:space="preserve">the </w:t>
      </w:r>
      <w:r w:rsidRPr="00C61D27">
        <w:rPr>
          <w:i w:val="0"/>
          <w:iCs w:val="0"/>
          <w:color w:val="auto"/>
          <w:sz w:val="20"/>
          <w:szCs w:val="20"/>
        </w:rPr>
        <w:t>tumour BRCA t</w:t>
      </w:r>
      <w:r w:rsidR="00E53E1C" w:rsidRPr="00C61D27">
        <w:rPr>
          <w:i w:val="0"/>
          <w:iCs w:val="0"/>
          <w:color w:val="auto"/>
          <w:sz w:val="20"/>
          <w:szCs w:val="20"/>
        </w:rPr>
        <w:t>est (MBS item 733</w:t>
      </w:r>
      <w:r w:rsidR="00A53326" w:rsidRPr="00C61D27">
        <w:rPr>
          <w:i w:val="0"/>
          <w:iCs w:val="0"/>
          <w:color w:val="auto"/>
          <w:sz w:val="20"/>
          <w:szCs w:val="20"/>
        </w:rPr>
        <w:t>3</w:t>
      </w:r>
      <w:r w:rsidR="00E53E1C" w:rsidRPr="00C61D27">
        <w:rPr>
          <w:i w:val="0"/>
          <w:iCs w:val="0"/>
          <w:color w:val="auto"/>
          <w:sz w:val="20"/>
          <w:szCs w:val="20"/>
        </w:rPr>
        <w:t>01)</w:t>
      </w:r>
      <w:r w:rsidR="008B0BDA" w:rsidRPr="00C61D27">
        <w:rPr>
          <w:i w:val="0"/>
          <w:iCs w:val="0"/>
          <w:color w:val="auto"/>
          <w:sz w:val="20"/>
          <w:szCs w:val="20"/>
        </w:rPr>
        <w:t xml:space="preserve"> as the one test will </w:t>
      </w:r>
      <w:r w:rsidR="00C44849" w:rsidRPr="00C61D27">
        <w:rPr>
          <w:i w:val="0"/>
          <w:iCs w:val="0"/>
          <w:color w:val="auto"/>
          <w:sz w:val="20"/>
          <w:szCs w:val="20"/>
        </w:rPr>
        <w:t xml:space="preserve">identify </w:t>
      </w:r>
      <w:r w:rsidR="008B0BDA" w:rsidRPr="00C61D27">
        <w:rPr>
          <w:i w:val="0"/>
          <w:iCs w:val="0"/>
          <w:color w:val="auto"/>
          <w:sz w:val="20"/>
          <w:szCs w:val="20"/>
        </w:rPr>
        <w:t xml:space="preserve">HRD </w:t>
      </w:r>
      <w:r w:rsidR="00C44849" w:rsidRPr="00C61D27">
        <w:rPr>
          <w:i w:val="0"/>
          <w:iCs w:val="0"/>
          <w:color w:val="auto"/>
          <w:sz w:val="20"/>
          <w:szCs w:val="20"/>
        </w:rPr>
        <w:t xml:space="preserve">(defined as </w:t>
      </w:r>
      <w:r w:rsidR="008B0BDA" w:rsidRPr="00C61D27">
        <w:rPr>
          <w:i w:val="0"/>
          <w:iCs w:val="0"/>
          <w:color w:val="auto"/>
          <w:sz w:val="20"/>
          <w:szCs w:val="20"/>
        </w:rPr>
        <w:t>BRCA</w:t>
      </w:r>
      <w:r w:rsidR="00C44849" w:rsidRPr="00C61D27">
        <w:rPr>
          <w:i w:val="0"/>
          <w:iCs w:val="0"/>
          <w:color w:val="auto"/>
          <w:sz w:val="20"/>
          <w:szCs w:val="20"/>
        </w:rPr>
        <w:t xml:space="preserve"> or GIS) status</w:t>
      </w:r>
      <w:r w:rsidR="008B0BDA" w:rsidRPr="00C61D27">
        <w:rPr>
          <w:i w:val="0"/>
          <w:iCs w:val="0"/>
          <w:color w:val="auto"/>
          <w:sz w:val="20"/>
          <w:szCs w:val="20"/>
        </w:rPr>
        <w:t>.</w:t>
      </w:r>
    </w:p>
    <w:p w14:paraId="520936A5" w14:textId="77777777" w:rsidR="003C5B95" w:rsidRPr="00C61D27" w:rsidRDefault="003C5B95" w:rsidP="000D1E44">
      <w:pPr>
        <w:pStyle w:val="NICEnormal"/>
        <w:spacing w:after="200" w:line="240" w:lineRule="auto"/>
        <w:ind w:left="357"/>
        <w:rPr>
          <w:rFonts w:asciiTheme="minorHAnsi" w:eastAsiaTheme="minorHAnsi" w:hAnsiTheme="minorHAnsi" w:cstheme="minorBidi"/>
          <w:sz w:val="20"/>
          <w:szCs w:val="20"/>
          <w:lang w:val="en-AU"/>
        </w:rPr>
      </w:pPr>
      <w:bookmarkStart w:id="12" w:name="_Hlk72968349"/>
      <w:r w:rsidRPr="00C61D27">
        <w:rPr>
          <w:rFonts w:asciiTheme="minorHAnsi" w:eastAsiaTheme="minorHAnsi" w:hAnsiTheme="minorHAnsi" w:cstheme="minorBidi"/>
          <w:sz w:val="20"/>
          <w:szCs w:val="20"/>
          <w:lang w:val="en-AU"/>
        </w:rPr>
        <w:t xml:space="preserve">At the PASC meeting (15 April 2021), the Department of Health suggested that HRD testing to identify HRD positive-BRCAwt status could be performed in advanced high grade serous ovarian cancer (HGSOC) patients determined upon eligibility for bevacizumab maintenance therapy. </w:t>
      </w:r>
      <w:bookmarkEnd w:id="12"/>
      <w:r w:rsidRPr="00C61D27">
        <w:rPr>
          <w:rFonts w:asciiTheme="minorHAnsi" w:eastAsiaTheme="minorHAnsi" w:hAnsiTheme="minorHAnsi" w:cstheme="minorBidi"/>
          <w:sz w:val="20"/>
          <w:szCs w:val="20"/>
          <w:lang w:val="en-AU"/>
        </w:rPr>
        <w:t xml:space="preserve">AstraZeneca recognise that this will reduce the number of patients being tested for HRD however this approach will delay initiation of PARPi maintenance treatment resulting in patients missing the opportunity to maximise patient outcomes demonstrated in the PAOLA-1 study. </w:t>
      </w:r>
    </w:p>
    <w:p w14:paraId="1A8F2359" w14:textId="2DDFE614" w:rsidR="003C5B95" w:rsidRPr="00C61D27" w:rsidRDefault="003C5B95" w:rsidP="000D1E44">
      <w:pPr>
        <w:pStyle w:val="NICEnormal"/>
        <w:spacing w:after="200" w:line="240" w:lineRule="auto"/>
        <w:ind w:left="357"/>
      </w:pPr>
      <w:r w:rsidRPr="00C61D27">
        <w:rPr>
          <w:rFonts w:asciiTheme="minorHAnsi" w:eastAsiaTheme="minorHAnsi" w:hAnsiTheme="minorHAnsi" w:cstheme="minorBidi"/>
          <w:sz w:val="20"/>
          <w:szCs w:val="20"/>
          <w:lang w:val="en-AU"/>
        </w:rPr>
        <w:t>Given the HRD test will include testing for BRCA status, this testing sequence would represent a backward shift in current testing practice and a delay in receipt of this prognostic detail. HRD testing includes two components, BRCA mutation status and genomic instability which occur in parallel enabling conservation of tumour tissue, promote testing efficiency and enable timely turn-around time of results. Notwithstanding, first-line treatment with chemotherapy is also known to adversely affect tumour tissue integrity and DNA quality potentially resulting in compromised HRD analysis</w:t>
      </w:r>
    </w:p>
    <w:p w14:paraId="26ACCB50" w14:textId="6BBAD606" w:rsidR="00E06CAD" w:rsidRPr="00C61D27" w:rsidRDefault="00C06E51" w:rsidP="000D1E44">
      <w:pPr>
        <w:pStyle w:val="Caption"/>
        <w:ind w:left="357"/>
        <w:rPr>
          <w:i w:val="0"/>
          <w:iCs w:val="0"/>
          <w:color w:val="auto"/>
          <w:sz w:val="20"/>
          <w:szCs w:val="20"/>
          <w:highlight w:val="yellow"/>
        </w:rPr>
      </w:pPr>
      <w:r w:rsidRPr="00C61D27">
        <w:rPr>
          <w:i w:val="0"/>
          <w:iCs w:val="0"/>
          <w:color w:val="auto"/>
          <w:sz w:val="20"/>
          <w:szCs w:val="20"/>
        </w:rPr>
        <w:t xml:space="preserve">In Figure </w:t>
      </w:r>
      <w:r w:rsidR="00EA6F33" w:rsidRPr="00C61D27">
        <w:rPr>
          <w:i w:val="0"/>
          <w:iCs w:val="0"/>
          <w:color w:val="auto"/>
          <w:sz w:val="20"/>
          <w:szCs w:val="20"/>
        </w:rPr>
        <w:t>5</w:t>
      </w:r>
      <w:r w:rsidRPr="00C61D27">
        <w:rPr>
          <w:i w:val="0"/>
          <w:iCs w:val="0"/>
          <w:color w:val="auto"/>
          <w:sz w:val="20"/>
          <w:szCs w:val="20"/>
        </w:rPr>
        <w:t>, HRD testing identifies patients with a positive BRCA</w:t>
      </w:r>
      <w:r w:rsidR="00435B2D" w:rsidRPr="00C61D27">
        <w:rPr>
          <w:i w:val="0"/>
          <w:iCs w:val="0"/>
          <w:color w:val="auto"/>
          <w:sz w:val="20"/>
          <w:szCs w:val="20"/>
        </w:rPr>
        <w:t xml:space="preserve"> status</w:t>
      </w:r>
      <w:r w:rsidRPr="00C61D27">
        <w:rPr>
          <w:i w:val="0"/>
          <w:iCs w:val="0"/>
          <w:color w:val="auto"/>
          <w:sz w:val="20"/>
          <w:szCs w:val="20"/>
        </w:rPr>
        <w:t xml:space="preserve"> </w:t>
      </w:r>
      <w:r w:rsidR="006512BC" w:rsidRPr="00C61D27">
        <w:rPr>
          <w:i w:val="0"/>
          <w:iCs w:val="0"/>
          <w:color w:val="auto"/>
          <w:sz w:val="20"/>
          <w:szCs w:val="20"/>
        </w:rPr>
        <w:t>and also HRD</w:t>
      </w:r>
      <w:r w:rsidR="00C44849" w:rsidRPr="00C61D27">
        <w:rPr>
          <w:i w:val="0"/>
          <w:iCs w:val="0"/>
          <w:color w:val="auto"/>
          <w:sz w:val="20"/>
          <w:szCs w:val="20"/>
        </w:rPr>
        <w:t xml:space="preserve">. </w:t>
      </w:r>
      <w:r w:rsidR="00DD165A" w:rsidRPr="00C61D27">
        <w:rPr>
          <w:i w:val="0"/>
          <w:iCs w:val="0"/>
          <w:color w:val="auto"/>
          <w:sz w:val="20"/>
          <w:szCs w:val="20"/>
        </w:rPr>
        <w:t xml:space="preserve">The treatment algorithm for </w:t>
      </w:r>
      <w:r w:rsidR="00DE49B8" w:rsidRPr="00C61D27">
        <w:rPr>
          <w:i w:val="0"/>
          <w:iCs w:val="0"/>
          <w:color w:val="auto"/>
          <w:sz w:val="20"/>
          <w:szCs w:val="20"/>
        </w:rPr>
        <w:t>t</w:t>
      </w:r>
      <w:r w:rsidR="006512BC" w:rsidRPr="00C61D27">
        <w:rPr>
          <w:i w:val="0"/>
          <w:iCs w:val="0"/>
          <w:color w:val="auto"/>
          <w:sz w:val="20"/>
          <w:szCs w:val="20"/>
        </w:rPr>
        <w:t xml:space="preserve">hose patients with a </w:t>
      </w:r>
      <w:r w:rsidR="00A05C83" w:rsidRPr="00C61D27">
        <w:rPr>
          <w:i w:val="0"/>
          <w:iCs w:val="0"/>
          <w:color w:val="auto"/>
          <w:sz w:val="20"/>
          <w:szCs w:val="20"/>
        </w:rPr>
        <w:t xml:space="preserve">positive </w:t>
      </w:r>
      <w:r w:rsidR="006512BC" w:rsidRPr="00C61D27">
        <w:rPr>
          <w:i w:val="0"/>
          <w:iCs w:val="0"/>
          <w:color w:val="auto"/>
          <w:sz w:val="20"/>
          <w:szCs w:val="20"/>
        </w:rPr>
        <w:t>BRCA</w:t>
      </w:r>
      <w:r w:rsidR="00435B2D" w:rsidRPr="00C61D27">
        <w:rPr>
          <w:i w:val="0"/>
          <w:iCs w:val="0"/>
          <w:color w:val="auto"/>
          <w:sz w:val="20"/>
          <w:szCs w:val="20"/>
        </w:rPr>
        <w:t xml:space="preserve"> status</w:t>
      </w:r>
      <w:r w:rsidR="006512BC" w:rsidRPr="00C61D27">
        <w:rPr>
          <w:i w:val="0"/>
          <w:iCs w:val="0"/>
          <w:color w:val="auto"/>
          <w:sz w:val="20"/>
          <w:szCs w:val="20"/>
        </w:rPr>
        <w:t xml:space="preserve"> will </w:t>
      </w:r>
      <w:r w:rsidR="00AE0CCB" w:rsidRPr="00C61D27">
        <w:rPr>
          <w:i w:val="0"/>
          <w:iCs w:val="0"/>
          <w:color w:val="auto"/>
          <w:sz w:val="20"/>
          <w:szCs w:val="20"/>
        </w:rPr>
        <w:t xml:space="preserve">remain unchanged </w:t>
      </w:r>
      <w:r w:rsidR="00DE49B8" w:rsidRPr="00C61D27">
        <w:rPr>
          <w:i w:val="0"/>
          <w:iCs w:val="0"/>
          <w:color w:val="auto"/>
          <w:sz w:val="20"/>
          <w:szCs w:val="20"/>
        </w:rPr>
        <w:t xml:space="preserve">as current </w:t>
      </w:r>
      <w:r w:rsidR="00515C25" w:rsidRPr="00C61D27">
        <w:rPr>
          <w:i w:val="0"/>
          <w:iCs w:val="0"/>
          <w:color w:val="auto"/>
          <w:sz w:val="20"/>
          <w:szCs w:val="20"/>
        </w:rPr>
        <w:t xml:space="preserve">practice </w:t>
      </w:r>
      <w:r w:rsidR="00667712" w:rsidRPr="00C61D27">
        <w:rPr>
          <w:i w:val="0"/>
          <w:iCs w:val="0"/>
          <w:color w:val="auto"/>
          <w:sz w:val="20"/>
          <w:szCs w:val="20"/>
        </w:rPr>
        <w:t xml:space="preserve">described above in Q40 </w:t>
      </w:r>
      <w:r w:rsidR="00515C25" w:rsidRPr="00C61D27">
        <w:rPr>
          <w:i w:val="0"/>
          <w:iCs w:val="0"/>
          <w:color w:val="auto"/>
          <w:sz w:val="20"/>
          <w:szCs w:val="20"/>
        </w:rPr>
        <w:t>(i.e. th</w:t>
      </w:r>
      <w:r w:rsidR="00667712" w:rsidRPr="00C61D27">
        <w:rPr>
          <w:i w:val="0"/>
          <w:iCs w:val="0"/>
          <w:color w:val="auto"/>
          <w:sz w:val="20"/>
          <w:szCs w:val="20"/>
        </w:rPr>
        <w:t xml:space="preserve">ey will be </w:t>
      </w:r>
      <w:r w:rsidRPr="00C61D27">
        <w:rPr>
          <w:i w:val="0"/>
          <w:iCs w:val="0"/>
          <w:color w:val="auto"/>
          <w:sz w:val="20"/>
          <w:szCs w:val="20"/>
        </w:rPr>
        <w:t>eligib</w:t>
      </w:r>
      <w:r w:rsidR="006512BC" w:rsidRPr="00C61D27">
        <w:rPr>
          <w:i w:val="0"/>
          <w:iCs w:val="0"/>
          <w:color w:val="auto"/>
          <w:sz w:val="20"/>
          <w:szCs w:val="20"/>
        </w:rPr>
        <w:t>le</w:t>
      </w:r>
      <w:r w:rsidRPr="00C61D27">
        <w:rPr>
          <w:i w:val="0"/>
          <w:iCs w:val="0"/>
          <w:color w:val="auto"/>
          <w:sz w:val="20"/>
          <w:szCs w:val="20"/>
        </w:rPr>
        <w:t xml:space="preserve"> to access olaparib in the first-line maintenance treatment after first completing and responding to platinum-based chemotherapy</w:t>
      </w:r>
      <w:r w:rsidR="00596B60" w:rsidRPr="00C61D27">
        <w:rPr>
          <w:i w:val="0"/>
          <w:iCs w:val="0"/>
          <w:color w:val="auto"/>
          <w:sz w:val="20"/>
          <w:szCs w:val="20"/>
        </w:rPr>
        <w:t>).</w:t>
      </w:r>
    </w:p>
    <w:p w14:paraId="6B1300CC" w14:textId="7F25E691" w:rsidR="00E21084" w:rsidRPr="00C61D27" w:rsidRDefault="00C06E51" w:rsidP="000D1E44">
      <w:pPr>
        <w:pStyle w:val="Caption"/>
        <w:ind w:left="360"/>
        <w:rPr>
          <w:color w:val="auto"/>
        </w:rPr>
      </w:pPr>
      <w:r w:rsidRPr="00C61D27">
        <w:rPr>
          <w:i w:val="0"/>
          <w:iCs w:val="0"/>
          <w:color w:val="auto"/>
          <w:sz w:val="20"/>
          <w:szCs w:val="20"/>
        </w:rPr>
        <w:t>For those patients wi</w:t>
      </w:r>
      <w:r w:rsidR="006512BC" w:rsidRPr="00C61D27">
        <w:rPr>
          <w:i w:val="0"/>
          <w:iCs w:val="0"/>
          <w:color w:val="auto"/>
          <w:sz w:val="20"/>
          <w:szCs w:val="20"/>
        </w:rPr>
        <w:t xml:space="preserve">th a </w:t>
      </w:r>
      <w:r w:rsidR="005C4DBD" w:rsidRPr="00C61D27">
        <w:rPr>
          <w:i w:val="0"/>
          <w:iCs w:val="0"/>
          <w:color w:val="auto"/>
          <w:sz w:val="20"/>
          <w:szCs w:val="20"/>
        </w:rPr>
        <w:t xml:space="preserve">negative </w:t>
      </w:r>
      <w:proofErr w:type="gramStart"/>
      <w:r w:rsidR="005C4DBD" w:rsidRPr="00C61D27">
        <w:rPr>
          <w:i w:val="0"/>
          <w:iCs w:val="0"/>
          <w:color w:val="auto"/>
          <w:sz w:val="20"/>
          <w:szCs w:val="20"/>
        </w:rPr>
        <w:t>BRCA</w:t>
      </w:r>
      <w:r w:rsidR="00435B2D" w:rsidRPr="00C61D27">
        <w:rPr>
          <w:i w:val="0"/>
          <w:iCs w:val="0"/>
          <w:color w:val="auto"/>
          <w:sz w:val="20"/>
          <w:szCs w:val="20"/>
        </w:rPr>
        <w:t xml:space="preserve"> </w:t>
      </w:r>
      <w:r w:rsidR="00F73FB0" w:rsidRPr="00C61D27">
        <w:rPr>
          <w:i w:val="0"/>
          <w:iCs w:val="0"/>
          <w:color w:val="auto"/>
          <w:sz w:val="20"/>
          <w:szCs w:val="20"/>
        </w:rPr>
        <w:t xml:space="preserve"> (</w:t>
      </w:r>
      <w:proofErr w:type="gramEnd"/>
      <w:r w:rsidR="00F73FB0" w:rsidRPr="00C61D27">
        <w:rPr>
          <w:i w:val="0"/>
          <w:iCs w:val="0"/>
          <w:color w:val="auto"/>
          <w:sz w:val="20"/>
          <w:szCs w:val="20"/>
        </w:rPr>
        <w:t>i.e. BRCAwt)</w:t>
      </w:r>
      <w:r w:rsidR="005C4DBD" w:rsidRPr="00C61D27">
        <w:rPr>
          <w:i w:val="0"/>
          <w:iCs w:val="0"/>
          <w:color w:val="auto"/>
          <w:sz w:val="20"/>
          <w:szCs w:val="20"/>
        </w:rPr>
        <w:t xml:space="preserve"> status and a</w:t>
      </w:r>
      <w:r w:rsidR="006512BC" w:rsidRPr="00C61D27">
        <w:rPr>
          <w:i w:val="0"/>
          <w:iCs w:val="0"/>
          <w:color w:val="auto"/>
          <w:sz w:val="20"/>
          <w:szCs w:val="20"/>
        </w:rPr>
        <w:t xml:space="preserve"> positive </w:t>
      </w:r>
      <w:r w:rsidR="00AE0CCB" w:rsidRPr="00C61D27">
        <w:rPr>
          <w:i w:val="0"/>
          <w:iCs w:val="0"/>
          <w:color w:val="auto"/>
          <w:sz w:val="20"/>
          <w:szCs w:val="20"/>
        </w:rPr>
        <w:t>GIS</w:t>
      </w:r>
      <w:r w:rsidR="006512BC" w:rsidRPr="00C61D27">
        <w:rPr>
          <w:i w:val="0"/>
          <w:iCs w:val="0"/>
          <w:color w:val="auto"/>
          <w:sz w:val="20"/>
          <w:szCs w:val="20"/>
        </w:rPr>
        <w:t xml:space="preserve"> statu</w:t>
      </w:r>
      <w:r w:rsidR="00F73FB0" w:rsidRPr="00C61D27">
        <w:rPr>
          <w:i w:val="0"/>
          <w:iCs w:val="0"/>
          <w:color w:val="auto"/>
          <w:sz w:val="20"/>
          <w:szCs w:val="20"/>
        </w:rPr>
        <w:t>s,</w:t>
      </w:r>
      <w:r w:rsidR="006512BC" w:rsidRPr="00C61D27">
        <w:rPr>
          <w:i w:val="0"/>
          <w:iCs w:val="0"/>
          <w:color w:val="auto"/>
          <w:sz w:val="20"/>
          <w:szCs w:val="20"/>
        </w:rPr>
        <w:t xml:space="preserve"> </w:t>
      </w:r>
      <w:r w:rsidR="007771B1" w:rsidRPr="00C61D27">
        <w:rPr>
          <w:i w:val="0"/>
          <w:iCs w:val="0"/>
          <w:color w:val="auto"/>
          <w:sz w:val="20"/>
          <w:szCs w:val="20"/>
        </w:rPr>
        <w:t>first-line treatment will include</w:t>
      </w:r>
      <w:r w:rsidR="00295BBC" w:rsidRPr="00C61D27">
        <w:rPr>
          <w:i w:val="0"/>
          <w:iCs w:val="0"/>
          <w:color w:val="auto"/>
          <w:sz w:val="20"/>
          <w:szCs w:val="20"/>
        </w:rPr>
        <w:t xml:space="preserve"> platinum based chemotherapy and</w:t>
      </w:r>
      <w:r w:rsidR="00C44849" w:rsidRPr="00C61D27">
        <w:rPr>
          <w:i w:val="0"/>
          <w:iCs w:val="0"/>
          <w:color w:val="auto"/>
          <w:sz w:val="20"/>
          <w:szCs w:val="20"/>
        </w:rPr>
        <w:t xml:space="preserve"> with or w</w:t>
      </w:r>
      <w:r w:rsidR="002B7FA5" w:rsidRPr="00C61D27">
        <w:rPr>
          <w:i w:val="0"/>
          <w:iCs w:val="0"/>
          <w:color w:val="auto"/>
          <w:sz w:val="20"/>
          <w:szCs w:val="20"/>
        </w:rPr>
        <w:t>ithout</w:t>
      </w:r>
      <w:r w:rsidR="00295BBC" w:rsidRPr="00C61D27">
        <w:rPr>
          <w:i w:val="0"/>
          <w:iCs w:val="0"/>
          <w:color w:val="auto"/>
          <w:sz w:val="20"/>
          <w:szCs w:val="20"/>
        </w:rPr>
        <w:t xml:space="preserve"> bevacizumab</w:t>
      </w:r>
      <w:r w:rsidR="00A05C83" w:rsidRPr="00C61D27">
        <w:rPr>
          <w:i w:val="0"/>
          <w:iCs w:val="0"/>
          <w:color w:val="auto"/>
          <w:sz w:val="20"/>
          <w:szCs w:val="20"/>
        </w:rPr>
        <w:t xml:space="preserve">. </w:t>
      </w:r>
      <w:r w:rsidR="00314C53" w:rsidRPr="00C61D27">
        <w:rPr>
          <w:i w:val="0"/>
          <w:iCs w:val="0"/>
          <w:color w:val="auto"/>
          <w:sz w:val="20"/>
          <w:szCs w:val="20"/>
        </w:rPr>
        <w:t xml:space="preserve">Patients who are in response after initial chemotherapy are then maintained with treatment with </w:t>
      </w:r>
      <w:r w:rsidR="00A05C83" w:rsidRPr="00C61D27">
        <w:rPr>
          <w:i w:val="0"/>
          <w:iCs w:val="0"/>
          <w:color w:val="auto"/>
          <w:sz w:val="20"/>
          <w:szCs w:val="20"/>
        </w:rPr>
        <w:t xml:space="preserve">olaparib </w:t>
      </w:r>
      <w:r w:rsidR="00314C53" w:rsidRPr="00C61D27">
        <w:rPr>
          <w:i w:val="0"/>
          <w:iCs w:val="0"/>
          <w:color w:val="auto"/>
          <w:sz w:val="20"/>
          <w:szCs w:val="20"/>
        </w:rPr>
        <w:t xml:space="preserve">in combination with </w:t>
      </w:r>
      <w:r w:rsidR="00A05C83" w:rsidRPr="00C61D27">
        <w:rPr>
          <w:i w:val="0"/>
          <w:iCs w:val="0"/>
          <w:color w:val="auto"/>
          <w:sz w:val="20"/>
          <w:szCs w:val="20"/>
        </w:rPr>
        <w:t>bevacizamub</w:t>
      </w:r>
      <w:r w:rsidR="00314C53" w:rsidRPr="00C61D27">
        <w:rPr>
          <w:i w:val="0"/>
          <w:iCs w:val="0"/>
          <w:color w:val="auto"/>
          <w:sz w:val="20"/>
          <w:szCs w:val="20"/>
        </w:rPr>
        <w:t xml:space="preserve">. This new combination maintenance regimen is based on the pivotal clinical trial PAOLA1. </w:t>
      </w:r>
    </w:p>
    <w:p w14:paraId="5EAF0E08" w14:textId="1F92B0C9" w:rsidR="00032E64" w:rsidRPr="00032E64" w:rsidRDefault="00032E64" w:rsidP="000D1E44">
      <w:pPr>
        <w:ind w:left="360"/>
      </w:pPr>
      <w:r w:rsidRPr="00C61D27">
        <w:t xml:space="preserve">Patients who </w:t>
      </w:r>
      <w:r w:rsidR="00EA6F33" w:rsidRPr="00C61D27">
        <w:t>are</w:t>
      </w:r>
      <w:r w:rsidRPr="00C61D27">
        <w:t xml:space="preserve"> HRD </w:t>
      </w:r>
      <w:r w:rsidR="00EA6F33" w:rsidRPr="00C61D27">
        <w:t>negative</w:t>
      </w:r>
      <w:r w:rsidRPr="00C61D27">
        <w:t xml:space="preserve"> will receive similar treatment to those patients who are BRCA negative</w:t>
      </w:r>
      <w:r w:rsidR="00525942" w:rsidRPr="00C61D27">
        <w:t xml:space="preserve"> </w:t>
      </w:r>
      <w:r w:rsidR="004B7252" w:rsidRPr="00C61D27">
        <w:t>described above</w:t>
      </w:r>
      <w:r w:rsidR="00525942" w:rsidRPr="00C61D27">
        <w:rPr>
          <w:szCs w:val="20"/>
        </w:rPr>
        <w:t xml:space="preserve"> in Q40</w:t>
      </w:r>
      <w:r w:rsidRPr="00C61D27">
        <w:t xml:space="preserve">. These patients will either be actively monitored </w:t>
      </w:r>
      <w:r w:rsidR="00F73FB0" w:rsidRPr="00C61D27">
        <w:t xml:space="preserve">(‘watch and wait’) </w:t>
      </w:r>
      <w:r w:rsidRPr="00C61D27">
        <w:t>or receive bevacizumab as maintenance</w:t>
      </w:r>
      <w:r w:rsidR="002C08CE" w:rsidRPr="00C61D27">
        <w:t xml:space="preserve"> therapy</w:t>
      </w:r>
      <w:r w:rsidR="002B7FA5" w:rsidRPr="00C61D27">
        <w:t>.</w:t>
      </w:r>
      <w:r w:rsidRPr="00C61D27">
        <w:t xml:space="preserve"> </w:t>
      </w:r>
    </w:p>
    <w:p w14:paraId="6B04D9FF" w14:textId="73945C35" w:rsidR="00024ADC" w:rsidRPr="000817A3" w:rsidRDefault="00024ADC" w:rsidP="000D1E44">
      <w:pPr>
        <w:pStyle w:val="NormalWeb"/>
        <w:shd w:val="clear" w:color="auto" w:fill="FFFFFF"/>
        <w:ind w:left="360"/>
        <w:rPr>
          <w:rFonts w:asciiTheme="minorHAnsi" w:hAnsiTheme="minorHAnsi" w:cstheme="minorHAnsi"/>
          <w:color w:val="212121"/>
          <w:sz w:val="20"/>
          <w:szCs w:val="20"/>
        </w:rPr>
      </w:pPr>
      <w:r w:rsidRPr="000817A3">
        <w:rPr>
          <w:rFonts w:asciiTheme="minorHAnsi" w:hAnsiTheme="minorHAnsi" w:cstheme="minorHAnsi"/>
          <w:color w:val="212121"/>
          <w:sz w:val="20"/>
          <w:szCs w:val="20"/>
        </w:rPr>
        <w:t>PAOLA-1/ENGOT-ov25</w:t>
      </w:r>
      <w:r w:rsidR="00DE1B81">
        <w:rPr>
          <w:rFonts w:asciiTheme="minorHAnsi" w:hAnsiTheme="minorHAnsi" w:cstheme="minorHAnsi"/>
          <w:color w:val="212121"/>
          <w:sz w:val="20"/>
          <w:szCs w:val="20"/>
        </w:rPr>
        <w:t xml:space="preserve"> </w:t>
      </w:r>
      <w:r w:rsidR="00DE1B81" w:rsidRPr="00823AA1">
        <w:rPr>
          <w:rFonts w:asciiTheme="minorHAnsi" w:hAnsiTheme="minorHAnsi" w:cstheme="minorHAnsi"/>
          <w:color w:val="212121"/>
          <w:sz w:val="20"/>
          <w:szCs w:val="20"/>
        </w:rPr>
        <w:t>(</w:t>
      </w:r>
      <w:r w:rsidR="00823AA1" w:rsidRPr="00823AA1">
        <w:rPr>
          <w:rFonts w:asciiTheme="minorHAnsi" w:hAnsiTheme="minorHAnsi" w:cstheme="minorHAnsi"/>
          <w:color w:val="212121"/>
          <w:sz w:val="20"/>
          <w:szCs w:val="20"/>
        </w:rPr>
        <w:t>Ray</w:t>
      </w:r>
      <w:r w:rsidR="00823AA1">
        <w:rPr>
          <w:rFonts w:asciiTheme="minorHAnsi" w:hAnsiTheme="minorHAnsi" w:cstheme="minorHAnsi"/>
          <w:color w:val="212121"/>
          <w:sz w:val="20"/>
          <w:szCs w:val="20"/>
        </w:rPr>
        <w:t>-Coquard et al 2019</w:t>
      </w:r>
      <w:r w:rsidR="00603B65">
        <w:rPr>
          <w:rFonts w:asciiTheme="minorHAnsi" w:hAnsiTheme="minorHAnsi" w:cstheme="minorHAnsi"/>
          <w:color w:val="212121"/>
          <w:sz w:val="20"/>
          <w:szCs w:val="20"/>
        </w:rPr>
        <w:t>)</w:t>
      </w:r>
      <w:r w:rsidRPr="000817A3">
        <w:rPr>
          <w:rFonts w:asciiTheme="minorHAnsi" w:hAnsiTheme="minorHAnsi" w:cstheme="minorHAnsi"/>
          <w:color w:val="212121"/>
          <w:sz w:val="20"/>
          <w:szCs w:val="20"/>
        </w:rPr>
        <w:t xml:space="preserve"> is the first phase III trial to </w:t>
      </w:r>
      <w:r w:rsidR="00DE1B81">
        <w:rPr>
          <w:rFonts w:asciiTheme="minorHAnsi" w:hAnsiTheme="minorHAnsi" w:cstheme="minorHAnsi"/>
          <w:color w:val="212121"/>
          <w:sz w:val="20"/>
          <w:szCs w:val="20"/>
        </w:rPr>
        <w:t>investigate</w:t>
      </w:r>
      <w:r w:rsidRPr="000817A3">
        <w:rPr>
          <w:rFonts w:asciiTheme="minorHAnsi" w:hAnsiTheme="minorHAnsi" w:cstheme="minorHAnsi"/>
          <w:color w:val="212121"/>
          <w:sz w:val="20"/>
          <w:szCs w:val="20"/>
        </w:rPr>
        <w:t xml:space="preserve"> the efficacy and safety of a PARP inhibitor with bevacizumab as first-line maintenance therapy in patients with ovarian cancer with and without a BRCA mutation. This international, academic-led trial enrolled 806 patients with stage III/IV ovarian cancer and partial or complete response to standard platinum-based chemotherapy and bevacizumab. After completing first-line chemotherapy, patients were randomly allocated 2:1 to olaparib or placebo, both </w:t>
      </w:r>
      <w:r w:rsidR="00032E64">
        <w:rPr>
          <w:rFonts w:asciiTheme="minorHAnsi" w:hAnsiTheme="minorHAnsi" w:cstheme="minorHAnsi"/>
          <w:color w:val="212121"/>
          <w:sz w:val="20"/>
          <w:szCs w:val="20"/>
        </w:rPr>
        <w:t>in combination with b</w:t>
      </w:r>
      <w:r w:rsidRPr="000817A3">
        <w:rPr>
          <w:rFonts w:asciiTheme="minorHAnsi" w:hAnsiTheme="minorHAnsi" w:cstheme="minorHAnsi"/>
          <w:color w:val="212121"/>
          <w:sz w:val="20"/>
          <w:szCs w:val="20"/>
        </w:rPr>
        <w:t xml:space="preserve">evacizumab. </w:t>
      </w:r>
      <w:r w:rsidR="00032E64">
        <w:rPr>
          <w:rFonts w:asciiTheme="minorHAnsi" w:hAnsiTheme="minorHAnsi" w:cstheme="minorHAnsi"/>
          <w:color w:val="212121"/>
          <w:sz w:val="20"/>
          <w:szCs w:val="20"/>
        </w:rPr>
        <w:t>Patient’s</w:t>
      </w:r>
      <w:r w:rsidRPr="000817A3">
        <w:rPr>
          <w:rFonts w:asciiTheme="minorHAnsi" w:hAnsiTheme="minorHAnsi" w:cstheme="minorHAnsi"/>
          <w:color w:val="212121"/>
          <w:sz w:val="20"/>
          <w:szCs w:val="20"/>
        </w:rPr>
        <w:t xml:space="preserve"> received olaparib </w:t>
      </w:r>
      <w:r w:rsidR="00032E64">
        <w:rPr>
          <w:rFonts w:asciiTheme="minorHAnsi" w:hAnsiTheme="minorHAnsi" w:cstheme="minorHAnsi"/>
          <w:color w:val="212121"/>
          <w:sz w:val="20"/>
          <w:szCs w:val="20"/>
        </w:rPr>
        <w:t xml:space="preserve">(300 mg twice daily) </w:t>
      </w:r>
      <w:r w:rsidRPr="000817A3">
        <w:rPr>
          <w:rFonts w:asciiTheme="minorHAnsi" w:hAnsiTheme="minorHAnsi" w:cstheme="minorHAnsi"/>
          <w:color w:val="212121"/>
          <w:sz w:val="20"/>
          <w:szCs w:val="20"/>
        </w:rPr>
        <w:t>for up to 24 months and bevacizumab</w:t>
      </w:r>
      <w:r w:rsidR="00032E64">
        <w:rPr>
          <w:rFonts w:asciiTheme="minorHAnsi" w:hAnsiTheme="minorHAnsi" w:cstheme="minorHAnsi"/>
          <w:color w:val="212121"/>
          <w:sz w:val="20"/>
          <w:szCs w:val="20"/>
        </w:rPr>
        <w:t xml:space="preserve"> (15 mg/kg every 3 weeks)</w:t>
      </w:r>
      <w:r w:rsidRPr="000817A3">
        <w:rPr>
          <w:rFonts w:asciiTheme="minorHAnsi" w:hAnsiTheme="minorHAnsi" w:cstheme="minorHAnsi"/>
          <w:color w:val="212121"/>
          <w:sz w:val="20"/>
          <w:szCs w:val="20"/>
        </w:rPr>
        <w:t xml:space="preserve"> for 15 months in total. The primary outcome was investigator-assessed progression free survival.</w:t>
      </w:r>
    </w:p>
    <w:p w14:paraId="342C0180" w14:textId="77777777" w:rsidR="00024ADC" w:rsidRPr="000817A3" w:rsidRDefault="00024ADC" w:rsidP="000D1E44">
      <w:pPr>
        <w:pStyle w:val="NormalWeb"/>
        <w:shd w:val="clear" w:color="auto" w:fill="FFFFFF"/>
        <w:ind w:left="360"/>
        <w:rPr>
          <w:rFonts w:asciiTheme="minorHAnsi" w:hAnsiTheme="minorHAnsi" w:cstheme="minorHAnsi"/>
          <w:color w:val="212121"/>
          <w:sz w:val="20"/>
          <w:szCs w:val="20"/>
        </w:rPr>
      </w:pPr>
      <w:r w:rsidRPr="000817A3">
        <w:rPr>
          <w:rFonts w:asciiTheme="minorHAnsi" w:hAnsiTheme="minorHAnsi" w:cstheme="minorHAnsi"/>
          <w:color w:val="212121"/>
          <w:sz w:val="20"/>
          <w:szCs w:val="20"/>
        </w:rPr>
        <w:t>The median follow-up was 24 months in the olaparib arm and 22.7 months in the placebo arm. Median progression free survival was 22.1 months in the olaparib group and 16.6 months in the placebo group (hazard ratio 0.59; 95% confidence interval 0.49–0.72; p&lt;0.0001).</w:t>
      </w:r>
    </w:p>
    <w:p w14:paraId="72D5A2D1" w14:textId="4CAB4A20" w:rsidR="007C5837" w:rsidRDefault="00024ADC" w:rsidP="000D1E44">
      <w:pPr>
        <w:ind w:left="360"/>
        <w:rPr>
          <w:rFonts w:cstheme="minorHAnsi"/>
          <w:color w:val="212121"/>
          <w:szCs w:val="20"/>
          <w:shd w:val="clear" w:color="auto" w:fill="FFFFFF"/>
        </w:rPr>
      </w:pPr>
      <w:r w:rsidRPr="000817A3">
        <w:rPr>
          <w:rFonts w:cstheme="minorHAnsi"/>
          <w:color w:val="212121"/>
          <w:szCs w:val="20"/>
          <w:shd w:val="clear" w:color="auto" w:fill="FFFFFF"/>
        </w:rPr>
        <w:t>In prespecified subgroup analyses, the progression free survival benefit of olaparib + bevacizumab versus bevacizumab alone was even more pronounced in patients with a BRCA mutation and in those with homologous recombination deficiency (HRD), with hazard ratios of 0.31 and 0.33, respectively. Median progression free survival with olaparib + bevacizumab reached 37.2 months in patients with HRD including a BRCA mutation.</w:t>
      </w:r>
      <w:r w:rsidR="007C5837">
        <w:rPr>
          <w:rFonts w:cstheme="minorHAnsi"/>
          <w:color w:val="212121"/>
          <w:szCs w:val="20"/>
          <w:shd w:val="clear" w:color="auto" w:fill="FFFFFF"/>
        </w:rPr>
        <w:t xml:space="preserve"> </w:t>
      </w:r>
    </w:p>
    <w:p w14:paraId="5458D52C" w14:textId="5994C651" w:rsidR="00645BE0" w:rsidRDefault="007C5837" w:rsidP="00032E64">
      <w:pPr>
        <w:ind w:left="360"/>
        <w:rPr>
          <w:rFonts w:cstheme="minorHAnsi"/>
          <w:color w:val="212121"/>
          <w:szCs w:val="20"/>
          <w:shd w:val="clear" w:color="auto" w:fill="FFFFFF"/>
        </w:rPr>
      </w:pPr>
      <w:r>
        <w:rPr>
          <w:rFonts w:cstheme="minorHAnsi"/>
          <w:color w:val="212121"/>
          <w:szCs w:val="20"/>
          <w:shd w:val="clear" w:color="auto" w:fill="FFFFFF"/>
        </w:rPr>
        <w:t>These results supports adding olaparib to maintenance bevacizumab therapy improves progression-free survival for advanced ovarian cancer regardless of BRCA mutation.</w:t>
      </w:r>
    </w:p>
    <w:p w14:paraId="3B88ED37" w14:textId="5130C5ED" w:rsidR="002C08CE" w:rsidRPr="00C61D27" w:rsidRDefault="002C08CE" w:rsidP="003C5B95">
      <w:pPr>
        <w:ind w:left="360"/>
        <w:jc w:val="both"/>
        <w:rPr>
          <w:rFonts w:cstheme="minorHAnsi"/>
          <w:szCs w:val="20"/>
          <w:shd w:val="clear" w:color="auto" w:fill="FFFFFF"/>
        </w:rPr>
      </w:pPr>
      <w:r w:rsidRPr="00C61D27">
        <w:rPr>
          <w:rFonts w:cstheme="minorHAnsi"/>
          <w:szCs w:val="20"/>
          <w:shd w:val="clear" w:color="auto" w:fill="FFFFFF"/>
        </w:rPr>
        <w:t>Please note that the target population for the upcoming co-dependent MSAC/PBAC submission are those patients identified with HRD positive BRCA wildtype tumours which is a subgroup of the population covered in PAOLA1 study.</w:t>
      </w:r>
    </w:p>
    <w:p w14:paraId="074F6DFE" w14:textId="5BBFD77A" w:rsidR="00823AA1" w:rsidRPr="00012058" w:rsidRDefault="00823AA1" w:rsidP="00012058">
      <w:pPr>
        <w:ind w:left="360"/>
        <w:rPr>
          <w:szCs w:val="20"/>
        </w:rPr>
      </w:pPr>
      <w:r>
        <w:rPr>
          <w:rFonts w:cstheme="minorHAnsi"/>
          <w:color w:val="212121"/>
          <w:szCs w:val="20"/>
          <w:shd w:val="clear" w:color="auto" w:fill="FFFFFF"/>
        </w:rPr>
        <w:fldChar w:fldCharType="begin"/>
      </w:r>
      <w:r>
        <w:rPr>
          <w:rFonts w:cstheme="minorHAnsi"/>
          <w:color w:val="212121"/>
          <w:szCs w:val="20"/>
          <w:shd w:val="clear" w:color="auto" w:fill="FFFFFF"/>
        </w:rPr>
        <w:instrText xml:space="preserve"> REF _Ref55209555 \h </w:instrText>
      </w:r>
      <w:r>
        <w:rPr>
          <w:rFonts w:cstheme="minorHAnsi"/>
          <w:color w:val="212121"/>
          <w:szCs w:val="20"/>
          <w:shd w:val="clear" w:color="auto" w:fill="FFFFFF"/>
        </w:rPr>
      </w:r>
      <w:r>
        <w:rPr>
          <w:rFonts w:cstheme="minorHAnsi"/>
          <w:color w:val="212121"/>
          <w:szCs w:val="20"/>
          <w:shd w:val="clear" w:color="auto" w:fill="FFFFFF"/>
        </w:rPr>
        <w:fldChar w:fldCharType="separate"/>
      </w:r>
      <w:r w:rsidR="00EA35EE" w:rsidRPr="00823AA1">
        <w:rPr>
          <w:szCs w:val="20"/>
        </w:rPr>
        <w:t xml:space="preserve">Figure </w:t>
      </w:r>
      <w:r w:rsidR="00EA35EE">
        <w:rPr>
          <w:noProof/>
          <w:szCs w:val="20"/>
        </w:rPr>
        <w:t>5</w:t>
      </w:r>
      <w:r>
        <w:rPr>
          <w:rFonts w:cstheme="minorHAnsi"/>
          <w:color w:val="212121"/>
          <w:szCs w:val="20"/>
          <w:shd w:val="clear" w:color="auto" w:fill="FFFFFF"/>
        </w:rPr>
        <w:fldChar w:fldCharType="end"/>
      </w:r>
      <w:r>
        <w:rPr>
          <w:rFonts w:cstheme="minorHAnsi"/>
          <w:color w:val="212121"/>
          <w:szCs w:val="20"/>
          <w:shd w:val="clear" w:color="auto" w:fill="FFFFFF"/>
        </w:rPr>
        <w:t xml:space="preserve"> illustrates the </w:t>
      </w:r>
      <w:r>
        <w:rPr>
          <w:szCs w:val="20"/>
        </w:rPr>
        <w:t xml:space="preserve">proposed future clinical management pathway for patients after they have received tumour HRD testing. </w:t>
      </w:r>
    </w:p>
    <w:p w14:paraId="735FFDE4" w14:textId="77777777" w:rsidR="00424314" w:rsidRDefault="00424314" w:rsidP="00424314">
      <w:pPr>
        <w:pStyle w:val="Caption"/>
      </w:pPr>
    </w:p>
    <w:p w14:paraId="638E1A8F" w14:textId="78BA2830" w:rsidR="00424314" w:rsidRPr="0013630B" w:rsidRDefault="00424314" w:rsidP="00424314">
      <w:pPr>
        <w:pStyle w:val="Caption"/>
        <w:rPr>
          <w:b/>
          <w:color w:val="auto"/>
          <w:sz w:val="20"/>
          <w:szCs w:val="20"/>
        </w:rPr>
      </w:pPr>
      <w:bookmarkStart w:id="13" w:name="_Ref55209555"/>
      <w:r w:rsidRPr="0013630B">
        <w:rPr>
          <w:color w:val="auto"/>
          <w:sz w:val="20"/>
          <w:szCs w:val="20"/>
        </w:rPr>
        <w:t xml:space="preserve">Figure </w:t>
      </w:r>
      <w:r w:rsidR="006D01BE" w:rsidRPr="0013630B">
        <w:rPr>
          <w:color w:val="auto"/>
          <w:sz w:val="20"/>
          <w:szCs w:val="20"/>
        </w:rPr>
        <w:fldChar w:fldCharType="begin"/>
      </w:r>
      <w:r w:rsidR="006D01BE" w:rsidRPr="0013630B">
        <w:rPr>
          <w:color w:val="auto"/>
          <w:sz w:val="20"/>
          <w:szCs w:val="20"/>
        </w:rPr>
        <w:instrText xml:space="preserve"> SEQ Figure \* ARABIC </w:instrText>
      </w:r>
      <w:r w:rsidR="006D01BE" w:rsidRPr="0013630B">
        <w:rPr>
          <w:color w:val="auto"/>
          <w:sz w:val="20"/>
          <w:szCs w:val="20"/>
        </w:rPr>
        <w:fldChar w:fldCharType="separate"/>
      </w:r>
      <w:r w:rsidR="00EA35EE" w:rsidRPr="0013630B">
        <w:rPr>
          <w:noProof/>
          <w:color w:val="auto"/>
          <w:sz w:val="20"/>
          <w:szCs w:val="20"/>
        </w:rPr>
        <w:t>5</w:t>
      </w:r>
      <w:r w:rsidR="006D01BE" w:rsidRPr="0013630B">
        <w:rPr>
          <w:noProof/>
          <w:color w:val="auto"/>
          <w:sz w:val="20"/>
          <w:szCs w:val="20"/>
        </w:rPr>
        <w:fldChar w:fldCharType="end"/>
      </w:r>
      <w:bookmarkEnd w:id="13"/>
      <w:r w:rsidRPr="0013630B">
        <w:rPr>
          <w:color w:val="auto"/>
          <w:sz w:val="20"/>
          <w:szCs w:val="20"/>
        </w:rPr>
        <w:t xml:space="preserve"> Clinical treatment pathway with proposed medical service - HRD test </w:t>
      </w:r>
      <w:r w:rsidR="00E53E1C" w:rsidRPr="0013630B">
        <w:rPr>
          <w:color w:val="auto"/>
          <w:sz w:val="20"/>
          <w:szCs w:val="20"/>
        </w:rPr>
        <w:t>(includes BRCA</w:t>
      </w:r>
      <w:r w:rsidR="00012058" w:rsidRPr="0013630B">
        <w:rPr>
          <w:color w:val="auto"/>
          <w:sz w:val="20"/>
          <w:szCs w:val="20"/>
        </w:rPr>
        <w:t xml:space="preserve"> </w:t>
      </w:r>
      <w:r w:rsidR="002B7FA5" w:rsidRPr="0013630B">
        <w:rPr>
          <w:color w:val="auto"/>
          <w:sz w:val="20"/>
          <w:szCs w:val="20"/>
        </w:rPr>
        <w:t xml:space="preserve"> and GIS </w:t>
      </w:r>
      <w:r w:rsidR="00012058" w:rsidRPr="0013630B">
        <w:rPr>
          <w:color w:val="auto"/>
          <w:sz w:val="20"/>
          <w:szCs w:val="20"/>
        </w:rPr>
        <w:t>status</w:t>
      </w:r>
      <w:r w:rsidR="00E53E1C" w:rsidRPr="0013630B">
        <w:rPr>
          <w:color w:val="auto"/>
          <w:sz w:val="20"/>
          <w:szCs w:val="20"/>
        </w:rPr>
        <w:t>)</w:t>
      </w:r>
      <w:r w:rsidR="002B7FA5" w:rsidRPr="0013630B">
        <w:rPr>
          <w:color w:val="auto"/>
          <w:sz w:val="20"/>
          <w:szCs w:val="20"/>
        </w:rPr>
        <w:t xml:space="preserve"> – updated</w:t>
      </w:r>
    </w:p>
    <w:p w14:paraId="030D1E7F" w14:textId="566F3D69" w:rsidR="00424314" w:rsidRDefault="00C61D27" w:rsidP="00881F93">
      <w:r w:rsidRPr="004927E2">
        <w:object w:dxaOrig="11171" w:dyaOrig="7551" w14:anchorId="52E26028">
          <v:shape id="_x0000_i1026" type="#_x0000_t75" alt="Picture" style="width:6in;height:296.25pt" o:ole="">
            <v:imagedata r:id="rId40" o:title=""/>
          </v:shape>
          <o:OLEObject Type="Embed" ProgID="Visio.Drawing.15" ShapeID="_x0000_i1026" DrawAspect="Content" ObjectID="_1705395282" r:id="rId41"/>
        </w:object>
      </w:r>
    </w:p>
    <w:p w14:paraId="20E2E118" w14:textId="77777777" w:rsidR="00424314" w:rsidRDefault="00424314" w:rsidP="00881F93"/>
    <w:p w14:paraId="3AE20AC5" w14:textId="46D08EE3" w:rsidR="00424314" w:rsidRDefault="00424314" w:rsidP="00424314">
      <w:pPr>
        <w:rPr>
          <w:rFonts w:ascii="Arial Narrow" w:hAnsi="Arial Narrow"/>
          <w:sz w:val="18"/>
          <w:szCs w:val="18"/>
          <w:lang w:val="en-GB" w:eastAsia="ja-JP"/>
        </w:rPr>
      </w:pPr>
      <w:r>
        <w:rPr>
          <w:rFonts w:ascii="Arial Narrow" w:hAnsi="Arial Narrow"/>
          <w:sz w:val="18"/>
          <w:szCs w:val="18"/>
          <w:lang w:val="en-GB" w:eastAsia="ja-JP"/>
        </w:rPr>
        <w:t xml:space="preserve">Abbreviations: </w:t>
      </w:r>
      <w:r w:rsidRPr="00550056">
        <w:rPr>
          <w:rFonts w:ascii="Arial Narrow" w:hAnsi="Arial Narrow"/>
          <w:sz w:val="18"/>
          <w:szCs w:val="18"/>
          <w:lang w:val="en-GB" w:eastAsia="ja-JP"/>
        </w:rPr>
        <w:t>FIGO = the International Federation of Gynaecology and Obstetrics; gBRCAm = germline BRCA1 or BRCA2 mutation</w:t>
      </w:r>
      <w:r>
        <w:rPr>
          <w:rFonts w:ascii="Arial Narrow" w:hAnsi="Arial Narrow"/>
          <w:sz w:val="18"/>
          <w:szCs w:val="18"/>
          <w:lang w:val="en-GB" w:eastAsia="ja-JP"/>
        </w:rPr>
        <w:t>, HRD = homologous recombination deficiency</w:t>
      </w:r>
    </w:p>
    <w:p w14:paraId="763DF3C5" w14:textId="3852E6A6" w:rsidR="002B7FA5" w:rsidRPr="00C61D27" w:rsidRDefault="002B7FA5" w:rsidP="002B7FA5">
      <w:pPr>
        <w:spacing w:after="240"/>
        <w:rPr>
          <w:rFonts w:ascii="Arial Narrow" w:hAnsi="Arial Narrow"/>
          <w:sz w:val="18"/>
          <w:szCs w:val="18"/>
          <w:lang w:val="en-GB" w:eastAsia="ja-JP"/>
        </w:rPr>
      </w:pPr>
      <w:r w:rsidRPr="00C61D27">
        <w:rPr>
          <w:rFonts w:ascii="Arial Narrow" w:hAnsi="Arial Narrow"/>
          <w:sz w:val="18"/>
          <w:szCs w:val="18"/>
          <w:lang w:val="en-GB" w:eastAsia="ja-JP"/>
        </w:rPr>
        <w:t xml:space="preserve">Note: </w:t>
      </w:r>
      <w:r w:rsidRPr="00C61D27">
        <w:rPr>
          <w:rFonts w:ascii="Arial Narrow" w:hAnsi="Arial Narrow"/>
          <w:i/>
          <w:iCs/>
          <w:sz w:val="18"/>
          <w:szCs w:val="18"/>
          <w:lang w:val="en-GB" w:eastAsia="ja-JP"/>
        </w:rPr>
        <w:t>BRCA</w:t>
      </w:r>
      <w:r w:rsidRPr="00C61D27">
        <w:rPr>
          <w:rFonts w:ascii="Arial Narrow" w:hAnsi="Arial Narrow"/>
          <w:sz w:val="18"/>
          <w:szCs w:val="18"/>
          <w:lang w:val="en-GB" w:eastAsia="ja-JP"/>
        </w:rPr>
        <w:t xml:space="preserve">m negative is the same as </w:t>
      </w:r>
      <w:r w:rsidRPr="00C61D27">
        <w:rPr>
          <w:rFonts w:ascii="Arial Narrow" w:hAnsi="Arial Narrow"/>
          <w:i/>
          <w:iCs/>
          <w:sz w:val="18"/>
          <w:szCs w:val="18"/>
          <w:lang w:val="en-GB" w:eastAsia="ja-JP"/>
        </w:rPr>
        <w:t>BRCA</w:t>
      </w:r>
      <w:r w:rsidRPr="00C61D27">
        <w:rPr>
          <w:rFonts w:ascii="Arial Narrow" w:hAnsi="Arial Narrow"/>
          <w:sz w:val="18"/>
          <w:szCs w:val="18"/>
          <w:lang w:val="en-GB" w:eastAsia="ja-JP"/>
        </w:rPr>
        <w:t>wt</w:t>
      </w:r>
      <w:r w:rsidR="00861D1B" w:rsidRPr="00C61D27">
        <w:rPr>
          <w:rFonts w:ascii="Arial Narrow" w:hAnsi="Arial Narrow"/>
          <w:sz w:val="18"/>
          <w:szCs w:val="18"/>
          <w:lang w:val="en-GB" w:eastAsia="ja-JP"/>
        </w:rPr>
        <w:t>, * olaparib + bevacizumab anticipated to be used in the majority of HRD+BRCAwt patients based on the PAOAL1 trial results however, a small proportion of patients may use bevacizumab monotherapy or ‘watch and wait’.</w:t>
      </w:r>
    </w:p>
    <w:p w14:paraId="7F92A596" w14:textId="099FA28A" w:rsidR="001B29A1" w:rsidRDefault="001B29A1" w:rsidP="00881F93">
      <w:pPr>
        <w:rPr>
          <w:b/>
          <w:i/>
          <w:szCs w:val="20"/>
          <w:u w:val="single"/>
        </w:rPr>
      </w:pPr>
      <w:r>
        <w:rPr>
          <w:b/>
          <w:i/>
          <w:szCs w:val="20"/>
          <w:u w:val="single"/>
        </w:rPr>
        <w:br w:type="page"/>
      </w:r>
    </w:p>
    <w:p w14:paraId="37E76E3E" w14:textId="77777777" w:rsidR="00DF0D47" w:rsidRPr="00881F93" w:rsidRDefault="005C3AE7" w:rsidP="00C61D27">
      <w:pPr>
        <w:pStyle w:val="Subtitle"/>
        <w:ind w:left="0"/>
      </w:pPr>
      <w:r>
        <w:t xml:space="preserve">PART 6d – </w:t>
      </w:r>
      <w:r w:rsidR="00DF0D47" w:rsidRPr="00881F93">
        <w:t xml:space="preserve">INFORMATION ABOUT THE </w:t>
      </w:r>
      <w:r w:rsidR="00CF5AD8" w:rsidRPr="00881F93">
        <w:t xml:space="preserve">CLINICAL </w:t>
      </w:r>
      <w:r w:rsidR="00DF0D47" w:rsidRPr="00881F93">
        <w:t>OUTCOME</w:t>
      </w:r>
    </w:p>
    <w:p w14:paraId="447D1904" w14:textId="77777777" w:rsidR="004E3CC7" w:rsidRPr="001B29A1" w:rsidRDefault="004E3CC7" w:rsidP="00530204">
      <w:pPr>
        <w:pStyle w:val="Heading2"/>
      </w:pPr>
      <w:r w:rsidRPr="001B29A1">
        <w:t xml:space="preserve">Summarise </w:t>
      </w:r>
      <w:r w:rsidRPr="004B7252">
        <w:t>the clinical claims for</w:t>
      </w:r>
      <w:r w:rsidRPr="001B29A1">
        <w:t xml:space="preserve">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33F476DD" w14:textId="5ABCB4B1" w:rsidR="004E3CC7" w:rsidRPr="00154B00" w:rsidRDefault="004E3CC7" w:rsidP="008825C7">
      <w:pPr>
        <w:pStyle w:val="ListParagraph"/>
        <w:ind w:left="426"/>
      </w:pPr>
      <w:r w:rsidRPr="00154B00">
        <w:t xml:space="preserve">Please advise if the </w:t>
      </w:r>
      <w:r w:rsidR="00CF5AD8" w:rsidRPr="00092580">
        <w:t>overall</w:t>
      </w:r>
      <w:r w:rsidR="00CF5AD8">
        <w:t xml:space="preserve"> </w:t>
      </w:r>
      <w:r w:rsidRPr="00154B00">
        <w:t>clinical claim is for:</w:t>
      </w:r>
    </w:p>
    <w:p w14:paraId="4480C3C4" w14:textId="581A2C55" w:rsidR="001B29A1" w:rsidRPr="001B29A1" w:rsidRDefault="00B745A5"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1AE31AFC" w14:textId="49DDEAAC" w:rsidR="004E3CC7" w:rsidRDefault="00123375"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61D27">
        <w:rPr>
          <w:szCs w:val="20"/>
        </w:rPr>
      </w:r>
      <w:r w:rsidR="00C61D27">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6180AB8A" w14:textId="5B53E218" w:rsidR="000D1E44" w:rsidRPr="000D1E44" w:rsidRDefault="000D1E44" w:rsidP="000D1E44">
      <w:pPr>
        <w:ind w:left="426"/>
      </w:pPr>
      <w:r w:rsidRPr="00C61D27">
        <w:t xml:space="preserve">Overall, the clinical claim is that the proposed co-dependent technologies; HRD testing, and treatment with </w:t>
      </w:r>
      <w:proofErr w:type="spellStart"/>
      <w:r w:rsidRPr="00C61D27">
        <w:t>olaparib</w:t>
      </w:r>
      <w:proofErr w:type="spellEnd"/>
      <w:r w:rsidRPr="00C61D27">
        <w:t xml:space="preserve"> plus bevacizumab as maintenance therapy following a response to platinum-based chemotherapy, in HGSOC patients who test HRD positive </w:t>
      </w:r>
      <w:proofErr w:type="spellStart"/>
      <w:r w:rsidRPr="00C61D27">
        <w:rPr>
          <w:i/>
          <w:iCs/>
        </w:rPr>
        <w:t>BRCA</w:t>
      </w:r>
      <w:r w:rsidRPr="00C61D27">
        <w:t>wt</w:t>
      </w:r>
      <w:proofErr w:type="spellEnd"/>
      <w:r w:rsidRPr="00C61D27">
        <w:t xml:space="preserve"> is superior to tumour </w:t>
      </w:r>
      <w:r w:rsidRPr="00C61D27">
        <w:rPr>
          <w:i/>
          <w:iCs/>
        </w:rPr>
        <w:t>BRCA</w:t>
      </w:r>
      <w:r w:rsidRPr="00C61D27">
        <w:t xml:space="preserve"> testing and standard of care (i.e., placebo plus bevacizumab) in terms of efficacy and non-inferior in terms of safety with manageable adverse events.</w:t>
      </w:r>
    </w:p>
    <w:p w14:paraId="41773AD1" w14:textId="4F129F92" w:rsidR="00841E13" w:rsidRDefault="001B29A1" w:rsidP="00841E13">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188072F1" w14:textId="5E2C0B39" w:rsidR="0013630B" w:rsidRPr="00C61D27" w:rsidRDefault="0013630B" w:rsidP="0013630B">
      <w:r w:rsidRPr="00C61D27">
        <w:t xml:space="preserve">The below table is from the PASC ratified minutes and outcomes </w:t>
      </w:r>
      <w:r w:rsidR="00987985" w:rsidRPr="00C61D27">
        <w:t xml:space="preserve"> from the PASC meeting in April 2021.</w:t>
      </w:r>
    </w:p>
    <w:p w14:paraId="265BF4D9" w14:textId="64419AB5" w:rsidR="00841E13" w:rsidRPr="00C61D27" w:rsidRDefault="00841E13" w:rsidP="00841E13">
      <w:pPr>
        <w:pBdr>
          <w:top w:val="single" w:sz="4" w:space="1" w:color="auto"/>
          <w:left w:val="single" w:sz="4" w:space="4" w:color="auto"/>
          <w:bottom w:val="single" w:sz="4" w:space="1" w:color="auto"/>
          <w:right w:val="single" w:sz="4" w:space="4" w:color="auto"/>
        </w:pBdr>
        <w:rPr>
          <w:b/>
          <w:bCs/>
        </w:rPr>
      </w:pPr>
      <w:r w:rsidRPr="00C61D27">
        <w:rPr>
          <w:b/>
          <w:bCs/>
        </w:rPr>
        <w:t>Safety Outcomes:</w:t>
      </w:r>
    </w:p>
    <w:p w14:paraId="30CCFDF4" w14:textId="77777777" w:rsidR="00841E13" w:rsidRPr="00C61D27" w:rsidRDefault="00841E13" w:rsidP="00CD7245">
      <w:pPr>
        <w:pStyle w:val="ListParagraph"/>
        <w:numPr>
          <w:ilvl w:val="0"/>
          <w:numId w:val="27"/>
        </w:numPr>
        <w:pBdr>
          <w:top w:val="single" w:sz="4" w:space="1" w:color="auto"/>
          <w:left w:val="single" w:sz="4" w:space="4" w:color="auto"/>
          <w:bottom w:val="single" w:sz="4" w:space="1" w:color="auto"/>
          <w:right w:val="single" w:sz="4" w:space="4" w:color="auto"/>
        </w:pBdr>
        <w:spacing w:before="0" w:after="0"/>
      </w:pPr>
      <w:r w:rsidRPr="00C61D27">
        <w:t>physical and/or psychological harms from testing or no testing, adverse events from testing</w:t>
      </w:r>
    </w:p>
    <w:p w14:paraId="43373A4E" w14:textId="77777777" w:rsidR="00841E13" w:rsidRPr="00C61D27" w:rsidRDefault="00841E13" w:rsidP="00CD7245">
      <w:pPr>
        <w:pStyle w:val="ListParagraph"/>
        <w:numPr>
          <w:ilvl w:val="0"/>
          <w:numId w:val="25"/>
        </w:numPr>
        <w:pBdr>
          <w:top w:val="single" w:sz="4" w:space="1" w:color="auto"/>
          <w:left w:val="single" w:sz="4" w:space="4" w:color="auto"/>
          <w:bottom w:val="single" w:sz="4" w:space="1" w:color="auto"/>
          <w:right w:val="single" w:sz="4" w:space="4" w:color="auto"/>
        </w:pBdr>
        <w:spacing w:before="0" w:after="0"/>
      </w:pPr>
      <w:r w:rsidRPr="00C61D27">
        <w:t>adverse events associated with biopsy/re-biopsy for patients with inadequate tissue</w:t>
      </w:r>
    </w:p>
    <w:p w14:paraId="38C492CF" w14:textId="77777777" w:rsidR="00841E13" w:rsidRPr="00C61D27" w:rsidRDefault="00841E13" w:rsidP="00841E13">
      <w:pPr>
        <w:pBdr>
          <w:top w:val="single" w:sz="4" w:space="1" w:color="auto"/>
          <w:left w:val="single" w:sz="4" w:space="4" w:color="auto"/>
          <w:bottom w:val="single" w:sz="4" w:space="1" w:color="auto"/>
          <w:right w:val="single" w:sz="4" w:space="4" w:color="auto"/>
        </w:pBdr>
        <w:rPr>
          <w:b/>
          <w:bCs/>
        </w:rPr>
      </w:pPr>
      <w:r w:rsidRPr="00C61D27">
        <w:rPr>
          <w:b/>
          <w:bCs/>
        </w:rPr>
        <w:t>Analytical validity:</w:t>
      </w:r>
    </w:p>
    <w:p w14:paraId="6840EC2F" w14:textId="77777777" w:rsidR="00841E13" w:rsidRPr="00C61D27" w:rsidRDefault="00841E13" w:rsidP="00CD7245">
      <w:pPr>
        <w:pStyle w:val="ListParagraph"/>
        <w:numPr>
          <w:ilvl w:val="0"/>
          <w:numId w:val="24"/>
        </w:numPr>
        <w:pBdr>
          <w:top w:val="single" w:sz="4" w:space="1" w:color="auto"/>
          <w:left w:val="single" w:sz="4" w:space="4" w:color="auto"/>
          <w:bottom w:val="single" w:sz="4" w:space="1" w:color="auto"/>
          <w:right w:val="single" w:sz="4" w:space="4" w:color="auto"/>
        </w:pBdr>
        <w:spacing w:before="0" w:after="0"/>
      </w:pPr>
      <w:r w:rsidRPr="00C61D27">
        <w:t>test failure rate</w:t>
      </w:r>
    </w:p>
    <w:p w14:paraId="1DB1B0E0" w14:textId="77777777" w:rsidR="00841E13" w:rsidRPr="00C61D27" w:rsidRDefault="00841E13" w:rsidP="00CD7245">
      <w:pPr>
        <w:pStyle w:val="ListParagraph"/>
        <w:numPr>
          <w:ilvl w:val="0"/>
          <w:numId w:val="24"/>
        </w:numPr>
        <w:pBdr>
          <w:top w:val="single" w:sz="4" w:space="1" w:color="auto"/>
          <w:left w:val="single" w:sz="4" w:space="4" w:color="auto"/>
          <w:bottom w:val="single" w:sz="4" w:space="1" w:color="auto"/>
          <w:right w:val="single" w:sz="4" w:space="4" w:color="auto"/>
        </w:pBdr>
        <w:spacing w:before="0" w:after="0"/>
      </w:pPr>
      <w:r w:rsidRPr="00C61D27">
        <w:t>sensitivity and specificity of test and of the test compared to the evidentiary standard used in the PAOLA-1 trial</w:t>
      </w:r>
    </w:p>
    <w:p w14:paraId="44DB4722" w14:textId="77777777" w:rsidR="00841E13" w:rsidRPr="00C61D27" w:rsidRDefault="00841E13" w:rsidP="00CD7245">
      <w:pPr>
        <w:pStyle w:val="ListParagraph"/>
        <w:numPr>
          <w:ilvl w:val="0"/>
          <w:numId w:val="24"/>
        </w:numPr>
        <w:pBdr>
          <w:top w:val="single" w:sz="4" w:space="1" w:color="auto"/>
          <w:left w:val="single" w:sz="4" w:space="4" w:color="auto"/>
          <w:bottom w:val="single" w:sz="4" w:space="1" w:color="auto"/>
          <w:right w:val="single" w:sz="4" w:space="4" w:color="auto"/>
        </w:pBdr>
        <w:spacing w:before="0" w:after="0"/>
      </w:pPr>
      <w:r w:rsidRPr="00C61D27">
        <w:t>unsatisfactory or uninterpretable results</w:t>
      </w:r>
    </w:p>
    <w:p w14:paraId="2B44C150" w14:textId="77777777" w:rsidR="00841E13" w:rsidRPr="00C61D27" w:rsidRDefault="00841E13" w:rsidP="00CD7245">
      <w:pPr>
        <w:pStyle w:val="ListParagraph"/>
        <w:numPr>
          <w:ilvl w:val="0"/>
          <w:numId w:val="24"/>
        </w:numPr>
        <w:pBdr>
          <w:top w:val="single" w:sz="4" w:space="1" w:color="auto"/>
          <w:left w:val="single" w:sz="4" w:space="4" w:color="auto"/>
          <w:bottom w:val="single" w:sz="4" w:space="1" w:color="auto"/>
          <w:right w:val="single" w:sz="4" w:space="4" w:color="auto"/>
        </w:pBdr>
        <w:spacing w:before="0" w:after="0"/>
      </w:pPr>
      <w:r w:rsidRPr="00C61D27">
        <w:t>diagnostic yield</w:t>
      </w:r>
    </w:p>
    <w:p w14:paraId="5C2A0555" w14:textId="19B6B3C1" w:rsidR="00841E13" w:rsidRPr="00C61D27" w:rsidRDefault="00841E13" w:rsidP="00CD7245">
      <w:pPr>
        <w:pStyle w:val="ListParagraph"/>
        <w:numPr>
          <w:ilvl w:val="0"/>
          <w:numId w:val="24"/>
        </w:numPr>
        <w:pBdr>
          <w:top w:val="single" w:sz="4" w:space="1" w:color="auto"/>
          <w:left w:val="single" w:sz="4" w:space="4" w:color="auto"/>
          <w:bottom w:val="single" w:sz="4" w:space="1" w:color="auto"/>
          <w:right w:val="single" w:sz="4" w:space="4" w:color="auto"/>
        </w:pBdr>
        <w:spacing w:before="0" w:after="0"/>
      </w:pPr>
      <w:r w:rsidRPr="00C61D27">
        <w:t>concordance with tumour-based somatic and blood-based germline BRCA1/2 testing methods and other tumour tissue BRCA1/2 test methods</w:t>
      </w:r>
    </w:p>
    <w:p w14:paraId="531B70B5" w14:textId="77777777" w:rsidR="00841E13" w:rsidRPr="00C61D27" w:rsidRDefault="00841E13" w:rsidP="00841E13">
      <w:pPr>
        <w:pBdr>
          <w:top w:val="single" w:sz="4" w:space="1" w:color="auto"/>
          <w:left w:val="single" w:sz="4" w:space="4" w:color="auto"/>
          <w:bottom w:val="single" w:sz="4" w:space="1" w:color="auto"/>
          <w:right w:val="single" w:sz="4" w:space="4" w:color="auto"/>
        </w:pBdr>
      </w:pPr>
      <w:r w:rsidRPr="00C61D27">
        <w:t>Clinical validity – differential prognostic effect of being HRD positive (with no BRCA pathogenic variant) or not, in patients with advanced (FIGO Stage III-IV) high-grade epithelial ovarian, fallopian tube or primary peritoneal cancer</w:t>
      </w:r>
    </w:p>
    <w:p w14:paraId="5EBFBFFF" w14:textId="77777777" w:rsidR="00841E13" w:rsidRPr="00C61D27" w:rsidRDefault="00841E13" w:rsidP="00841E13">
      <w:pPr>
        <w:pBdr>
          <w:top w:val="single" w:sz="4" w:space="1" w:color="auto"/>
          <w:left w:val="single" w:sz="4" w:space="4" w:color="auto"/>
          <w:bottom w:val="single" w:sz="4" w:space="1" w:color="auto"/>
          <w:right w:val="single" w:sz="4" w:space="4" w:color="auto"/>
        </w:pBdr>
      </w:pPr>
      <w:r w:rsidRPr="00C61D27">
        <w:t>Clinical utility – treatment effect modification of olaparib in patients with advanced (FIGO Stage III-IV) high-grade epithelial ovarian, fallopian tube or primary peritoneal cancer</w:t>
      </w:r>
    </w:p>
    <w:p w14:paraId="7D357738" w14:textId="77777777" w:rsidR="00841E13" w:rsidRPr="00C61D27" w:rsidRDefault="00841E13" w:rsidP="00841E13">
      <w:pPr>
        <w:pBdr>
          <w:top w:val="single" w:sz="4" w:space="1" w:color="auto"/>
          <w:left w:val="single" w:sz="4" w:space="4" w:color="auto"/>
          <w:bottom w:val="single" w:sz="4" w:space="1" w:color="auto"/>
          <w:right w:val="single" w:sz="4" w:space="4" w:color="auto"/>
        </w:pBdr>
        <w:rPr>
          <w:b/>
          <w:bCs/>
        </w:rPr>
      </w:pPr>
      <w:r w:rsidRPr="00C61D27">
        <w:rPr>
          <w:b/>
          <w:bCs/>
        </w:rPr>
        <w:t>Effectiveness (primary outcomes)</w:t>
      </w:r>
    </w:p>
    <w:p w14:paraId="072B9A88" w14:textId="77777777" w:rsidR="00841E13" w:rsidRPr="00C61D27" w:rsidRDefault="00841E13" w:rsidP="00CD7245">
      <w:pPr>
        <w:pStyle w:val="ListParagraph"/>
        <w:numPr>
          <w:ilvl w:val="0"/>
          <w:numId w:val="26"/>
        </w:numPr>
        <w:pBdr>
          <w:top w:val="single" w:sz="4" w:space="1" w:color="auto"/>
          <w:left w:val="single" w:sz="4" w:space="4" w:color="auto"/>
          <w:bottom w:val="single" w:sz="4" w:space="1" w:color="auto"/>
          <w:right w:val="single" w:sz="4" w:space="4" w:color="auto"/>
        </w:pBdr>
        <w:spacing w:before="0" w:after="0"/>
      </w:pPr>
      <w:r w:rsidRPr="00C61D27">
        <w:t>health-related quality of life</w:t>
      </w:r>
    </w:p>
    <w:p w14:paraId="2ED3F833" w14:textId="77777777" w:rsidR="00841E13" w:rsidRPr="00C61D27" w:rsidRDefault="00841E13" w:rsidP="00CD7245">
      <w:pPr>
        <w:pStyle w:val="ListParagraph"/>
        <w:numPr>
          <w:ilvl w:val="0"/>
          <w:numId w:val="26"/>
        </w:numPr>
        <w:pBdr>
          <w:top w:val="single" w:sz="4" w:space="1" w:color="auto"/>
          <w:left w:val="single" w:sz="4" w:space="4" w:color="auto"/>
          <w:bottom w:val="single" w:sz="4" w:space="1" w:color="auto"/>
          <w:right w:val="single" w:sz="4" w:space="4" w:color="auto"/>
        </w:pBdr>
        <w:spacing w:before="0" w:after="0"/>
      </w:pPr>
      <w:r w:rsidRPr="00C61D27">
        <w:t>mortality</w:t>
      </w:r>
    </w:p>
    <w:p w14:paraId="14E57720" w14:textId="77777777" w:rsidR="00841E13" w:rsidRPr="00C61D27" w:rsidRDefault="00841E13" w:rsidP="00841E13">
      <w:pPr>
        <w:pBdr>
          <w:top w:val="single" w:sz="4" w:space="1" w:color="auto"/>
          <w:left w:val="single" w:sz="4" w:space="4" w:color="auto"/>
          <w:bottom w:val="single" w:sz="4" w:space="1" w:color="auto"/>
          <w:right w:val="single" w:sz="4" w:space="4" w:color="auto"/>
        </w:pBdr>
        <w:rPr>
          <w:b/>
          <w:bCs/>
        </w:rPr>
      </w:pPr>
      <w:r w:rsidRPr="00C61D27">
        <w:rPr>
          <w:b/>
          <w:bCs/>
        </w:rPr>
        <w:t>Other test-related considerations</w:t>
      </w:r>
    </w:p>
    <w:p w14:paraId="4217BBC0" w14:textId="77777777" w:rsidR="00841E13" w:rsidRPr="00C61D27" w:rsidRDefault="00841E13" w:rsidP="00CD7245">
      <w:pPr>
        <w:pStyle w:val="ListParagraph"/>
        <w:numPr>
          <w:ilvl w:val="0"/>
          <w:numId w:val="30"/>
        </w:numPr>
        <w:pBdr>
          <w:top w:val="single" w:sz="4" w:space="1" w:color="auto"/>
          <w:left w:val="single" w:sz="4" w:space="4" w:color="auto"/>
          <w:bottom w:val="single" w:sz="4" w:space="1" w:color="auto"/>
          <w:right w:val="single" w:sz="4" w:space="4" w:color="auto"/>
        </w:pBdr>
        <w:spacing w:before="0" w:after="0"/>
      </w:pPr>
      <w:r w:rsidRPr="00C61D27">
        <w:t>re-biopsy rates</w:t>
      </w:r>
    </w:p>
    <w:p w14:paraId="238A8646" w14:textId="77777777" w:rsidR="00841E13" w:rsidRPr="00C61D27" w:rsidRDefault="00841E13" w:rsidP="00CD7245">
      <w:pPr>
        <w:pStyle w:val="ListParagraph"/>
        <w:numPr>
          <w:ilvl w:val="0"/>
          <w:numId w:val="30"/>
        </w:numPr>
        <w:pBdr>
          <w:top w:val="single" w:sz="4" w:space="1" w:color="auto"/>
          <w:left w:val="single" w:sz="4" w:space="4" w:color="auto"/>
          <w:bottom w:val="single" w:sz="4" w:space="1" w:color="auto"/>
          <w:right w:val="single" w:sz="4" w:space="4" w:color="auto"/>
        </w:pBdr>
        <w:spacing w:before="0" w:after="0"/>
      </w:pPr>
      <w:r w:rsidRPr="00C61D27">
        <w:t>test turn-around time</w:t>
      </w:r>
    </w:p>
    <w:p w14:paraId="144DF6E3" w14:textId="77777777" w:rsidR="00841E13" w:rsidRPr="00C61D27" w:rsidRDefault="00841E13" w:rsidP="00841E13">
      <w:pPr>
        <w:pBdr>
          <w:top w:val="single" w:sz="4" w:space="1" w:color="auto"/>
          <w:left w:val="single" w:sz="4" w:space="4" w:color="auto"/>
          <w:bottom w:val="single" w:sz="4" w:space="1" w:color="auto"/>
          <w:right w:val="single" w:sz="4" w:space="4" w:color="auto"/>
        </w:pBdr>
        <w:rPr>
          <w:b/>
          <w:bCs/>
        </w:rPr>
      </w:pPr>
      <w:r w:rsidRPr="00C61D27">
        <w:rPr>
          <w:b/>
          <w:bCs/>
        </w:rPr>
        <w:t>Treatment-related outcomes</w:t>
      </w:r>
    </w:p>
    <w:p w14:paraId="0E051292" w14:textId="77777777" w:rsidR="00841E13" w:rsidRPr="00C61D27" w:rsidRDefault="00841E13" w:rsidP="00CD7245">
      <w:pPr>
        <w:pStyle w:val="ListParagraph"/>
        <w:numPr>
          <w:ilvl w:val="0"/>
          <w:numId w:val="28"/>
        </w:numPr>
        <w:pBdr>
          <w:top w:val="single" w:sz="4" w:space="1" w:color="auto"/>
          <w:left w:val="single" w:sz="4" w:space="4" w:color="auto"/>
          <w:bottom w:val="single" w:sz="4" w:space="1" w:color="auto"/>
          <w:right w:val="single" w:sz="4" w:space="4" w:color="auto"/>
        </w:pBdr>
        <w:spacing w:before="0" w:after="0"/>
      </w:pPr>
      <w:r w:rsidRPr="00C61D27">
        <w:t>overall survival</w:t>
      </w:r>
    </w:p>
    <w:p w14:paraId="73A6360A" w14:textId="77777777" w:rsidR="00841E13" w:rsidRPr="00C61D27" w:rsidRDefault="00841E13" w:rsidP="00CD7245">
      <w:pPr>
        <w:pStyle w:val="ListParagraph"/>
        <w:numPr>
          <w:ilvl w:val="0"/>
          <w:numId w:val="28"/>
        </w:numPr>
        <w:pBdr>
          <w:top w:val="single" w:sz="4" w:space="1" w:color="auto"/>
          <w:left w:val="single" w:sz="4" w:space="4" w:color="auto"/>
          <w:bottom w:val="single" w:sz="4" w:space="1" w:color="auto"/>
          <w:right w:val="single" w:sz="4" w:space="4" w:color="auto"/>
        </w:pBdr>
        <w:spacing w:before="0" w:after="0"/>
      </w:pPr>
      <w:r w:rsidRPr="00C61D27">
        <w:t>progression-free survival</w:t>
      </w:r>
    </w:p>
    <w:p w14:paraId="4A741704" w14:textId="77777777" w:rsidR="00841E13" w:rsidRPr="00C61D27" w:rsidRDefault="00841E13" w:rsidP="00CD7245">
      <w:pPr>
        <w:pStyle w:val="ListParagraph"/>
        <w:numPr>
          <w:ilvl w:val="0"/>
          <w:numId w:val="28"/>
        </w:numPr>
        <w:pBdr>
          <w:top w:val="single" w:sz="4" w:space="1" w:color="auto"/>
          <w:left w:val="single" w:sz="4" w:space="4" w:color="auto"/>
          <w:bottom w:val="single" w:sz="4" w:space="1" w:color="auto"/>
          <w:right w:val="single" w:sz="4" w:space="4" w:color="auto"/>
        </w:pBdr>
        <w:spacing w:before="0" w:after="0"/>
      </w:pPr>
      <w:r w:rsidRPr="00C61D27">
        <w:t>health-related quality of life</w:t>
      </w:r>
    </w:p>
    <w:p w14:paraId="62A3D82E" w14:textId="77777777" w:rsidR="00841E13" w:rsidRPr="00C61D27" w:rsidRDefault="00841E13" w:rsidP="00CD7245">
      <w:pPr>
        <w:pStyle w:val="ListParagraph"/>
        <w:numPr>
          <w:ilvl w:val="0"/>
          <w:numId w:val="28"/>
        </w:numPr>
        <w:pBdr>
          <w:top w:val="single" w:sz="4" w:space="1" w:color="auto"/>
          <w:left w:val="single" w:sz="4" w:space="4" w:color="auto"/>
          <w:bottom w:val="single" w:sz="4" w:space="1" w:color="auto"/>
          <w:right w:val="single" w:sz="4" w:space="4" w:color="auto"/>
        </w:pBdr>
        <w:spacing w:before="0" w:after="0"/>
      </w:pPr>
      <w:r w:rsidRPr="00C61D27">
        <w:t>adverse events</w:t>
      </w:r>
    </w:p>
    <w:p w14:paraId="42A953D9" w14:textId="77777777" w:rsidR="00841E13" w:rsidRPr="00C61D27" w:rsidRDefault="00841E13" w:rsidP="00841E13">
      <w:pPr>
        <w:pBdr>
          <w:top w:val="single" w:sz="4" w:space="1" w:color="auto"/>
          <w:left w:val="single" w:sz="4" w:space="4" w:color="auto"/>
          <w:bottom w:val="single" w:sz="4" w:space="1" w:color="auto"/>
          <w:right w:val="single" w:sz="4" w:space="4" w:color="auto"/>
        </w:pBdr>
        <w:rPr>
          <w:b/>
          <w:bCs/>
        </w:rPr>
      </w:pPr>
      <w:r w:rsidRPr="00C61D27">
        <w:rPr>
          <w:b/>
          <w:bCs/>
        </w:rPr>
        <w:t>Healthcare system outcomes</w:t>
      </w:r>
    </w:p>
    <w:p w14:paraId="721EB28B" w14:textId="77777777" w:rsidR="00841E13" w:rsidRPr="00C61D27" w:rsidRDefault="00841E13" w:rsidP="00987985">
      <w:pPr>
        <w:pStyle w:val="ListParagraph"/>
        <w:numPr>
          <w:ilvl w:val="0"/>
          <w:numId w:val="28"/>
        </w:numPr>
        <w:pBdr>
          <w:top w:val="single" w:sz="4" w:space="1" w:color="auto"/>
          <w:left w:val="single" w:sz="4" w:space="4" w:color="auto"/>
          <w:bottom w:val="single" w:sz="4" w:space="1" w:color="auto"/>
          <w:right w:val="single" w:sz="4" w:space="4" w:color="auto"/>
        </w:pBdr>
        <w:spacing w:before="0" w:after="0"/>
      </w:pPr>
      <w:r w:rsidRPr="00C61D27">
        <w:t>cost of testing per patient treated, cost-effectiveness of genetic testing</w:t>
      </w:r>
    </w:p>
    <w:p w14:paraId="3CA4C303" w14:textId="5E2CA765" w:rsidR="00DF429A" w:rsidRPr="00C61D27" w:rsidRDefault="00841E13" w:rsidP="00987985">
      <w:pPr>
        <w:pStyle w:val="ListParagraph"/>
        <w:numPr>
          <w:ilvl w:val="0"/>
          <w:numId w:val="28"/>
        </w:numPr>
        <w:pBdr>
          <w:top w:val="single" w:sz="4" w:space="1" w:color="auto"/>
          <w:left w:val="single" w:sz="4" w:space="4" w:color="auto"/>
          <w:bottom w:val="single" w:sz="4" w:space="1" w:color="auto"/>
          <w:right w:val="single" w:sz="4" w:space="4" w:color="auto"/>
        </w:pBdr>
        <w:spacing w:before="0" w:after="0"/>
        <w:rPr>
          <w:rFonts w:ascii="Arial Narrow" w:hAnsi="Arial Narrow"/>
          <w:szCs w:val="20"/>
        </w:rPr>
      </w:pPr>
      <w:r w:rsidRPr="00C61D27">
        <w:t>financial implications</w:t>
      </w:r>
    </w:p>
    <w:p w14:paraId="14951FE0" w14:textId="77777777" w:rsidR="00C776B1" w:rsidRPr="00C776B1" w:rsidRDefault="003433D1" w:rsidP="0056015F">
      <w:pPr>
        <w:pStyle w:val="Heading1"/>
      </w:pPr>
      <w:r>
        <w:rPr>
          <w:b/>
          <w:sz w:val="32"/>
        </w:rPr>
        <w:br w:type="page"/>
      </w:r>
      <w:r w:rsidR="005C3AE7">
        <w:t>PART 7</w:t>
      </w:r>
      <w:r w:rsidR="00F93784">
        <w:t xml:space="preserve"> – </w:t>
      </w:r>
      <w:r w:rsidR="006C74B1" w:rsidRPr="00C776B1">
        <w:t xml:space="preserve">INFORMATION ABOUT </w:t>
      </w:r>
      <w:r w:rsidR="0018630F" w:rsidRPr="00C776B1">
        <w:t xml:space="preserve">ESTIMATED </w:t>
      </w:r>
      <w:r w:rsidR="00974D50" w:rsidRPr="00C776B1">
        <w:t>UTILISATION</w:t>
      </w:r>
    </w:p>
    <w:p w14:paraId="37F48228" w14:textId="597288C6" w:rsidR="006C74B1"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346448A8" w14:textId="0D1DE2DB" w:rsidR="00C075C3" w:rsidRDefault="00C075C3" w:rsidP="00AE1188">
      <w:pPr>
        <w:ind w:left="426"/>
      </w:pPr>
      <w:r>
        <w:t>It is anticipated that</w:t>
      </w:r>
      <w:r w:rsidR="0043378F">
        <w:t xml:space="preserve"> </w:t>
      </w:r>
      <w:r>
        <w:t xml:space="preserve">HRD testing will be MBS funded in </w:t>
      </w:r>
      <w:r w:rsidR="000D1E44" w:rsidRPr="000D1E44">
        <w:rPr>
          <w:rFonts w:ascii="Calibri" w:hAnsi="Calibri"/>
          <w:b/>
          <w:sz w:val="22"/>
        </w:rPr>
        <w:t>REDACTED</w:t>
      </w:r>
      <w:r w:rsidR="00F579A2">
        <w:t>.</w:t>
      </w:r>
      <w:r>
        <w:t xml:space="preserve"> </w:t>
      </w:r>
      <w:r w:rsidR="00456825">
        <w:t>B</w:t>
      </w:r>
      <w:r>
        <w:t xml:space="preserve">ased on the Australian </w:t>
      </w:r>
      <w:r w:rsidR="00E83BCC">
        <w:t>Institute</w:t>
      </w:r>
      <w:r>
        <w:t xml:space="preserve"> of Health and Welfare</w:t>
      </w:r>
      <w:r w:rsidR="00E83BCC">
        <w:t xml:space="preserve"> </w:t>
      </w:r>
      <w:r>
        <w:t xml:space="preserve">projections the incidence of ovarian cancer in </w:t>
      </w:r>
      <w:r w:rsidR="000D1E44" w:rsidRPr="000D1E44">
        <w:rPr>
          <w:rFonts w:ascii="Calibri" w:hAnsi="Calibri"/>
          <w:b/>
          <w:sz w:val="22"/>
        </w:rPr>
        <w:t>REDACTED</w:t>
      </w:r>
      <w:r w:rsidR="00A44D4F">
        <w:t xml:space="preserve"> </w:t>
      </w:r>
      <w:r>
        <w:t xml:space="preserve">is estimated at 1,765 cases. Of </w:t>
      </w:r>
      <w:r w:rsidR="00456825">
        <w:t>these</w:t>
      </w:r>
      <w:r>
        <w:t xml:space="preserve"> new cases, approximately 84% are epithelial tumours only</w:t>
      </w:r>
      <w:r w:rsidR="00E83BCC">
        <w:t xml:space="preserve"> (AIHW </w:t>
      </w:r>
      <w:r w:rsidR="00C94842">
        <w:t>2010</w:t>
      </w:r>
      <w:r w:rsidR="00E83BCC">
        <w:t xml:space="preserve">) </w:t>
      </w:r>
      <w:r>
        <w:t>.</w:t>
      </w:r>
    </w:p>
    <w:p w14:paraId="4D2B26E5" w14:textId="7F7A051E" w:rsidR="00C075C3" w:rsidRPr="000D1E44" w:rsidRDefault="00C075C3" w:rsidP="00AE1188">
      <w:pPr>
        <w:ind w:left="426"/>
      </w:pPr>
      <w:r>
        <w:t xml:space="preserve">Based on Alsop et al 2012, </w:t>
      </w:r>
      <w:r w:rsidR="00440D76">
        <w:t>~</w:t>
      </w:r>
      <w:r>
        <w:t>70%</w:t>
      </w:r>
      <w:r w:rsidR="00440D76">
        <w:t xml:space="preserve"> of patients</w:t>
      </w:r>
      <w:r>
        <w:t xml:space="preserve"> are diagnosed at the advanced stage.</w:t>
      </w:r>
      <w:r w:rsidR="002D388A">
        <w:t xml:space="preserve"> It is assumed that 95% of patients will take up tumour testing, with the remaining 5% unable to provide a tumour tissue sample or </w:t>
      </w:r>
      <w:proofErr w:type="gramStart"/>
      <w:r w:rsidR="002D388A" w:rsidRPr="000D1E44">
        <w:t>poor quality</w:t>
      </w:r>
      <w:proofErr w:type="gramEnd"/>
      <w:r w:rsidR="002D388A" w:rsidRPr="000D1E44">
        <w:t xml:space="preserve"> sample.  The sponsor has assumed that all 95% of patients are eligibl</w:t>
      </w:r>
      <w:r w:rsidR="00C1445B" w:rsidRPr="000D1E44">
        <w:t>e  and take up</w:t>
      </w:r>
      <w:r w:rsidR="003651CD" w:rsidRPr="000D1E44">
        <w:t xml:space="preserve"> testing.</w:t>
      </w:r>
    </w:p>
    <w:p w14:paraId="6C88F7BB" w14:textId="34F9A136" w:rsidR="001C75A6" w:rsidRPr="000D1E44" w:rsidRDefault="001C75A6" w:rsidP="00AE1188">
      <w:pPr>
        <w:ind w:left="426"/>
        <w:rPr>
          <w:szCs w:val="20"/>
        </w:rPr>
      </w:pPr>
      <w:r w:rsidRPr="000D1E44">
        <w:t xml:space="preserve">In total it is estimated that approximately </w:t>
      </w:r>
      <w:r w:rsidR="003651CD" w:rsidRPr="000D1E44">
        <w:t>9</w:t>
      </w:r>
      <w:r w:rsidR="00C1445B" w:rsidRPr="000D1E44">
        <w:t>86</w:t>
      </w:r>
      <w:r w:rsidRPr="000D1E44">
        <w:t xml:space="preserve"> women will </w:t>
      </w:r>
      <w:r w:rsidR="003651CD" w:rsidRPr="000D1E44">
        <w:t>take up</w:t>
      </w:r>
      <w:r w:rsidRPr="000D1E44">
        <w:t xml:space="preserve"> HRD </w:t>
      </w:r>
      <w:r w:rsidR="003651CD" w:rsidRPr="000D1E44">
        <w:t xml:space="preserve">testing </w:t>
      </w:r>
      <w:r w:rsidRPr="000D1E44">
        <w:t xml:space="preserve">in </w:t>
      </w:r>
      <w:r w:rsidR="000D1E44" w:rsidRPr="000D1E44">
        <w:rPr>
          <w:rFonts w:ascii="Calibri" w:hAnsi="Calibri"/>
          <w:b/>
          <w:bCs/>
          <w:sz w:val="22"/>
          <w:szCs w:val="24"/>
        </w:rPr>
        <w:t>REDACTED</w:t>
      </w:r>
      <w:r w:rsidRPr="000D1E44">
        <w:t>.</w:t>
      </w:r>
      <w:r w:rsidR="003651CD" w:rsidRPr="000D1E44">
        <w:t xml:space="preserve"> Refer to </w:t>
      </w:r>
      <w:r w:rsidR="003651CD" w:rsidRPr="000D1E44">
        <w:fldChar w:fldCharType="begin"/>
      </w:r>
      <w:r w:rsidR="003651CD" w:rsidRPr="000D1E44">
        <w:instrText xml:space="preserve"> REF _Ref55211374 \h </w:instrText>
      </w:r>
      <w:r w:rsidR="003651CD" w:rsidRPr="000D1E44">
        <w:fldChar w:fldCharType="separate"/>
      </w:r>
      <w:r w:rsidR="003651CD" w:rsidRPr="000D1E44">
        <w:rPr>
          <w:szCs w:val="20"/>
        </w:rPr>
        <w:t xml:space="preserve">Table </w:t>
      </w:r>
      <w:r w:rsidR="003651CD" w:rsidRPr="000D1E44">
        <w:rPr>
          <w:noProof/>
          <w:szCs w:val="20"/>
        </w:rPr>
        <w:t>2</w:t>
      </w:r>
      <w:r w:rsidR="003651CD" w:rsidRPr="000D1E44">
        <w:fldChar w:fldCharType="end"/>
      </w:r>
      <w:r w:rsidR="003651CD" w:rsidRPr="000D1E44">
        <w:t xml:space="preserve"> below.</w:t>
      </w:r>
    </w:p>
    <w:p w14:paraId="2DDDB959" w14:textId="77777777" w:rsidR="00382407" w:rsidRPr="000D1E44" w:rsidRDefault="00382407" w:rsidP="00530204">
      <w:pPr>
        <w:pStyle w:val="Heading2"/>
      </w:pPr>
      <w:r w:rsidRPr="000D1E44">
        <w:t>Estimate the number of times the proposed medical service</w:t>
      </w:r>
      <w:r w:rsidR="005A58BA" w:rsidRPr="000D1E44">
        <w:t>(s)</w:t>
      </w:r>
      <w:r w:rsidRPr="000D1E44">
        <w:t xml:space="preserve"> would be </w:t>
      </w:r>
      <w:r w:rsidR="00AE1188" w:rsidRPr="000D1E44">
        <w:t>delivered to a patient per year:</w:t>
      </w:r>
    </w:p>
    <w:p w14:paraId="60FAFC65" w14:textId="611954EB" w:rsidR="00A86E78" w:rsidRPr="000D1E44" w:rsidRDefault="00644E5B" w:rsidP="00AE1188">
      <w:pPr>
        <w:ind w:left="426"/>
        <w:rPr>
          <w:szCs w:val="20"/>
        </w:rPr>
      </w:pPr>
      <w:r w:rsidRPr="000D1E44">
        <w:t>Tumour t</w:t>
      </w:r>
      <w:r w:rsidR="00A86E78" w:rsidRPr="000D1E44">
        <w:t xml:space="preserve">esting to determine HRD </w:t>
      </w:r>
      <w:r w:rsidR="00841E13" w:rsidRPr="000D1E44">
        <w:t>(BRCA an</w:t>
      </w:r>
      <w:r w:rsidR="002251D6" w:rsidRPr="000D1E44">
        <w:t xml:space="preserve">d GIS) </w:t>
      </w:r>
      <w:r w:rsidR="00A86E78" w:rsidRPr="000D1E44">
        <w:t>status would be conducted only once per patient in most cases</w:t>
      </w:r>
      <w:r w:rsidRPr="000D1E44">
        <w:t>.</w:t>
      </w:r>
    </w:p>
    <w:p w14:paraId="121FFDA2" w14:textId="77777777" w:rsidR="00382407" w:rsidRPr="000D1E44" w:rsidRDefault="00382407" w:rsidP="00530204">
      <w:pPr>
        <w:pStyle w:val="Heading2"/>
      </w:pPr>
      <w:r w:rsidRPr="000D1E44">
        <w:t>How many years would the proposed medical service</w:t>
      </w:r>
      <w:r w:rsidR="005A58BA" w:rsidRPr="000D1E44">
        <w:t>(s)</w:t>
      </w:r>
      <w:r w:rsidRPr="000D1E44">
        <w:t xml:space="preserve"> be required for the patient?</w:t>
      </w:r>
    </w:p>
    <w:p w14:paraId="7D0DAF7F" w14:textId="2FFC9A57" w:rsidR="00644E5B" w:rsidRPr="00154B00" w:rsidRDefault="00644E5B" w:rsidP="00AE1188">
      <w:pPr>
        <w:ind w:left="426"/>
        <w:rPr>
          <w:b/>
          <w:szCs w:val="20"/>
        </w:rPr>
      </w:pPr>
      <w:r w:rsidRPr="000D1E44">
        <w:t xml:space="preserve">Tissue </w:t>
      </w:r>
      <w:r w:rsidR="00823AA1" w:rsidRPr="000D1E44">
        <w:t xml:space="preserve">tumour </w:t>
      </w:r>
      <w:r w:rsidRPr="000D1E44">
        <w:t xml:space="preserve">testing to determine HRD status </w:t>
      </w:r>
      <w:r w:rsidR="00823AA1" w:rsidRPr="000D1E44">
        <w:t xml:space="preserve">does </w:t>
      </w:r>
      <w:r w:rsidRPr="000D1E44">
        <w:t xml:space="preserve">not </w:t>
      </w:r>
      <w:r w:rsidR="00823AA1" w:rsidRPr="000D1E44">
        <w:t xml:space="preserve">require </w:t>
      </w:r>
      <w:r w:rsidRPr="000D1E44">
        <w:t xml:space="preserve">routine monitoring of a patient.  The substantial majority of patients should only require testing once to </w:t>
      </w:r>
      <w:r w:rsidR="00823AA1" w:rsidRPr="000D1E44">
        <w:t xml:space="preserve">determine </w:t>
      </w:r>
      <w:r w:rsidRPr="000D1E44">
        <w:t xml:space="preserve">HRD </w:t>
      </w:r>
      <w:r w:rsidR="002251D6" w:rsidRPr="000D1E44">
        <w:t xml:space="preserve">(BRCA and GIS) </w:t>
      </w:r>
      <w:r w:rsidRPr="000D1E44">
        <w:t xml:space="preserve">status </w:t>
      </w:r>
      <w:r>
        <w:t>and positivity</w:t>
      </w:r>
      <w:r w:rsidR="00823AA1">
        <w:t>/</w:t>
      </w:r>
      <w:r w:rsidR="003A759B">
        <w:t>deficiency</w:t>
      </w:r>
      <w:r>
        <w:t>.</w:t>
      </w:r>
    </w:p>
    <w:p w14:paraId="132E60CD" w14:textId="79E86863" w:rsidR="002A6753" w:rsidRDefault="000E47E7" w:rsidP="00530204">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63F9A44F" w14:textId="6EB6BEC8" w:rsidR="00EE6C3C" w:rsidRDefault="00EE6C3C" w:rsidP="00EE6C3C">
      <w:pPr>
        <w:ind w:left="360"/>
      </w:pPr>
      <w:r>
        <w:t xml:space="preserve">Based on the Australian Institute of Health and Welfare (AIHW) projections, it is estimated that there will be approximately 1,764 new cases of ovarian cancer in </w:t>
      </w:r>
      <w:r w:rsidR="000D1E44" w:rsidRPr="000D1E44">
        <w:rPr>
          <w:rFonts w:ascii="Calibri" w:hAnsi="Calibri"/>
          <w:b/>
          <w:sz w:val="22"/>
        </w:rPr>
        <w:t>REDACTED</w:t>
      </w:r>
      <w:r>
        <w:t>, however only 1,482 are epithelia</w:t>
      </w:r>
      <w:r w:rsidR="00316E4D">
        <w:t>l</w:t>
      </w:r>
      <w:r>
        <w:t xml:space="preserve"> tumo</w:t>
      </w:r>
      <w:r w:rsidR="00917590">
        <w:t>u</w:t>
      </w:r>
      <w:r>
        <w:t>rs (</w:t>
      </w:r>
      <w:r w:rsidR="00917590">
        <w:t xml:space="preserve">line 2 </w:t>
      </w:r>
      <w:r>
        <w:t>adjusted by 84</w:t>
      </w:r>
      <w:r w:rsidR="00946ACF">
        <w:t>%</w:t>
      </w:r>
      <w:r w:rsidR="00B15E2A">
        <w:t xml:space="preserve"> </w:t>
      </w:r>
      <w:r w:rsidR="003A759B">
        <w:t xml:space="preserve">to reflect epithelial tumours only </w:t>
      </w:r>
      <w:r w:rsidR="00B15E2A">
        <w:t xml:space="preserve">as </w:t>
      </w:r>
      <w:r w:rsidR="003A759B">
        <w:t xml:space="preserve">per </w:t>
      </w:r>
      <w:r w:rsidR="00B15E2A">
        <w:t>AIHW</w:t>
      </w:r>
      <w:r w:rsidR="003A759B">
        <w:t xml:space="preserve"> 2010</w:t>
      </w:r>
      <w:r>
        <w:t>). AIHW does not report the incidence of ovarian cancer by stage of disease; Stage III and IV are most relevant to this application</w:t>
      </w:r>
      <w:r w:rsidR="00917590">
        <w:t>. To estimate the proportion of women diagnosed at advance</w:t>
      </w:r>
      <w:r w:rsidR="0043378F">
        <w:t>d</w:t>
      </w:r>
      <w:r w:rsidR="00917590">
        <w:t xml:space="preserve"> stage, data from the Australian Ovarian Cancer Study registered (AOCS, Alsop et al 201</w:t>
      </w:r>
      <w:r w:rsidR="00C94842">
        <w:t>2</w:t>
      </w:r>
      <w:r w:rsidR="00917590">
        <w:t>) was used</w:t>
      </w:r>
      <w:r w:rsidR="00E259EB">
        <w:t xml:space="preserve">. </w:t>
      </w:r>
      <w:r w:rsidR="00917590">
        <w:t xml:space="preserve">AOCS assumes that 70% of women are diagnosed with advanced disease (line 3). </w:t>
      </w:r>
    </w:p>
    <w:p w14:paraId="412EECDE" w14:textId="17D11C98" w:rsidR="009371B1" w:rsidRDefault="00E76DF5" w:rsidP="00EE6C3C">
      <w:pPr>
        <w:ind w:left="360"/>
      </w:pPr>
      <w:r>
        <w:t>It is</w:t>
      </w:r>
      <w:r w:rsidRPr="00B90F5D">
        <w:t xml:space="preserve"> assumed that 95% of eligible patients are able to provide a quality tumour sample for testing</w:t>
      </w:r>
      <w:r>
        <w:t xml:space="preserve"> (line 4)</w:t>
      </w:r>
      <w:r w:rsidR="007712AC">
        <w:t xml:space="preserve"> and</w:t>
      </w:r>
      <w:r w:rsidR="0043378F">
        <w:t xml:space="preserve"> therefore</w:t>
      </w:r>
      <w:r w:rsidR="007712AC">
        <w:t xml:space="preserve"> take up HRD testing. </w:t>
      </w:r>
    </w:p>
    <w:p w14:paraId="61C7AD6E" w14:textId="5A06C99C" w:rsidR="009371B1" w:rsidRPr="00EE6C3C" w:rsidRDefault="009371B1" w:rsidP="009371B1">
      <w:pPr>
        <w:ind w:left="360"/>
      </w:pPr>
      <w:r>
        <w:t>In total approximately 9</w:t>
      </w:r>
      <w:r w:rsidR="00C1445B">
        <w:t>86</w:t>
      </w:r>
      <w:r>
        <w:t xml:space="preserve"> women will utilise tumour HRD testing to determine their HRD </w:t>
      </w:r>
      <w:r w:rsidR="00CF5AF5">
        <w:t xml:space="preserve">and BRCA </w:t>
      </w:r>
      <w:r>
        <w:t>status</w:t>
      </w:r>
      <w:r w:rsidR="00C1445B">
        <w:t xml:space="preserve"> (line 5).</w:t>
      </w:r>
      <w:r>
        <w:t xml:space="preserve"> </w:t>
      </w:r>
      <w:r>
        <w:fldChar w:fldCharType="begin"/>
      </w:r>
      <w:r>
        <w:instrText xml:space="preserve"> REF _Ref55211374 \h </w:instrText>
      </w:r>
      <w:r>
        <w:fldChar w:fldCharType="separate"/>
      </w:r>
      <w:r w:rsidR="00EA35EE" w:rsidRPr="00823AA1">
        <w:rPr>
          <w:szCs w:val="20"/>
        </w:rPr>
        <w:t xml:space="preserve">Table </w:t>
      </w:r>
      <w:r w:rsidR="00EA35EE">
        <w:rPr>
          <w:noProof/>
          <w:szCs w:val="20"/>
        </w:rPr>
        <w:t>2</w:t>
      </w:r>
      <w:r>
        <w:fldChar w:fldCharType="end"/>
      </w:r>
      <w:r>
        <w:t xml:space="preserve"> provides a summary of the estimated utilisation of tumour testing.</w:t>
      </w:r>
    </w:p>
    <w:p w14:paraId="75444234" w14:textId="500EF15A" w:rsidR="00AE1188" w:rsidRPr="000D1E44" w:rsidRDefault="00823AA1" w:rsidP="000D1E44">
      <w:pPr>
        <w:pStyle w:val="Caption"/>
        <w:ind w:firstLine="360"/>
        <w:rPr>
          <w:color w:val="auto"/>
          <w:sz w:val="20"/>
          <w:szCs w:val="20"/>
        </w:rPr>
      </w:pPr>
      <w:bookmarkStart w:id="14" w:name="_Ref55211374"/>
      <w:r w:rsidRPr="000D1E44">
        <w:rPr>
          <w:color w:val="auto"/>
          <w:sz w:val="20"/>
          <w:szCs w:val="20"/>
        </w:rPr>
        <w:t xml:space="preserve">Table </w:t>
      </w:r>
      <w:r w:rsidRPr="000D1E44">
        <w:rPr>
          <w:color w:val="auto"/>
          <w:sz w:val="20"/>
          <w:szCs w:val="20"/>
        </w:rPr>
        <w:fldChar w:fldCharType="begin"/>
      </w:r>
      <w:r w:rsidRPr="000D1E44">
        <w:rPr>
          <w:color w:val="auto"/>
          <w:sz w:val="20"/>
          <w:szCs w:val="20"/>
        </w:rPr>
        <w:instrText xml:space="preserve"> SEQ Table \* ARABIC </w:instrText>
      </w:r>
      <w:r w:rsidRPr="000D1E44">
        <w:rPr>
          <w:color w:val="auto"/>
          <w:sz w:val="20"/>
          <w:szCs w:val="20"/>
        </w:rPr>
        <w:fldChar w:fldCharType="separate"/>
      </w:r>
      <w:r w:rsidR="00EA35EE" w:rsidRPr="000D1E44">
        <w:rPr>
          <w:noProof/>
          <w:color w:val="auto"/>
          <w:sz w:val="20"/>
          <w:szCs w:val="20"/>
        </w:rPr>
        <w:t>2</w:t>
      </w:r>
      <w:r w:rsidRPr="000D1E44">
        <w:rPr>
          <w:color w:val="auto"/>
          <w:sz w:val="20"/>
          <w:szCs w:val="20"/>
        </w:rPr>
        <w:fldChar w:fldCharType="end"/>
      </w:r>
      <w:bookmarkEnd w:id="14"/>
      <w:r w:rsidRPr="000D1E44">
        <w:rPr>
          <w:color w:val="auto"/>
          <w:sz w:val="20"/>
          <w:szCs w:val="20"/>
        </w:rPr>
        <w:t xml:space="preserve"> Estimated utilisation of tumour HRD testing</w:t>
      </w:r>
    </w:p>
    <w:tbl>
      <w:tblPr>
        <w:tblW w:w="7800" w:type="dxa"/>
        <w:tblInd w:w="274" w:type="dxa"/>
        <w:tblLook w:val="04A0" w:firstRow="1" w:lastRow="0" w:firstColumn="1" w:lastColumn="0" w:noHBand="0" w:noVBand="1"/>
      </w:tblPr>
      <w:tblGrid>
        <w:gridCol w:w="540"/>
        <w:gridCol w:w="4380"/>
        <w:gridCol w:w="2880"/>
      </w:tblGrid>
      <w:tr w:rsidR="006A4F70" w:rsidRPr="006A4F70" w14:paraId="4521D6AE" w14:textId="77777777" w:rsidTr="000D1E44">
        <w:trPr>
          <w:trHeight w:val="520"/>
        </w:trPr>
        <w:tc>
          <w:tcPr>
            <w:tcW w:w="5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0AF7F04" w14:textId="77777777" w:rsidR="006A4F70" w:rsidRPr="006A4F70" w:rsidRDefault="006A4F70" w:rsidP="006A4F70">
            <w:pPr>
              <w:spacing w:before="0" w:after="0"/>
              <w:rPr>
                <w:rFonts w:ascii="Arial" w:eastAsia="Times New Roman" w:hAnsi="Arial" w:cs="Arial"/>
                <w:color w:val="000000"/>
                <w:szCs w:val="20"/>
                <w:lang w:eastAsia="en-AU"/>
              </w:rPr>
            </w:pPr>
            <w:r w:rsidRPr="006A4F70">
              <w:rPr>
                <w:rFonts w:ascii="Arial" w:eastAsia="Times New Roman" w:hAnsi="Arial" w:cs="Arial"/>
                <w:color w:val="000000"/>
                <w:szCs w:val="20"/>
                <w:lang w:eastAsia="en-AU"/>
              </w:rPr>
              <w:t> </w:t>
            </w:r>
          </w:p>
        </w:tc>
        <w:tc>
          <w:tcPr>
            <w:tcW w:w="4380" w:type="dxa"/>
            <w:tcBorders>
              <w:top w:val="single" w:sz="8" w:space="0" w:color="auto"/>
              <w:left w:val="nil"/>
              <w:bottom w:val="single" w:sz="4" w:space="0" w:color="auto"/>
              <w:right w:val="single" w:sz="4" w:space="0" w:color="auto"/>
            </w:tcBorders>
            <w:shd w:val="clear" w:color="auto" w:fill="auto"/>
            <w:noWrap/>
            <w:vAlign w:val="center"/>
            <w:hideMark/>
          </w:tcPr>
          <w:p w14:paraId="57A88E20" w14:textId="77777777" w:rsidR="006A4F70" w:rsidRPr="006A4F70" w:rsidRDefault="006A4F70" w:rsidP="006A4F70">
            <w:pPr>
              <w:spacing w:before="0" w:after="0"/>
              <w:rPr>
                <w:rFonts w:eastAsia="Times New Roman" w:cstheme="minorHAnsi"/>
                <w:b/>
                <w:bCs/>
                <w:color w:val="000000"/>
                <w:szCs w:val="20"/>
                <w:lang w:eastAsia="en-AU"/>
              </w:rPr>
            </w:pPr>
            <w:r w:rsidRPr="006A4F70">
              <w:rPr>
                <w:rFonts w:eastAsia="Times New Roman" w:cstheme="minorHAnsi"/>
                <w:b/>
                <w:bCs/>
                <w:color w:val="000000"/>
                <w:szCs w:val="20"/>
                <w:lang w:eastAsia="en-AU"/>
              </w:rPr>
              <w:t>Description</w:t>
            </w:r>
          </w:p>
        </w:tc>
        <w:tc>
          <w:tcPr>
            <w:tcW w:w="2880" w:type="dxa"/>
            <w:tcBorders>
              <w:top w:val="single" w:sz="8" w:space="0" w:color="auto"/>
              <w:left w:val="nil"/>
              <w:bottom w:val="single" w:sz="4" w:space="0" w:color="auto"/>
              <w:right w:val="single" w:sz="8" w:space="0" w:color="auto"/>
            </w:tcBorders>
            <w:shd w:val="clear" w:color="auto" w:fill="auto"/>
            <w:vAlign w:val="center"/>
            <w:hideMark/>
          </w:tcPr>
          <w:p w14:paraId="78613B03" w14:textId="7252C726" w:rsidR="006A4F70" w:rsidRPr="006A4F70" w:rsidRDefault="006A4F70" w:rsidP="006A4F70">
            <w:pPr>
              <w:spacing w:before="0" w:after="0"/>
              <w:jc w:val="center"/>
              <w:rPr>
                <w:rFonts w:eastAsia="Times New Roman" w:cstheme="minorHAnsi"/>
                <w:b/>
                <w:bCs/>
                <w:color w:val="000000"/>
                <w:szCs w:val="20"/>
                <w:lang w:eastAsia="en-AU"/>
              </w:rPr>
            </w:pPr>
            <w:r w:rsidRPr="006A4F70">
              <w:rPr>
                <w:rFonts w:eastAsia="Times New Roman" w:cstheme="minorHAnsi"/>
                <w:b/>
                <w:bCs/>
                <w:color w:val="000000"/>
                <w:szCs w:val="20"/>
                <w:lang w:eastAsia="en-AU"/>
              </w:rPr>
              <w:t>Estimated number of patients</w:t>
            </w:r>
            <w:r>
              <w:rPr>
                <w:rFonts w:eastAsia="Times New Roman" w:cstheme="minorHAnsi"/>
                <w:b/>
                <w:bCs/>
                <w:color w:val="000000"/>
                <w:szCs w:val="20"/>
                <w:lang w:eastAsia="en-AU"/>
              </w:rPr>
              <w:t xml:space="preserve"> in </w:t>
            </w:r>
            <w:r w:rsidR="000D1E44" w:rsidRPr="000D1E44">
              <w:rPr>
                <w:rFonts w:ascii="Calibri" w:eastAsia="Times New Roman" w:hAnsi="Calibri" w:cstheme="minorHAnsi"/>
                <w:b/>
                <w:bCs/>
                <w:color w:val="000000"/>
                <w:sz w:val="22"/>
                <w:szCs w:val="20"/>
                <w:lang w:eastAsia="en-AU"/>
              </w:rPr>
              <w:t>REDACTED</w:t>
            </w:r>
          </w:p>
        </w:tc>
      </w:tr>
      <w:tr w:rsidR="006A4F70" w:rsidRPr="006A4F70" w14:paraId="2687D4BC" w14:textId="77777777" w:rsidTr="000D1E44">
        <w:trPr>
          <w:trHeight w:val="25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3E359CF7" w14:textId="77777777" w:rsidR="006A4F70" w:rsidRPr="006A4F70" w:rsidRDefault="006A4F70" w:rsidP="006A4F70">
            <w:pPr>
              <w:spacing w:before="0" w:after="0"/>
              <w:jc w:val="right"/>
              <w:rPr>
                <w:rFonts w:eastAsia="Times New Roman" w:cstheme="minorHAnsi"/>
                <w:color w:val="000000"/>
                <w:szCs w:val="20"/>
                <w:lang w:eastAsia="en-AU"/>
              </w:rPr>
            </w:pPr>
            <w:r w:rsidRPr="006A4F70">
              <w:rPr>
                <w:rFonts w:eastAsia="Times New Roman" w:cstheme="minorHAnsi"/>
                <w:color w:val="000000"/>
                <w:szCs w:val="20"/>
                <w:lang w:eastAsia="en-AU"/>
              </w:rPr>
              <w:t>1</w:t>
            </w:r>
          </w:p>
        </w:tc>
        <w:tc>
          <w:tcPr>
            <w:tcW w:w="4380" w:type="dxa"/>
            <w:tcBorders>
              <w:top w:val="nil"/>
              <w:left w:val="nil"/>
              <w:bottom w:val="single" w:sz="4" w:space="0" w:color="auto"/>
              <w:right w:val="single" w:sz="4" w:space="0" w:color="auto"/>
            </w:tcBorders>
            <w:shd w:val="clear" w:color="auto" w:fill="auto"/>
            <w:noWrap/>
            <w:vAlign w:val="center"/>
            <w:hideMark/>
          </w:tcPr>
          <w:p w14:paraId="29D37BB6" w14:textId="68099E08" w:rsidR="006A4F70" w:rsidRPr="006A4F70" w:rsidRDefault="006A4F70" w:rsidP="006A4F70">
            <w:pPr>
              <w:spacing w:before="0" w:after="0"/>
              <w:rPr>
                <w:rFonts w:eastAsia="Times New Roman" w:cstheme="minorHAnsi"/>
                <w:color w:val="000000"/>
                <w:szCs w:val="20"/>
                <w:lang w:eastAsia="en-AU"/>
              </w:rPr>
            </w:pPr>
            <w:r w:rsidRPr="006A4F70">
              <w:rPr>
                <w:rFonts w:eastAsia="Times New Roman" w:cstheme="minorHAnsi"/>
                <w:color w:val="000000"/>
                <w:szCs w:val="20"/>
                <w:lang w:eastAsia="en-AU"/>
              </w:rPr>
              <w:t xml:space="preserve">Incidence of ovarian cancer in Australia </w:t>
            </w:r>
          </w:p>
        </w:tc>
        <w:tc>
          <w:tcPr>
            <w:tcW w:w="2880" w:type="dxa"/>
            <w:tcBorders>
              <w:top w:val="nil"/>
              <w:left w:val="nil"/>
              <w:bottom w:val="single" w:sz="4" w:space="0" w:color="auto"/>
              <w:right w:val="single" w:sz="8" w:space="0" w:color="auto"/>
            </w:tcBorders>
            <w:shd w:val="clear" w:color="auto" w:fill="auto"/>
            <w:noWrap/>
            <w:vAlign w:val="center"/>
            <w:hideMark/>
          </w:tcPr>
          <w:p w14:paraId="313DAFA3" w14:textId="77777777" w:rsidR="006A4F70" w:rsidRPr="006A4F70" w:rsidRDefault="006A4F70" w:rsidP="006A4F70">
            <w:pPr>
              <w:spacing w:before="0" w:after="0"/>
              <w:jc w:val="center"/>
              <w:rPr>
                <w:rFonts w:eastAsia="Times New Roman" w:cstheme="minorHAnsi"/>
                <w:color w:val="000000"/>
                <w:szCs w:val="20"/>
                <w:lang w:eastAsia="en-AU"/>
              </w:rPr>
            </w:pPr>
            <w:r w:rsidRPr="006A4F70">
              <w:rPr>
                <w:rFonts w:eastAsia="Times New Roman" w:cstheme="minorHAnsi"/>
                <w:color w:val="000000"/>
                <w:szCs w:val="20"/>
                <w:lang w:eastAsia="en-AU"/>
              </w:rPr>
              <w:t>1,765</w:t>
            </w:r>
          </w:p>
        </w:tc>
      </w:tr>
      <w:tr w:rsidR="006A4F70" w:rsidRPr="006A4F70" w14:paraId="001D3AEF" w14:textId="77777777" w:rsidTr="000D1E44">
        <w:trPr>
          <w:trHeight w:val="5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43F905F1" w14:textId="77777777" w:rsidR="006A4F70" w:rsidRPr="006A4F70" w:rsidRDefault="006A4F70" w:rsidP="006A4F70">
            <w:pPr>
              <w:spacing w:before="0" w:after="0"/>
              <w:jc w:val="right"/>
              <w:rPr>
                <w:rFonts w:eastAsia="Times New Roman" w:cstheme="minorHAnsi"/>
                <w:color w:val="000000"/>
                <w:szCs w:val="20"/>
                <w:lang w:eastAsia="en-AU"/>
              </w:rPr>
            </w:pPr>
            <w:r w:rsidRPr="006A4F70">
              <w:rPr>
                <w:rFonts w:eastAsia="Times New Roman" w:cstheme="minorHAnsi"/>
                <w:color w:val="000000"/>
                <w:szCs w:val="20"/>
                <w:lang w:eastAsia="en-AU"/>
              </w:rPr>
              <w:t>2</w:t>
            </w:r>
          </w:p>
        </w:tc>
        <w:tc>
          <w:tcPr>
            <w:tcW w:w="4380" w:type="dxa"/>
            <w:tcBorders>
              <w:top w:val="nil"/>
              <w:left w:val="nil"/>
              <w:bottom w:val="single" w:sz="4" w:space="0" w:color="auto"/>
              <w:right w:val="single" w:sz="4" w:space="0" w:color="auto"/>
            </w:tcBorders>
            <w:shd w:val="clear" w:color="auto" w:fill="auto"/>
            <w:vAlign w:val="center"/>
            <w:hideMark/>
          </w:tcPr>
          <w:p w14:paraId="4365B9A1" w14:textId="34B6E430" w:rsidR="006A4F70" w:rsidRPr="006A4F70" w:rsidRDefault="006A4F70" w:rsidP="006A4F70">
            <w:pPr>
              <w:spacing w:before="0" w:after="0"/>
              <w:rPr>
                <w:rFonts w:eastAsia="Times New Roman" w:cstheme="minorHAnsi"/>
                <w:color w:val="000000"/>
                <w:szCs w:val="20"/>
                <w:lang w:eastAsia="en-AU"/>
              </w:rPr>
            </w:pPr>
            <w:r w:rsidRPr="006A4F70">
              <w:rPr>
                <w:rFonts w:eastAsia="Times New Roman" w:cstheme="minorHAnsi"/>
                <w:color w:val="000000"/>
                <w:szCs w:val="20"/>
                <w:lang w:eastAsia="en-AU"/>
              </w:rPr>
              <w:t>Ovarian, Primary peritoneal &amp; fallopian tube cancer-</w:t>
            </w:r>
            <w:r w:rsidR="0043378F">
              <w:rPr>
                <w:rFonts w:eastAsia="Times New Roman" w:cstheme="minorHAnsi"/>
                <w:color w:val="000000"/>
                <w:szCs w:val="20"/>
                <w:lang w:eastAsia="en-AU"/>
              </w:rPr>
              <w:t>e</w:t>
            </w:r>
            <w:r w:rsidRPr="006A4F70">
              <w:rPr>
                <w:rFonts w:eastAsia="Times New Roman" w:cstheme="minorHAnsi"/>
                <w:color w:val="000000"/>
                <w:szCs w:val="20"/>
                <w:lang w:eastAsia="en-AU"/>
              </w:rPr>
              <w:t>pithelial Tumour only</w:t>
            </w:r>
          </w:p>
        </w:tc>
        <w:tc>
          <w:tcPr>
            <w:tcW w:w="2880" w:type="dxa"/>
            <w:tcBorders>
              <w:top w:val="nil"/>
              <w:left w:val="nil"/>
              <w:bottom w:val="single" w:sz="4" w:space="0" w:color="auto"/>
              <w:right w:val="single" w:sz="8" w:space="0" w:color="auto"/>
            </w:tcBorders>
            <w:shd w:val="clear" w:color="auto" w:fill="auto"/>
            <w:noWrap/>
            <w:vAlign w:val="center"/>
            <w:hideMark/>
          </w:tcPr>
          <w:p w14:paraId="308F2F7A" w14:textId="77777777" w:rsidR="006A4F70" w:rsidRPr="006A4F70" w:rsidRDefault="006A4F70" w:rsidP="006A4F70">
            <w:pPr>
              <w:spacing w:before="0" w:after="0"/>
              <w:jc w:val="center"/>
              <w:rPr>
                <w:rFonts w:eastAsia="Times New Roman" w:cstheme="minorHAnsi"/>
                <w:color w:val="000000"/>
                <w:szCs w:val="20"/>
                <w:lang w:eastAsia="en-AU"/>
              </w:rPr>
            </w:pPr>
            <w:r w:rsidRPr="006A4F70">
              <w:rPr>
                <w:rFonts w:eastAsia="Times New Roman" w:cstheme="minorHAnsi"/>
                <w:color w:val="000000"/>
                <w:szCs w:val="20"/>
                <w:lang w:eastAsia="en-AU"/>
              </w:rPr>
              <w:t>1,482</w:t>
            </w:r>
          </w:p>
        </w:tc>
      </w:tr>
      <w:tr w:rsidR="006A4F70" w:rsidRPr="006A4F70" w14:paraId="0AB8E2C2" w14:textId="77777777" w:rsidTr="000D1E44">
        <w:trPr>
          <w:trHeight w:val="25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7C6A8D9B" w14:textId="77777777" w:rsidR="006A4F70" w:rsidRPr="006A4F70" w:rsidRDefault="006A4F70" w:rsidP="006A4F70">
            <w:pPr>
              <w:spacing w:before="0" w:after="0"/>
              <w:jc w:val="right"/>
              <w:rPr>
                <w:rFonts w:eastAsia="Times New Roman" w:cstheme="minorHAnsi"/>
                <w:color w:val="000000"/>
                <w:szCs w:val="20"/>
                <w:lang w:eastAsia="en-AU"/>
              </w:rPr>
            </w:pPr>
            <w:r w:rsidRPr="006A4F70">
              <w:rPr>
                <w:rFonts w:eastAsia="Times New Roman" w:cstheme="minorHAnsi"/>
                <w:color w:val="000000"/>
                <w:szCs w:val="20"/>
                <w:lang w:eastAsia="en-AU"/>
              </w:rPr>
              <w:t>3</w:t>
            </w:r>
          </w:p>
        </w:tc>
        <w:tc>
          <w:tcPr>
            <w:tcW w:w="4380" w:type="dxa"/>
            <w:tcBorders>
              <w:top w:val="nil"/>
              <w:left w:val="nil"/>
              <w:bottom w:val="single" w:sz="4" w:space="0" w:color="auto"/>
              <w:right w:val="single" w:sz="4" w:space="0" w:color="auto"/>
            </w:tcBorders>
            <w:shd w:val="clear" w:color="auto" w:fill="auto"/>
            <w:noWrap/>
            <w:vAlign w:val="center"/>
            <w:hideMark/>
          </w:tcPr>
          <w:p w14:paraId="1EC768A6" w14:textId="77777777" w:rsidR="006A4F70" w:rsidRPr="006A4F70" w:rsidRDefault="006A4F70" w:rsidP="006A4F70">
            <w:pPr>
              <w:spacing w:before="0" w:after="0"/>
              <w:rPr>
                <w:rFonts w:eastAsia="Times New Roman" w:cstheme="minorHAnsi"/>
                <w:color w:val="000000"/>
                <w:szCs w:val="20"/>
                <w:lang w:eastAsia="en-AU"/>
              </w:rPr>
            </w:pPr>
            <w:r w:rsidRPr="006A4F70">
              <w:rPr>
                <w:rFonts w:eastAsia="Times New Roman" w:cstheme="minorHAnsi"/>
                <w:color w:val="000000"/>
                <w:szCs w:val="20"/>
                <w:lang w:eastAsia="en-AU"/>
              </w:rPr>
              <w:t>Diagnosed with advanced ovarian cancer</w:t>
            </w:r>
          </w:p>
        </w:tc>
        <w:tc>
          <w:tcPr>
            <w:tcW w:w="2880" w:type="dxa"/>
            <w:tcBorders>
              <w:top w:val="nil"/>
              <w:left w:val="nil"/>
              <w:bottom w:val="single" w:sz="4" w:space="0" w:color="auto"/>
              <w:right w:val="single" w:sz="8" w:space="0" w:color="auto"/>
            </w:tcBorders>
            <w:shd w:val="clear" w:color="auto" w:fill="auto"/>
            <w:noWrap/>
            <w:vAlign w:val="center"/>
            <w:hideMark/>
          </w:tcPr>
          <w:p w14:paraId="63067B66" w14:textId="77777777" w:rsidR="006A4F70" w:rsidRPr="006A4F70" w:rsidRDefault="006A4F70" w:rsidP="006A4F70">
            <w:pPr>
              <w:spacing w:before="0" w:after="0"/>
              <w:jc w:val="center"/>
              <w:rPr>
                <w:rFonts w:eastAsia="Times New Roman" w:cstheme="minorHAnsi"/>
                <w:color w:val="000000"/>
                <w:szCs w:val="20"/>
                <w:lang w:eastAsia="en-AU"/>
              </w:rPr>
            </w:pPr>
            <w:r w:rsidRPr="006A4F70">
              <w:rPr>
                <w:rFonts w:eastAsia="Times New Roman" w:cstheme="minorHAnsi"/>
                <w:color w:val="000000"/>
                <w:szCs w:val="20"/>
                <w:lang w:eastAsia="en-AU"/>
              </w:rPr>
              <w:t>1,038</w:t>
            </w:r>
          </w:p>
        </w:tc>
      </w:tr>
      <w:tr w:rsidR="006A4F70" w:rsidRPr="006A4F70" w14:paraId="382DD76C" w14:textId="77777777" w:rsidTr="000D1E44">
        <w:trPr>
          <w:trHeight w:val="25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71DFD2C3" w14:textId="77777777" w:rsidR="006A4F70" w:rsidRPr="006A4F70" w:rsidRDefault="006A4F70" w:rsidP="006A4F70">
            <w:pPr>
              <w:spacing w:before="0" w:after="0"/>
              <w:jc w:val="right"/>
              <w:rPr>
                <w:rFonts w:eastAsia="Times New Roman" w:cstheme="minorHAnsi"/>
                <w:color w:val="000000"/>
                <w:szCs w:val="20"/>
                <w:lang w:eastAsia="en-AU"/>
              </w:rPr>
            </w:pPr>
            <w:r w:rsidRPr="006A4F70">
              <w:rPr>
                <w:rFonts w:eastAsia="Times New Roman" w:cstheme="minorHAnsi"/>
                <w:color w:val="000000"/>
                <w:szCs w:val="20"/>
                <w:lang w:eastAsia="en-AU"/>
              </w:rPr>
              <w:t>4</w:t>
            </w:r>
          </w:p>
        </w:tc>
        <w:tc>
          <w:tcPr>
            <w:tcW w:w="4380" w:type="dxa"/>
            <w:tcBorders>
              <w:top w:val="nil"/>
              <w:left w:val="nil"/>
              <w:bottom w:val="single" w:sz="4" w:space="0" w:color="auto"/>
              <w:right w:val="single" w:sz="4" w:space="0" w:color="auto"/>
            </w:tcBorders>
            <w:shd w:val="clear" w:color="auto" w:fill="auto"/>
            <w:noWrap/>
            <w:vAlign w:val="center"/>
            <w:hideMark/>
          </w:tcPr>
          <w:p w14:paraId="32A57C13" w14:textId="33C5950C" w:rsidR="006A4F70" w:rsidRPr="006A4F70" w:rsidRDefault="00E76DF5" w:rsidP="006A4F70">
            <w:pPr>
              <w:spacing w:before="0" w:after="0"/>
              <w:rPr>
                <w:rFonts w:eastAsia="Times New Roman" w:cstheme="minorHAnsi"/>
                <w:color w:val="000000"/>
                <w:szCs w:val="20"/>
                <w:lang w:eastAsia="en-AU"/>
              </w:rPr>
            </w:pPr>
            <w:r>
              <w:rPr>
                <w:rFonts w:eastAsia="Times New Roman" w:cstheme="minorHAnsi"/>
                <w:color w:val="000000"/>
                <w:szCs w:val="20"/>
                <w:lang w:eastAsia="en-AU"/>
              </w:rPr>
              <w:t>Eligible p</w:t>
            </w:r>
            <w:r w:rsidR="006A4F70" w:rsidRPr="006A4F70">
              <w:rPr>
                <w:rFonts w:eastAsia="Times New Roman" w:cstheme="minorHAnsi"/>
                <w:color w:val="000000"/>
                <w:szCs w:val="20"/>
                <w:lang w:eastAsia="en-AU"/>
              </w:rPr>
              <w:t xml:space="preserve">atients </w:t>
            </w:r>
            <w:r w:rsidR="00CF5AF5">
              <w:rPr>
                <w:rFonts w:eastAsia="Times New Roman" w:cstheme="minorHAnsi"/>
                <w:color w:val="000000"/>
                <w:szCs w:val="20"/>
                <w:lang w:eastAsia="en-AU"/>
              </w:rPr>
              <w:t>for</w:t>
            </w:r>
            <w:r w:rsidR="006A4F70" w:rsidRPr="006A4F70">
              <w:rPr>
                <w:rFonts w:eastAsia="Times New Roman" w:cstheme="minorHAnsi"/>
                <w:color w:val="000000"/>
                <w:szCs w:val="20"/>
                <w:lang w:eastAsia="en-AU"/>
              </w:rPr>
              <w:t xml:space="preserve"> tumour testing</w:t>
            </w:r>
          </w:p>
        </w:tc>
        <w:tc>
          <w:tcPr>
            <w:tcW w:w="2880" w:type="dxa"/>
            <w:tcBorders>
              <w:top w:val="nil"/>
              <w:left w:val="nil"/>
              <w:bottom w:val="single" w:sz="4" w:space="0" w:color="auto"/>
              <w:right w:val="single" w:sz="8" w:space="0" w:color="auto"/>
            </w:tcBorders>
            <w:shd w:val="clear" w:color="auto" w:fill="auto"/>
            <w:noWrap/>
            <w:vAlign w:val="center"/>
            <w:hideMark/>
          </w:tcPr>
          <w:p w14:paraId="1195BAD9" w14:textId="77777777" w:rsidR="006A4F70" w:rsidRPr="006A4F70" w:rsidRDefault="006A4F70" w:rsidP="006A4F70">
            <w:pPr>
              <w:spacing w:before="0" w:after="0"/>
              <w:jc w:val="center"/>
              <w:rPr>
                <w:rFonts w:eastAsia="Times New Roman" w:cstheme="minorHAnsi"/>
                <w:color w:val="000000"/>
                <w:szCs w:val="20"/>
                <w:lang w:eastAsia="en-AU"/>
              </w:rPr>
            </w:pPr>
            <w:r w:rsidRPr="006A4F70">
              <w:rPr>
                <w:rFonts w:eastAsia="Times New Roman" w:cstheme="minorHAnsi"/>
                <w:color w:val="000000"/>
                <w:szCs w:val="20"/>
                <w:lang w:eastAsia="en-AU"/>
              </w:rPr>
              <w:t>986</w:t>
            </w:r>
          </w:p>
        </w:tc>
      </w:tr>
      <w:tr w:rsidR="006A4F70" w:rsidRPr="006A4F70" w14:paraId="4B6F7BC5" w14:textId="77777777" w:rsidTr="000D1E44">
        <w:trPr>
          <w:trHeight w:val="26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51AE13BD" w14:textId="77777777" w:rsidR="006A4F70" w:rsidRPr="006A4F70" w:rsidRDefault="006A4F70" w:rsidP="006A4F70">
            <w:pPr>
              <w:spacing w:before="0" w:after="0"/>
              <w:jc w:val="right"/>
              <w:rPr>
                <w:rFonts w:eastAsia="Times New Roman" w:cstheme="minorHAnsi"/>
                <w:color w:val="000000"/>
                <w:szCs w:val="20"/>
                <w:lang w:eastAsia="en-AU"/>
              </w:rPr>
            </w:pPr>
            <w:r w:rsidRPr="006A4F70">
              <w:rPr>
                <w:rFonts w:eastAsia="Times New Roman" w:cstheme="minorHAnsi"/>
                <w:color w:val="000000"/>
                <w:szCs w:val="20"/>
                <w:lang w:eastAsia="en-AU"/>
              </w:rPr>
              <w:t>5</w:t>
            </w:r>
          </w:p>
        </w:tc>
        <w:tc>
          <w:tcPr>
            <w:tcW w:w="4380" w:type="dxa"/>
            <w:tcBorders>
              <w:top w:val="nil"/>
              <w:left w:val="nil"/>
              <w:bottom w:val="single" w:sz="4" w:space="0" w:color="auto"/>
              <w:right w:val="single" w:sz="4" w:space="0" w:color="auto"/>
            </w:tcBorders>
            <w:shd w:val="clear" w:color="auto" w:fill="auto"/>
            <w:noWrap/>
            <w:vAlign w:val="center"/>
            <w:hideMark/>
          </w:tcPr>
          <w:p w14:paraId="1E381AC5" w14:textId="7F1E3B7A" w:rsidR="006A4F70" w:rsidRPr="00CF5AF5" w:rsidRDefault="006A4F70" w:rsidP="006A4F70">
            <w:pPr>
              <w:spacing w:before="0" w:after="0"/>
              <w:rPr>
                <w:rFonts w:eastAsia="Times New Roman" w:cstheme="minorHAnsi"/>
                <w:color w:val="000000"/>
                <w:szCs w:val="20"/>
                <w:lang w:eastAsia="en-AU"/>
              </w:rPr>
            </w:pPr>
            <w:r w:rsidRPr="00CF5AF5">
              <w:rPr>
                <w:rFonts w:eastAsia="Times New Roman" w:cstheme="minorHAnsi"/>
                <w:color w:val="000000"/>
                <w:szCs w:val="20"/>
                <w:lang w:eastAsia="en-AU"/>
              </w:rPr>
              <w:t xml:space="preserve">Patients taking up HRD </w:t>
            </w:r>
            <w:r w:rsidR="00CF5AF5">
              <w:rPr>
                <w:rFonts w:eastAsia="Times New Roman" w:cstheme="minorHAnsi"/>
                <w:color w:val="000000"/>
                <w:szCs w:val="20"/>
                <w:lang w:eastAsia="en-AU"/>
              </w:rPr>
              <w:t>testing</w:t>
            </w:r>
          </w:p>
        </w:tc>
        <w:tc>
          <w:tcPr>
            <w:tcW w:w="2880" w:type="dxa"/>
            <w:tcBorders>
              <w:top w:val="nil"/>
              <w:left w:val="nil"/>
              <w:bottom w:val="single" w:sz="4" w:space="0" w:color="auto"/>
              <w:right w:val="single" w:sz="8" w:space="0" w:color="auto"/>
            </w:tcBorders>
            <w:shd w:val="clear" w:color="auto" w:fill="auto"/>
            <w:noWrap/>
            <w:vAlign w:val="center"/>
            <w:hideMark/>
          </w:tcPr>
          <w:p w14:paraId="6967BAA0" w14:textId="530C5361" w:rsidR="006A4F70" w:rsidRPr="006A4F70" w:rsidRDefault="00CF5AF5" w:rsidP="006A4F70">
            <w:pPr>
              <w:spacing w:before="0" w:after="0"/>
              <w:jc w:val="center"/>
              <w:rPr>
                <w:rFonts w:eastAsia="Times New Roman" w:cstheme="minorHAnsi"/>
                <w:color w:val="000000"/>
                <w:szCs w:val="20"/>
                <w:lang w:eastAsia="en-AU"/>
              </w:rPr>
            </w:pPr>
            <w:r>
              <w:rPr>
                <w:rFonts w:eastAsia="Times New Roman" w:cstheme="minorHAnsi"/>
                <w:color w:val="000000"/>
                <w:szCs w:val="20"/>
                <w:lang w:eastAsia="en-AU"/>
              </w:rPr>
              <w:t>9</w:t>
            </w:r>
            <w:r w:rsidR="00C1445B">
              <w:rPr>
                <w:rFonts w:eastAsia="Times New Roman" w:cstheme="minorHAnsi"/>
                <w:color w:val="000000"/>
                <w:szCs w:val="20"/>
                <w:lang w:eastAsia="en-AU"/>
              </w:rPr>
              <w:t>86</w:t>
            </w:r>
          </w:p>
        </w:tc>
      </w:tr>
    </w:tbl>
    <w:p w14:paraId="6FC45AB5" w14:textId="77777777" w:rsidR="00657F5A" w:rsidRPr="00154B00" w:rsidRDefault="00657F5A" w:rsidP="009371B1">
      <w:pPr>
        <w:rPr>
          <w:szCs w:val="20"/>
        </w:rPr>
      </w:pPr>
    </w:p>
    <w:p w14:paraId="343EA6BD" w14:textId="77777777" w:rsidR="000D1E44" w:rsidRDefault="000D1E44">
      <w:pPr>
        <w:spacing w:before="0" w:after="200" w:line="276" w:lineRule="auto"/>
        <w:rPr>
          <w:b/>
          <w:szCs w:val="20"/>
        </w:rPr>
      </w:pPr>
      <w:r>
        <w:br w:type="page"/>
      </w:r>
    </w:p>
    <w:p w14:paraId="56ACCBC3" w14:textId="5ECE87DA"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40EA3450" w14:textId="77777777" w:rsidR="00EE3E1B" w:rsidRDefault="00EE3E1B" w:rsidP="00EE3E1B">
      <w:pPr>
        <w:ind w:left="360"/>
        <w:jc w:val="both"/>
      </w:pPr>
      <w:r w:rsidRPr="008821AE">
        <w:t xml:space="preserve">A detailed </w:t>
      </w:r>
      <w:r>
        <w:t xml:space="preserve">utilisation </w:t>
      </w:r>
      <w:r w:rsidRPr="008821AE">
        <w:t>a</w:t>
      </w:r>
      <w:r>
        <w:t>nalysis</w:t>
      </w:r>
      <w:r w:rsidRPr="008821AE">
        <w:t xml:space="preserve"> will be </w:t>
      </w:r>
      <w:r>
        <w:t xml:space="preserve">presented </w:t>
      </w:r>
      <w:r w:rsidRPr="008821AE">
        <w:t>in the co-dependent MSAC/PBAC submission.</w:t>
      </w:r>
    </w:p>
    <w:p w14:paraId="77311CA7" w14:textId="1F1F6598" w:rsidR="00EE3E1B" w:rsidRDefault="00EE3E1B" w:rsidP="00EE3E1B">
      <w:pPr>
        <w:ind w:left="360"/>
      </w:pPr>
      <w:r w:rsidRPr="00EE3E1B">
        <w:t>It is not anticipated that there would be any supply or demand issues as the overall number of patients requiring testing to detect HRD status is manageable even if the number of laboratories conducting testing does not increase.  Risk of leakage is expected to be low given the specific details of the proposed MBS item descriptor</w:t>
      </w:r>
      <w:r>
        <w:t>.</w:t>
      </w:r>
    </w:p>
    <w:p w14:paraId="00D9DC6F" w14:textId="77777777" w:rsidR="00EE3E1B" w:rsidRPr="00154B00" w:rsidRDefault="00EE3E1B" w:rsidP="00AE1188">
      <w:pPr>
        <w:ind w:left="426"/>
        <w:rPr>
          <w:szCs w:val="20"/>
        </w:rPr>
      </w:pPr>
    </w:p>
    <w:p w14:paraId="4C60D4FC" w14:textId="77777777" w:rsidR="003433D1" w:rsidRDefault="003433D1">
      <w:pPr>
        <w:rPr>
          <w:b/>
          <w:sz w:val="32"/>
          <w:szCs w:val="32"/>
        </w:rPr>
      </w:pPr>
      <w:r>
        <w:rPr>
          <w:b/>
          <w:sz w:val="32"/>
          <w:szCs w:val="32"/>
        </w:rPr>
        <w:br w:type="page"/>
      </w:r>
    </w:p>
    <w:p w14:paraId="39D7B71E" w14:textId="77777777" w:rsidR="00951933" w:rsidRPr="00C776B1" w:rsidRDefault="001B5169" w:rsidP="0056015F">
      <w:pPr>
        <w:pStyle w:val="Heading1"/>
      </w:pPr>
      <w:r>
        <w:t>PART 8</w:t>
      </w:r>
      <w:r w:rsidR="00F93784">
        <w:t xml:space="preserve"> – </w:t>
      </w:r>
      <w:r w:rsidR="005A58BA">
        <w:t>COST</w:t>
      </w:r>
      <w:r w:rsidR="00951933" w:rsidRPr="00C776B1">
        <w:t xml:space="preserve"> INFORMATION</w:t>
      </w:r>
    </w:p>
    <w:p w14:paraId="2398BF22"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27441421" w14:textId="1D90C5F9" w:rsidR="00401EA9" w:rsidRDefault="00401EA9" w:rsidP="000D1E44">
      <w:pPr>
        <w:ind w:left="426"/>
      </w:pPr>
      <w:r>
        <w:t xml:space="preserve">The current MBS fee for detection of germline or tumour BRCA1 or BRCA2 mutations according to Item 73295, Item 73296 and item 73301 is $1,200.00.  </w:t>
      </w:r>
    </w:p>
    <w:p w14:paraId="73D2CE5D" w14:textId="5C7B4FA0" w:rsidR="002251D6" w:rsidRPr="00C61D27" w:rsidRDefault="002251D6" w:rsidP="000D1E44">
      <w:pPr>
        <w:spacing w:after="240"/>
        <w:ind w:left="426"/>
        <w:rPr>
          <w:rFonts w:eastAsia="Calibri" w:cs="Arial"/>
          <w:bCs/>
          <w:szCs w:val="24"/>
        </w:rPr>
      </w:pPr>
      <w:r w:rsidRPr="00C61D27">
        <w:rPr>
          <w:rFonts w:eastAsia="Calibri" w:cs="Arial"/>
          <w:bCs/>
          <w:szCs w:val="24"/>
        </w:rPr>
        <w:t xml:space="preserve">The proposed cost of HRD testing determined by </w:t>
      </w:r>
      <w:r w:rsidR="000D1E44" w:rsidRPr="000D1E44">
        <w:rPr>
          <w:rFonts w:ascii="Calibri" w:eastAsia="Calibri" w:hAnsi="Calibri" w:cs="Arial"/>
          <w:b/>
          <w:sz w:val="22"/>
          <w:szCs w:val="28"/>
        </w:rPr>
        <w:t>REDACTED</w:t>
      </w:r>
      <w:r w:rsidRPr="00C61D27">
        <w:rPr>
          <w:rFonts w:eastAsia="Calibri" w:cs="Arial"/>
          <w:bCs/>
          <w:szCs w:val="24"/>
        </w:rPr>
        <w:t xml:space="preserve"> is approximately to be in the range of </w:t>
      </w:r>
      <w:r w:rsidR="000D1E44" w:rsidRPr="000D1E44">
        <w:rPr>
          <w:rFonts w:ascii="Calibri" w:eastAsia="Calibri" w:hAnsi="Calibri" w:cs="Arial"/>
          <w:b/>
          <w:sz w:val="22"/>
          <w:szCs w:val="28"/>
        </w:rPr>
        <w:t>REDACTED</w:t>
      </w:r>
      <w:r w:rsidRPr="00C61D27">
        <w:rPr>
          <w:rFonts w:eastAsia="Calibri" w:cs="Arial"/>
          <w:bCs/>
          <w:szCs w:val="24"/>
        </w:rPr>
        <w:t xml:space="preserve"> to </w:t>
      </w:r>
      <w:r w:rsidR="000D1E44" w:rsidRPr="000D1E44">
        <w:rPr>
          <w:rFonts w:ascii="Calibri" w:eastAsia="Calibri" w:hAnsi="Calibri" w:cs="Arial"/>
          <w:b/>
          <w:sz w:val="22"/>
          <w:szCs w:val="28"/>
        </w:rPr>
        <w:t>REDACTED</w:t>
      </w:r>
      <w:r w:rsidRPr="00C61D27">
        <w:rPr>
          <w:rFonts w:eastAsia="Calibri" w:cs="Arial"/>
          <w:bCs/>
          <w:szCs w:val="24"/>
        </w:rPr>
        <w:t xml:space="preserve">. As per the MSAC application and pre-PASC document </w:t>
      </w:r>
      <w:r w:rsidR="000D1E44" w:rsidRPr="000D1E44">
        <w:rPr>
          <w:rFonts w:ascii="Calibri" w:eastAsia="Calibri" w:hAnsi="Calibri" w:cs="Arial"/>
          <w:b/>
          <w:bCs/>
          <w:sz w:val="22"/>
          <w:szCs w:val="24"/>
        </w:rPr>
        <w:t>REDACTED</w:t>
      </w:r>
      <w:r w:rsidRPr="00C61D27">
        <w:rPr>
          <w:rFonts w:eastAsia="Calibri" w:cs="Arial"/>
          <w:bCs/>
          <w:szCs w:val="24"/>
        </w:rPr>
        <w:t xml:space="preserve"> has advised that testing of tumour tissue to identify HRD status has additional complexity over tumour BRCA testing </w:t>
      </w:r>
      <w:r w:rsidR="00FD21B4" w:rsidRPr="00C61D27">
        <w:rPr>
          <w:rFonts w:eastAsia="Calibri" w:cs="Arial"/>
          <w:bCs/>
          <w:szCs w:val="24"/>
        </w:rPr>
        <w:t xml:space="preserve">alone </w:t>
      </w:r>
      <w:r w:rsidRPr="00C61D27">
        <w:rPr>
          <w:rFonts w:eastAsia="Calibri" w:cs="Arial"/>
          <w:bCs/>
          <w:szCs w:val="24"/>
        </w:rPr>
        <w:t xml:space="preserve">as </w:t>
      </w:r>
      <w:proofErr w:type="gramStart"/>
      <w:r w:rsidRPr="00C61D27">
        <w:rPr>
          <w:rFonts w:eastAsia="Calibri" w:cs="Arial"/>
          <w:bCs/>
          <w:szCs w:val="24"/>
        </w:rPr>
        <w:t>a number of</w:t>
      </w:r>
      <w:proofErr w:type="gramEnd"/>
      <w:r w:rsidRPr="00C61D27">
        <w:rPr>
          <w:rFonts w:eastAsia="Calibri" w:cs="Arial"/>
          <w:bCs/>
          <w:szCs w:val="24"/>
        </w:rPr>
        <w:t xml:space="preserve"> including but not limited to </w:t>
      </w:r>
      <w:r w:rsidR="00FD21B4" w:rsidRPr="00C61D27">
        <w:rPr>
          <w:rFonts w:eastAsia="Calibri" w:cs="Arial"/>
          <w:bCs/>
          <w:szCs w:val="24"/>
        </w:rPr>
        <w:t xml:space="preserve">the </w:t>
      </w:r>
      <w:r w:rsidRPr="00C61D27">
        <w:rPr>
          <w:rFonts w:eastAsia="Calibri" w:cs="Arial"/>
          <w:bCs/>
          <w:szCs w:val="24"/>
        </w:rPr>
        <w:t>develop</w:t>
      </w:r>
      <w:r w:rsidR="00FD21B4" w:rsidRPr="00C61D27">
        <w:rPr>
          <w:rFonts w:eastAsia="Calibri" w:cs="Arial"/>
          <w:bCs/>
          <w:szCs w:val="24"/>
        </w:rPr>
        <w:t>ment of</w:t>
      </w:r>
      <w:r w:rsidRPr="00C61D27">
        <w:rPr>
          <w:rFonts w:eastAsia="Calibri" w:cs="Arial"/>
          <w:bCs/>
          <w:szCs w:val="24"/>
        </w:rPr>
        <w:t xml:space="preserve"> a quantitative assessment of genomic instability</w:t>
      </w:r>
      <w:r w:rsidR="00FD21B4" w:rsidRPr="00C61D27">
        <w:rPr>
          <w:rFonts w:eastAsia="Calibri" w:cs="Arial"/>
          <w:bCs/>
          <w:szCs w:val="24"/>
        </w:rPr>
        <w:t xml:space="preserve"> in tumour tissue.</w:t>
      </w:r>
    </w:p>
    <w:p w14:paraId="58503559" w14:textId="7943AA30" w:rsidR="002251D6" w:rsidRPr="002251D6" w:rsidRDefault="002251D6" w:rsidP="000D1E44">
      <w:pPr>
        <w:ind w:left="426"/>
        <w:rPr>
          <w:color w:val="4F81BD" w:themeColor="accent1"/>
        </w:rPr>
      </w:pPr>
      <w:r w:rsidRPr="00C61D27">
        <w:rPr>
          <w:rFonts w:eastAsia="Calibri" w:cs="Arial"/>
          <w:bCs/>
          <w:szCs w:val="24"/>
        </w:rPr>
        <w:t>Given the PASC concerns with regards to the propose price of the test, AstraZeneca seeks guidance from MSAC to advise an appropriate pricing structure to support a cost-effective price of the HRD test</w:t>
      </w:r>
    </w:p>
    <w:p w14:paraId="0473D303" w14:textId="388FDAD3" w:rsidR="00401EA9" w:rsidRPr="00401EA9" w:rsidRDefault="00951933" w:rsidP="000D1E44">
      <w:pPr>
        <w:pStyle w:val="Heading2"/>
      </w:pPr>
      <w:r w:rsidRPr="00154B00">
        <w:t xml:space="preserve">Specify how </w:t>
      </w:r>
      <w:r w:rsidRPr="00AE1188">
        <w:t>long</w:t>
      </w:r>
      <w:r w:rsidRPr="00154B00">
        <w:t xml:space="preserve"> the proposed medical ser</w:t>
      </w:r>
      <w:r w:rsidR="00AE1188">
        <w:t>vice typically takes to perform:</w:t>
      </w:r>
    </w:p>
    <w:p w14:paraId="110DC111" w14:textId="2CE531BE" w:rsidR="002B3807" w:rsidRDefault="002B3807" w:rsidP="000D1E44">
      <w:pPr>
        <w:ind w:left="426"/>
        <w:rPr>
          <w:bCs/>
          <w:szCs w:val="20"/>
        </w:rPr>
      </w:pPr>
      <w:r w:rsidRPr="002B3807">
        <w:rPr>
          <w:bCs/>
          <w:szCs w:val="20"/>
        </w:rPr>
        <w:t>Tumour testing to detect somatic BRCA1/2 mutations takes 4-6 weeks from request to reporting. This includes time for the request and time to transport the tumour specimen to a specialist laboratory, if needed (7-10 days). Testing in the laboratory may require several hours of activity to perform plus run time for automated processes depending on instrumentation and procedures being followed and could take up to 4 weeks. Reporting results to the requesting specialist or consultant physician takes a further 1-2 days. A similar timeframe would apply to HRD testing.</w:t>
      </w:r>
      <w:r>
        <w:rPr>
          <w:bCs/>
          <w:szCs w:val="20"/>
        </w:rPr>
        <w:t xml:space="preserve">  </w:t>
      </w:r>
    </w:p>
    <w:p w14:paraId="7F403F76" w14:textId="77777777" w:rsidR="00E66604" w:rsidRDefault="00E66604" w:rsidP="002B3807">
      <w:pPr>
        <w:rPr>
          <w:b/>
          <w:szCs w:val="20"/>
        </w:rPr>
      </w:pPr>
    </w:p>
    <w:p w14:paraId="1CA2DC87" w14:textId="2B08C44C"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19BA6109" w14:textId="77777777" w:rsidR="005F5A2D" w:rsidRDefault="00086DA1" w:rsidP="00086DA1">
      <w:r>
        <w:t>This MSAC application request the following MBS items for the medical service Homologous Recom</w:t>
      </w:r>
      <w:r w:rsidR="00192FAF">
        <w:t xml:space="preserve">bination Deficiency testing. </w:t>
      </w:r>
    </w:p>
    <w:p w14:paraId="173424AF" w14:textId="254BA239" w:rsidR="00192FAF" w:rsidRPr="000D1E44" w:rsidRDefault="00192FAF" w:rsidP="00192FAF">
      <w:pPr>
        <w:pStyle w:val="Caption"/>
        <w:rPr>
          <w:color w:val="auto"/>
          <w:sz w:val="20"/>
          <w:szCs w:val="20"/>
        </w:rPr>
      </w:pPr>
      <w:bookmarkStart w:id="15" w:name="_Ref54971508"/>
      <w:r w:rsidRPr="000D1E44">
        <w:rPr>
          <w:color w:val="auto"/>
          <w:sz w:val="20"/>
          <w:szCs w:val="20"/>
        </w:rPr>
        <w:t xml:space="preserve">Table </w:t>
      </w:r>
      <w:r w:rsidRPr="000D1E44">
        <w:rPr>
          <w:color w:val="auto"/>
          <w:sz w:val="20"/>
          <w:szCs w:val="20"/>
        </w:rPr>
        <w:fldChar w:fldCharType="begin"/>
      </w:r>
      <w:r w:rsidRPr="000D1E44">
        <w:rPr>
          <w:color w:val="auto"/>
          <w:sz w:val="20"/>
          <w:szCs w:val="20"/>
        </w:rPr>
        <w:instrText xml:space="preserve"> SEQ Table \* ARABIC </w:instrText>
      </w:r>
      <w:r w:rsidRPr="000D1E44">
        <w:rPr>
          <w:color w:val="auto"/>
          <w:sz w:val="20"/>
          <w:szCs w:val="20"/>
        </w:rPr>
        <w:fldChar w:fldCharType="separate"/>
      </w:r>
      <w:r w:rsidR="00EA35EE" w:rsidRPr="000D1E44">
        <w:rPr>
          <w:noProof/>
          <w:color w:val="auto"/>
          <w:sz w:val="20"/>
          <w:szCs w:val="20"/>
        </w:rPr>
        <w:t>3</w:t>
      </w:r>
      <w:r w:rsidRPr="000D1E44">
        <w:rPr>
          <w:color w:val="auto"/>
          <w:sz w:val="20"/>
          <w:szCs w:val="20"/>
        </w:rPr>
        <w:fldChar w:fldCharType="end"/>
      </w:r>
      <w:bookmarkEnd w:id="15"/>
      <w:r w:rsidRPr="000D1E44">
        <w:rPr>
          <w:color w:val="auto"/>
          <w:sz w:val="20"/>
          <w:szCs w:val="20"/>
        </w:rPr>
        <w:t xml:space="preserve"> Proposed MBS item description for HRD test which includes BRCA1 or BRCA2 identification</w:t>
      </w:r>
    </w:p>
    <w:p w14:paraId="2EF2E7B5" w14:textId="782E7AB8" w:rsidR="00AE1188" w:rsidRPr="006255BF"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6255BF">
        <w:rPr>
          <w:sz w:val="18"/>
          <w:szCs w:val="18"/>
        </w:rPr>
        <w:t xml:space="preserve">Category </w:t>
      </w:r>
      <w:r w:rsidR="00086DA1" w:rsidRPr="006255BF">
        <w:rPr>
          <w:sz w:val="18"/>
          <w:szCs w:val="18"/>
        </w:rPr>
        <w:t>6</w:t>
      </w:r>
      <w:r w:rsidRPr="006255BF">
        <w:rPr>
          <w:sz w:val="18"/>
          <w:szCs w:val="18"/>
        </w:rPr>
        <w:t xml:space="preserve"> – </w:t>
      </w:r>
      <w:r w:rsidR="00086DA1" w:rsidRPr="006255BF">
        <w:rPr>
          <w:sz w:val="18"/>
          <w:szCs w:val="18"/>
        </w:rPr>
        <w:t xml:space="preserve"> Pathology Services</w:t>
      </w:r>
      <w:r w:rsidRPr="006255BF">
        <w:rPr>
          <w:sz w:val="18"/>
          <w:szCs w:val="18"/>
        </w:rPr>
        <w:t xml:space="preserve"> </w:t>
      </w:r>
    </w:p>
    <w:p w14:paraId="37AFDB3A" w14:textId="15CEF82B" w:rsidR="00AE1188" w:rsidRPr="006255BF" w:rsidRDefault="00086DA1" w:rsidP="00AE1188">
      <w:pPr>
        <w:pBdr>
          <w:top w:val="single" w:sz="4" w:space="1" w:color="auto"/>
          <w:left w:val="single" w:sz="4" w:space="4" w:color="auto"/>
          <w:bottom w:val="single" w:sz="4" w:space="1" w:color="auto"/>
          <w:right w:val="single" w:sz="4" w:space="4" w:color="auto"/>
        </w:pBdr>
        <w:rPr>
          <w:sz w:val="18"/>
          <w:szCs w:val="18"/>
        </w:rPr>
      </w:pPr>
      <w:r w:rsidRPr="006255BF">
        <w:rPr>
          <w:sz w:val="18"/>
          <w:szCs w:val="18"/>
        </w:rPr>
        <w:t>MBS item XXXXX</w:t>
      </w:r>
      <w:r w:rsidRPr="006255BF">
        <w:rPr>
          <w:sz w:val="18"/>
          <w:szCs w:val="18"/>
        </w:rPr>
        <w:tab/>
      </w:r>
      <w:r w:rsidRPr="006255BF">
        <w:rPr>
          <w:sz w:val="18"/>
          <w:szCs w:val="18"/>
        </w:rPr>
        <w:tab/>
      </w:r>
      <w:r w:rsidRPr="006255BF">
        <w:rPr>
          <w:sz w:val="18"/>
          <w:szCs w:val="18"/>
        </w:rPr>
        <w:tab/>
      </w:r>
      <w:r w:rsidRPr="006255BF">
        <w:rPr>
          <w:sz w:val="18"/>
          <w:szCs w:val="18"/>
        </w:rPr>
        <w:tab/>
      </w:r>
      <w:r w:rsidRPr="006255BF">
        <w:rPr>
          <w:sz w:val="18"/>
          <w:szCs w:val="18"/>
        </w:rPr>
        <w:tab/>
      </w:r>
      <w:r w:rsidRPr="006255BF">
        <w:rPr>
          <w:sz w:val="18"/>
          <w:szCs w:val="18"/>
        </w:rPr>
        <w:tab/>
      </w:r>
      <w:r w:rsidRPr="006255BF">
        <w:rPr>
          <w:sz w:val="18"/>
          <w:szCs w:val="18"/>
        </w:rPr>
        <w:tab/>
      </w:r>
      <w:r w:rsidRPr="006255BF">
        <w:rPr>
          <w:sz w:val="18"/>
          <w:szCs w:val="18"/>
        </w:rPr>
        <w:tab/>
      </w:r>
      <w:r w:rsidRPr="006255BF">
        <w:rPr>
          <w:sz w:val="18"/>
          <w:szCs w:val="18"/>
        </w:rPr>
        <w:tab/>
        <w:t>Group P7 - Genetics</w:t>
      </w:r>
    </w:p>
    <w:p w14:paraId="707A1D0E" w14:textId="4C9525F5" w:rsidR="00AE1188" w:rsidRDefault="00AE1188" w:rsidP="00AE1188">
      <w:pPr>
        <w:pBdr>
          <w:top w:val="single" w:sz="4" w:space="1" w:color="auto"/>
          <w:left w:val="single" w:sz="4" w:space="4" w:color="auto"/>
          <w:bottom w:val="single" w:sz="4" w:space="1" w:color="auto"/>
          <w:right w:val="single" w:sz="4" w:space="4" w:color="auto"/>
        </w:pBdr>
        <w:rPr>
          <w:sz w:val="18"/>
          <w:szCs w:val="18"/>
        </w:rPr>
      </w:pPr>
      <w:r w:rsidRPr="006255BF">
        <w:rPr>
          <w:sz w:val="18"/>
          <w:szCs w:val="18"/>
        </w:rPr>
        <w:t xml:space="preserve">Proposed item descriptor: </w:t>
      </w:r>
    </w:p>
    <w:p w14:paraId="64CA2521" w14:textId="5CAD295E" w:rsidR="002251D6" w:rsidRPr="00C61D27" w:rsidRDefault="002251D6" w:rsidP="002251D6">
      <w:pPr>
        <w:pBdr>
          <w:top w:val="single" w:sz="4" w:space="1" w:color="auto"/>
          <w:left w:val="single" w:sz="4" w:space="4" w:color="auto"/>
          <w:bottom w:val="single" w:sz="4" w:space="1" w:color="auto"/>
          <w:right w:val="single" w:sz="4" w:space="4" w:color="auto"/>
        </w:pBdr>
        <w:spacing w:after="0"/>
        <w:rPr>
          <w:rFonts w:ascii="Arial Narrow" w:hAnsi="Arial Narrow" w:cstheme="minorHAnsi"/>
          <w:szCs w:val="20"/>
        </w:rPr>
      </w:pPr>
      <w:r w:rsidRPr="00C61D27">
        <w:rPr>
          <w:sz w:val="18"/>
          <w:szCs w:val="18"/>
        </w:rPr>
        <w:t>A  test of tumour tissue from a patient with advanced (FIGOIII-IV), high-grade serous or high-grade epithelial ovarian, fallopian tube or primary peritoneal cancer, requested by a specialist or consultant physician, to detect homologous recombination deficiency (HRD), including BRCA 1 or BRCA2 pathogenic or likely pathogenic gene variants to determine patient eligibility to access olaparib with or without bevacizumab under the Pharmaceutical Benefits Scheme (PBS).</w:t>
      </w:r>
      <w:r w:rsidRPr="00C61D27">
        <w:rPr>
          <w:rFonts w:ascii="Arial Narrow" w:hAnsi="Arial Narrow" w:cstheme="minorHAnsi"/>
          <w:szCs w:val="20"/>
        </w:rPr>
        <w:t xml:space="preserve"> </w:t>
      </w:r>
    </w:p>
    <w:p w14:paraId="3DD3B17A" w14:textId="30ED4A92" w:rsidR="00086DA1" w:rsidRPr="006255BF" w:rsidRDefault="00EF3FF6" w:rsidP="00AE1188">
      <w:pPr>
        <w:pBdr>
          <w:top w:val="single" w:sz="4" w:space="1" w:color="auto"/>
          <w:left w:val="single" w:sz="4" w:space="4" w:color="auto"/>
          <w:bottom w:val="single" w:sz="4" w:space="1" w:color="auto"/>
          <w:right w:val="single" w:sz="4" w:space="4" w:color="auto"/>
        </w:pBdr>
        <w:rPr>
          <w:sz w:val="18"/>
          <w:szCs w:val="18"/>
        </w:rPr>
      </w:pPr>
      <w:r w:rsidRPr="006255BF">
        <w:rPr>
          <w:sz w:val="18"/>
          <w:szCs w:val="18"/>
        </w:rPr>
        <w:t xml:space="preserve">Once per </w:t>
      </w:r>
      <w:r w:rsidR="00086DA1" w:rsidRPr="006255BF">
        <w:rPr>
          <w:sz w:val="18"/>
          <w:szCs w:val="18"/>
        </w:rPr>
        <w:t>primary tumour</w:t>
      </w:r>
      <w:r w:rsidRPr="006255BF">
        <w:rPr>
          <w:sz w:val="18"/>
          <w:szCs w:val="18"/>
        </w:rPr>
        <w:t xml:space="preserve"> diagnosis</w:t>
      </w:r>
    </w:p>
    <w:p w14:paraId="14D852DD" w14:textId="1FE3BF1C" w:rsidR="00192FAF" w:rsidRPr="006255BF" w:rsidRDefault="00AE1188" w:rsidP="00E66604">
      <w:pPr>
        <w:pBdr>
          <w:top w:val="single" w:sz="4" w:space="1" w:color="auto"/>
          <w:left w:val="single" w:sz="4" w:space="4" w:color="auto"/>
          <w:bottom w:val="single" w:sz="4" w:space="1" w:color="auto"/>
          <w:right w:val="single" w:sz="4" w:space="4" w:color="auto"/>
        </w:pBdr>
        <w:rPr>
          <w:sz w:val="18"/>
          <w:szCs w:val="18"/>
        </w:rPr>
      </w:pPr>
      <w:r w:rsidRPr="006255BF">
        <w:rPr>
          <w:sz w:val="18"/>
          <w:szCs w:val="18"/>
        </w:rPr>
        <w:t>Fee:  $</w:t>
      </w:r>
      <w:r w:rsidR="00E9174F">
        <w:rPr>
          <w:sz w:val="18"/>
          <w:szCs w:val="18"/>
        </w:rPr>
        <w:t xml:space="preserve"> TO BE CONFIRMED</w:t>
      </w:r>
    </w:p>
    <w:p w14:paraId="2DB0E55E" w14:textId="4410FF04" w:rsidR="00630D20" w:rsidRDefault="00630D20">
      <w:pPr>
        <w:spacing w:before="0" w:after="200" w:line="276" w:lineRule="auto"/>
      </w:pPr>
      <w:r>
        <w:br w:type="page"/>
      </w:r>
    </w:p>
    <w:p w14:paraId="3A1B6FE2" w14:textId="77777777" w:rsidR="005703C1" w:rsidRPr="000D1E44" w:rsidRDefault="005703C1" w:rsidP="005703C1">
      <w:pPr>
        <w:rPr>
          <w:bCs/>
          <w:color w:val="4F81BD" w:themeColor="accent1"/>
          <w:sz w:val="40"/>
          <w:szCs w:val="32"/>
        </w:rPr>
      </w:pPr>
      <w:r w:rsidRPr="000D1E44">
        <w:rPr>
          <w:bCs/>
          <w:color w:val="4F81BD" w:themeColor="accent1"/>
          <w:sz w:val="40"/>
          <w:szCs w:val="32"/>
        </w:rPr>
        <w:t xml:space="preserve">References </w:t>
      </w:r>
    </w:p>
    <w:p w14:paraId="3FD7A46D" w14:textId="5C7EB4F5" w:rsidR="005703C1" w:rsidRPr="000D1E44" w:rsidRDefault="005703C1" w:rsidP="00C15030">
      <w:pPr>
        <w:rPr>
          <w:szCs w:val="20"/>
        </w:rPr>
      </w:pPr>
      <w:r w:rsidRPr="000D1E44">
        <w:rPr>
          <w:szCs w:val="20"/>
        </w:rPr>
        <w:t>Alsop K, F. S. et al. BRCA Mutation Frequency and Patterns of Treatment Response in BRC</w:t>
      </w:r>
      <w:r w:rsidR="00C15030" w:rsidRPr="000D1E44">
        <w:rPr>
          <w:szCs w:val="20"/>
        </w:rPr>
        <w:t xml:space="preserve"> </w:t>
      </w:r>
      <w:r w:rsidRPr="000D1E44">
        <w:rPr>
          <w:szCs w:val="20"/>
        </w:rPr>
        <w:t xml:space="preserve">Mutation–Positive Women </w:t>
      </w:r>
      <w:r w:rsidR="000D1E44">
        <w:rPr>
          <w:szCs w:val="20"/>
        </w:rPr>
        <w:t>w</w:t>
      </w:r>
      <w:r w:rsidRPr="000D1E44">
        <w:rPr>
          <w:szCs w:val="20"/>
        </w:rPr>
        <w:t xml:space="preserve">ith Ovarian Cancer: A Report </w:t>
      </w:r>
      <w:proofErr w:type="gramStart"/>
      <w:r w:rsidRPr="000D1E44">
        <w:rPr>
          <w:szCs w:val="20"/>
        </w:rPr>
        <w:t>From</w:t>
      </w:r>
      <w:proofErr w:type="gramEnd"/>
      <w:r w:rsidRPr="000D1E44">
        <w:rPr>
          <w:szCs w:val="20"/>
        </w:rPr>
        <w:t xml:space="preserve"> the Australian Ovarian Cancer Study</w:t>
      </w:r>
      <w:r w:rsidR="00C15030" w:rsidRPr="000D1E44">
        <w:rPr>
          <w:szCs w:val="20"/>
        </w:rPr>
        <w:t xml:space="preserve"> </w:t>
      </w:r>
      <w:r w:rsidRPr="000D1E44">
        <w:rPr>
          <w:szCs w:val="20"/>
        </w:rPr>
        <w:t>Group. J Clin Oncol, 2012; 30, 2654-2663.</w:t>
      </w:r>
    </w:p>
    <w:p w14:paraId="4ECBCEC0" w14:textId="77777777" w:rsidR="005703C1" w:rsidRPr="000D1E44" w:rsidRDefault="005703C1" w:rsidP="00C15030">
      <w:pPr>
        <w:rPr>
          <w:szCs w:val="20"/>
        </w:rPr>
      </w:pPr>
      <w:r w:rsidRPr="000D1E44">
        <w:rPr>
          <w:szCs w:val="20"/>
        </w:rPr>
        <w:t>ARIEL3 (NCT01968213) Coleman et al Rucaparib maintenance treatment for recurrent ovarian carcinoma after response to platinum therapy (ARIEL 3): a randomised, double-blind, placebo-controlled, phase 3 trial. Lancet 2017; 390 (10106):1949-1961</w:t>
      </w:r>
    </w:p>
    <w:p w14:paraId="7BC77DD4" w14:textId="77777777" w:rsidR="005703C1" w:rsidRPr="000D1E44" w:rsidRDefault="005703C1" w:rsidP="005703C1">
      <w:pPr>
        <w:autoSpaceDE w:val="0"/>
        <w:autoSpaceDN w:val="0"/>
        <w:adjustRightInd w:val="0"/>
        <w:rPr>
          <w:szCs w:val="20"/>
        </w:rPr>
      </w:pPr>
      <w:r w:rsidRPr="000D1E44">
        <w:rPr>
          <w:szCs w:val="20"/>
        </w:rPr>
        <w:t>Australian Institute of Health and Welfare &amp; National Breast and Ovarian Cancer Centre 2010. Ovarian cancer in Australia: an overview, 2010. Cancer series no. 52. Cat. no. CAN 48. Canberra: AIHW.</w:t>
      </w:r>
    </w:p>
    <w:p w14:paraId="2F33254E" w14:textId="77777777" w:rsidR="005703C1" w:rsidRPr="000D1E44" w:rsidRDefault="005703C1" w:rsidP="005703C1">
      <w:pPr>
        <w:rPr>
          <w:szCs w:val="20"/>
        </w:rPr>
      </w:pPr>
      <w:r w:rsidRPr="000D1E44">
        <w:rPr>
          <w:szCs w:val="20"/>
        </w:rPr>
        <w:t>Australian Institute of Health and Welfare Cancer (AIHW) 2018. Cancer Data in Australia. Cat. no. CAN 122.Retrieved from Australian Institute of Health and Welfare.</w:t>
      </w:r>
    </w:p>
    <w:p w14:paraId="582ADB67" w14:textId="77777777" w:rsidR="005703C1" w:rsidRPr="000D1E44" w:rsidRDefault="005703C1" w:rsidP="005703C1">
      <w:pPr>
        <w:rPr>
          <w:szCs w:val="20"/>
        </w:rPr>
      </w:pPr>
      <w:r w:rsidRPr="000D1E44">
        <w:rPr>
          <w:szCs w:val="20"/>
        </w:rPr>
        <w:t xml:space="preserve">Bindra </w:t>
      </w:r>
      <w:proofErr w:type="gramStart"/>
      <w:r w:rsidRPr="000D1E44">
        <w:rPr>
          <w:szCs w:val="20"/>
        </w:rPr>
        <w:t>RS  et</w:t>
      </w:r>
      <w:proofErr w:type="gramEnd"/>
      <w:r w:rsidRPr="000D1E44">
        <w:rPr>
          <w:szCs w:val="20"/>
        </w:rPr>
        <w:t xml:space="preserve"> al Down-regulation of Rad51 and decreased homologous recombination in hypoxic cancer cells. Mol Cell Biol 2004; 24(19):8504-18</w:t>
      </w:r>
    </w:p>
    <w:p w14:paraId="7F2FF5DA" w14:textId="77777777" w:rsidR="005703C1" w:rsidRPr="000D1E44" w:rsidRDefault="005703C1" w:rsidP="005703C1">
      <w:pPr>
        <w:rPr>
          <w:szCs w:val="20"/>
        </w:rPr>
      </w:pPr>
      <w:r w:rsidRPr="000D1E44">
        <w:rPr>
          <w:szCs w:val="20"/>
        </w:rPr>
        <w:t>Bindra RS et al Hypoxia-induced down-regulation of BRCA1 expression by E2Fs. Cancer Res 2005; 65 (24):11597-604</w:t>
      </w:r>
    </w:p>
    <w:p w14:paraId="6DF79A90" w14:textId="77777777" w:rsidR="005703C1" w:rsidRPr="000D1E44" w:rsidRDefault="005703C1" w:rsidP="005703C1">
      <w:pPr>
        <w:rPr>
          <w:szCs w:val="20"/>
        </w:rPr>
      </w:pPr>
      <w:r w:rsidRPr="000D1E44">
        <w:rPr>
          <w:szCs w:val="20"/>
        </w:rPr>
        <w:t>Bindra RS et al Regulation of DNA repair in hypoxic cancer cells. Cancer Metastasis Rev 2007; 26 (2):246-60</w:t>
      </w:r>
    </w:p>
    <w:p w14:paraId="4EF17595" w14:textId="77777777" w:rsidR="005703C1" w:rsidRPr="000D1E44" w:rsidRDefault="005703C1" w:rsidP="005703C1">
      <w:pPr>
        <w:rPr>
          <w:szCs w:val="20"/>
        </w:rPr>
      </w:pPr>
      <w:r w:rsidRPr="000D1E44">
        <w:rPr>
          <w:szCs w:val="20"/>
        </w:rPr>
        <w:t>Bonadio et al Homologous recombination deficiency in ovarian cancer: a review of its epidemiology and management. CLINICS 2018; 73 (suppl 1</w:t>
      </w:r>
      <w:proofErr w:type="gramStart"/>
      <w:r w:rsidRPr="000D1E44">
        <w:rPr>
          <w:szCs w:val="20"/>
        </w:rPr>
        <w:t>):e</w:t>
      </w:r>
      <w:proofErr w:type="gramEnd"/>
      <w:r w:rsidRPr="000D1E44">
        <w:rPr>
          <w:szCs w:val="20"/>
        </w:rPr>
        <w:t>450s</w:t>
      </w:r>
    </w:p>
    <w:p w14:paraId="2038A4EE" w14:textId="77777777" w:rsidR="005703C1" w:rsidRPr="000D1E44" w:rsidRDefault="005703C1" w:rsidP="005703C1">
      <w:pPr>
        <w:rPr>
          <w:szCs w:val="20"/>
        </w:rPr>
      </w:pPr>
      <w:r w:rsidRPr="000D1E44">
        <w:rPr>
          <w:szCs w:val="20"/>
        </w:rPr>
        <w:t xml:space="preserve">Cancer Australia 2020 Ovarian cancer statistics in Australia. </w:t>
      </w:r>
      <w:hyperlink r:id="rId42" w:history="1">
        <w:r w:rsidRPr="000D1E44">
          <w:rPr>
            <w:rStyle w:val="Hyperlink"/>
            <w:szCs w:val="20"/>
          </w:rPr>
          <w:t>https://www.canceraustralia.gov.au/affected-cancer/cancer-types/ovarian-cancer/statistics</w:t>
        </w:r>
      </w:hyperlink>
    </w:p>
    <w:p w14:paraId="381C0319" w14:textId="77777777" w:rsidR="005703C1" w:rsidRPr="000D1E44" w:rsidRDefault="005703C1" w:rsidP="005703C1">
      <w:pPr>
        <w:rPr>
          <w:szCs w:val="20"/>
        </w:rPr>
      </w:pPr>
      <w:r w:rsidRPr="000D1E44">
        <w:rPr>
          <w:szCs w:val="20"/>
        </w:rPr>
        <w:t>Cancer Australia 2014 First line chemotherapy for the treatment of women with epithelial ovarian cancer. (</w:t>
      </w:r>
      <w:hyperlink r:id="rId43" w:history="1">
        <w:r w:rsidRPr="000D1E44">
          <w:rPr>
            <w:szCs w:val="20"/>
          </w:rPr>
          <w:t>https://canceraustralia.gov.au/publications-and-resources/clinical-practice-guidelines/first-line-chemotherapy-treatment-women-epithelial-ovarian-cancer</w:t>
        </w:r>
      </w:hyperlink>
    </w:p>
    <w:p w14:paraId="22CC7429" w14:textId="77777777" w:rsidR="00C15030" w:rsidRPr="000D1E44" w:rsidRDefault="005703C1" w:rsidP="00C15030">
      <w:pPr>
        <w:pStyle w:val="Bibliography"/>
        <w:ind w:left="720" w:hanging="720"/>
        <w:rPr>
          <w:noProof/>
          <w:szCs w:val="20"/>
        </w:rPr>
      </w:pPr>
      <w:r w:rsidRPr="000D1E44">
        <w:rPr>
          <w:szCs w:val="20"/>
        </w:rPr>
        <w:t xml:space="preserve">Cancer Research UK 2016 </w:t>
      </w:r>
      <w:r w:rsidRPr="000D1E44">
        <w:rPr>
          <w:noProof/>
          <w:szCs w:val="20"/>
        </w:rPr>
        <w:t>CancerResearchUK. (2016, December). Retrieved from</w:t>
      </w:r>
    </w:p>
    <w:p w14:paraId="5C706B46" w14:textId="227BA494" w:rsidR="005703C1" w:rsidRPr="000D1E44" w:rsidRDefault="00C61D27" w:rsidP="00C15030">
      <w:pPr>
        <w:pStyle w:val="Bibliography"/>
        <w:ind w:left="720" w:hanging="720"/>
        <w:rPr>
          <w:noProof/>
          <w:szCs w:val="20"/>
        </w:rPr>
      </w:pPr>
      <w:hyperlink r:id="rId44" w:history="1">
        <w:r w:rsidR="00C15030" w:rsidRPr="000D1E44">
          <w:rPr>
            <w:rStyle w:val="Hyperlink"/>
            <w:noProof/>
            <w:szCs w:val="20"/>
          </w:rPr>
          <w:t>http://www.cancerreasearchuk.org/sites/default/files/gynae_carboplatin-paclitaxel_v1.pdf</w:t>
        </w:r>
      </w:hyperlink>
    </w:p>
    <w:p w14:paraId="5FD033B8" w14:textId="77777777" w:rsidR="005703C1" w:rsidRPr="000D1E44" w:rsidRDefault="005703C1" w:rsidP="005703C1">
      <w:pPr>
        <w:rPr>
          <w:szCs w:val="20"/>
        </w:rPr>
      </w:pPr>
      <w:r w:rsidRPr="000D1E44">
        <w:rPr>
          <w:noProof/>
          <w:szCs w:val="20"/>
        </w:rPr>
        <w:t xml:space="preserve">du Bois A, R. A.-L.-C. (2009). Role of surgical outcome as prognostic factor in advanced epithelial ovarian cancer: a combined exploratory analysis of 3 prospectively randomised phase 3 multicenter trials. </w:t>
      </w:r>
      <w:r w:rsidRPr="000D1E44">
        <w:rPr>
          <w:i/>
          <w:iCs/>
          <w:noProof/>
          <w:szCs w:val="20"/>
        </w:rPr>
        <w:t>Cancer</w:t>
      </w:r>
      <w:r w:rsidRPr="000D1E44">
        <w:rPr>
          <w:noProof/>
          <w:szCs w:val="20"/>
        </w:rPr>
        <w:t>, 115(6):1234-44.</w:t>
      </w:r>
    </w:p>
    <w:p w14:paraId="515D0B22" w14:textId="77777777" w:rsidR="005703C1" w:rsidRPr="000D1E44" w:rsidRDefault="005703C1" w:rsidP="005703C1">
      <w:pPr>
        <w:rPr>
          <w:szCs w:val="20"/>
        </w:rPr>
      </w:pPr>
      <w:r w:rsidRPr="000D1E44">
        <w:rPr>
          <w:szCs w:val="20"/>
        </w:rPr>
        <w:t xml:space="preserve">EVIQ Guidelines </w:t>
      </w:r>
      <w:hyperlink r:id="rId45" w:history="1">
        <w:r w:rsidRPr="000D1E44">
          <w:rPr>
            <w:rStyle w:val="Hyperlink"/>
            <w:szCs w:val="20"/>
          </w:rPr>
          <w:t>https://www.eviq.org.au/cancer-genetics/adult/genetic-testing-for-heritable-pathogenic-variants/620-brca1-and-brca2-genetic-testing</w:t>
        </w:r>
      </w:hyperlink>
    </w:p>
    <w:p w14:paraId="798109C4" w14:textId="77777777" w:rsidR="005703C1" w:rsidRPr="000D1E44" w:rsidRDefault="005703C1" w:rsidP="005703C1">
      <w:pPr>
        <w:rPr>
          <w:noProof/>
          <w:szCs w:val="20"/>
        </w:rPr>
      </w:pPr>
      <w:r w:rsidRPr="000D1E44">
        <w:rPr>
          <w:noProof/>
          <w:szCs w:val="20"/>
        </w:rPr>
        <w:t>Fotopoulou C, H. M. (2017). Bristish Gynaecological Cancer Society (BGCS) epithelial ovarian/fallopian tube/primary periotoneal cancer guidelines:recommendations for practice</w:t>
      </w:r>
    </w:p>
    <w:p w14:paraId="66608C0D" w14:textId="77777777" w:rsidR="005703C1" w:rsidRPr="000D1E44" w:rsidRDefault="005703C1" w:rsidP="005703C1">
      <w:pPr>
        <w:rPr>
          <w:szCs w:val="20"/>
        </w:rPr>
      </w:pPr>
      <w:r w:rsidRPr="000D1E44">
        <w:rPr>
          <w:szCs w:val="20"/>
        </w:rPr>
        <w:t>Glazer PM et al Hypoxia and DNA repair. Yale J Biol Med 2013; 86(4):443-51</w:t>
      </w:r>
    </w:p>
    <w:p w14:paraId="20E9C5A3" w14:textId="77777777" w:rsidR="005703C1" w:rsidRPr="000D1E44" w:rsidRDefault="005703C1" w:rsidP="005703C1">
      <w:pPr>
        <w:rPr>
          <w:szCs w:val="20"/>
        </w:rPr>
      </w:pPr>
      <w:r w:rsidRPr="000D1E44">
        <w:rPr>
          <w:szCs w:val="20"/>
        </w:rPr>
        <w:t>Jiang X et al. PARP inhibitors in ovarian cancer: sensitivity prediction and resistance mechanisms. J Cell Mol Med 2019; 23:2302-2313</w:t>
      </w:r>
    </w:p>
    <w:p w14:paraId="434FBBCE" w14:textId="77777777" w:rsidR="005703C1" w:rsidRPr="000D1E44" w:rsidRDefault="005703C1" w:rsidP="005703C1">
      <w:pPr>
        <w:rPr>
          <w:szCs w:val="20"/>
        </w:rPr>
      </w:pPr>
      <w:r w:rsidRPr="000D1E44">
        <w:rPr>
          <w:szCs w:val="20"/>
        </w:rPr>
        <w:t>Kaplan AR et al Cediranib suppresses homology-directed DNA repair through down-regulation of BRCA1/2 and RAD51. Sci Transl Med 2019; 11(492</w:t>
      </w:r>
      <w:proofErr w:type="gramStart"/>
      <w:r w:rsidRPr="000D1E44">
        <w:rPr>
          <w:szCs w:val="20"/>
        </w:rPr>
        <w:t>):pii</w:t>
      </w:r>
      <w:proofErr w:type="gramEnd"/>
      <w:r w:rsidRPr="000D1E44">
        <w:rPr>
          <w:szCs w:val="20"/>
        </w:rPr>
        <w:t>:eaav4508</w:t>
      </w:r>
    </w:p>
    <w:p w14:paraId="64E4B383" w14:textId="77777777" w:rsidR="005703C1" w:rsidRPr="000D1E44" w:rsidRDefault="005703C1" w:rsidP="005703C1">
      <w:pPr>
        <w:rPr>
          <w:szCs w:val="20"/>
        </w:rPr>
      </w:pPr>
      <w:r w:rsidRPr="000D1E44">
        <w:rPr>
          <w:szCs w:val="20"/>
        </w:rPr>
        <w:t>Konstantinopoulos PA et al Homologous recombination deficiency: exploiting the fundamental vulnerability of ovarian cancer. Cancer Discov 2015; 5(11):1137-54</w:t>
      </w:r>
    </w:p>
    <w:p w14:paraId="646731C5" w14:textId="77777777" w:rsidR="00C15030" w:rsidRPr="000D1E44" w:rsidRDefault="005703C1" w:rsidP="00C15030">
      <w:pPr>
        <w:pStyle w:val="Bibliography"/>
        <w:ind w:left="720" w:hanging="720"/>
        <w:rPr>
          <w:noProof/>
          <w:szCs w:val="20"/>
        </w:rPr>
      </w:pPr>
      <w:r w:rsidRPr="000D1E44">
        <w:rPr>
          <w:noProof/>
          <w:szCs w:val="20"/>
        </w:rPr>
        <w:t xml:space="preserve">Ledermann JA. (2017). Front-line therapy of advanced ovarian cancer: new approaches. </w:t>
      </w:r>
      <w:r w:rsidRPr="000D1E44">
        <w:rPr>
          <w:i/>
          <w:iCs/>
          <w:noProof/>
          <w:szCs w:val="20"/>
        </w:rPr>
        <w:t>Ann Oncol</w:t>
      </w:r>
      <w:r w:rsidRPr="000D1E44">
        <w:rPr>
          <w:noProof/>
          <w:szCs w:val="20"/>
        </w:rPr>
        <w:t>,</w:t>
      </w:r>
      <w:r w:rsidR="00C15030" w:rsidRPr="000D1E44">
        <w:rPr>
          <w:noProof/>
          <w:szCs w:val="20"/>
        </w:rPr>
        <w:t xml:space="preserve"> </w:t>
      </w:r>
    </w:p>
    <w:p w14:paraId="4A542A04" w14:textId="65ED3BC4" w:rsidR="005703C1" w:rsidRPr="000D1E44" w:rsidRDefault="005703C1" w:rsidP="00C15030">
      <w:pPr>
        <w:pStyle w:val="Bibliography"/>
        <w:rPr>
          <w:noProof/>
          <w:szCs w:val="20"/>
        </w:rPr>
      </w:pPr>
      <w:r w:rsidRPr="000D1E44">
        <w:rPr>
          <w:noProof/>
          <w:szCs w:val="20"/>
        </w:rPr>
        <w:t>28(suppl_8): viii46-viii50.</w:t>
      </w:r>
    </w:p>
    <w:p w14:paraId="19DCBA3D" w14:textId="77777777" w:rsidR="005703C1" w:rsidRPr="000D1E44" w:rsidRDefault="005703C1" w:rsidP="005703C1">
      <w:pPr>
        <w:rPr>
          <w:szCs w:val="20"/>
        </w:rPr>
      </w:pPr>
      <w:r w:rsidRPr="000D1E44">
        <w:rPr>
          <w:szCs w:val="20"/>
        </w:rPr>
        <w:t>Lederman J, Harter P, Gourley C, Friedlander M, et.al. Olaparib maintenance therapy in platinum-sensitive relapsed ovarian cancer. New Engl J Med 2012; 366:1382-92.</w:t>
      </w:r>
    </w:p>
    <w:p w14:paraId="43E18762" w14:textId="77777777" w:rsidR="005703C1" w:rsidRPr="000D1E44" w:rsidRDefault="005703C1" w:rsidP="005703C1">
      <w:pPr>
        <w:rPr>
          <w:szCs w:val="20"/>
        </w:rPr>
      </w:pPr>
      <w:r w:rsidRPr="000D1E44">
        <w:rPr>
          <w:szCs w:val="20"/>
        </w:rPr>
        <w:t xml:space="preserve">Ledermann JA, Raja FA, Fotopoulou C, et al. Newly diagnosed and relapsed epithelial ovarian carcinoma: ESMO Clinical Practice Guidelines for diagnosis, </w:t>
      </w:r>
      <w:proofErr w:type="gramStart"/>
      <w:r w:rsidRPr="000D1E44">
        <w:rPr>
          <w:szCs w:val="20"/>
        </w:rPr>
        <w:t>treatment</w:t>
      </w:r>
      <w:proofErr w:type="gramEnd"/>
      <w:r w:rsidRPr="000D1E44">
        <w:rPr>
          <w:szCs w:val="20"/>
        </w:rPr>
        <w:t xml:space="preserve"> and follow-up. Ann Oncol. 2013;24 Suppl 6:vi24-32.</w:t>
      </w:r>
    </w:p>
    <w:p w14:paraId="3E13908B" w14:textId="0A570EFB" w:rsidR="005703C1" w:rsidRPr="000D1E44" w:rsidRDefault="005703C1" w:rsidP="005703C1">
      <w:pPr>
        <w:spacing w:before="0"/>
        <w:rPr>
          <w:szCs w:val="20"/>
        </w:rPr>
      </w:pPr>
      <w:r w:rsidRPr="000D1E44">
        <w:rPr>
          <w:szCs w:val="20"/>
        </w:rPr>
        <w:t xml:space="preserve">NICE clinical guidelines 122 Ovarian cancer: recognition and initial management. Clinical Guidelines [CG 122] Published 27 </w:t>
      </w:r>
      <w:proofErr w:type="gramStart"/>
      <w:r w:rsidRPr="000D1E44">
        <w:rPr>
          <w:szCs w:val="20"/>
        </w:rPr>
        <w:t>April,</w:t>
      </w:r>
      <w:proofErr w:type="gramEnd"/>
      <w:r w:rsidRPr="000D1E44">
        <w:rPr>
          <w:szCs w:val="20"/>
        </w:rPr>
        <w:t xml:space="preserve"> 2011 accessed </w:t>
      </w:r>
      <w:hyperlink r:id="rId46" w:history="1">
        <w:r w:rsidRPr="000D1E44">
          <w:rPr>
            <w:rStyle w:val="Hyperlink"/>
            <w:szCs w:val="20"/>
          </w:rPr>
          <w:t>https://www.nice.org.uk/guidance/cg122</w:t>
        </w:r>
      </w:hyperlink>
    </w:p>
    <w:p w14:paraId="0F9D0B73" w14:textId="45CAA635" w:rsidR="005703C1" w:rsidRPr="000D1E44" w:rsidRDefault="005703C1" w:rsidP="005703C1">
      <w:pPr>
        <w:pStyle w:val="EndNoteBibliography"/>
        <w:spacing w:after="0"/>
        <w:ind w:left="720" w:hanging="720"/>
        <w:rPr>
          <w:rFonts w:asciiTheme="minorHAnsi" w:eastAsiaTheme="minorHAnsi" w:hAnsiTheme="minorHAnsi" w:cstheme="minorBidi"/>
          <w:noProof w:val="0"/>
          <w:sz w:val="20"/>
          <w:szCs w:val="20"/>
          <w:lang w:val="en-AU" w:eastAsia="en-US"/>
        </w:rPr>
      </w:pPr>
      <w:r w:rsidRPr="000D1E44">
        <w:rPr>
          <w:rFonts w:asciiTheme="minorHAnsi" w:eastAsiaTheme="minorHAnsi" w:hAnsiTheme="minorHAnsi" w:cstheme="minorBidi"/>
          <w:noProof w:val="0"/>
          <w:sz w:val="20"/>
          <w:szCs w:val="20"/>
          <w:lang w:val="en-AU" w:eastAsia="en-US"/>
        </w:rPr>
        <w:t xml:space="preserve">Norquist BM, Harrell MI, Brady MF, et al. Inherited Mutations in Women </w:t>
      </w:r>
      <w:r w:rsidR="000D1E44">
        <w:rPr>
          <w:rFonts w:asciiTheme="minorHAnsi" w:eastAsiaTheme="minorHAnsi" w:hAnsiTheme="minorHAnsi" w:cstheme="minorBidi"/>
          <w:noProof w:val="0"/>
          <w:sz w:val="20"/>
          <w:szCs w:val="20"/>
          <w:lang w:val="en-AU" w:eastAsia="en-US"/>
        </w:rPr>
        <w:t>w</w:t>
      </w:r>
      <w:r w:rsidRPr="000D1E44">
        <w:rPr>
          <w:rFonts w:asciiTheme="minorHAnsi" w:eastAsiaTheme="minorHAnsi" w:hAnsiTheme="minorHAnsi" w:cstheme="minorBidi"/>
          <w:noProof w:val="0"/>
          <w:sz w:val="20"/>
          <w:szCs w:val="20"/>
          <w:lang w:val="en-AU" w:eastAsia="en-US"/>
        </w:rPr>
        <w:t>ith Ovarian Carcinoma.</w:t>
      </w:r>
    </w:p>
    <w:p w14:paraId="522A1F43" w14:textId="567E9591" w:rsidR="005703C1" w:rsidRPr="000D1E44" w:rsidRDefault="005703C1" w:rsidP="00C15030">
      <w:pPr>
        <w:pStyle w:val="EndNoteBibliography"/>
        <w:spacing w:after="0"/>
        <w:ind w:left="720" w:hanging="720"/>
        <w:rPr>
          <w:rFonts w:asciiTheme="minorHAnsi" w:eastAsiaTheme="minorHAnsi" w:hAnsiTheme="minorHAnsi" w:cstheme="minorBidi"/>
          <w:noProof w:val="0"/>
          <w:sz w:val="20"/>
          <w:szCs w:val="20"/>
          <w:lang w:val="en-AU" w:eastAsia="en-US"/>
        </w:rPr>
      </w:pPr>
      <w:r w:rsidRPr="000D1E44">
        <w:rPr>
          <w:rFonts w:asciiTheme="minorHAnsi" w:eastAsiaTheme="minorHAnsi" w:hAnsiTheme="minorHAnsi" w:cstheme="minorBidi"/>
          <w:noProof w:val="0"/>
          <w:sz w:val="20"/>
          <w:szCs w:val="20"/>
          <w:lang w:val="en-AU" w:eastAsia="en-US"/>
        </w:rPr>
        <w:t xml:space="preserve">JAMA Oncol </w:t>
      </w:r>
      <w:proofErr w:type="gramStart"/>
      <w:r w:rsidRPr="000D1E44">
        <w:rPr>
          <w:rFonts w:asciiTheme="minorHAnsi" w:eastAsiaTheme="minorHAnsi" w:hAnsiTheme="minorHAnsi" w:cstheme="minorBidi"/>
          <w:noProof w:val="0"/>
          <w:sz w:val="20"/>
          <w:szCs w:val="20"/>
          <w:lang w:val="en-AU" w:eastAsia="en-US"/>
        </w:rPr>
        <w:t>2016;2:482</w:t>
      </w:r>
      <w:proofErr w:type="gramEnd"/>
      <w:r w:rsidRPr="000D1E44">
        <w:rPr>
          <w:rFonts w:asciiTheme="minorHAnsi" w:eastAsiaTheme="minorHAnsi" w:hAnsiTheme="minorHAnsi" w:cstheme="minorBidi"/>
          <w:noProof w:val="0"/>
          <w:sz w:val="20"/>
          <w:szCs w:val="20"/>
          <w:lang w:val="en-AU" w:eastAsia="en-US"/>
        </w:rPr>
        <w:t>-90.</w:t>
      </w:r>
    </w:p>
    <w:p w14:paraId="34FE36C4" w14:textId="77777777" w:rsidR="005703C1" w:rsidRPr="000D1E44" w:rsidRDefault="005703C1" w:rsidP="005703C1">
      <w:pPr>
        <w:rPr>
          <w:szCs w:val="20"/>
        </w:rPr>
      </w:pPr>
      <w:r w:rsidRPr="000D1E44">
        <w:rPr>
          <w:szCs w:val="20"/>
        </w:rPr>
        <w:t>NOVA (NCT01847274) Mirza et al. Niraparib maintenance therapy in platinum-sensitive, recurrent ovarian cancer. New Engl J Med 2016; 375:2154-2164</w:t>
      </w:r>
    </w:p>
    <w:p w14:paraId="1787C67C" w14:textId="77777777" w:rsidR="005703C1" w:rsidRPr="000D1E44" w:rsidRDefault="005703C1" w:rsidP="005703C1">
      <w:pPr>
        <w:pStyle w:val="EndNoteBibliography"/>
        <w:spacing w:after="0"/>
        <w:ind w:left="720" w:hanging="720"/>
        <w:rPr>
          <w:rFonts w:asciiTheme="minorHAnsi" w:eastAsiaTheme="minorHAnsi" w:hAnsiTheme="minorHAnsi" w:cstheme="minorBidi"/>
          <w:sz w:val="20"/>
          <w:szCs w:val="20"/>
          <w:lang w:val="en-AU" w:eastAsia="en-US"/>
        </w:rPr>
      </w:pPr>
      <w:r w:rsidRPr="000D1E44">
        <w:rPr>
          <w:rFonts w:asciiTheme="minorHAnsi" w:eastAsiaTheme="minorHAnsi" w:hAnsiTheme="minorHAnsi" w:cstheme="minorBidi"/>
          <w:sz w:val="20"/>
          <w:szCs w:val="20"/>
          <w:lang w:val="en-AU" w:eastAsia="en-US"/>
        </w:rPr>
        <w:t>Pennington KP, Walsh T, Harrell MI, et al. Germline and somatic mutations in homologous</w:t>
      </w:r>
    </w:p>
    <w:p w14:paraId="27171636" w14:textId="77777777" w:rsidR="00C15030" w:rsidRPr="000D1E44" w:rsidRDefault="005703C1" w:rsidP="00C15030">
      <w:pPr>
        <w:pStyle w:val="EndNoteBibliography"/>
        <w:spacing w:after="0"/>
        <w:ind w:left="720" w:hanging="720"/>
        <w:rPr>
          <w:rFonts w:asciiTheme="minorHAnsi" w:hAnsiTheme="minorHAnsi" w:cstheme="minorHAnsi"/>
          <w:sz w:val="20"/>
          <w:szCs w:val="20"/>
        </w:rPr>
      </w:pPr>
      <w:r w:rsidRPr="000D1E44">
        <w:rPr>
          <w:rFonts w:asciiTheme="minorHAnsi" w:eastAsiaTheme="minorHAnsi" w:hAnsiTheme="minorHAnsi" w:cstheme="minorBidi"/>
          <w:sz w:val="20"/>
          <w:szCs w:val="20"/>
          <w:lang w:val="en-AU" w:eastAsia="en-US"/>
        </w:rPr>
        <w:t>recombination genes predict platinum response and survival in ovarian, fallopian tube, and</w:t>
      </w:r>
      <w:r w:rsidR="00C15030" w:rsidRPr="000D1E44">
        <w:rPr>
          <w:rFonts w:asciiTheme="minorHAnsi" w:eastAsiaTheme="minorHAnsi" w:hAnsiTheme="minorHAnsi" w:cstheme="minorBidi"/>
          <w:sz w:val="20"/>
          <w:szCs w:val="20"/>
          <w:lang w:val="en-AU" w:eastAsia="en-US"/>
        </w:rPr>
        <w:t xml:space="preserve"> </w:t>
      </w:r>
      <w:r w:rsidRPr="000D1E44">
        <w:rPr>
          <w:rFonts w:asciiTheme="minorHAnsi" w:hAnsiTheme="minorHAnsi" w:cstheme="minorHAnsi"/>
          <w:sz w:val="20"/>
          <w:szCs w:val="20"/>
        </w:rPr>
        <w:t>peritoneal</w:t>
      </w:r>
    </w:p>
    <w:p w14:paraId="0EAB19AD" w14:textId="77F5ADBD" w:rsidR="005703C1" w:rsidRPr="000D1E44" w:rsidRDefault="005703C1" w:rsidP="00C15030">
      <w:pPr>
        <w:pStyle w:val="EndNoteBibliography"/>
        <w:spacing w:after="0"/>
        <w:ind w:left="720" w:hanging="720"/>
        <w:rPr>
          <w:rFonts w:asciiTheme="minorHAnsi" w:eastAsiaTheme="minorHAnsi" w:hAnsiTheme="minorHAnsi" w:cstheme="minorHAnsi"/>
          <w:sz w:val="20"/>
          <w:szCs w:val="20"/>
          <w:lang w:val="en-AU" w:eastAsia="en-US"/>
        </w:rPr>
      </w:pPr>
      <w:r w:rsidRPr="000D1E44">
        <w:rPr>
          <w:rFonts w:asciiTheme="minorHAnsi" w:hAnsiTheme="minorHAnsi" w:cstheme="minorHAnsi"/>
          <w:sz w:val="20"/>
          <w:szCs w:val="20"/>
        </w:rPr>
        <w:t>carcinomas. Clin Cancer Res 2014;20:764-75.</w:t>
      </w:r>
    </w:p>
    <w:p w14:paraId="5504CA01" w14:textId="77777777" w:rsidR="005703C1" w:rsidRPr="000D1E44" w:rsidRDefault="005703C1" w:rsidP="005703C1">
      <w:pPr>
        <w:rPr>
          <w:szCs w:val="20"/>
        </w:rPr>
      </w:pPr>
      <w:r w:rsidRPr="000D1E44">
        <w:rPr>
          <w:szCs w:val="20"/>
        </w:rPr>
        <w:t>PRIMA (NCT02655016) Gonzalez-Martin et al. Niraparib in patients with newly diagnosed advanced ovarian cancer. New Engl J Med 2019; 381:2391-2402</w:t>
      </w:r>
    </w:p>
    <w:p w14:paraId="5C3C5BDD" w14:textId="3BBBD47C" w:rsidR="005703C1" w:rsidRPr="000D1E44" w:rsidRDefault="005703C1" w:rsidP="00C15030">
      <w:pPr>
        <w:pStyle w:val="Bibliography"/>
        <w:rPr>
          <w:noProof/>
          <w:szCs w:val="20"/>
        </w:rPr>
      </w:pPr>
      <w:r w:rsidRPr="000D1E44">
        <w:rPr>
          <w:noProof/>
          <w:szCs w:val="20"/>
        </w:rPr>
        <w:t xml:space="preserve">Raja FA, C. N. (2012). Optimal first-line treatment in ovarian cancer. </w:t>
      </w:r>
      <w:r w:rsidRPr="000D1E44">
        <w:rPr>
          <w:i/>
          <w:iCs/>
          <w:noProof/>
          <w:szCs w:val="20"/>
        </w:rPr>
        <w:t xml:space="preserve">Ann Oncol </w:t>
      </w:r>
      <w:r w:rsidRPr="000D1E44">
        <w:rPr>
          <w:noProof/>
          <w:szCs w:val="20"/>
        </w:rPr>
        <w:t>, 23 Suppl 10: x118-27.</w:t>
      </w:r>
    </w:p>
    <w:p w14:paraId="50DE3D59" w14:textId="77777777" w:rsidR="00C15030" w:rsidRPr="000D1E44" w:rsidRDefault="005703C1" w:rsidP="00C15030">
      <w:pPr>
        <w:pStyle w:val="Bibliography"/>
        <w:ind w:left="720" w:hanging="720"/>
        <w:rPr>
          <w:noProof/>
          <w:szCs w:val="20"/>
        </w:rPr>
      </w:pPr>
      <w:r w:rsidRPr="000D1E44">
        <w:rPr>
          <w:noProof/>
          <w:szCs w:val="20"/>
        </w:rPr>
        <w:t>van der Burg ME, v. L. (1995). The effect of debulking surgery after induction chemotherapy on the</w:t>
      </w:r>
      <w:r w:rsidR="00C15030" w:rsidRPr="000D1E44">
        <w:rPr>
          <w:noProof/>
          <w:szCs w:val="20"/>
        </w:rPr>
        <w:t xml:space="preserve"> </w:t>
      </w:r>
      <w:r w:rsidRPr="000D1E44">
        <w:rPr>
          <w:noProof/>
          <w:szCs w:val="20"/>
        </w:rPr>
        <w:t>prognosis</w:t>
      </w:r>
    </w:p>
    <w:p w14:paraId="2F68EE4E" w14:textId="6D4A279A" w:rsidR="005703C1" w:rsidRPr="000D1E44" w:rsidRDefault="005703C1" w:rsidP="00C15030">
      <w:pPr>
        <w:pStyle w:val="Bibliography"/>
        <w:ind w:left="720" w:hanging="720"/>
        <w:rPr>
          <w:noProof/>
          <w:szCs w:val="20"/>
        </w:rPr>
      </w:pPr>
      <w:r w:rsidRPr="000D1E44">
        <w:rPr>
          <w:noProof/>
          <w:szCs w:val="20"/>
        </w:rPr>
        <w:t xml:space="preserve">in advanced epithelial ovarian cancer. </w:t>
      </w:r>
      <w:r w:rsidRPr="000D1E44">
        <w:rPr>
          <w:i/>
          <w:iCs/>
          <w:noProof/>
          <w:szCs w:val="20"/>
        </w:rPr>
        <w:t>N Engl J Med</w:t>
      </w:r>
      <w:r w:rsidRPr="000D1E44">
        <w:rPr>
          <w:noProof/>
          <w:szCs w:val="20"/>
        </w:rPr>
        <w:t>, 332 (10):629-34</w:t>
      </w:r>
    </w:p>
    <w:p w14:paraId="1CEA9887" w14:textId="77777777" w:rsidR="00C15030" w:rsidRPr="000D1E44" w:rsidRDefault="005703C1" w:rsidP="00C15030">
      <w:pPr>
        <w:pStyle w:val="Bibliography"/>
        <w:ind w:left="720" w:hanging="720"/>
        <w:rPr>
          <w:i/>
          <w:iCs/>
          <w:noProof/>
          <w:szCs w:val="20"/>
        </w:rPr>
      </w:pPr>
      <w:r w:rsidRPr="000D1E44">
        <w:rPr>
          <w:noProof/>
          <w:szCs w:val="20"/>
        </w:rPr>
        <w:t>Vergote I, T. C. (2010). Neoadjuvant chemotherapy or primary surgery in stage IIIC or IV ovarian</w:t>
      </w:r>
      <w:r w:rsidR="00C15030" w:rsidRPr="000D1E44">
        <w:rPr>
          <w:noProof/>
          <w:szCs w:val="20"/>
        </w:rPr>
        <w:t xml:space="preserve"> </w:t>
      </w:r>
      <w:r w:rsidRPr="000D1E44">
        <w:rPr>
          <w:noProof/>
          <w:szCs w:val="20"/>
        </w:rPr>
        <w:t xml:space="preserve">cancer. </w:t>
      </w:r>
      <w:r w:rsidRPr="000D1E44">
        <w:rPr>
          <w:i/>
          <w:iCs/>
          <w:noProof/>
          <w:szCs w:val="20"/>
        </w:rPr>
        <w:t>N Engl</w:t>
      </w:r>
    </w:p>
    <w:p w14:paraId="28AE18FE" w14:textId="7D2C05E2" w:rsidR="005703C1" w:rsidRPr="000D1E44" w:rsidRDefault="005703C1" w:rsidP="00C15030">
      <w:pPr>
        <w:pStyle w:val="Bibliography"/>
        <w:ind w:left="720" w:hanging="720"/>
        <w:rPr>
          <w:noProof/>
          <w:szCs w:val="20"/>
        </w:rPr>
      </w:pPr>
      <w:r w:rsidRPr="000D1E44">
        <w:rPr>
          <w:i/>
          <w:iCs/>
          <w:noProof/>
          <w:szCs w:val="20"/>
        </w:rPr>
        <w:t>J Med</w:t>
      </w:r>
      <w:r w:rsidRPr="000D1E44">
        <w:rPr>
          <w:noProof/>
          <w:szCs w:val="20"/>
        </w:rPr>
        <w:t>, 363 (10):943-53.</w:t>
      </w:r>
    </w:p>
    <w:p w14:paraId="3A0195D3" w14:textId="77777777" w:rsidR="005703C1" w:rsidRPr="000D1E44" w:rsidRDefault="005703C1" w:rsidP="005703C1">
      <w:pPr>
        <w:rPr>
          <w:szCs w:val="20"/>
        </w:rPr>
      </w:pPr>
      <w:r w:rsidRPr="000D1E44">
        <w:rPr>
          <w:szCs w:val="20"/>
        </w:rPr>
        <w:t>Ray-Coquard et al Olaparib plus bevacizumab as first-line maintenance in ovarian cancer. N Engl J Med 2019; 381: 2416-28 (PAOLA1 publication)</w:t>
      </w:r>
    </w:p>
    <w:p w14:paraId="69DD996A" w14:textId="77777777" w:rsidR="005703C1" w:rsidRPr="000D1E44" w:rsidRDefault="005703C1" w:rsidP="005703C1">
      <w:pPr>
        <w:rPr>
          <w:szCs w:val="20"/>
        </w:rPr>
      </w:pPr>
      <w:r w:rsidRPr="000D1E44">
        <w:rPr>
          <w:szCs w:val="20"/>
        </w:rPr>
        <w:t>Telli et al Homologous recombination deficiency (HRD) score predicts response to platinum-containing neoadjuvant chemotherapy in patients with triple-negative breast cancer. Clin Cancer Res 2016; 22(15):3764-3773</w:t>
      </w:r>
    </w:p>
    <w:p w14:paraId="75536892" w14:textId="48E670D9" w:rsidR="005703C1" w:rsidRPr="000D1E44" w:rsidRDefault="005703C1" w:rsidP="005703C1">
      <w:pPr>
        <w:rPr>
          <w:szCs w:val="20"/>
        </w:rPr>
      </w:pPr>
      <w:r w:rsidRPr="000D1E44">
        <w:rPr>
          <w:szCs w:val="20"/>
        </w:rPr>
        <w:t xml:space="preserve">Tomao F et al Current status of bevacizumab in advanced ovarian cancer. </w:t>
      </w:r>
      <w:proofErr w:type="spellStart"/>
      <w:r w:rsidRPr="000D1E44">
        <w:rPr>
          <w:szCs w:val="20"/>
        </w:rPr>
        <w:t>Onco</w:t>
      </w:r>
      <w:proofErr w:type="spellEnd"/>
      <w:r w:rsidRPr="000D1E44">
        <w:rPr>
          <w:szCs w:val="20"/>
        </w:rPr>
        <w:t xml:space="preserve"> Targets </w:t>
      </w:r>
      <w:proofErr w:type="spellStart"/>
      <w:r w:rsidRPr="000D1E44">
        <w:rPr>
          <w:szCs w:val="20"/>
        </w:rPr>
        <w:t>Ther</w:t>
      </w:r>
      <w:proofErr w:type="spellEnd"/>
      <w:r w:rsidRPr="000D1E44">
        <w:rPr>
          <w:szCs w:val="20"/>
        </w:rPr>
        <w:t xml:space="preserve"> </w:t>
      </w:r>
      <w:proofErr w:type="gramStart"/>
      <w:r w:rsidRPr="000D1E44">
        <w:rPr>
          <w:szCs w:val="20"/>
        </w:rPr>
        <w:t>2013;6:889</w:t>
      </w:r>
      <w:proofErr w:type="gramEnd"/>
      <w:r w:rsidRPr="000D1E44">
        <w:rPr>
          <w:szCs w:val="20"/>
        </w:rPr>
        <w:t>-99</w:t>
      </w:r>
    </w:p>
    <w:p w14:paraId="1BDFACEA" w14:textId="77777777" w:rsidR="005703C1" w:rsidRPr="000D1E44" w:rsidRDefault="005703C1" w:rsidP="005703C1">
      <w:pPr>
        <w:pStyle w:val="Bibliography"/>
        <w:ind w:left="720" w:hanging="720"/>
        <w:rPr>
          <w:noProof/>
          <w:szCs w:val="20"/>
        </w:rPr>
      </w:pPr>
      <w:r w:rsidRPr="000D1E44">
        <w:rPr>
          <w:noProof/>
          <w:szCs w:val="20"/>
        </w:rPr>
        <w:t>van der Burg ME, v. L. (1995). The effect of debulking surgery after induction chemotherapy on the</w:t>
      </w:r>
    </w:p>
    <w:p w14:paraId="6EF95ADB" w14:textId="77777777" w:rsidR="005703C1" w:rsidRPr="000D1E44" w:rsidRDefault="005703C1" w:rsidP="005703C1">
      <w:pPr>
        <w:rPr>
          <w:szCs w:val="20"/>
        </w:rPr>
      </w:pPr>
      <w:r w:rsidRPr="000D1E44">
        <w:rPr>
          <w:noProof/>
          <w:szCs w:val="20"/>
        </w:rPr>
        <w:t xml:space="preserve">prognosis in advanced epithelial ovarian cancer. </w:t>
      </w:r>
      <w:r w:rsidRPr="000D1E44">
        <w:rPr>
          <w:i/>
          <w:iCs/>
          <w:noProof/>
          <w:szCs w:val="20"/>
        </w:rPr>
        <w:t>N Engl J Med</w:t>
      </w:r>
      <w:r w:rsidRPr="000D1E44">
        <w:rPr>
          <w:noProof/>
          <w:szCs w:val="20"/>
        </w:rPr>
        <w:t>, 332 (10):629-34</w:t>
      </w:r>
    </w:p>
    <w:p w14:paraId="0960A914" w14:textId="77777777" w:rsidR="00C15030" w:rsidRPr="000D1E44" w:rsidRDefault="005703C1" w:rsidP="00C15030">
      <w:pPr>
        <w:pStyle w:val="Bibliography"/>
        <w:ind w:left="720" w:hanging="720"/>
        <w:rPr>
          <w:i/>
          <w:iCs/>
          <w:noProof/>
          <w:szCs w:val="20"/>
        </w:rPr>
      </w:pPr>
      <w:r w:rsidRPr="000D1E44">
        <w:rPr>
          <w:noProof/>
          <w:szCs w:val="20"/>
        </w:rPr>
        <w:t>Vergote I, T. C. (2010). Neoadjuvant chemotherapy or primary surgery in stage IIIC or IV ovarian</w:t>
      </w:r>
      <w:r w:rsidR="00C15030" w:rsidRPr="000D1E44">
        <w:rPr>
          <w:noProof/>
          <w:szCs w:val="20"/>
        </w:rPr>
        <w:t xml:space="preserve"> </w:t>
      </w:r>
      <w:r w:rsidRPr="000D1E44">
        <w:rPr>
          <w:noProof/>
          <w:szCs w:val="20"/>
        </w:rPr>
        <w:t xml:space="preserve">cancer. </w:t>
      </w:r>
      <w:r w:rsidR="00C15030" w:rsidRPr="000D1E44">
        <w:rPr>
          <w:noProof/>
          <w:szCs w:val="20"/>
        </w:rPr>
        <w:t xml:space="preserve"> </w:t>
      </w:r>
      <w:r w:rsidRPr="000D1E44">
        <w:rPr>
          <w:i/>
          <w:iCs/>
          <w:noProof/>
          <w:szCs w:val="20"/>
        </w:rPr>
        <w:t>N Engl</w:t>
      </w:r>
    </w:p>
    <w:p w14:paraId="3A946536" w14:textId="54DBA548" w:rsidR="005703C1" w:rsidRPr="000D1E44" w:rsidRDefault="005703C1" w:rsidP="00C15030">
      <w:pPr>
        <w:pStyle w:val="Bibliography"/>
        <w:ind w:left="720" w:hanging="720"/>
        <w:rPr>
          <w:noProof/>
          <w:szCs w:val="20"/>
        </w:rPr>
      </w:pPr>
      <w:r w:rsidRPr="000D1E44">
        <w:rPr>
          <w:i/>
          <w:iCs/>
          <w:noProof/>
          <w:szCs w:val="20"/>
        </w:rPr>
        <w:t>J Med</w:t>
      </w:r>
      <w:r w:rsidRPr="000D1E44">
        <w:rPr>
          <w:noProof/>
          <w:szCs w:val="20"/>
        </w:rPr>
        <w:t>, 363 (10):943-53.</w:t>
      </w:r>
    </w:p>
    <w:p w14:paraId="69FBAD78" w14:textId="77777777" w:rsidR="005703C1" w:rsidRPr="000D1E44" w:rsidRDefault="005703C1" w:rsidP="005703C1">
      <w:pPr>
        <w:pStyle w:val="EndNoteBibliography"/>
        <w:spacing w:after="0"/>
        <w:ind w:left="720" w:hanging="720"/>
        <w:rPr>
          <w:rFonts w:asciiTheme="minorHAnsi" w:eastAsiaTheme="minorHAnsi" w:hAnsiTheme="minorHAnsi" w:cstheme="minorBidi"/>
          <w:noProof w:val="0"/>
          <w:sz w:val="20"/>
          <w:szCs w:val="20"/>
          <w:lang w:val="en-AU" w:eastAsia="en-US"/>
        </w:rPr>
      </w:pPr>
      <w:bookmarkStart w:id="16" w:name="_ENREF_35"/>
      <w:r w:rsidRPr="000D1E44">
        <w:rPr>
          <w:rFonts w:asciiTheme="minorHAnsi" w:eastAsiaTheme="minorHAnsi" w:hAnsiTheme="minorHAnsi" w:cstheme="minorBidi"/>
          <w:noProof w:val="0"/>
          <w:sz w:val="20"/>
          <w:szCs w:val="20"/>
          <w:lang w:val="en-AU" w:eastAsia="en-US"/>
        </w:rPr>
        <w:t>Walsh T, Casadei S, Lee MK, et al. Mutations in 12 genes for inherited ovarian, fallopian tube, and</w:t>
      </w:r>
    </w:p>
    <w:p w14:paraId="773AC129" w14:textId="77777777" w:rsidR="005703C1" w:rsidRPr="000D1E44" w:rsidRDefault="005703C1" w:rsidP="005703C1">
      <w:pPr>
        <w:pStyle w:val="EndNoteBibliography"/>
        <w:spacing w:after="0"/>
        <w:ind w:left="720" w:hanging="720"/>
        <w:rPr>
          <w:rFonts w:asciiTheme="minorHAnsi" w:eastAsiaTheme="minorHAnsi" w:hAnsiTheme="minorHAnsi" w:cstheme="minorBidi"/>
          <w:noProof w:val="0"/>
          <w:sz w:val="20"/>
          <w:szCs w:val="20"/>
          <w:lang w:val="en-AU" w:eastAsia="en-US"/>
        </w:rPr>
      </w:pPr>
      <w:r w:rsidRPr="000D1E44">
        <w:rPr>
          <w:rFonts w:asciiTheme="minorHAnsi" w:eastAsiaTheme="minorHAnsi" w:hAnsiTheme="minorHAnsi" w:cstheme="minorBidi"/>
          <w:noProof w:val="0"/>
          <w:sz w:val="20"/>
          <w:szCs w:val="20"/>
          <w:lang w:val="en-AU" w:eastAsia="en-US"/>
        </w:rPr>
        <w:t>peritoneal carcinoma identified by massively parallel sequencing. Proceedings of the National</w:t>
      </w:r>
    </w:p>
    <w:p w14:paraId="4643DDB1" w14:textId="68A8C485" w:rsidR="005703C1" w:rsidRPr="000D1E44" w:rsidRDefault="005703C1" w:rsidP="00C15030">
      <w:pPr>
        <w:pStyle w:val="EndNoteBibliography"/>
        <w:spacing w:after="0"/>
        <w:ind w:left="720" w:hanging="720"/>
        <w:rPr>
          <w:rFonts w:asciiTheme="minorHAnsi" w:eastAsiaTheme="minorHAnsi" w:hAnsiTheme="minorHAnsi" w:cstheme="minorBidi"/>
          <w:noProof w:val="0"/>
          <w:sz w:val="20"/>
          <w:szCs w:val="20"/>
          <w:lang w:val="en-AU" w:eastAsia="en-US"/>
        </w:rPr>
      </w:pPr>
      <w:r w:rsidRPr="000D1E44">
        <w:rPr>
          <w:rFonts w:asciiTheme="minorHAnsi" w:eastAsiaTheme="minorHAnsi" w:hAnsiTheme="minorHAnsi" w:cstheme="minorBidi"/>
          <w:noProof w:val="0"/>
          <w:sz w:val="20"/>
          <w:szCs w:val="20"/>
          <w:lang w:val="en-AU" w:eastAsia="en-US"/>
        </w:rPr>
        <w:t xml:space="preserve">Academy of Sciences </w:t>
      </w:r>
      <w:proofErr w:type="gramStart"/>
      <w:r w:rsidRPr="000D1E44">
        <w:rPr>
          <w:rFonts w:asciiTheme="minorHAnsi" w:eastAsiaTheme="minorHAnsi" w:hAnsiTheme="minorHAnsi" w:cstheme="minorBidi"/>
          <w:noProof w:val="0"/>
          <w:sz w:val="20"/>
          <w:szCs w:val="20"/>
          <w:lang w:val="en-AU" w:eastAsia="en-US"/>
        </w:rPr>
        <w:t>2011;108:18032</w:t>
      </w:r>
      <w:proofErr w:type="gramEnd"/>
      <w:r w:rsidRPr="000D1E44">
        <w:rPr>
          <w:rFonts w:asciiTheme="minorHAnsi" w:eastAsiaTheme="minorHAnsi" w:hAnsiTheme="minorHAnsi" w:cstheme="minorBidi"/>
          <w:noProof w:val="0"/>
          <w:sz w:val="20"/>
          <w:szCs w:val="20"/>
          <w:lang w:val="en-AU" w:eastAsia="en-US"/>
        </w:rPr>
        <w:t>-18037.</w:t>
      </w:r>
      <w:bookmarkEnd w:id="16"/>
    </w:p>
    <w:p w14:paraId="2D881F26" w14:textId="77777777" w:rsidR="00C15030" w:rsidRPr="000D1E44" w:rsidRDefault="00C15030" w:rsidP="00C15030">
      <w:pPr>
        <w:pStyle w:val="EndNoteBibliography"/>
        <w:spacing w:after="0"/>
        <w:ind w:left="720" w:hanging="720"/>
        <w:rPr>
          <w:rFonts w:asciiTheme="minorHAnsi" w:eastAsiaTheme="minorHAnsi" w:hAnsiTheme="minorHAnsi" w:cstheme="minorBidi"/>
          <w:noProof w:val="0"/>
          <w:sz w:val="20"/>
          <w:szCs w:val="20"/>
          <w:lang w:val="en-AU" w:eastAsia="en-US"/>
        </w:rPr>
      </w:pPr>
    </w:p>
    <w:p w14:paraId="349CAE76" w14:textId="77777777" w:rsidR="005703C1" w:rsidRPr="000D1E44" w:rsidRDefault="005703C1" w:rsidP="005703C1">
      <w:pPr>
        <w:pStyle w:val="EndNoteBibliography"/>
        <w:spacing w:after="0"/>
        <w:ind w:left="720" w:hanging="720"/>
        <w:rPr>
          <w:rFonts w:asciiTheme="minorHAnsi" w:eastAsiaTheme="minorHAnsi" w:hAnsiTheme="minorHAnsi" w:cstheme="minorBidi"/>
          <w:noProof w:val="0"/>
          <w:sz w:val="20"/>
          <w:szCs w:val="20"/>
          <w:lang w:val="en-AU" w:eastAsia="en-US"/>
        </w:rPr>
      </w:pPr>
      <w:r w:rsidRPr="000D1E44">
        <w:rPr>
          <w:rFonts w:asciiTheme="minorHAnsi" w:eastAsiaTheme="minorHAnsi" w:hAnsiTheme="minorHAnsi" w:cstheme="minorBidi"/>
          <w:noProof w:val="0"/>
          <w:sz w:val="20"/>
          <w:szCs w:val="20"/>
          <w:lang w:val="en-AU" w:eastAsia="en-US"/>
        </w:rPr>
        <w:t>Xu K, Yang S, Zhao Y. Prognostic significance of BRCA mutations in ovarian cancer: an updated</w:t>
      </w:r>
    </w:p>
    <w:p w14:paraId="79DDB291" w14:textId="77777777" w:rsidR="005703C1" w:rsidRPr="000D1E44" w:rsidRDefault="005703C1" w:rsidP="005703C1">
      <w:pPr>
        <w:pStyle w:val="EndNoteBibliography"/>
        <w:spacing w:after="0"/>
        <w:ind w:left="720" w:hanging="720"/>
        <w:rPr>
          <w:rFonts w:asciiTheme="minorHAnsi" w:eastAsiaTheme="minorHAnsi" w:hAnsiTheme="minorHAnsi" w:cstheme="minorBidi"/>
          <w:noProof w:val="0"/>
          <w:sz w:val="20"/>
          <w:szCs w:val="20"/>
          <w:lang w:val="en-AU" w:eastAsia="en-US"/>
        </w:rPr>
      </w:pPr>
      <w:r w:rsidRPr="000D1E44">
        <w:rPr>
          <w:rFonts w:asciiTheme="minorHAnsi" w:eastAsiaTheme="minorHAnsi" w:hAnsiTheme="minorHAnsi" w:cstheme="minorBidi"/>
          <w:noProof w:val="0"/>
          <w:sz w:val="20"/>
          <w:szCs w:val="20"/>
          <w:lang w:val="en-AU" w:eastAsia="en-US"/>
        </w:rPr>
        <w:t xml:space="preserve">systematic review with meta-analysis. Onco Target </w:t>
      </w:r>
      <w:proofErr w:type="gramStart"/>
      <w:r w:rsidRPr="000D1E44">
        <w:rPr>
          <w:rFonts w:asciiTheme="minorHAnsi" w:eastAsiaTheme="minorHAnsi" w:hAnsiTheme="minorHAnsi" w:cstheme="minorBidi"/>
          <w:noProof w:val="0"/>
          <w:sz w:val="20"/>
          <w:szCs w:val="20"/>
          <w:lang w:val="en-AU" w:eastAsia="en-US"/>
        </w:rPr>
        <w:t>2017;8:285</w:t>
      </w:r>
      <w:proofErr w:type="gramEnd"/>
      <w:r w:rsidRPr="000D1E44">
        <w:rPr>
          <w:rFonts w:asciiTheme="minorHAnsi" w:eastAsiaTheme="minorHAnsi" w:hAnsiTheme="minorHAnsi" w:cstheme="minorBidi"/>
          <w:noProof w:val="0"/>
          <w:sz w:val="20"/>
          <w:szCs w:val="20"/>
          <w:lang w:val="en-AU" w:eastAsia="en-US"/>
        </w:rPr>
        <w:t>-302.</w:t>
      </w:r>
    </w:p>
    <w:p w14:paraId="348560A6" w14:textId="42F56A45" w:rsidR="006255BF" w:rsidRPr="00630D20" w:rsidRDefault="006255BF" w:rsidP="005703C1">
      <w:pPr>
        <w:rPr>
          <w:b/>
          <w:bCs/>
          <w:sz w:val="28"/>
          <w:szCs w:val="28"/>
        </w:rPr>
      </w:pPr>
    </w:p>
    <w:sectPr w:rsidR="006255BF" w:rsidRPr="00630D2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DF9E6" w14:textId="77777777" w:rsidR="00C61D27" w:rsidRDefault="00C61D27" w:rsidP="00CF2DFA">
      <w:pPr>
        <w:spacing w:after="0"/>
      </w:pPr>
      <w:r>
        <w:separator/>
      </w:r>
    </w:p>
  </w:endnote>
  <w:endnote w:type="continuationSeparator" w:id="0">
    <w:p w14:paraId="1A765466" w14:textId="77777777" w:rsidR="00C61D27" w:rsidRDefault="00C61D27" w:rsidP="00CF2DFA">
      <w:pPr>
        <w:spacing w:after="0"/>
      </w:pPr>
      <w:r>
        <w:continuationSeparator/>
      </w:r>
    </w:p>
  </w:endnote>
  <w:endnote w:type="continuationNotice" w:id="1">
    <w:p w14:paraId="6CDE9936" w14:textId="77777777" w:rsidR="00C61D27" w:rsidRDefault="00C61D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2A9CB9D7" w14:textId="31AABCBC" w:rsidR="00C61D27" w:rsidRDefault="00C61D27">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554E7A">
          <w:rPr>
            <w:b/>
            <w:bCs/>
            <w:noProof/>
            <w:sz w:val="18"/>
            <w:szCs w:val="18"/>
          </w:rPr>
          <w:t>15</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59922DEB" w14:textId="77777777" w:rsidR="00C61D27" w:rsidRPr="003F7CB9" w:rsidRDefault="00C61D27"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ABCBD" w14:textId="77777777" w:rsidR="00C61D27" w:rsidRDefault="00C61D27" w:rsidP="00CF2DFA">
      <w:pPr>
        <w:spacing w:after="0"/>
      </w:pPr>
      <w:r>
        <w:separator/>
      </w:r>
    </w:p>
  </w:footnote>
  <w:footnote w:type="continuationSeparator" w:id="0">
    <w:p w14:paraId="5E814A68" w14:textId="77777777" w:rsidR="00C61D27" w:rsidRDefault="00C61D27" w:rsidP="00CF2DFA">
      <w:pPr>
        <w:spacing w:after="0"/>
      </w:pPr>
      <w:r>
        <w:continuationSeparator/>
      </w:r>
    </w:p>
  </w:footnote>
  <w:footnote w:type="continuationNotice" w:id="1">
    <w:p w14:paraId="0AE14962" w14:textId="77777777" w:rsidR="00C61D27" w:rsidRDefault="00C61D2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38649CC"/>
    <w:multiLevelType w:val="hybridMultilevel"/>
    <w:tmpl w:val="B61CD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233EED"/>
    <w:multiLevelType w:val="hybridMultilevel"/>
    <w:tmpl w:val="1E18BE86"/>
    <w:lvl w:ilvl="0" w:tplc="0C090001">
      <w:start w:val="1"/>
      <w:numFmt w:val="bullet"/>
      <w:lvlText w:val=""/>
      <w:lvlJc w:val="left"/>
      <w:pPr>
        <w:ind w:left="1194" w:hanging="360"/>
      </w:pPr>
      <w:rPr>
        <w:rFonts w:ascii="Symbol" w:hAnsi="Symbol" w:hint="default"/>
      </w:rPr>
    </w:lvl>
    <w:lvl w:ilvl="1" w:tplc="0C090003" w:tentative="1">
      <w:start w:val="1"/>
      <w:numFmt w:val="bullet"/>
      <w:lvlText w:val="o"/>
      <w:lvlJc w:val="left"/>
      <w:pPr>
        <w:ind w:left="1914" w:hanging="360"/>
      </w:pPr>
      <w:rPr>
        <w:rFonts w:ascii="Courier New" w:hAnsi="Courier New" w:cs="Courier New" w:hint="default"/>
      </w:rPr>
    </w:lvl>
    <w:lvl w:ilvl="2" w:tplc="0C090005" w:tentative="1">
      <w:start w:val="1"/>
      <w:numFmt w:val="bullet"/>
      <w:lvlText w:val=""/>
      <w:lvlJc w:val="left"/>
      <w:pPr>
        <w:ind w:left="2634" w:hanging="360"/>
      </w:pPr>
      <w:rPr>
        <w:rFonts w:ascii="Wingdings" w:hAnsi="Wingdings" w:hint="default"/>
      </w:rPr>
    </w:lvl>
    <w:lvl w:ilvl="3" w:tplc="0C090001" w:tentative="1">
      <w:start w:val="1"/>
      <w:numFmt w:val="bullet"/>
      <w:lvlText w:val=""/>
      <w:lvlJc w:val="left"/>
      <w:pPr>
        <w:ind w:left="3354" w:hanging="360"/>
      </w:pPr>
      <w:rPr>
        <w:rFonts w:ascii="Symbol" w:hAnsi="Symbol" w:hint="default"/>
      </w:rPr>
    </w:lvl>
    <w:lvl w:ilvl="4" w:tplc="0C090003" w:tentative="1">
      <w:start w:val="1"/>
      <w:numFmt w:val="bullet"/>
      <w:lvlText w:val="o"/>
      <w:lvlJc w:val="left"/>
      <w:pPr>
        <w:ind w:left="4074" w:hanging="360"/>
      </w:pPr>
      <w:rPr>
        <w:rFonts w:ascii="Courier New" w:hAnsi="Courier New" w:cs="Courier New" w:hint="default"/>
      </w:rPr>
    </w:lvl>
    <w:lvl w:ilvl="5" w:tplc="0C090005" w:tentative="1">
      <w:start w:val="1"/>
      <w:numFmt w:val="bullet"/>
      <w:lvlText w:val=""/>
      <w:lvlJc w:val="left"/>
      <w:pPr>
        <w:ind w:left="4794" w:hanging="360"/>
      </w:pPr>
      <w:rPr>
        <w:rFonts w:ascii="Wingdings" w:hAnsi="Wingdings" w:hint="default"/>
      </w:rPr>
    </w:lvl>
    <w:lvl w:ilvl="6" w:tplc="0C090001" w:tentative="1">
      <w:start w:val="1"/>
      <w:numFmt w:val="bullet"/>
      <w:lvlText w:val=""/>
      <w:lvlJc w:val="left"/>
      <w:pPr>
        <w:ind w:left="5514" w:hanging="360"/>
      </w:pPr>
      <w:rPr>
        <w:rFonts w:ascii="Symbol" w:hAnsi="Symbol" w:hint="default"/>
      </w:rPr>
    </w:lvl>
    <w:lvl w:ilvl="7" w:tplc="0C090003" w:tentative="1">
      <w:start w:val="1"/>
      <w:numFmt w:val="bullet"/>
      <w:lvlText w:val="o"/>
      <w:lvlJc w:val="left"/>
      <w:pPr>
        <w:ind w:left="6234" w:hanging="360"/>
      </w:pPr>
      <w:rPr>
        <w:rFonts w:ascii="Courier New" w:hAnsi="Courier New" w:cs="Courier New" w:hint="default"/>
      </w:rPr>
    </w:lvl>
    <w:lvl w:ilvl="8" w:tplc="0C090005" w:tentative="1">
      <w:start w:val="1"/>
      <w:numFmt w:val="bullet"/>
      <w:lvlText w:val=""/>
      <w:lvlJc w:val="left"/>
      <w:pPr>
        <w:ind w:left="6954" w:hanging="360"/>
      </w:pPr>
      <w:rPr>
        <w:rFonts w:ascii="Wingdings" w:hAnsi="Wingdings" w:hint="default"/>
      </w:rPr>
    </w:lvl>
  </w:abstractNum>
  <w:abstractNum w:abstractNumId="4" w15:restartNumberingAfterBreak="0">
    <w:nsid w:val="09EE2A21"/>
    <w:multiLevelType w:val="multilevel"/>
    <w:tmpl w:val="ED38004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F875E1"/>
    <w:multiLevelType w:val="hybridMultilevel"/>
    <w:tmpl w:val="147C1DF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927666"/>
    <w:multiLevelType w:val="hybridMultilevel"/>
    <w:tmpl w:val="18A00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65700"/>
    <w:multiLevelType w:val="hybridMultilevel"/>
    <w:tmpl w:val="A65CB9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E3653E"/>
    <w:multiLevelType w:val="hybridMultilevel"/>
    <w:tmpl w:val="8946ED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395B38"/>
    <w:multiLevelType w:val="hybridMultilevel"/>
    <w:tmpl w:val="FA9CB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5376A33"/>
    <w:multiLevelType w:val="hybridMultilevel"/>
    <w:tmpl w:val="069CF7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FD4D91"/>
    <w:multiLevelType w:val="hybridMultilevel"/>
    <w:tmpl w:val="DE108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C3644A6"/>
    <w:multiLevelType w:val="multilevel"/>
    <w:tmpl w:val="D21E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9A0EEE"/>
    <w:multiLevelType w:val="hybridMultilevel"/>
    <w:tmpl w:val="0B343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D01EF9"/>
    <w:multiLevelType w:val="hybridMultilevel"/>
    <w:tmpl w:val="DAB63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D635D4"/>
    <w:multiLevelType w:val="hybridMultilevel"/>
    <w:tmpl w:val="6548F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4827D28"/>
    <w:multiLevelType w:val="multilevel"/>
    <w:tmpl w:val="8262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
  </w:num>
  <w:num w:numId="4">
    <w:abstractNumId w:val="24"/>
  </w:num>
  <w:num w:numId="5">
    <w:abstractNumId w:val="7"/>
  </w:num>
  <w:num w:numId="6">
    <w:abstractNumId w:val="18"/>
  </w:num>
  <w:num w:numId="7">
    <w:abstractNumId w:val="13"/>
  </w:num>
  <w:num w:numId="8">
    <w:abstractNumId w:val="26"/>
  </w:num>
  <w:num w:numId="9">
    <w:abstractNumId w:val="5"/>
  </w:num>
  <w:num w:numId="10">
    <w:abstractNumId w:val="20"/>
  </w:num>
  <w:num w:numId="11">
    <w:abstractNumId w:val="10"/>
  </w:num>
  <w:num w:numId="12">
    <w:abstractNumId w:val="19"/>
  </w:num>
  <w:num w:numId="13">
    <w:abstractNumId w:val="9"/>
  </w:num>
  <w:num w:numId="14">
    <w:abstractNumId w:val="15"/>
  </w:num>
  <w:num w:numId="15">
    <w:abstractNumId w:val="0"/>
  </w:num>
  <w:num w:numId="16">
    <w:abstractNumId w:val="12"/>
  </w:num>
  <w:num w:numId="17">
    <w:abstractNumId w:val="17"/>
  </w:num>
  <w:num w:numId="18">
    <w:abstractNumId w:val="29"/>
  </w:num>
  <w:num w:numId="19">
    <w:abstractNumId w:val="22"/>
  </w:num>
  <w:num w:numId="20">
    <w:abstractNumId w:val="23"/>
  </w:num>
  <w:num w:numId="21">
    <w:abstractNumId w:val="4"/>
  </w:num>
  <w:num w:numId="22">
    <w:abstractNumId w:val="6"/>
  </w:num>
  <w:num w:numId="23">
    <w:abstractNumId w:val="3"/>
  </w:num>
  <w:num w:numId="24">
    <w:abstractNumId w:val="8"/>
  </w:num>
  <w:num w:numId="25">
    <w:abstractNumId w:val="11"/>
  </w:num>
  <w:num w:numId="26">
    <w:abstractNumId w:val="1"/>
  </w:num>
  <w:num w:numId="27">
    <w:abstractNumId w:val="27"/>
  </w:num>
  <w:num w:numId="28">
    <w:abstractNumId w:val="25"/>
  </w:num>
  <w:num w:numId="29">
    <w:abstractNumId w:val="14"/>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022B4"/>
    <w:rsid w:val="00003824"/>
    <w:rsid w:val="00003C7B"/>
    <w:rsid w:val="00006841"/>
    <w:rsid w:val="000107AE"/>
    <w:rsid w:val="000110DC"/>
    <w:rsid w:val="00012058"/>
    <w:rsid w:val="000140F2"/>
    <w:rsid w:val="000158AA"/>
    <w:rsid w:val="000159B9"/>
    <w:rsid w:val="00016B6E"/>
    <w:rsid w:val="00020DD5"/>
    <w:rsid w:val="00021258"/>
    <w:rsid w:val="00022D36"/>
    <w:rsid w:val="00023E21"/>
    <w:rsid w:val="00024ADC"/>
    <w:rsid w:val="00025ABC"/>
    <w:rsid w:val="00026412"/>
    <w:rsid w:val="000270E5"/>
    <w:rsid w:val="000279D8"/>
    <w:rsid w:val="00031F6F"/>
    <w:rsid w:val="00032E64"/>
    <w:rsid w:val="00034D6E"/>
    <w:rsid w:val="00036E0A"/>
    <w:rsid w:val="00037338"/>
    <w:rsid w:val="0004135C"/>
    <w:rsid w:val="0004141E"/>
    <w:rsid w:val="00041BD7"/>
    <w:rsid w:val="000429CB"/>
    <w:rsid w:val="000446E4"/>
    <w:rsid w:val="00046D54"/>
    <w:rsid w:val="000472CE"/>
    <w:rsid w:val="0005089D"/>
    <w:rsid w:val="00051DE7"/>
    <w:rsid w:val="000525BC"/>
    <w:rsid w:val="00053A2B"/>
    <w:rsid w:val="000556DE"/>
    <w:rsid w:val="000565E3"/>
    <w:rsid w:val="00056B0E"/>
    <w:rsid w:val="00056CBC"/>
    <w:rsid w:val="00062181"/>
    <w:rsid w:val="00063812"/>
    <w:rsid w:val="00066B1B"/>
    <w:rsid w:val="00073222"/>
    <w:rsid w:val="00073379"/>
    <w:rsid w:val="00074BD8"/>
    <w:rsid w:val="00074CE5"/>
    <w:rsid w:val="000770BA"/>
    <w:rsid w:val="000774E7"/>
    <w:rsid w:val="00083B38"/>
    <w:rsid w:val="0008413A"/>
    <w:rsid w:val="00086DA1"/>
    <w:rsid w:val="00092580"/>
    <w:rsid w:val="00093C39"/>
    <w:rsid w:val="000951F2"/>
    <w:rsid w:val="000955E7"/>
    <w:rsid w:val="000961F7"/>
    <w:rsid w:val="00096CC3"/>
    <w:rsid w:val="00096E57"/>
    <w:rsid w:val="000A110D"/>
    <w:rsid w:val="000A478F"/>
    <w:rsid w:val="000A4925"/>
    <w:rsid w:val="000A5B32"/>
    <w:rsid w:val="000A6EF9"/>
    <w:rsid w:val="000B05C4"/>
    <w:rsid w:val="000B13AD"/>
    <w:rsid w:val="000B217F"/>
    <w:rsid w:val="000B3738"/>
    <w:rsid w:val="000B3CD0"/>
    <w:rsid w:val="000B4256"/>
    <w:rsid w:val="000B64C3"/>
    <w:rsid w:val="000C11F2"/>
    <w:rsid w:val="000C280B"/>
    <w:rsid w:val="000C5189"/>
    <w:rsid w:val="000C58DD"/>
    <w:rsid w:val="000C5FA3"/>
    <w:rsid w:val="000C6B1B"/>
    <w:rsid w:val="000D0022"/>
    <w:rsid w:val="000D03C4"/>
    <w:rsid w:val="000D066E"/>
    <w:rsid w:val="000D0831"/>
    <w:rsid w:val="000D1E44"/>
    <w:rsid w:val="000D7407"/>
    <w:rsid w:val="000D7514"/>
    <w:rsid w:val="000E23D1"/>
    <w:rsid w:val="000E47E7"/>
    <w:rsid w:val="000E4AE7"/>
    <w:rsid w:val="000E4E6E"/>
    <w:rsid w:val="000E5439"/>
    <w:rsid w:val="000E551F"/>
    <w:rsid w:val="000E6A6C"/>
    <w:rsid w:val="000F5545"/>
    <w:rsid w:val="000F61EB"/>
    <w:rsid w:val="000F7CAB"/>
    <w:rsid w:val="001016A8"/>
    <w:rsid w:val="00102686"/>
    <w:rsid w:val="00103835"/>
    <w:rsid w:val="00104AD4"/>
    <w:rsid w:val="0011036E"/>
    <w:rsid w:val="001130B0"/>
    <w:rsid w:val="00113456"/>
    <w:rsid w:val="0011369B"/>
    <w:rsid w:val="00113E62"/>
    <w:rsid w:val="00115147"/>
    <w:rsid w:val="001159B2"/>
    <w:rsid w:val="0011742E"/>
    <w:rsid w:val="00117CE4"/>
    <w:rsid w:val="00123375"/>
    <w:rsid w:val="00123D10"/>
    <w:rsid w:val="00126B33"/>
    <w:rsid w:val="0012765C"/>
    <w:rsid w:val="00134789"/>
    <w:rsid w:val="0013630B"/>
    <w:rsid w:val="00136D94"/>
    <w:rsid w:val="0014418A"/>
    <w:rsid w:val="00145106"/>
    <w:rsid w:val="00145E94"/>
    <w:rsid w:val="0015043E"/>
    <w:rsid w:val="00152317"/>
    <w:rsid w:val="00154B00"/>
    <w:rsid w:val="001628CB"/>
    <w:rsid w:val="001644E9"/>
    <w:rsid w:val="00165041"/>
    <w:rsid w:val="001750E0"/>
    <w:rsid w:val="00175E9B"/>
    <w:rsid w:val="00177111"/>
    <w:rsid w:val="0017755B"/>
    <w:rsid w:val="001845D9"/>
    <w:rsid w:val="0018630F"/>
    <w:rsid w:val="001904FF"/>
    <w:rsid w:val="001906CD"/>
    <w:rsid w:val="00191B99"/>
    <w:rsid w:val="001921A3"/>
    <w:rsid w:val="00192FAF"/>
    <w:rsid w:val="001931E8"/>
    <w:rsid w:val="00194681"/>
    <w:rsid w:val="0019694B"/>
    <w:rsid w:val="00197D29"/>
    <w:rsid w:val="001A0015"/>
    <w:rsid w:val="001A0043"/>
    <w:rsid w:val="001A02E3"/>
    <w:rsid w:val="001A1ADF"/>
    <w:rsid w:val="001A22E9"/>
    <w:rsid w:val="001A2B4D"/>
    <w:rsid w:val="001A365C"/>
    <w:rsid w:val="001A4E98"/>
    <w:rsid w:val="001A56CF"/>
    <w:rsid w:val="001B0806"/>
    <w:rsid w:val="001B171D"/>
    <w:rsid w:val="001B29A1"/>
    <w:rsid w:val="001B5169"/>
    <w:rsid w:val="001B6164"/>
    <w:rsid w:val="001B6A86"/>
    <w:rsid w:val="001C4706"/>
    <w:rsid w:val="001C75A6"/>
    <w:rsid w:val="001D09C8"/>
    <w:rsid w:val="001D3817"/>
    <w:rsid w:val="001D77ED"/>
    <w:rsid w:val="001E1180"/>
    <w:rsid w:val="001E23EA"/>
    <w:rsid w:val="001E399D"/>
    <w:rsid w:val="001E3E32"/>
    <w:rsid w:val="001E6919"/>
    <w:rsid w:val="001E6958"/>
    <w:rsid w:val="001F0250"/>
    <w:rsid w:val="001F7655"/>
    <w:rsid w:val="001F7E32"/>
    <w:rsid w:val="00200181"/>
    <w:rsid w:val="00200620"/>
    <w:rsid w:val="00201924"/>
    <w:rsid w:val="00201F8A"/>
    <w:rsid w:val="00202473"/>
    <w:rsid w:val="00203CD4"/>
    <w:rsid w:val="00204DA9"/>
    <w:rsid w:val="002053F2"/>
    <w:rsid w:val="00205BFA"/>
    <w:rsid w:val="00206D63"/>
    <w:rsid w:val="0021185D"/>
    <w:rsid w:val="00214BCF"/>
    <w:rsid w:val="00221059"/>
    <w:rsid w:val="002250D3"/>
    <w:rsid w:val="002251D6"/>
    <w:rsid w:val="00226777"/>
    <w:rsid w:val="002316F8"/>
    <w:rsid w:val="00231987"/>
    <w:rsid w:val="00234473"/>
    <w:rsid w:val="00235BD1"/>
    <w:rsid w:val="0023689C"/>
    <w:rsid w:val="002420F7"/>
    <w:rsid w:val="00242B0E"/>
    <w:rsid w:val="00244FFD"/>
    <w:rsid w:val="00246301"/>
    <w:rsid w:val="0024723C"/>
    <w:rsid w:val="00247DF0"/>
    <w:rsid w:val="00251961"/>
    <w:rsid w:val="0025319A"/>
    <w:rsid w:val="00253D1A"/>
    <w:rsid w:val="00254813"/>
    <w:rsid w:val="0025514F"/>
    <w:rsid w:val="0025560B"/>
    <w:rsid w:val="00257FF2"/>
    <w:rsid w:val="00260BDF"/>
    <w:rsid w:val="002621BE"/>
    <w:rsid w:val="002622F1"/>
    <w:rsid w:val="00264A24"/>
    <w:rsid w:val="00265822"/>
    <w:rsid w:val="002661E0"/>
    <w:rsid w:val="0027105F"/>
    <w:rsid w:val="002711FB"/>
    <w:rsid w:val="002745D8"/>
    <w:rsid w:val="00275EA1"/>
    <w:rsid w:val="002770CB"/>
    <w:rsid w:val="00282BE8"/>
    <w:rsid w:val="00283318"/>
    <w:rsid w:val="002843F8"/>
    <w:rsid w:val="00285525"/>
    <w:rsid w:val="002864E9"/>
    <w:rsid w:val="002921CC"/>
    <w:rsid w:val="0029222A"/>
    <w:rsid w:val="00294BA1"/>
    <w:rsid w:val="00294CD8"/>
    <w:rsid w:val="00295BBC"/>
    <w:rsid w:val="0029654A"/>
    <w:rsid w:val="00297919"/>
    <w:rsid w:val="002A0C86"/>
    <w:rsid w:val="002A270B"/>
    <w:rsid w:val="002A50FD"/>
    <w:rsid w:val="002A6753"/>
    <w:rsid w:val="002A6D1C"/>
    <w:rsid w:val="002B1AB9"/>
    <w:rsid w:val="002B28D7"/>
    <w:rsid w:val="002B3807"/>
    <w:rsid w:val="002B7EB6"/>
    <w:rsid w:val="002B7FA5"/>
    <w:rsid w:val="002C0703"/>
    <w:rsid w:val="002C08CE"/>
    <w:rsid w:val="002C0B61"/>
    <w:rsid w:val="002C0F8F"/>
    <w:rsid w:val="002C126F"/>
    <w:rsid w:val="002C15E6"/>
    <w:rsid w:val="002C247D"/>
    <w:rsid w:val="002C3345"/>
    <w:rsid w:val="002C4AA0"/>
    <w:rsid w:val="002C617A"/>
    <w:rsid w:val="002D09CC"/>
    <w:rsid w:val="002D388A"/>
    <w:rsid w:val="002D409A"/>
    <w:rsid w:val="002D496C"/>
    <w:rsid w:val="002D4A5F"/>
    <w:rsid w:val="002D4B50"/>
    <w:rsid w:val="002D7C90"/>
    <w:rsid w:val="002F0F46"/>
    <w:rsid w:val="002F30E7"/>
    <w:rsid w:val="002F332D"/>
    <w:rsid w:val="00300EEB"/>
    <w:rsid w:val="003013A9"/>
    <w:rsid w:val="00301958"/>
    <w:rsid w:val="003020B5"/>
    <w:rsid w:val="003027BB"/>
    <w:rsid w:val="00310219"/>
    <w:rsid w:val="00310A10"/>
    <w:rsid w:val="003141DC"/>
    <w:rsid w:val="00314C53"/>
    <w:rsid w:val="00316E4D"/>
    <w:rsid w:val="003242B7"/>
    <w:rsid w:val="003273F8"/>
    <w:rsid w:val="00327D25"/>
    <w:rsid w:val="003319A7"/>
    <w:rsid w:val="003348F4"/>
    <w:rsid w:val="00334FE3"/>
    <w:rsid w:val="0033587F"/>
    <w:rsid w:val="00336AC0"/>
    <w:rsid w:val="003421AE"/>
    <w:rsid w:val="003433D1"/>
    <w:rsid w:val="00344B24"/>
    <w:rsid w:val="003456B9"/>
    <w:rsid w:val="00346AC5"/>
    <w:rsid w:val="0035067D"/>
    <w:rsid w:val="0035320E"/>
    <w:rsid w:val="00353A16"/>
    <w:rsid w:val="0035631A"/>
    <w:rsid w:val="0035776D"/>
    <w:rsid w:val="0036106B"/>
    <w:rsid w:val="00364FD9"/>
    <w:rsid w:val="003651CD"/>
    <w:rsid w:val="00367C1B"/>
    <w:rsid w:val="00371131"/>
    <w:rsid w:val="003736BE"/>
    <w:rsid w:val="003747EA"/>
    <w:rsid w:val="00376B61"/>
    <w:rsid w:val="00380944"/>
    <w:rsid w:val="00382407"/>
    <w:rsid w:val="003840C6"/>
    <w:rsid w:val="00385502"/>
    <w:rsid w:val="00386988"/>
    <w:rsid w:val="00386A64"/>
    <w:rsid w:val="00386FA1"/>
    <w:rsid w:val="003879B4"/>
    <w:rsid w:val="00390142"/>
    <w:rsid w:val="003904AC"/>
    <w:rsid w:val="00391027"/>
    <w:rsid w:val="00391C9C"/>
    <w:rsid w:val="00392F00"/>
    <w:rsid w:val="00393B91"/>
    <w:rsid w:val="00394293"/>
    <w:rsid w:val="00397146"/>
    <w:rsid w:val="00397377"/>
    <w:rsid w:val="003A14A4"/>
    <w:rsid w:val="003A22DE"/>
    <w:rsid w:val="003A2860"/>
    <w:rsid w:val="003A312D"/>
    <w:rsid w:val="003A3C35"/>
    <w:rsid w:val="003A5FC4"/>
    <w:rsid w:val="003A62C2"/>
    <w:rsid w:val="003A759B"/>
    <w:rsid w:val="003A7A79"/>
    <w:rsid w:val="003A7D30"/>
    <w:rsid w:val="003A7F44"/>
    <w:rsid w:val="003A7F9F"/>
    <w:rsid w:val="003B0753"/>
    <w:rsid w:val="003B385B"/>
    <w:rsid w:val="003B3C5C"/>
    <w:rsid w:val="003B519B"/>
    <w:rsid w:val="003C1A44"/>
    <w:rsid w:val="003C47CA"/>
    <w:rsid w:val="003C5567"/>
    <w:rsid w:val="003C5B95"/>
    <w:rsid w:val="003C6739"/>
    <w:rsid w:val="003D0724"/>
    <w:rsid w:val="003D0E91"/>
    <w:rsid w:val="003D214F"/>
    <w:rsid w:val="003D3190"/>
    <w:rsid w:val="003D3F8D"/>
    <w:rsid w:val="003D520D"/>
    <w:rsid w:val="003D696A"/>
    <w:rsid w:val="003D6DE1"/>
    <w:rsid w:val="003D795C"/>
    <w:rsid w:val="003E163A"/>
    <w:rsid w:val="003E2A53"/>
    <w:rsid w:val="003E30FB"/>
    <w:rsid w:val="003E5116"/>
    <w:rsid w:val="003E6AFB"/>
    <w:rsid w:val="003F1D0C"/>
    <w:rsid w:val="003F2711"/>
    <w:rsid w:val="003F6C70"/>
    <w:rsid w:val="003F7CB9"/>
    <w:rsid w:val="00401EA9"/>
    <w:rsid w:val="00402381"/>
    <w:rsid w:val="00403333"/>
    <w:rsid w:val="00411735"/>
    <w:rsid w:val="00415C74"/>
    <w:rsid w:val="00417E50"/>
    <w:rsid w:val="00421446"/>
    <w:rsid w:val="00422F47"/>
    <w:rsid w:val="004241CC"/>
    <w:rsid w:val="00424314"/>
    <w:rsid w:val="00426421"/>
    <w:rsid w:val="004321F3"/>
    <w:rsid w:val="0043318B"/>
    <w:rsid w:val="0043378F"/>
    <w:rsid w:val="00434F0F"/>
    <w:rsid w:val="00435715"/>
    <w:rsid w:val="00435B2D"/>
    <w:rsid w:val="0043654D"/>
    <w:rsid w:val="0043798E"/>
    <w:rsid w:val="00437F60"/>
    <w:rsid w:val="00440D76"/>
    <w:rsid w:val="00440FB1"/>
    <w:rsid w:val="004413C9"/>
    <w:rsid w:val="00445BDB"/>
    <w:rsid w:val="00446F3A"/>
    <w:rsid w:val="00451840"/>
    <w:rsid w:val="00452E9F"/>
    <w:rsid w:val="00455637"/>
    <w:rsid w:val="00456825"/>
    <w:rsid w:val="00460152"/>
    <w:rsid w:val="00460C9A"/>
    <w:rsid w:val="00464924"/>
    <w:rsid w:val="00465FF5"/>
    <w:rsid w:val="0047283C"/>
    <w:rsid w:val="004733CB"/>
    <w:rsid w:val="00474E3B"/>
    <w:rsid w:val="0047581D"/>
    <w:rsid w:val="00475D65"/>
    <w:rsid w:val="00480289"/>
    <w:rsid w:val="00480726"/>
    <w:rsid w:val="00481279"/>
    <w:rsid w:val="00483368"/>
    <w:rsid w:val="00487830"/>
    <w:rsid w:val="0049171C"/>
    <w:rsid w:val="00492710"/>
    <w:rsid w:val="00494011"/>
    <w:rsid w:val="00495F81"/>
    <w:rsid w:val="004A0BF4"/>
    <w:rsid w:val="004A263B"/>
    <w:rsid w:val="004A2A53"/>
    <w:rsid w:val="004A31DF"/>
    <w:rsid w:val="004A7694"/>
    <w:rsid w:val="004A7CE7"/>
    <w:rsid w:val="004B3C4E"/>
    <w:rsid w:val="004B5723"/>
    <w:rsid w:val="004B5CD1"/>
    <w:rsid w:val="004B68AE"/>
    <w:rsid w:val="004B7252"/>
    <w:rsid w:val="004C0BBF"/>
    <w:rsid w:val="004C2D45"/>
    <w:rsid w:val="004C35B0"/>
    <w:rsid w:val="004C4819"/>
    <w:rsid w:val="004C49EF"/>
    <w:rsid w:val="004C4A19"/>
    <w:rsid w:val="004C5570"/>
    <w:rsid w:val="004C6B80"/>
    <w:rsid w:val="004D00C9"/>
    <w:rsid w:val="004E16F5"/>
    <w:rsid w:val="004E3CC7"/>
    <w:rsid w:val="004E5B69"/>
    <w:rsid w:val="004E7749"/>
    <w:rsid w:val="004E7D15"/>
    <w:rsid w:val="004F07BC"/>
    <w:rsid w:val="004F2A87"/>
    <w:rsid w:val="004F719A"/>
    <w:rsid w:val="004F7A53"/>
    <w:rsid w:val="00502664"/>
    <w:rsid w:val="00502C6B"/>
    <w:rsid w:val="00506A22"/>
    <w:rsid w:val="00507C56"/>
    <w:rsid w:val="00510CF4"/>
    <w:rsid w:val="00515C25"/>
    <w:rsid w:val="005214C9"/>
    <w:rsid w:val="0052344E"/>
    <w:rsid w:val="00525368"/>
    <w:rsid w:val="00525942"/>
    <w:rsid w:val="00525F03"/>
    <w:rsid w:val="00526478"/>
    <w:rsid w:val="00526F3C"/>
    <w:rsid w:val="0052753D"/>
    <w:rsid w:val="00530204"/>
    <w:rsid w:val="00534C5F"/>
    <w:rsid w:val="00534FA7"/>
    <w:rsid w:val="00535CBE"/>
    <w:rsid w:val="005372FF"/>
    <w:rsid w:val="00540257"/>
    <w:rsid w:val="0054192F"/>
    <w:rsid w:val="0054387F"/>
    <w:rsid w:val="00544518"/>
    <w:rsid w:val="00544EB3"/>
    <w:rsid w:val="0054594B"/>
    <w:rsid w:val="00546C21"/>
    <w:rsid w:val="0054749B"/>
    <w:rsid w:val="00550487"/>
    <w:rsid w:val="005504BF"/>
    <w:rsid w:val="00551CC6"/>
    <w:rsid w:val="00554136"/>
    <w:rsid w:val="00554277"/>
    <w:rsid w:val="00554C6F"/>
    <w:rsid w:val="00554E7A"/>
    <w:rsid w:val="005563E9"/>
    <w:rsid w:val="0056015F"/>
    <w:rsid w:val="00560484"/>
    <w:rsid w:val="00560541"/>
    <w:rsid w:val="00560D17"/>
    <w:rsid w:val="005634B8"/>
    <w:rsid w:val="00563E09"/>
    <w:rsid w:val="00565F11"/>
    <w:rsid w:val="005672D0"/>
    <w:rsid w:val="005703C1"/>
    <w:rsid w:val="00571C6D"/>
    <w:rsid w:val="00572CEB"/>
    <w:rsid w:val="00575E69"/>
    <w:rsid w:val="00576288"/>
    <w:rsid w:val="00581029"/>
    <w:rsid w:val="00581C12"/>
    <w:rsid w:val="005834C9"/>
    <w:rsid w:val="00583777"/>
    <w:rsid w:val="00584545"/>
    <w:rsid w:val="00595807"/>
    <w:rsid w:val="00596B60"/>
    <w:rsid w:val="00596F86"/>
    <w:rsid w:val="00597223"/>
    <w:rsid w:val="005A2190"/>
    <w:rsid w:val="005A2615"/>
    <w:rsid w:val="005A3240"/>
    <w:rsid w:val="005A3C09"/>
    <w:rsid w:val="005A58BA"/>
    <w:rsid w:val="005A5D30"/>
    <w:rsid w:val="005A5E41"/>
    <w:rsid w:val="005A6AB9"/>
    <w:rsid w:val="005B3B99"/>
    <w:rsid w:val="005B4E36"/>
    <w:rsid w:val="005B66CA"/>
    <w:rsid w:val="005C1017"/>
    <w:rsid w:val="005C333E"/>
    <w:rsid w:val="005C399F"/>
    <w:rsid w:val="005C3AE7"/>
    <w:rsid w:val="005C4DBD"/>
    <w:rsid w:val="005D0677"/>
    <w:rsid w:val="005D0ED4"/>
    <w:rsid w:val="005D1FA4"/>
    <w:rsid w:val="005D75F9"/>
    <w:rsid w:val="005E1C2D"/>
    <w:rsid w:val="005E294C"/>
    <w:rsid w:val="005E2CE3"/>
    <w:rsid w:val="005E4A23"/>
    <w:rsid w:val="005E4BE1"/>
    <w:rsid w:val="005E4E6B"/>
    <w:rsid w:val="005F1C36"/>
    <w:rsid w:val="005F3520"/>
    <w:rsid w:val="005F3F07"/>
    <w:rsid w:val="005F49F3"/>
    <w:rsid w:val="005F5A2D"/>
    <w:rsid w:val="005F7D7A"/>
    <w:rsid w:val="00600BCD"/>
    <w:rsid w:val="00601164"/>
    <w:rsid w:val="00601C90"/>
    <w:rsid w:val="00603B65"/>
    <w:rsid w:val="00603D04"/>
    <w:rsid w:val="00606857"/>
    <w:rsid w:val="006104D9"/>
    <w:rsid w:val="006110C4"/>
    <w:rsid w:val="00615F42"/>
    <w:rsid w:val="0062059C"/>
    <w:rsid w:val="00620D60"/>
    <w:rsid w:val="00625114"/>
    <w:rsid w:val="006255BF"/>
    <w:rsid w:val="006258C2"/>
    <w:rsid w:val="00626365"/>
    <w:rsid w:val="00630D20"/>
    <w:rsid w:val="00630E22"/>
    <w:rsid w:val="006313F7"/>
    <w:rsid w:val="0063329E"/>
    <w:rsid w:val="006348C8"/>
    <w:rsid w:val="0064168C"/>
    <w:rsid w:val="00644E5B"/>
    <w:rsid w:val="006456C6"/>
    <w:rsid w:val="00645BE0"/>
    <w:rsid w:val="006512BC"/>
    <w:rsid w:val="0065745A"/>
    <w:rsid w:val="00657859"/>
    <w:rsid w:val="00657B46"/>
    <w:rsid w:val="00657F3A"/>
    <w:rsid w:val="00657F5A"/>
    <w:rsid w:val="00667712"/>
    <w:rsid w:val="00673224"/>
    <w:rsid w:val="006764EC"/>
    <w:rsid w:val="00677932"/>
    <w:rsid w:val="00680F3D"/>
    <w:rsid w:val="006835FE"/>
    <w:rsid w:val="00691CC2"/>
    <w:rsid w:val="00692C83"/>
    <w:rsid w:val="00693A12"/>
    <w:rsid w:val="00693BFD"/>
    <w:rsid w:val="00694FAE"/>
    <w:rsid w:val="00695065"/>
    <w:rsid w:val="00695A08"/>
    <w:rsid w:val="00695C92"/>
    <w:rsid w:val="00695D79"/>
    <w:rsid w:val="00697B98"/>
    <w:rsid w:val="006A1038"/>
    <w:rsid w:val="006A4F70"/>
    <w:rsid w:val="006A649A"/>
    <w:rsid w:val="006B1B49"/>
    <w:rsid w:val="006B348E"/>
    <w:rsid w:val="006B6390"/>
    <w:rsid w:val="006B6F2C"/>
    <w:rsid w:val="006C0356"/>
    <w:rsid w:val="006C0843"/>
    <w:rsid w:val="006C3015"/>
    <w:rsid w:val="006C3BFE"/>
    <w:rsid w:val="006C5C05"/>
    <w:rsid w:val="006C74B1"/>
    <w:rsid w:val="006D01BE"/>
    <w:rsid w:val="006D048B"/>
    <w:rsid w:val="006D065C"/>
    <w:rsid w:val="006D2356"/>
    <w:rsid w:val="006E0E4E"/>
    <w:rsid w:val="006E5237"/>
    <w:rsid w:val="006E57AA"/>
    <w:rsid w:val="006E5F4B"/>
    <w:rsid w:val="006E6AB8"/>
    <w:rsid w:val="006F10D4"/>
    <w:rsid w:val="006F20CF"/>
    <w:rsid w:val="006F38ED"/>
    <w:rsid w:val="006F47A8"/>
    <w:rsid w:val="00701CB1"/>
    <w:rsid w:val="00702FF0"/>
    <w:rsid w:val="00704C32"/>
    <w:rsid w:val="007076F0"/>
    <w:rsid w:val="00707CA8"/>
    <w:rsid w:val="00707D4D"/>
    <w:rsid w:val="00710AB8"/>
    <w:rsid w:val="00723446"/>
    <w:rsid w:val="00723503"/>
    <w:rsid w:val="0072641B"/>
    <w:rsid w:val="00730C04"/>
    <w:rsid w:val="00733D3A"/>
    <w:rsid w:val="0073597B"/>
    <w:rsid w:val="007360F5"/>
    <w:rsid w:val="007378F6"/>
    <w:rsid w:val="0074161C"/>
    <w:rsid w:val="00741856"/>
    <w:rsid w:val="00741BCC"/>
    <w:rsid w:val="00742FAB"/>
    <w:rsid w:val="0074545D"/>
    <w:rsid w:val="007522E3"/>
    <w:rsid w:val="0075335B"/>
    <w:rsid w:val="00753699"/>
    <w:rsid w:val="00753C44"/>
    <w:rsid w:val="00754383"/>
    <w:rsid w:val="00755099"/>
    <w:rsid w:val="00755424"/>
    <w:rsid w:val="007564D1"/>
    <w:rsid w:val="00756670"/>
    <w:rsid w:val="00757232"/>
    <w:rsid w:val="00757A4B"/>
    <w:rsid w:val="00760679"/>
    <w:rsid w:val="00760875"/>
    <w:rsid w:val="00763628"/>
    <w:rsid w:val="00765182"/>
    <w:rsid w:val="00767E99"/>
    <w:rsid w:val="007712AC"/>
    <w:rsid w:val="00772E62"/>
    <w:rsid w:val="00774E9B"/>
    <w:rsid w:val="00775A6A"/>
    <w:rsid w:val="007768D2"/>
    <w:rsid w:val="0077696A"/>
    <w:rsid w:val="007771B1"/>
    <w:rsid w:val="0077789B"/>
    <w:rsid w:val="00780D29"/>
    <w:rsid w:val="0078241B"/>
    <w:rsid w:val="00783654"/>
    <w:rsid w:val="007854E3"/>
    <w:rsid w:val="00791B86"/>
    <w:rsid w:val="00791C8D"/>
    <w:rsid w:val="007927B1"/>
    <w:rsid w:val="0079354C"/>
    <w:rsid w:val="00793F88"/>
    <w:rsid w:val="00794181"/>
    <w:rsid w:val="007A7B61"/>
    <w:rsid w:val="007A7F6F"/>
    <w:rsid w:val="007B0661"/>
    <w:rsid w:val="007B4C76"/>
    <w:rsid w:val="007B5125"/>
    <w:rsid w:val="007B51FC"/>
    <w:rsid w:val="007B7055"/>
    <w:rsid w:val="007B7AD6"/>
    <w:rsid w:val="007C1F9D"/>
    <w:rsid w:val="007C2260"/>
    <w:rsid w:val="007C2CF1"/>
    <w:rsid w:val="007C5395"/>
    <w:rsid w:val="007C5837"/>
    <w:rsid w:val="007C6CCD"/>
    <w:rsid w:val="007D06A7"/>
    <w:rsid w:val="007D1E52"/>
    <w:rsid w:val="007D2358"/>
    <w:rsid w:val="007E39E4"/>
    <w:rsid w:val="007E45EC"/>
    <w:rsid w:val="007E6FB3"/>
    <w:rsid w:val="007F21B4"/>
    <w:rsid w:val="007F5A48"/>
    <w:rsid w:val="007F799B"/>
    <w:rsid w:val="00802553"/>
    <w:rsid w:val="00803EAB"/>
    <w:rsid w:val="00804693"/>
    <w:rsid w:val="008046B5"/>
    <w:rsid w:val="00810224"/>
    <w:rsid w:val="008127C0"/>
    <w:rsid w:val="00812EDD"/>
    <w:rsid w:val="008139C5"/>
    <w:rsid w:val="0081486B"/>
    <w:rsid w:val="00814D99"/>
    <w:rsid w:val="008151F7"/>
    <w:rsid w:val="0081650F"/>
    <w:rsid w:val="008168A3"/>
    <w:rsid w:val="0082231D"/>
    <w:rsid w:val="0082305A"/>
    <w:rsid w:val="00823AA1"/>
    <w:rsid w:val="00832B31"/>
    <w:rsid w:val="00833111"/>
    <w:rsid w:val="008403E0"/>
    <w:rsid w:val="00841E13"/>
    <w:rsid w:val="00843B39"/>
    <w:rsid w:val="0084657B"/>
    <w:rsid w:val="008511A7"/>
    <w:rsid w:val="00855944"/>
    <w:rsid w:val="00857E29"/>
    <w:rsid w:val="0086050D"/>
    <w:rsid w:val="00861D1B"/>
    <w:rsid w:val="00862625"/>
    <w:rsid w:val="008649A5"/>
    <w:rsid w:val="00864A18"/>
    <w:rsid w:val="0086553E"/>
    <w:rsid w:val="00865A23"/>
    <w:rsid w:val="00870833"/>
    <w:rsid w:val="00873A2D"/>
    <w:rsid w:val="00874571"/>
    <w:rsid w:val="00876D0D"/>
    <w:rsid w:val="008800F6"/>
    <w:rsid w:val="00880189"/>
    <w:rsid w:val="00880DC0"/>
    <w:rsid w:val="00881F93"/>
    <w:rsid w:val="008825C7"/>
    <w:rsid w:val="00882CB5"/>
    <w:rsid w:val="00883641"/>
    <w:rsid w:val="00884E69"/>
    <w:rsid w:val="008862D7"/>
    <w:rsid w:val="00890082"/>
    <w:rsid w:val="0089284C"/>
    <w:rsid w:val="008933FB"/>
    <w:rsid w:val="00896E63"/>
    <w:rsid w:val="008A0B84"/>
    <w:rsid w:val="008A48D2"/>
    <w:rsid w:val="008A7423"/>
    <w:rsid w:val="008B0738"/>
    <w:rsid w:val="008B0BDA"/>
    <w:rsid w:val="008B2610"/>
    <w:rsid w:val="008B471D"/>
    <w:rsid w:val="008B49E4"/>
    <w:rsid w:val="008B6F45"/>
    <w:rsid w:val="008B729C"/>
    <w:rsid w:val="008B7675"/>
    <w:rsid w:val="008C4A93"/>
    <w:rsid w:val="008C751D"/>
    <w:rsid w:val="008D01AA"/>
    <w:rsid w:val="008E0E49"/>
    <w:rsid w:val="008E35FD"/>
    <w:rsid w:val="008E42F0"/>
    <w:rsid w:val="008E6227"/>
    <w:rsid w:val="008E78B9"/>
    <w:rsid w:val="008F0296"/>
    <w:rsid w:val="008F3576"/>
    <w:rsid w:val="008F3B5D"/>
    <w:rsid w:val="00900584"/>
    <w:rsid w:val="00901F1C"/>
    <w:rsid w:val="0090543D"/>
    <w:rsid w:val="009056C5"/>
    <w:rsid w:val="00917590"/>
    <w:rsid w:val="009262F2"/>
    <w:rsid w:val="00930A83"/>
    <w:rsid w:val="009329AD"/>
    <w:rsid w:val="00934931"/>
    <w:rsid w:val="009371B1"/>
    <w:rsid w:val="009371B7"/>
    <w:rsid w:val="00937791"/>
    <w:rsid w:val="009406F0"/>
    <w:rsid w:val="009416D1"/>
    <w:rsid w:val="009419E5"/>
    <w:rsid w:val="00946716"/>
    <w:rsid w:val="00946ACF"/>
    <w:rsid w:val="00950A18"/>
    <w:rsid w:val="00951933"/>
    <w:rsid w:val="00952C1E"/>
    <w:rsid w:val="00953FB4"/>
    <w:rsid w:val="00954343"/>
    <w:rsid w:val="00955271"/>
    <w:rsid w:val="00957BD0"/>
    <w:rsid w:val="009610FA"/>
    <w:rsid w:val="00963C9C"/>
    <w:rsid w:val="00965B6B"/>
    <w:rsid w:val="00970772"/>
    <w:rsid w:val="00971EDB"/>
    <w:rsid w:val="009728A7"/>
    <w:rsid w:val="00974D50"/>
    <w:rsid w:val="00975511"/>
    <w:rsid w:val="0098085B"/>
    <w:rsid w:val="00981600"/>
    <w:rsid w:val="00981DCE"/>
    <w:rsid w:val="00982761"/>
    <w:rsid w:val="009837DC"/>
    <w:rsid w:val="0098693B"/>
    <w:rsid w:val="00987985"/>
    <w:rsid w:val="00987ABE"/>
    <w:rsid w:val="00990CCB"/>
    <w:rsid w:val="00991EE4"/>
    <w:rsid w:val="0099222F"/>
    <w:rsid w:val="009939DC"/>
    <w:rsid w:val="00993B9C"/>
    <w:rsid w:val="00994749"/>
    <w:rsid w:val="009A5806"/>
    <w:rsid w:val="009A6929"/>
    <w:rsid w:val="009B01C1"/>
    <w:rsid w:val="009B1B6E"/>
    <w:rsid w:val="009B431D"/>
    <w:rsid w:val="009B47D5"/>
    <w:rsid w:val="009B4E1E"/>
    <w:rsid w:val="009B5A10"/>
    <w:rsid w:val="009B5CBD"/>
    <w:rsid w:val="009B7727"/>
    <w:rsid w:val="009C03FB"/>
    <w:rsid w:val="009C0D44"/>
    <w:rsid w:val="009C29DF"/>
    <w:rsid w:val="009C2FF4"/>
    <w:rsid w:val="009C4B4F"/>
    <w:rsid w:val="009D2C8C"/>
    <w:rsid w:val="009D628E"/>
    <w:rsid w:val="009D7A3C"/>
    <w:rsid w:val="009D7D4E"/>
    <w:rsid w:val="009F0C02"/>
    <w:rsid w:val="009F1FD2"/>
    <w:rsid w:val="009F2CBA"/>
    <w:rsid w:val="009F2FA0"/>
    <w:rsid w:val="009F3F5E"/>
    <w:rsid w:val="009F5744"/>
    <w:rsid w:val="009F5758"/>
    <w:rsid w:val="009F769E"/>
    <w:rsid w:val="00A0283F"/>
    <w:rsid w:val="00A04F4A"/>
    <w:rsid w:val="00A05C83"/>
    <w:rsid w:val="00A05F65"/>
    <w:rsid w:val="00A06A3C"/>
    <w:rsid w:val="00A1064B"/>
    <w:rsid w:val="00A152ED"/>
    <w:rsid w:val="00A17678"/>
    <w:rsid w:val="00A22538"/>
    <w:rsid w:val="00A2372D"/>
    <w:rsid w:val="00A26343"/>
    <w:rsid w:val="00A3091C"/>
    <w:rsid w:val="00A30F79"/>
    <w:rsid w:val="00A330A2"/>
    <w:rsid w:val="00A33EBE"/>
    <w:rsid w:val="00A37E03"/>
    <w:rsid w:val="00A4014A"/>
    <w:rsid w:val="00A408B5"/>
    <w:rsid w:val="00A41826"/>
    <w:rsid w:val="00A44D4F"/>
    <w:rsid w:val="00A51C21"/>
    <w:rsid w:val="00A529E2"/>
    <w:rsid w:val="00A53326"/>
    <w:rsid w:val="00A539F8"/>
    <w:rsid w:val="00A55E0D"/>
    <w:rsid w:val="00A571A0"/>
    <w:rsid w:val="00A608E3"/>
    <w:rsid w:val="00A6491A"/>
    <w:rsid w:val="00A64E83"/>
    <w:rsid w:val="00A6594E"/>
    <w:rsid w:val="00A70315"/>
    <w:rsid w:val="00A727B6"/>
    <w:rsid w:val="00A741A6"/>
    <w:rsid w:val="00A81948"/>
    <w:rsid w:val="00A81CC6"/>
    <w:rsid w:val="00A82F60"/>
    <w:rsid w:val="00A83747"/>
    <w:rsid w:val="00A83E57"/>
    <w:rsid w:val="00A83EC6"/>
    <w:rsid w:val="00A86E78"/>
    <w:rsid w:val="00A8732C"/>
    <w:rsid w:val="00A9062D"/>
    <w:rsid w:val="00A92BE4"/>
    <w:rsid w:val="00A93F58"/>
    <w:rsid w:val="00A96329"/>
    <w:rsid w:val="00AA134B"/>
    <w:rsid w:val="00AA2CFE"/>
    <w:rsid w:val="00AA3A88"/>
    <w:rsid w:val="00AA5FDA"/>
    <w:rsid w:val="00AA6291"/>
    <w:rsid w:val="00AA72A7"/>
    <w:rsid w:val="00AB08A6"/>
    <w:rsid w:val="00AB0D50"/>
    <w:rsid w:val="00AB0F81"/>
    <w:rsid w:val="00AC0C91"/>
    <w:rsid w:val="00AC3059"/>
    <w:rsid w:val="00AD230F"/>
    <w:rsid w:val="00AD3587"/>
    <w:rsid w:val="00AD37D4"/>
    <w:rsid w:val="00AD7986"/>
    <w:rsid w:val="00AD7CCB"/>
    <w:rsid w:val="00AE0CCB"/>
    <w:rsid w:val="00AE1188"/>
    <w:rsid w:val="00AE3CDA"/>
    <w:rsid w:val="00AE738C"/>
    <w:rsid w:val="00AF0A34"/>
    <w:rsid w:val="00AF1046"/>
    <w:rsid w:val="00AF10EF"/>
    <w:rsid w:val="00AF4466"/>
    <w:rsid w:val="00AF5D1E"/>
    <w:rsid w:val="00AF6ED8"/>
    <w:rsid w:val="00B002E0"/>
    <w:rsid w:val="00B0099C"/>
    <w:rsid w:val="00B01623"/>
    <w:rsid w:val="00B03941"/>
    <w:rsid w:val="00B03C68"/>
    <w:rsid w:val="00B040A9"/>
    <w:rsid w:val="00B075B4"/>
    <w:rsid w:val="00B14C70"/>
    <w:rsid w:val="00B15E2A"/>
    <w:rsid w:val="00B1711E"/>
    <w:rsid w:val="00B17CBE"/>
    <w:rsid w:val="00B17E26"/>
    <w:rsid w:val="00B210A7"/>
    <w:rsid w:val="00B231A4"/>
    <w:rsid w:val="00B25D20"/>
    <w:rsid w:val="00B276F4"/>
    <w:rsid w:val="00B308A4"/>
    <w:rsid w:val="00B31C99"/>
    <w:rsid w:val="00B43B67"/>
    <w:rsid w:val="00B506CD"/>
    <w:rsid w:val="00B5082C"/>
    <w:rsid w:val="00B53BA6"/>
    <w:rsid w:val="00B5731D"/>
    <w:rsid w:val="00B614B5"/>
    <w:rsid w:val="00B6158F"/>
    <w:rsid w:val="00B6378B"/>
    <w:rsid w:val="00B63E3A"/>
    <w:rsid w:val="00B6504C"/>
    <w:rsid w:val="00B67022"/>
    <w:rsid w:val="00B677C8"/>
    <w:rsid w:val="00B67DDB"/>
    <w:rsid w:val="00B7047A"/>
    <w:rsid w:val="00B70751"/>
    <w:rsid w:val="00B70C33"/>
    <w:rsid w:val="00B71C66"/>
    <w:rsid w:val="00B745A5"/>
    <w:rsid w:val="00B75965"/>
    <w:rsid w:val="00B76569"/>
    <w:rsid w:val="00B771AD"/>
    <w:rsid w:val="00B7741E"/>
    <w:rsid w:val="00B77FDF"/>
    <w:rsid w:val="00B814CB"/>
    <w:rsid w:val="00B84BAB"/>
    <w:rsid w:val="00B90F5D"/>
    <w:rsid w:val="00B915BF"/>
    <w:rsid w:val="00B96004"/>
    <w:rsid w:val="00B9666B"/>
    <w:rsid w:val="00B96EF9"/>
    <w:rsid w:val="00BA0CF8"/>
    <w:rsid w:val="00BA1ADF"/>
    <w:rsid w:val="00BA3755"/>
    <w:rsid w:val="00BA4C42"/>
    <w:rsid w:val="00BA51FC"/>
    <w:rsid w:val="00BA736B"/>
    <w:rsid w:val="00BB003A"/>
    <w:rsid w:val="00BB16A4"/>
    <w:rsid w:val="00BB32C4"/>
    <w:rsid w:val="00BB3358"/>
    <w:rsid w:val="00BB3382"/>
    <w:rsid w:val="00BB3643"/>
    <w:rsid w:val="00BB4603"/>
    <w:rsid w:val="00BB59B2"/>
    <w:rsid w:val="00BC1DD6"/>
    <w:rsid w:val="00BC3704"/>
    <w:rsid w:val="00BC3DA0"/>
    <w:rsid w:val="00BC424B"/>
    <w:rsid w:val="00BC4E0F"/>
    <w:rsid w:val="00BC5B61"/>
    <w:rsid w:val="00BD1D7F"/>
    <w:rsid w:val="00BD27F5"/>
    <w:rsid w:val="00BD2949"/>
    <w:rsid w:val="00BD3130"/>
    <w:rsid w:val="00BD361E"/>
    <w:rsid w:val="00BD6AA2"/>
    <w:rsid w:val="00BD7B2A"/>
    <w:rsid w:val="00BE0FDE"/>
    <w:rsid w:val="00BE1025"/>
    <w:rsid w:val="00BE2E82"/>
    <w:rsid w:val="00BE5F06"/>
    <w:rsid w:val="00BF6AC5"/>
    <w:rsid w:val="00BF6DB8"/>
    <w:rsid w:val="00C01121"/>
    <w:rsid w:val="00C01C39"/>
    <w:rsid w:val="00C028A3"/>
    <w:rsid w:val="00C030A5"/>
    <w:rsid w:val="00C05A45"/>
    <w:rsid w:val="00C06E51"/>
    <w:rsid w:val="00C075C3"/>
    <w:rsid w:val="00C0796F"/>
    <w:rsid w:val="00C11B34"/>
    <w:rsid w:val="00C11B87"/>
    <w:rsid w:val="00C12173"/>
    <w:rsid w:val="00C12C5C"/>
    <w:rsid w:val="00C143AC"/>
    <w:rsid w:val="00C1445B"/>
    <w:rsid w:val="00C15030"/>
    <w:rsid w:val="00C15CC8"/>
    <w:rsid w:val="00C171FB"/>
    <w:rsid w:val="00C17FC7"/>
    <w:rsid w:val="00C209C2"/>
    <w:rsid w:val="00C2147A"/>
    <w:rsid w:val="00C2267F"/>
    <w:rsid w:val="00C22AD8"/>
    <w:rsid w:val="00C23560"/>
    <w:rsid w:val="00C23ADD"/>
    <w:rsid w:val="00C32CF1"/>
    <w:rsid w:val="00C3337D"/>
    <w:rsid w:val="00C3557E"/>
    <w:rsid w:val="00C3594B"/>
    <w:rsid w:val="00C43102"/>
    <w:rsid w:val="00C44767"/>
    <w:rsid w:val="00C44849"/>
    <w:rsid w:val="00C4672E"/>
    <w:rsid w:val="00C4696B"/>
    <w:rsid w:val="00C501DA"/>
    <w:rsid w:val="00C50513"/>
    <w:rsid w:val="00C506B3"/>
    <w:rsid w:val="00C52017"/>
    <w:rsid w:val="00C530DB"/>
    <w:rsid w:val="00C53428"/>
    <w:rsid w:val="00C53ADE"/>
    <w:rsid w:val="00C54250"/>
    <w:rsid w:val="00C542A4"/>
    <w:rsid w:val="00C54503"/>
    <w:rsid w:val="00C5548D"/>
    <w:rsid w:val="00C56CF7"/>
    <w:rsid w:val="00C61D27"/>
    <w:rsid w:val="00C63055"/>
    <w:rsid w:val="00C634B8"/>
    <w:rsid w:val="00C64274"/>
    <w:rsid w:val="00C66003"/>
    <w:rsid w:val="00C6613F"/>
    <w:rsid w:val="00C67117"/>
    <w:rsid w:val="00C71F67"/>
    <w:rsid w:val="00C7223E"/>
    <w:rsid w:val="00C73B62"/>
    <w:rsid w:val="00C77600"/>
    <w:rsid w:val="00C776B1"/>
    <w:rsid w:val="00C815FE"/>
    <w:rsid w:val="00C817CA"/>
    <w:rsid w:val="00C81882"/>
    <w:rsid w:val="00C81FA0"/>
    <w:rsid w:val="00C847AE"/>
    <w:rsid w:val="00C93F9E"/>
    <w:rsid w:val="00C945E5"/>
    <w:rsid w:val="00C94842"/>
    <w:rsid w:val="00C95C99"/>
    <w:rsid w:val="00C969F8"/>
    <w:rsid w:val="00C97BB8"/>
    <w:rsid w:val="00C97CE7"/>
    <w:rsid w:val="00CA04C6"/>
    <w:rsid w:val="00CA26DD"/>
    <w:rsid w:val="00CA3DB9"/>
    <w:rsid w:val="00CB0DE0"/>
    <w:rsid w:val="00CB12EC"/>
    <w:rsid w:val="00CB2455"/>
    <w:rsid w:val="00CB673C"/>
    <w:rsid w:val="00CC09D7"/>
    <w:rsid w:val="00CC12B8"/>
    <w:rsid w:val="00CC1381"/>
    <w:rsid w:val="00CC403D"/>
    <w:rsid w:val="00CC5AB1"/>
    <w:rsid w:val="00CC6253"/>
    <w:rsid w:val="00CC67BE"/>
    <w:rsid w:val="00CC7E0E"/>
    <w:rsid w:val="00CD1569"/>
    <w:rsid w:val="00CD22E3"/>
    <w:rsid w:val="00CD4C9D"/>
    <w:rsid w:val="00CD4E44"/>
    <w:rsid w:val="00CD5073"/>
    <w:rsid w:val="00CD5AE4"/>
    <w:rsid w:val="00CD7245"/>
    <w:rsid w:val="00CD78D8"/>
    <w:rsid w:val="00CD7A7D"/>
    <w:rsid w:val="00CE38ED"/>
    <w:rsid w:val="00CE5AB4"/>
    <w:rsid w:val="00CF1360"/>
    <w:rsid w:val="00CF17D1"/>
    <w:rsid w:val="00CF2D8E"/>
    <w:rsid w:val="00CF2DFA"/>
    <w:rsid w:val="00CF5477"/>
    <w:rsid w:val="00CF5AD8"/>
    <w:rsid w:val="00CF5AF5"/>
    <w:rsid w:val="00CF7238"/>
    <w:rsid w:val="00CF7838"/>
    <w:rsid w:val="00D00122"/>
    <w:rsid w:val="00D014A6"/>
    <w:rsid w:val="00D01D2A"/>
    <w:rsid w:val="00D045D3"/>
    <w:rsid w:val="00D06E60"/>
    <w:rsid w:val="00D10B47"/>
    <w:rsid w:val="00D11EB1"/>
    <w:rsid w:val="00D14343"/>
    <w:rsid w:val="00D17F17"/>
    <w:rsid w:val="00D20178"/>
    <w:rsid w:val="00D201A0"/>
    <w:rsid w:val="00D221A6"/>
    <w:rsid w:val="00D23597"/>
    <w:rsid w:val="00D30BDC"/>
    <w:rsid w:val="00D30F4A"/>
    <w:rsid w:val="00D31028"/>
    <w:rsid w:val="00D33587"/>
    <w:rsid w:val="00D33710"/>
    <w:rsid w:val="00D34100"/>
    <w:rsid w:val="00D508EB"/>
    <w:rsid w:val="00D50E92"/>
    <w:rsid w:val="00D52091"/>
    <w:rsid w:val="00D578EA"/>
    <w:rsid w:val="00D57F88"/>
    <w:rsid w:val="00D6151C"/>
    <w:rsid w:val="00D64305"/>
    <w:rsid w:val="00D70751"/>
    <w:rsid w:val="00D7105C"/>
    <w:rsid w:val="00D73646"/>
    <w:rsid w:val="00D755A8"/>
    <w:rsid w:val="00D777B4"/>
    <w:rsid w:val="00D77A90"/>
    <w:rsid w:val="00D8360B"/>
    <w:rsid w:val="00D84A1E"/>
    <w:rsid w:val="00D85676"/>
    <w:rsid w:val="00D862A6"/>
    <w:rsid w:val="00D9309B"/>
    <w:rsid w:val="00D9643D"/>
    <w:rsid w:val="00D96ADA"/>
    <w:rsid w:val="00D97CE3"/>
    <w:rsid w:val="00DA17EA"/>
    <w:rsid w:val="00DA1F96"/>
    <w:rsid w:val="00DA2886"/>
    <w:rsid w:val="00DA5E50"/>
    <w:rsid w:val="00DA7D0C"/>
    <w:rsid w:val="00DB28BD"/>
    <w:rsid w:val="00DB311C"/>
    <w:rsid w:val="00DB3E33"/>
    <w:rsid w:val="00DB432D"/>
    <w:rsid w:val="00DB4489"/>
    <w:rsid w:val="00DB519B"/>
    <w:rsid w:val="00DB5890"/>
    <w:rsid w:val="00DB6FDF"/>
    <w:rsid w:val="00DC1129"/>
    <w:rsid w:val="00DC12DA"/>
    <w:rsid w:val="00DC2EAC"/>
    <w:rsid w:val="00DC6627"/>
    <w:rsid w:val="00DC7694"/>
    <w:rsid w:val="00DC7814"/>
    <w:rsid w:val="00DC7FBE"/>
    <w:rsid w:val="00DD130E"/>
    <w:rsid w:val="00DD165A"/>
    <w:rsid w:val="00DD308E"/>
    <w:rsid w:val="00DD5010"/>
    <w:rsid w:val="00DE1B81"/>
    <w:rsid w:val="00DE2445"/>
    <w:rsid w:val="00DE2A56"/>
    <w:rsid w:val="00DE2F8A"/>
    <w:rsid w:val="00DE49B8"/>
    <w:rsid w:val="00DF0C51"/>
    <w:rsid w:val="00DF0D47"/>
    <w:rsid w:val="00DF1652"/>
    <w:rsid w:val="00DF2E60"/>
    <w:rsid w:val="00DF2ED8"/>
    <w:rsid w:val="00DF3D02"/>
    <w:rsid w:val="00DF429A"/>
    <w:rsid w:val="00DF483E"/>
    <w:rsid w:val="00DF606E"/>
    <w:rsid w:val="00DF6D37"/>
    <w:rsid w:val="00E00611"/>
    <w:rsid w:val="00E0087E"/>
    <w:rsid w:val="00E048ED"/>
    <w:rsid w:val="00E04FB3"/>
    <w:rsid w:val="00E058F2"/>
    <w:rsid w:val="00E05D9C"/>
    <w:rsid w:val="00E06102"/>
    <w:rsid w:val="00E06CAD"/>
    <w:rsid w:val="00E07C57"/>
    <w:rsid w:val="00E14A74"/>
    <w:rsid w:val="00E17F1F"/>
    <w:rsid w:val="00E21084"/>
    <w:rsid w:val="00E21866"/>
    <w:rsid w:val="00E23E71"/>
    <w:rsid w:val="00E24FE5"/>
    <w:rsid w:val="00E259EB"/>
    <w:rsid w:val="00E30F19"/>
    <w:rsid w:val="00E31049"/>
    <w:rsid w:val="00E33C4A"/>
    <w:rsid w:val="00E34917"/>
    <w:rsid w:val="00E354F6"/>
    <w:rsid w:val="00E357B9"/>
    <w:rsid w:val="00E4321E"/>
    <w:rsid w:val="00E43B90"/>
    <w:rsid w:val="00E44B80"/>
    <w:rsid w:val="00E47623"/>
    <w:rsid w:val="00E50EA5"/>
    <w:rsid w:val="00E53E1C"/>
    <w:rsid w:val="00E56DF0"/>
    <w:rsid w:val="00E576E3"/>
    <w:rsid w:val="00E60529"/>
    <w:rsid w:val="00E6172C"/>
    <w:rsid w:val="00E641EF"/>
    <w:rsid w:val="00E65DCD"/>
    <w:rsid w:val="00E66604"/>
    <w:rsid w:val="00E70D86"/>
    <w:rsid w:val="00E7441D"/>
    <w:rsid w:val="00E7628E"/>
    <w:rsid w:val="00E76DF5"/>
    <w:rsid w:val="00E82F54"/>
    <w:rsid w:val="00E83BCC"/>
    <w:rsid w:val="00E8649B"/>
    <w:rsid w:val="00E871CD"/>
    <w:rsid w:val="00E87D83"/>
    <w:rsid w:val="00E90990"/>
    <w:rsid w:val="00E9174F"/>
    <w:rsid w:val="00E92B7F"/>
    <w:rsid w:val="00E9303C"/>
    <w:rsid w:val="00E95D3D"/>
    <w:rsid w:val="00E96326"/>
    <w:rsid w:val="00E97CA9"/>
    <w:rsid w:val="00EA0E25"/>
    <w:rsid w:val="00EA173C"/>
    <w:rsid w:val="00EA35EE"/>
    <w:rsid w:val="00EA5800"/>
    <w:rsid w:val="00EA5E70"/>
    <w:rsid w:val="00EA6867"/>
    <w:rsid w:val="00EA6F33"/>
    <w:rsid w:val="00EB10C6"/>
    <w:rsid w:val="00EB2389"/>
    <w:rsid w:val="00EB26DA"/>
    <w:rsid w:val="00EB3BE7"/>
    <w:rsid w:val="00EB52D9"/>
    <w:rsid w:val="00EC127A"/>
    <w:rsid w:val="00EC1FF9"/>
    <w:rsid w:val="00EC2737"/>
    <w:rsid w:val="00EC7349"/>
    <w:rsid w:val="00ED72B5"/>
    <w:rsid w:val="00EE0E02"/>
    <w:rsid w:val="00EE2444"/>
    <w:rsid w:val="00EE2716"/>
    <w:rsid w:val="00EE3E1B"/>
    <w:rsid w:val="00EE6450"/>
    <w:rsid w:val="00EE6C3C"/>
    <w:rsid w:val="00EF16F9"/>
    <w:rsid w:val="00EF283F"/>
    <w:rsid w:val="00EF3FF6"/>
    <w:rsid w:val="00EF4532"/>
    <w:rsid w:val="00EF6495"/>
    <w:rsid w:val="00F01C2C"/>
    <w:rsid w:val="00F064DF"/>
    <w:rsid w:val="00F10ED8"/>
    <w:rsid w:val="00F13CD4"/>
    <w:rsid w:val="00F1699C"/>
    <w:rsid w:val="00F22193"/>
    <w:rsid w:val="00F222BE"/>
    <w:rsid w:val="00F22761"/>
    <w:rsid w:val="00F24179"/>
    <w:rsid w:val="00F25DEC"/>
    <w:rsid w:val="00F301F1"/>
    <w:rsid w:val="00F30C22"/>
    <w:rsid w:val="00F32157"/>
    <w:rsid w:val="00F33F1A"/>
    <w:rsid w:val="00F41485"/>
    <w:rsid w:val="00F43416"/>
    <w:rsid w:val="00F44075"/>
    <w:rsid w:val="00F5393A"/>
    <w:rsid w:val="00F541BF"/>
    <w:rsid w:val="00F547F7"/>
    <w:rsid w:val="00F54CCF"/>
    <w:rsid w:val="00F554DE"/>
    <w:rsid w:val="00F5784F"/>
    <w:rsid w:val="00F579A2"/>
    <w:rsid w:val="00F60FFC"/>
    <w:rsid w:val="00F61D7A"/>
    <w:rsid w:val="00F63385"/>
    <w:rsid w:val="00F637B3"/>
    <w:rsid w:val="00F656D7"/>
    <w:rsid w:val="00F66CF7"/>
    <w:rsid w:val="00F671C2"/>
    <w:rsid w:val="00F67BCB"/>
    <w:rsid w:val="00F7083D"/>
    <w:rsid w:val="00F71793"/>
    <w:rsid w:val="00F71A5D"/>
    <w:rsid w:val="00F737CD"/>
    <w:rsid w:val="00F73FB0"/>
    <w:rsid w:val="00F77C57"/>
    <w:rsid w:val="00F813C7"/>
    <w:rsid w:val="00F83566"/>
    <w:rsid w:val="00F83A9D"/>
    <w:rsid w:val="00F83B0B"/>
    <w:rsid w:val="00F851EC"/>
    <w:rsid w:val="00F868FD"/>
    <w:rsid w:val="00F86E67"/>
    <w:rsid w:val="00F87A7A"/>
    <w:rsid w:val="00F906B5"/>
    <w:rsid w:val="00F93008"/>
    <w:rsid w:val="00F93784"/>
    <w:rsid w:val="00F94241"/>
    <w:rsid w:val="00F954DC"/>
    <w:rsid w:val="00F960F7"/>
    <w:rsid w:val="00F965CA"/>
    <w:rsid w:val="00F968EA"/>
    <w:rsid w:val="00F971CC"/>
    <w:rsid w:val="00FA01AE"/>
    <w:rsid w:val="00FA2CAA"/>
    <w:rsid w:val="00FA3DA1"/>
    <w:rsid w:val="00FA461A"/>
    <w:rsid w:val="00FA61B4"/>
    <w:rsid w:val="00FA6554"/>
    <w:rsid w:val="00FB0DFC"/>
    <w:rsid w:val="00FB4486"/>
    <w:rsid w:val="00FB545C"/>
    <w:rsid w:val="00FB5591"/>
    <w:rsid w:val="00FC6DDA"/>
    <w:rsid w:val="00FD18C4"/>
    <w:rsid w:val="00FD21B4"/>
    <w:rsid w:val="00FD2CBC"/>
    <w:rsid w:val="00FD38CD"/>
    <w:rsid w:val="00FE16C1"/>
    <w:rsid w:val="00FE1819"/>
    <w:rsid w:val="00FE19FF"/>
    <w:rsid w:val="00FE33A6"/>
    <w:rsid w:val="00FE44AE"/>
    <w:rsid w:val="00FE5452"/>
    <w:rsid w:val="00FE56E8"/>
    <w:rsid w:val="00FE795F"/>
    <w:rsid w:val="00FF35F8"/>
    <w:rsid w:val="00FF3874"/>
    <w:rsid w:val="00FF4063"/>
    <w:rsid w:val="00FF59A8"/>
    <w:rsid w:val="00FF62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B29B2C"/>
  <w15:docId w15:val="{186298D3-D0CD-4188-807E-E3AE4C8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mmary Bullets,Footer Setting,Bullet List,FooterText,List Paragraph1,numbered,Paragraphe de liste1,Bulletr List Paragraph,列出段落,列出段落1,List Paragraph2,List Paragraph21,Párrafo de lista1,Parágrafo da Lista1,リスト段落1,Listeafsnit1,Bullet list"/>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
    <w:basedOn w:val="Normal"/>
    <w:link w:val="CommentTextChar"/>
    <w:uiPriority w:val="99"/>
    <w:unhideWhenUsed/>
    <w:rsid w:val="005A6AB9"/>
    <w:rPr>
      <w:szCs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styleId="UnresolvedMention">
    <w:name w:val="Unresolved Mention"/>
    <w:basedOn w:val="DefaultParagraphFont"/>
    <w:uiPriority w:val="99"/>
    <w:semiHidden/>
    <w:unhideWhenUsed/>
    <w:rsid w:val="00F41485"/>
    <w:rPr>
      <w:color w:val="605E5C"/>
      <w:shd w:val="clear" w:color="auto" w:fill="E1DFDD"/>
    </w:rPr>
  </w:style>
  <w:style w:type="paragraph" w:styleId="Caption">
    <w:name w:val="caption"/>
    <w:basedOn w:val="Normal"/>
    <w:next w:val="Normal"/>
    <w:uiPriority w:val="35"/>
    <w:unhideWhenUsed/>
    <w:qFormat/>
    <w:rsid w:val="0072641B"/>
    <w:pPr>
      <w:spacing w:before="0" w:after="200"/>
    </w:pPr>
    <w:rPr>
      <w:i/>
      <w:iCs/>
      <w:color w:val="1F497D" w:themeColor="text2"/>
      <w:sz w:val="18"/>
      <w:szCs w:val="18"/>
    </w:rPr>
  </w:style>
  <w:style w:type="paragraph" w:styleId="NormalWeb">
    <w:name w:val="Normal (Web)"/>
    <w:basedOn w:val="Normal"/>
    <w:uiPriority w:val="99"/>
    <w:semiHidden/>
    <w:unhideWhenUsed/>
    <w:rsid w:val="009329A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ParagraphChar">
    <w:name w:val="List Paragraph Char"/>
    <w:aliases w:val="Summary Bullets Char,Footer Setting Char,Bullet List Char,FooterText Char,List Paragraph1 Char,numbered Char,Paragraphe de liste1 Char,Bulletr List Paragraph Char,列出段落 Char,列出段落1 Char,List Paragraph2 Char,List Paragraph21 Char"/>
    <w:basedOn w:val="DefaultParagraphFont"/>
    <w:link w:val="ListParagraph"/>
    <w:uiPriority w:val="34"/>
    <w:qFormat/>
    <w:rsid w:val="00957BD0"/>
    <w:rPr>
      <w:sz w:val="20"/>
    </w:rPr>
  </w:style>
  <w:style w:type="paragraph" w:styleId="ListBullet">
    <w:name w:val="List Bullet"/>
    <w:basedOn w:val="ListNumber"/>
    <w:qFormat/>
    <w:rsid w:val="000C280B"/>
    <w:pPr>
      <w:numPr>
        <w:numId w:val="0"/>
      </w:numPr>
      <w:spacing w:before="60" w:line="360" w:lineRule="auto"/>
      <w:contextualSpacing w:val="0"/>
      <w:jc w:val="both"/>
    </w:pPr>
    <w:rPr>
      <w:rFonts w:ascii="Arial" w:eastAsiaTheme="minorEastAsia" w:hAnsi="Arial"/>
      <w:bCs/>
      <w:sz w:val="24"/>
      <w:lang w:val="en-GB" w:eastAsia="en-GB"/>
    </w:rPr>
  </w:style>
  <w:style w:type="paragraph" w:styleId="ListNumber">
    <w:name w:val="List Number"/>
    <w:basedOn w:val="Normal"/>
    <w:uiPriority w:val="99"/>
    <w:semiHidden/>
    <w:unhideWhenUsed/>
    <w:rsid w:val="000C280B"/>
    <w:pPr>
      <w:numPr>
        <w:numId w:val="21"/>
      </w:numPr>
      <w:ind w:left="360" w:hanging="360"/>
      <w:contextualSpacing/>
    </w:pPr>
  </w:style>
  <w:style w:type="character" w:customStyle="1" w:styleId="highlight">
    <w:name w:val="highlight"/>
    <w:basedOn w:val="DefaultParagraphFont"/>
    <w:rsid w:val="002A0C86"/>
  </w:style>
  <w:style w:type="paragraph" w:customStyle="1" w:styleId="Default">
    <w:name w:val="Default"/>
    <w:rsid w:val="00BB16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link w:val="ParagraphChar"/>
    <w:qFormat/>
    <w:rsid w:val="00260BDF"/>
    <w:pPr>
      <w:spacing w:after="240" w:line="240" w:lineRule="auto"/>
    </w:pPr>
    <w:rPr>
      <w:rFonts w:ascii="Times New Roman" w:eastAsia="Times New Roman" w:hAnsi="Times New Roman" w:cs="Times New Roman"/>
      <w:sz w:val="24"/>
      <w:szCs w:val="24"/>
      <w:lang w:val="en-GB"/>
    </w:rPr>
  </w:style>
  <w:style w:type="character" w:customStyle="1" w:styleId="ParagraphChar">
    <w:name w:val="Paragraph Char"/>
    <w:basedOn w:val="DefaultParagraphFont"/>
    <w:link w:val="Paragraph"/>
    <w:rsid w:val="00260BDF"/>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25319A"/>
    <w:rPr>
      <w:color w:val="800080" w:themeColor="followedHyperlink"/>
      <w:u w:val="single"/>
    </w:rPr>
  </w:style>
  <w:style w:type="paragraph" w:styleId="Bibliography">
    <w:name w:val="Bibliography"/>
    <w:basedOn w:val="Normal"/>
    <w:next w:val="Normal"/>
    <w:uiPriority w:val="37"/>
    <w:unhideWhenUsed/>
    <w:rsid w:val="005703C1"/>
  </w:style>
  <w:style w:type="paragraph" w:customStyle="1" w:styleId="EndNoteBibliography">
    <w:name w:val="EndNote Bibliography"/>
    <w:basedOn w:val="Normal"/>
    <w:link w:val="EndNoteBibliographyChar"/>
    <w:rsid w:val="005703C1"/>
    <w:pPr>
      <w:spacing w:before="0"/>
    </w:pPr>
    <w:rPr>
      <w:rFonts w:ascii="Arial" w:eastAsia="SimSun" w:hAnsi="Arial" w:cs="Arial"/>
      <w:noProof/>
      <w:sz w:val="22"/>
      <w:lang w:val="en-GB" w:eastAsia="en-GB"/>
    </w:rPr>
  </w:style>
  <w:style w:type="character" w:customStyle="1" w:styleId="EndNoteBibliographyChar">
    <w:name w:val="EndNote Bibliography Char"/>
    <w:link w:val="EndNoteBibliography"/>
    <w:rsid w:val="005703C1"/>
    <w:rPr>
      <w:rFonts w:ascii="Arial" w:eastAsia="SimSun" w:hAnsi="Arial" w:cs="Arial"/>
      <w:noProof/>
      <w:lang w:val="en-GB" w:eastAsia="en-GB"/>
    </w:rPr>
  </w:style>
  <w:style w:type="paragraph" w:customStyle="1" w:styleId="NICEnormal">
    <w:name w:val="NICE normal"/>
    <w:link w:val="NICEnormalChar"/>
    <w:uiPriority w:val="99"/>
    <w:qFormat/>
    <w:rsid w:val="0078241B"/>
    <w:pPr>
      <w:spacing w:after="240" w:line="360" w:lineRule="auto"/>
    </w:pPr>
    <w:rPr>
      <w:rFonts w:ascii="Arial" w:eastAsia="Times New Roman" w:hAnsi="Arial" w:cs="Times New Roman"/>
      <w:sz w:val="24"/>
      <w:szCs w:val="24"/>
      <w:lang w:val="en-GB"/>
    </w:rPr>
  </w:style>
  <w:style w:type="character" w:customStyle="1" w:styleId="NICEnormalChar">
    <w:name w:val="NICE normal Char"/>
    <w:link w:val="NICEnormal"/>
    <w:uiPriority w:val="99"/>
    <w:rsid w:val="0078241B"/>
    <w:rPr>
      <w:rFonts w:ascii="Arial" w:eastAsia="Times New Roman" w:hAnsi="Arial"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3577">
      <w:bodyDiv w:val="1"/>
      <w:marLeft w:val="0"/>
      <w:marRight w:val="0"/>
      <w:marTop w:val="0"/>
      <w:marBottom w:val="0"/>
      <w:divBdr>
        <w:top w:val="none" w:sz="0" w:space="0" w:color="auto"/>
        <w:left w:val="none" w:sz="0" w:space="0" w:color="auto"/>
        <w:bottom w:val="none" w:sz="0" w:space="0" w:color="auto"/>
        <w:right w:val="none" w:sz="0" w:space="0" w:color="auto"/>
      </w:divBdr>
    </w:div>
    <w:div w:id="160779578">
      <w:bodyDiv w:val="1"/>
      <w:marLeft w:val="0"/>
      <w:marRight w:val="0"/>
      <w:marTop w:val="0"/>
      <w:marBottom w:val="0"/>
      <w:divBdr>
        <w:top w:val="none" w:sz="0" w:space="0" w:color="auto"/>
        <w:left w:val="none" w:sz="0" w:space="0" w:color="auto"/>
        <w:bottom w:val="none" w:sz="0" w:space="0" w:color="auto"/>
        <w:right w:val="none" w:sz="0" w:space="0" w:color="auto"/>
      </w:divBdr>
    </w:div>
    <w:div w:id="213853223">
      <w:bodyDiv w:val="1"/>
      <w:marLeft w:val="0"/>
      <w:marRight w:val="0"/>
      <w:marTop w:val="0"/>
      <w:marBottom w:val="0"/>
      <w:divBdr>
        <w:top w:val="none" w:sz="0" w:space="0" w:color="auto"/>
        <w:left w:val="none" w:sz="0" w:space="0" w:color="auto"/>
        <w:bottom w:val="none" w:sz="0" w:space="0" w:color="auto"/>
        <w:right w:val="none" w:sz="0" w:space="0" w:color="auto"/>
      </w:divBdr>
    </w:div>
    <w:div w:id="261646669">
      <w:bodyDiv w:val="1"/>
      <w:marLeft w:val="0"/>
      <w:marRight w:val="0"/>
      <w:marTop w:val="0"/>
      <w:marBottom w:val="0"/>
      <w:divBdr>
        <w:top w:val="none" w:sz="0" w:space="0" w:color="auto"/>
        <w:left w:val="none" w:sz="0" w:space="0" w:color="auto"/>
        <w:bottom w:val="none" w:sz="0" w:space="0" w:color="auto"/>
        <w:right w:val="none" w:sz="0" w:space="0" w:color="auto"/>
      </w:divBdr>
    </w:div>
    <w:div w:id="286548510">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09094914">
      <w:bodyDiv w:val="1"/>
      <w:marLeft w:val="0"/>
      <w:marRight w:val="0"/>
      <w:marTop w:val="0"/>
      <w:marBottom w:val="0"/>
      <w:divBdr>
        <w:top w:val="none" w:sz="0" w:space="0" w:color="auto"/>
        <w:left w:val="none" w:sz="0" w:space="0" w:color="auto"/>
        <w:bottom w:val="none" w:sz="0" w:space="0" w:color="auto"/>
        <w:right w:val="none" w:sz="0" w:space="0" w:color="auto"/>
      </w:divBdr>
    </w:div>
    <w:div w:id="328558301">
      <w:bodyDiv w:val="1"/>
      <w:marLeft w:val="0"/>
      <w:marRight w:val="0"/>
      <w:marTop w:val="0"/>
      <w:marBottom w:val="0"/>
      <w:divBdr>
        <w:top w:val="none" w:sz="0" w:space="0" w:color="auto"/>
        <w:left w:val="none" w:sz="0" w:space="0" w:color="auto"/>
        <w:bottom w:val="none" w:sz="0" w:space="0" w:color="auto"/>
        <w:right w:val="none" w:sz="0" w:space="0" w:color="auto"/>
      </w:divBdr>
    </w:div>
    <w:div w:id="338195646">
      <w:bodyDiv w:val="1"/>
      <w:marLeft w:val="0"/>
      <w:marRight w:val="0"/>
      <w:marTop w:val="0"/>
      <w:marBottom w:val="0"/>
      <w:divBdr>
        <w:top w:val="none" w:sz="0" w:space="0" w:color="auto"/>
        <w:left w:val="none" w:sz="0" w:space="0" w:color="auto"/>
        <w:bottom w:val="none" w:sz="0" w:space="0" w:color="auto"/>
        <w:right w:val="none" w:sz="0" w:space="0" w:color="auto"/>
      </w:divBdr>
    </w:div>
    <w:div w:id="348142706">
      <w:bodyDiv w:val="1"/>
      <w:marLeft w:val="0"/>
      <w:marRight w:val="0"/>
      <w:marTop w:val="0"/>
      <w:marBottom w:val="0"/>
      <w:divBdr>
        <w:top w:val="none" w:sz="0" w:space="0" w:color="auto"/>
        <w:left w:val="none" w:sz="0" w:space="0" w:color="auto"/>
        <w:bottom w:val="none" w:sz="0" w:space="0" w:color="auto"/>
        <w:right w:val="none" w:sz="0" w:space="0" w:color="auto"/>
      </w:divBdr>
    </w:div>
    <w:div w:id="492645685">
      <w:bodyDiv w:val="1"/>
      <w:marLeft w:val="0"/>
      <w:marRight w:val="0"/>
      <w:marTop w:val="0"/>
      <w:marBottom w:val="0"/>
      <w:divBdr>
        <w:top w:val="none" w:sz="0" w:space="0" w:color="auto"/>
        <w:left w:val="none" w:sz="0" w:space="0" w:color="auto"/>
        <w:bottom w:val="none" w:sz="0" w:space="0" w:color="auto"/>
        <w:right w:val="none" w:sz="0" w:space="0" w:color="auto"/>
      </w:divBdr>
    </w:div>
    <w:div w:id="578641324">
      <w:bodyDiv w:val="1"/>
      <w:marLeft w:val="0"/>
      <w:marRight w:val="0"/>
      <w:marTop w:val="0"/>
      <w:marBottom w:val="0"/>
      <w:divBdr>
        <w:top w:val="none" w:sz="0" w:space="0" w:color="auto"/>
        <w:left w:val="none" w:sz="0" w:space="0" w:color="auto"/>
        <w:bottom w:val="none" w:sz="0" w:space="0" w:color="auto"/>
        <w:right w:val="none" w:sz="0" w:space="0" w:color="auto"/>
      </w:divBdr>
    </w:div>
    <w:div w:id="777261630">
      <w:bodyDiv w:val="1"/>
      <w:marLeft w:val="0"/>
      <w:marRight w:val="0"/>
      <w:marTop w:val="0"/>
      <w:marBottom w:val="0"/>
      <w:divBdr>
        <w:top w:val="none" w:sz="0" w:space="0" w:color="auto"/>
        <w:left w:val="none" w:sz="0" w:space="0" w:color="auto"/>
        <w:bottom w:val="none" w:sz="0" w:space="0" w:color="auto"/>
        <w:right w:val="none" w:sz="0" w:space="0" w:color="auto"/>
      </w:divBdr>
    </w:div>
    <w:div w:id="791820923">
      <w:bodyDiv w:val="1"/>
      <w:marLeft w:val="0"/>
      <w:marRight w:val="0"/>
      <w:marTop w:val="0"/>
      <w:marBottom w:val="0"/>
      <w:divBdr>
        <w:top w:val="none" w:sz="0" w:space="0" w:color="auto"/>
        <w:left w:val="none" w:sz="0" w:space="0" w:color="auto"/>
        <w:bottom w:val="none" w:sz="0" w:space="0" w:color="auto"/>
        <w:right w:val="none" w:sz="0" w:space="0" w:color="auto"/>
      </w:divBdr>
    </w:div>
    <w:div w:id="942541283">
      <w:bodyDiv w:val="1"/>
      <w:marLeft w:val="0"/>
      <w:marRight w:val="0"/>
      <w:marTop w:val="0"/>
      <w:marBottom w:val="0"/>
      <w:divBdr>
        <w:top w:val="none" w:sz="0" w:space="0" w:color="auto"/>
        <w:left w:val="none" w:sz="0" w:space="0" w:color="auto"/>
        <w:bottom w:val="none" w:sz="0" w:space="0" w:color="auto"/>
        <w:right w:val="none" w:sz="0" w:space="0" w:color="auto"/>
      </w:divBdr>
    </w:div>
    <w:div w:id="987319320">
      <w:bodyDiv w:val="1"/>
      <w:marLeft w:val="0"/>
      <w:marRight w:val="0"/>
      <w:marTop w:val="0"/>
      <w:marBottom w:val="0"/>
      <w:divBdr>
        <w:top w:val="none" w:sz="0" w:space="0" w:color="auto"/>
        <w:left w:val="none" w:sz="0" w:space="0" w:color="auto"/>
        <w:bottom w:val="none" w:sz="0" w:space="0" w:color="auto"/>
        <w:right w:val="none" w:sz="0" w:space="0" w:color="auto"/>
      </w:divBdr>
    </w:div>
    <w:div w:id="1068071811">
      <w:bodyDiv w:val="1"/>
      <w:marLeft w:val="0"/>
      <w:marRight w:val="0"/>
      <w:marTop w:val="0"/>
      <w:marBottom w:val="0"/>
      <w:divBdr>
        <w:top w:val="none" w:sz="0" w:space="0" w:color="auto"/>
        <w:left w:val="none" w:sz="0" w:space="0" w:color="auto"/>
        <w:bottom w:val="none" w:sz="0" w:space="0" w:color="auto"/>
        <w:right w:val="none" w:sz="0" w:space="0" w:color="auto"/>
      </w:divBdr>
    </w:div>
    <w:div w:id="1092975500">
      <w:bodyDiv w:val="1"/>
      <w:marLeft w:val="0"/>
      <w:marRight w:val="0"/>
      <w:marTop w:val="0"/>
      <w:marBottom w:val="0"/>
      <w:divBdr>
        <w:top w:val="none" w:sz="0" w:space="0" w:color="auto"/>
        <w:left w:val="none" w:sz="0" w:space="0" w:color="auto"/>
        <w:bottom w:val="none" w:sz="0" w:space="0" w:color="auto"/>
        <w:right w:val="none" w:sz="0" w:space="0" w:color="auto"/>
      </w:divBdr>
    </w:div>
    <w:div w:id="1259289673">
      <w:bodyDiv w:val="1"/>
      <w:marLeft w:val="0"/>
      <w:marRight w:val="0"/>
      <w:marTop w:val="0"/>
      <w:marBottom w:val="0"/>
      <w:divBdr>
        <w:top w:val="none" w:sz="0" w:space="0" w:color="auto"/>
        <w:left w:val="none" w:sz="0" w:space="0" w:color="auto"/>
        <w:bottom w:val="none" w:sz="0" w:space="0" w:color="auto"/>
        <w:right w:val="none" w:sz="0" w:space="0" w:color="auto"/>
      </w:divBdr>
    </w:div>
    <w:div w:id="1348945116">
      <w:bodyDiv w:val="1"/>
      <w:marLeft w:val="0"/>
      <w:marRight w:val="0"/>
      <w:marTop w:val="0"/>
      <w:marBottom w:val="0"/>
      <w:divBdr>
        <w:top w:val="none" w:sz="0" w:space="0" w:color="auto"/>
        <w:left w:val="none" w:sz="0" w:space="0" w:color="auto"/>
        <w:bottom w:val="none" w:sz="0" w:space="0" w:color="auto"/>
        <w:right w:val="none" w:sz="0" w:space="0" w:color="auto"/>
      </w:divBdr>
    </w:div>
    <w:div w:id="1466966540">
      <w:bodyDiv w:val="1"/>
      <w:marLeft w:val="0"/>
      <w:marRight w:val="0"/>
      <w:marTop w:val="0"/>
      <w:marBottom w:val="0"/>
      <w:divBdr>
        <w:top w:val="none" w:sz="0" w:space="0" w:color="auto"/>
        <w:left w:val="none" w:sz="0" w:space="0" w:color="auto"/>
        <w:bottom w:val="none" w:sz="0" w:space="0" w:color="auto"/>
        <w:right w:val="none" w:sz="0" w:space="0" w:color="auto"/>
      </w:divBdr>
    </w:div>
    <w:div w:id="1486625037">
      <w:bodyDiv w:val="1"/>
      <w:marLeft w:val="0"/>
      <w:marRight w:val="0"/>
      <w:marTop w:val="0"/>
      <w:marBottom w:val="0"/>
      <w:divBdr>
        <w:top w:val="none" w:sz="0" w:space="0" w:color="auto"/>
        <w:left w:val="none" w:sz="0" w:space="0" w:color="auto"/>
        <w:bottom w:val="none" w:sz="0" w:space="0" w:color="auto"/>
        <w:right w:val="none" w:sz="0" w:space="0" w:color="auto"/>
      </w:divBdr>
    </w:div>
    <w:div w:id="1555460623">
      <w:bodyDiv w:val="1"/>
      <w:marLeft w:val="0"/>
      <w:marRight w:val="0"/>
      <w:marTop w:val="0"/>
      <w:marBottom w:val="0"/>
      <w:divBdr>
        <w:top w:val="none" w:sz="0" w:space="0" w:color="auto"/>
        <w:left w:val="none" w:sz="0" w:space="0" w:color="auto"/>
        <w:bottom w:val="none" w:sz="0" w:space="0" w:color="auto"/>
        <w:right w:val="none" w:sz="0" w:space="0" w:color="auto"/>
      </w:divBdr>
    </w:div>
    <w:div w:id="1580751813">
      <w:bodyDiv w:val="1"/>
      <w:marLeft w:val="0"/>
      <w:marRight w:val="0"/>
      <w:marTop w:val="0"/>
      <w:marBottom w:val="0"/>
      <w:divBdr>
        <w:top w:val="none" w:sz="0" w:space="0" w:color="auto"/>
        <w:left w:val="none" w:sz="0" w:space="0" w:color="auto"/>
        <w:bottom w:val="none" w:sz="0" w:space="0" w:color="auto"/>
        <w:right w:val="none" w:sz="0" w:space="0" w:color="auto"/>
      </w:divBdr>
    </w:div>
    <w:div w:id="1585795972">
      <w:bodyDiv w:val="1"/>
      <w:marLeft w:val="0"/>
      <w:marRight w:val="0"/>
      <w:marTop w:val="0"/>
      <w:marBottom w:val="0"/>
      <w:divBdr>
        <w:top w:val="none" w:sz="0" w:space="0" w:color="auto"/>
        <w:left w:val="none" w:sz="0" w:space="0" w:color="auto"/>
        <w:bottom w:val="none" w:sz="0" w:space="0" w:color="auto"/>
        <w:right w:val="none" w:sz="0" w:space="0" w:color="auto"/>
      </w:divBdr>
    </w:div>
    <w:div w:id="1628900150">
      <w:bodyDiv w:val="1"/>
      <w:marLeft w:val="0"/>
      <w:marRight w:val="0"/>
      <w:marTop w:val="0"/>
      <w:marBottom w:val="0"/>
      <w:divBdr>
        <w:top w:val="none" w:sz="0" w:space="0" w:color="auto"/>
        <w:left w:val="none" w:sz="0" w:space="0" w:color="auto"/>
        <w:bottom w:val="none" w:sz="0" w:space="0" w:color="auto"/>
        <w:right w:val="none" w:sz="0" w:space="0" w:color="auto"/>
      </w:divBdr>
    </w:div>
    <w:div w:id="1642227273">
      <w:bodyDiv w:val="1"/>
      <w:marLeft w:val="0"/>
      <w:marRight w:val="0"/>
      <w:marTop w:val="0"/>
      <w:marBottom w:val="0"/>
      <w:divBdr>
        <w:top w:val="none" w:sz="0" w:space="0" w:color="auto"/>
        <w:left w:val="none" w:sz="0" w:space="0" w:color="auto"/>
        <w:bottom w:val="none" w:sz="0" w:space="0" w:color="auto"/>
        <w:right w:val="none" w:sz="0" w:space="0" w:color="auto"/>
      </w:divBdr>
    </w:div>
    <w:div w:id="1688368295">
      <w:bodyDiv w:val="1"/>
      <w:marLeft w:val="0"/>
      <w:marRight w:val="0"/>
      <w:marTop w:val="0"/>
      <w:marBottom w:val="0"/>
      <w:divBdr>
        <w:top w:val="none" w:sz="0" w:space="0" w:color="auto"/>
        <w:left w:val="none" w:sz="0" w:space="0" w:color="auto"/>
        <w:bottom w:val="none" w:sz="0" w:space="0" w:color="auto"/>
        <w:right w:val="none" w:sz="0" w:space="0" w:color="auto"/>
      </w:divBdr>
    </w:div>
    <w:div w:id="1754012579">
      <w:bodyDiv w:val="1"/>
      <w:marLeft w:val="0"/>
      <w:marRight w:val="0"/>
      <w:marTop w:val="0"/>
      <w:marBottom w:val="0"/>
      <w:divBdr>
        <w:top w:val="none" w:sz="0" w:space="0" w:color="auto"/>
        <w:left w:val="none" w:sz="0" w:space="0" w:color="auto"/>
        <w:bottom w:val="none" w:sz="0" w:space="0" w:color="auto"/>
        <w:right w:val="none" w:sz="0" w:space="0" w:color="auto"/>
      </w:divBdr>
    </w:div>
    <w:div w:id="1755588356">
      <w:bodyDiv w:val="1"/>
      <w:marLeft w:val="0"/>
      <w:marRight w:val="0"/>
      <w:marTop w:val="0"/>
      <w:marBottom w:val="0"/>
      <w:divBdr>
        <w:top w:val="none" w:sz="0" w:space="0" w:color="auto"/>
        <w:left w:val="none" w:sz="0" w:space="0" w:color="auto"/>
        <w:bottom w:val="none" w:sz="0" w:space="0" w:color="auto"/>
        <w:right w:val="none" w:sz="0" w:space="0" w:color="auto"/>
      </w:divBdr>
    </w:div>
    <w:div w:id="1817410974">
      <w:bodyDiv w:val="1"/>
      <w:marLeft w:val="0"/>
      <w:marRight w:val="0"/>
      <w:marTop w:val="0"/>
      <w:marBottom w:val="0"/>
      <w:divBdr>
        <w:top w:val="none" w:sz="0" w:space="0" w:color="auto"/>
        <w:left w:val="none" w:sz="0" w:space="0" w:color="auto"/>
        <w:bottom w:val="none" w:sz="0" w:space="0" w:color="auto"/>
        <w:right w:val="none" w:sz="0" w:space="0" w:color="auto"/>
      </w:divBdr>
    </w:div>
    <w:div w:id="1843229764">
      <w:bodyDiv w:val="1"/>
      <w:marLeft w:val="0"/>
      <w:marRight w:val="0"/>
      <w:marTop w:val="0"/>
      <w:marBottom w:val="0"/>
      <w:divBdr>
        <w:top w:val="none" w:sz="0" w:space="0" w:color="auto"/>
        <w:left w:val="none" w:sz="0" w:space="0" w:color="auto"/>
        <w:bottom w:val="none" w:sz="0" w:space="0" w:color="auto"/>
        <w:right w:val="none" w:sz="0" w:space="0" w:color="auto"/>
      </w:divBdr>
    </w:div>
    <w:div w:id="188914408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29154953">
      <w:bodyDiv w:val="1"/>
      <w:marLeft w:val="0"/>
      <w:marRight w:val="0"/>
      <w:marTop w:val="0"/>
      <w:marBottom w:val="0"/>
      <w:divBdr>
        <w:top w:val="none" w:sz="0" w:space="0" w:color="auto"/>
        <w:left w:val="none" w:sz="0" w:space="0" w:color="auto"/>
        <w:bottom w:val="none" w:sz="0" w:space="0" w:color="auto"/>
        <w:right w:val="none" w:sz="0" w:space="0" w:color="auto"/>
      </w:divBdr>
    </w:div>
    <w:div w:id="2135560041">
      <w:bodyDiv w:val="1"/>
      <w:marLeft w:val="0"/>
      <w:marRight w:val="0"/>
      <w:marTop w:val="0"/>
      <w:marBottom w:val="0"/>
      <w:divBdr>
        <w:top w:val="none" w:sz="0" w:space="0" w:color="auto"/>
        <w:left w:val="none" w:sz="0" w:space="0" w:color="auto"/>
        <w:bottom w:val="none" w:sz="0" w:space="0" w:color="auto"/>
        <w:right w:val="none" w:sz="0" w:space="0" w:color="auto"/>
      </w:divBdr>
    </w:div>
    <w:div w:id="21377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gov.au/" TargetMode="External"/><Relationship Id="rId18" Type="http://schemas.openxmlformats.org/officeDocument/2006/relationships/hyperlink" Target="https://cancerres.aacrjournals.org/content/74/19_Supplement/CT339" TargetMode="External"/><Relationship Id="rId26" Type="http://schemas.openxmlformats.org/officeDocument/2006/relationships/image" Target="media/image2.emf"/><Relationship Id="rId39"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yperlink" Target="https://www.embase.com/a/" TargetMode="External"/><Relationship Id="rId34" Type="http://schemas.openxmlformats.org/officeDocument/2006/relationships/diagramQuickStyle" Target="diagrams/quickStyle2.xml"/><Relationship Id="rId42" Type="http://schemas.openxmlformats.org/officeDocument/2006/relationships/hyperlink" Target="https://www.canceraustralia.gov.au/affected-cancer/cancer-types/ovarian-cancer/statistics"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ta@health.gov.au" TargetMode="External"/><Relationship Id="rId17" Type="http://schemas.openxmlformats.org/officeDocument/2006/relationships/hyperlink" Target="https://www.embase.com/search/results?subaction=viewrecord&amp;id=L71718484&amp;from=export" TargetMode="External"/><Relationship Id="rId25" Type="http://schemas.openxmlformats.org/officeDocument/2006/relationships/hyperlink" Target="https://www.annalsofoncology.org/article/S0923-7534(20)42164-7/fulltext" TargetMode="External"/><Relationship Id="rId33" Type="http://schemas.openxmlformats.org/officeDocument/2006/relationships/diagramLayout" Target="diagrams/layout2.xml"/><Relationship Id="rId38" Type="http://schemas.openxmlformats.org/officeDocument/2006/relationships/image" Target="media/image3.emf"/><Relationship Id="rId46" Type="http://schemas.openxmlformats.org/officeDocument/2006/relationships/hyperlink" Target="https://www.nice.org.uk/guidance/cg122" TargetMode="External"/><Relationship Id="rId2" Type="http://schemas.openxmlformats.org/officeDocument/2006/relationships/customXml" Target="../customXml/item2.xml"/><Relationship Id="rId16" Type="http://schemas.openxmlformats.org/officeDocument/2006/relationships/hyperlink" Target="https://www.embase.com/search/results?subaction=viewrecord&amp;id=L71734290&amp;from=export" TargetMode="External"/><Relationship Id="rId20" Type="http://schemas.openxmlformats.org/officeDocument/2006/relationships/hyperlink" Target="https://www.nature.com/articles/s41416-018-0274-8" TargetMode="External"/><Relationship Id="rId29" Type="http://schemas.openxmlformats.org/officeDocument/2006/relationships/diagramQuickStyle" Target="diagrams/quickStyle1.xml"/><Relationship Id="rId41"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oi.org/10.1158/1078-0432.ccr-15-2477" TargetMode="External"/><Relationship Id="rId32" Type="http://schemas.openxmlformats.org/officeDocument/2006/relationships/diagramData" Target="diagrams/data2.xml"/><Relationship Id="rId37" Type="http://schemas.openxmlformats.org/officeDocument/2006/relationships/hyperlink" Target="https://www.rcpaqap.com.au/home-page" TargetMode="External"/><Relationship Id="rId40" Type="http://schemas.openxmlformats.org/officeDocument/2006/relationships/image" Target="media/image4.emf"/><Relationship Id="rId45" Type="http://schemas.openxmlformats.org/officeDocument/2006/relationships/hyperlink" Target="https://www.eviq.org.au/cancer-genetics/adult/genetic-testing-for-heritable-pathogenic-variants/620-brca1-and-brca2-genetic-testing" TargetMode="External"/><Relationship Id="rId5" Type="http://schemas.openxmlformats.org/officeDocument/2006/relationships/numbering" Target="numbering.xml"/><Relationship Id="rId15" Type="http://schemas.openxmlformats.org/officeDocument/2006/relationships/hyperlink" Target="https://www.nejm.org/doi/full/10.1056/fklfdlsxdlnejmoa1911361" TargetMode="External"/><Relationship Id="rId23" Type="http://schemas.openxmlformats.org/officeDocument/2006/relationships/hyperlink" Target="https://breast-cancer-research.biomedcentral.com/articles/10.1186/s13058-014-0475-x" TargetMode="External"/><Relationship Id="rId28" Type="http://schemas.openxmlformats.org/officeDocument/2006/relationships/diagramLayout" Target="diagrams/layout1.xml"/><Relationship Id="rId36"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hyperlink" Target="https://www.sciencedirect.com/science/article/pii/S0923753419604126?via%3Dihub" TargetMode="External"/><Relationship Id="rId31" Type="http://schemas.microsoft.com/office/2007/relationships/diagramDrawing" Target="diagrams/drawing1.xml"/><Relationship Id="rId44" Type="http://schemas.openxmlformats.org/officeDocument/2006/relationships/hyperlink" Target="http://www.cancerreasearchuk.org/sites/default/files/gynae_carboplatin-paclitaxel_v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ature.com/articles/s41598-020-59671-3"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diagramColors" Target="diagrams/colors2.xml"/><Relationship Id="rId43" Type="http://schemas.openxmlformats.org/officeDocument/2006/relationships/hyperlink" Target="https://canceraustralia.gov.au/publications-and-resources/clinical-practice-guidelines/first-line-chemotherapy-treatment-women-epithelial-ovarian-cancer" TargetMode="Externa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FF48E5-3B42-432D-A27C-5001D49CC2A5}"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AU"/>
        </a:p>
      </dgm:t>
    </dgm:pt>
    <dgm:pt modelId="{D0AE29DF-B6F4-484A-83F6-D941D992C02D}">
      <dgm:prSet phldrT="[Text]"/>
      <dgm:spPr/>
      <dgm:t>
        <a:bodyPr/>
        <a:lstStyle/>
        <a:p>
          <a:r>
            <a:rPr lang="en-AU"/>
            <a:t>Patient suspected of ovarian cancer</a:t>
          </a:r>
        </a:p>
      </dgm:t>
    </dgm:pt>
    <dgm:pt modelId="{B47F498C-6C3F-405D-8BF4-0461EB7CCF44}" type="parTrans" cxnId="{6D153E97-F35E-4F2F-A0BB-37092AF478B1}">
      <dgm:prSet/>
      <dgm:spPr/>
      <dgm:t>
        <a:bodyPr/>
        <a:lstStyle/>
        <a:p>
          <a:endParaRPr lang="en-AU"/>
        </a:p>
      </dgm:t>
    </dgm:pt>
    <dgm:pt modelId="{F4625CE3-DD65-4163-BE17-EBF7199392CF}" type="sibTrans" cxnId="{6D153E97-F35E-4F2F-A0BB-37092AF478B1}">
      <dgm:prSet/>
      <dgm:spPr/>
      <dgm:t>
        <a:bodyPr/>
        <a:lstStyle/>
        <a:p>
          <a:endParaRPr lang="en-AU"/>
        </a:p>
      </dgm:t>
    </dgm:pt>
    <dgm:pt modelId="{2916400E-35BE-4783-86C6-2FEFF3D3F6B5}">
      <dgm:prSet phldrT="[Text]"/>
      <dgm:spPr/>
      <dgm:t>
        <a:bodyPr/>
        <a:lstStyle/>
        <a:p>
          <a:r>
            <a:rPr lang="en-AU"/>
            <a:t>Gynaecological oncologist or treating physician orders biopsy and diagnostic work-up </a:t>
          </a:r>
        </a:p>
      </dgm:t>
    </dgm:pt>
    <dgm:pt modelId="{A75B0546-A15B-4A2A-BB98-297AAC45972B}" type="parTrans" cxnId="{02C5967A-DA89-4B60-9A6F-8CDFB05D80C8}">
      <dgm:prSet/>
      <dgm:spPr/>
      <dgm:t>
        <a:bodyPr/>
        <a:lstStyle/>
        <a:p>
          <a:endParaRPr lang="en-AU"/>
        </a:p>
      </dgm:t>
    </dgm:pt>
    <dgm:pt modelId="{41EBA939-37D6-45C8-A69C-FFEF70DDABDC}" type="sibTrans" cxnId="{02C5967A-DA89-4B60-9A6F-8CDFB05D80C8}">
      <dgm:prSet/>
      <dgm:spPr/>
      <dgm:t>
        <a:bodyPr/>
        <a:lstStyle/>
        <a:p>
          <a:endParaRPr lang="en-AU"/>
        </a:p>
      </dgm:t>
    </dgm:pt>
    <dgm:pt modelId="{07AFCF28-21E6-4D41-9FFF-ADCE782CB43C}">
      <dgm:prSet phldrT="[Text]"/>
      <dgm:spPr/>
      <dgm:t>
        <a:bodyPr/>
        <a:lstStyle/>
        <a:p>
          <a:r>
            <a:rPr lang="en-AU"/>
            <a:t>Pathology confirms high-grade serous epithelial histology</a:t>
          </a:r>
        </a:p>
        <a:p>
          <a:r>
            <a:rPr lang="en-AU"/>
            <a:t>Gynae-oncologist performs cytoreductive surgery</a:t>
          </a:r>
        </a:p>
      </dgm:t>
    </dgm:pt>
    <dgm:pt modelId="{BFA760F9-5D62-4D3F-847B-962919F962EB}" type="parTrans" cxnId="{EF96D591-AAC6-4010-B1D4-C2DE69C42EE5}">
      <dgm:prSet/>
      <dgm:spPr/>
      <dgm:t>
        <a:bodyPr/>
        <a:lstStyle/>
        <a:p>
          <a:endParaRPr lang="en-AU"/>
        </a:p>
      </dgm:t>
    </dgm:pt>
    <dgm:pt modelId="{F4454979-9A66-410E-B999-FDF1937D79B7}" type="sibTrans" cxnId="{EF96D591-AAC6-4010-B1D4-C2DE69C42EE5}">
      <dgm:prSet/>
      <dgm:spPr/>
      <dgm:t>
        <a:bodyPr/>
        <a:lstStyle/>
        <a:p>
          <a:endParaRPr lang="en-AU"/>
        </a:p>
      </dgm:t>
    </dgm:pt>
    <dgm:pt modelId="{B9DC96FE-CACF-4A0C-8AAE-F82871370D06}">
      <dgm:prSet phldrT="[Text]"/>
      <dgm:spPr/>
      <dgm:t>
        <a:bodyPr/>
        <a:lstStyle/>
        <a:p>
          <a:r>
            <a:rPr lang="en-AU"/>
            <a:t>Tissue sample from biopsy or cytoreductive surgery sent to pathology for BRCA testing</a:t>
          </a:r>
        </a:p>
      </dgm:t>
    </dgm:pt>
    <dgm:pt modelId="{F729C219-3CF8-4FBD-89A1-8E6C0AB6878A}" type="parTrans" cxnId="{8290621D-B10B-469A-B7A4-5CE825D02211}">
      <dgm:prSet/>
      <dgm:spPr/>
      <dgm:t>
        <a:bodyPr/>
        <a:lstStyle/>
        <a:p>
          <a:endParaRPr lang="en-AU"/>
        </a:p>
      </dgm:t>
    </dgm:pt>
    <dgm:pt modelId="{59A1B5F9-9EC4-49B7-B788-73EA2863A5E0}" type="sibTrans" cxnId="{8290621D-B10B-469A-B7A4-5CE825D02211}">
      <dgm:prSet/>
      <dgm:spPr/>
      <dgm:t>
        <a:bodyPr/>
        <a:lstStyle/>
        <a:p>
          <a:endParaRPr lang="en-AU"/>
        </a:p>
      </dgm:t>
    </dgm:pt>
    <dgm:pt modelId="{1B28E933-E636-43BE-9DCA-CD07722199C3}">
      <dgm:prSet phldrT="[Text]"/>
      <dgm:spPr/>
      <dgm:t>
        <a:bodyPr/>
        <a:lstStyle/>
        <a:p>
          <a:r>
            <a:rPr lang="en-AU"/>
            <a:t>BRCA test results reported to gynae-oncologist</a:t>
          </a:r>
        </a:p>
      </dgm:t>
    </dgm:pt>
    <dgm:pt modelId="{F081CACE-4D4F-419A-83C9-74A68FA6408E}" type="parTrans" cxnId="{014FFE26-8602-421D-8D5C-C0E8787F5BE2}">
      <dgm:prSet/>
      <dgm:spPr/>
      <dgm:t>
        <a:bodyPr/>
        <a:lstStyle/>
        <a:p>
          <a:endParaRPr lang="en-AU"/>
        </a:p>
      </dgm:t>
    </dgm:pt>
    <dgm:pt modelId="{9D53EC2C-20B6-4354-9E23-1822F9C7094E}" type="sibTrans" cxnId="{014FFE26-8602-421D-8D5C-C0E8787F5BE2}">
      <dgm:prSet/>
      <dgm:spPr/>
      <dgm:t>
        <a:bodyPr/>
        <a:lstStyle/>
        <a:p>
          <a:endParaRPr lang="en-AU"/>
        </a:p>
      </dgm:t>
    </dgm:pt>
    <dgm:pt modelId="{65F9C0F1-479D-4100-8DD5-884753565138}">
      <dgm:prSet phldrT="[Text]"/>
      <dgm:spPr/>
      <dgm:t>
        <a:bodyPr/>
        <a:lstStyle/>
        <a:p>
          <a:r>
            <a:rPr lang="en-AU"/>
            <a:t>If patient tests positive for a BRCA mutation, genetic counselling provided and germline BRCA testing offered</a:t>
          </a:r>
        </a:p>
      </dgm:t>
    </dgm:pt>
    <dgm:pt modelId="{0972131F-814B-44CF-991F-5E9336BC9555}" type="parTrans" cxnId="{48D34302-B01F-42FE-930A-BAE5BA7EC32E}">
      <dgm:prSet/>
      <dgm:spPr/>
      <dgm:t>
        <a:bodyPr/>
        <a:lstStyle/>
        <a:p>
          <a:endParaRPr lang="en-AU"/>
        </a:p>
      </dgm:t>
    </dgm:pt>
    <dgm:pt modelId="{DBCEBBF1-47D7-46D4-BF5E-20B137AB4E48}" type="sibTrans" cxnId="{48D34302-B01F-42FE-930A-BAE5BA7EC32E}">
      <dgm:prSet/>
      <dgm:spPr/>
      <dgm:t>
        <a:bodyPr/>
        <a:lstStyle/>
        <a:p>
          <a:endParaRPr lang="en-AU"/>
        </a:p>
      </dgm:t>
    </dgm:pt>
    <dgm:pt modelId="{EF01F556-A3C1-4FE4-9FC1-0D53D6FC3EC6}" type="pres">
      <dgm:prSet presAssocID="{FCFF48E5-3B42-432D-A27C-5001D49CC2A5}" presName="Name0" presStyleCnt="0">
        <dgm:presLayoutVars>
          <dgm:dir/>
          <dgm:resizeHandles val="exact"/>
        </dgm:presLayoutVars>
      </dgm:prSet>
      <dgm:spPr/>
    </dgm:pt>
    <dgm:pt modelId="{D7AC27E2-6DE2-4509-83A4-45B223236E3C}" type="pres">
      <dgm:prSet presAssocID="{D0AE29DF-B6F4-484A-83F6-D941D992C02D}" presName="node" presStyleLbl="node1" presStyleIdx="0" presStyleCnt="6">
        <dgm:presLayoutVars>
          <dgm:bulletEnabled val="1"/>
        </dgm:presLayoutVars>
      </dgm:prSet>
      <dgm:spPr/>
    </dgm:pt>
    <dgm:pt modelId="{A1CE6EF9-8757-4239-90EC-B46AB12AB6B6}" type="pres">
      <dgm:prSet presAssocID="{F4625CE3-DD65-4163-BE17-EBF7199392CF}" presName="sibTrans" presStyleLbl="sibTrans1D1" presStyleIdx="0" presStyleCnt="5"/>
      <dgm:spPr/>
    </dgm:pt>
    <dgm:pt modelId="{E9141D15-C024-4D03-91FF-CC11D46075FB}" type="pres">
      <dgm:prSet presAssocID="{F4625CE3-DD65-4163-BE17-EBF7199392CF}" presName="connectorText" presStyleLbl="sibTrans1D1" presStyleIdx="0" presStyleCnt="5"/>
      <dgm:spPr/>
    </dgm:pt>
    <dgm:pt modelId="{3DCBD884-D670-4929-8952-1A7AB7F991F2}" type="pres">
      <dgm:prSet presAssocID="{2916400E-35BE-4783-86C6-2FEFF3D3F6B5}" presName="node" presStyleLbl="node1" presStyleIdx="1" presStyleCnt="6">
        <dgm:presLayoutVars>
          <dgm:bulletEnabled val="1"/>
        </dgm:presLayoutVars>
      </dgm:prSet>
      <dgm:spPr/>
    </dgm:pt>
    <dgm:pt modelId="{1CB7F713-D8D0-48FD-AC9F-A0963C429D0A}" type="pres">
      <dgm:prSet presAssocID="{41EBA939-37D6-45C8-A69C-FFEF70DDABDC}" presName="sibTrans" presStyleLbl="sibTrans1D1" presStyleIdx="1" presStyleCnt="5"/>
      <dgm:spPr/>
    </dgm:pt>
    <dgm:pt modelId="{DE8D6B67-4EE7-4A48-9FBF-D510F43F2BF1}" type="pres">
      <dgm:prSet presAssocID="{41EBA939-37D6-45C8-A69C-FFEF70DDABDC}" presName="connectorText" presStyleLbl="sibTrans1D1" presStyleIdx="1" presStyleCnt="5"/>
      <dgm:spPr/>
    </dgm:pt>
    <dgm:pt modelId="{69D736ED-51DC-420B-BA43-68A36090D86C}" type="pres">
      <dgm:prSet presAssocID="{07AFCF28-21E6-4D41-9FFF-ADCE782CB43C}" presName="node" presStyleLbl="node1" presStyleIdx="2" presStyleCnt="6">
        <dgm:presLayoutVars>
          <dgm:bulletEnabled val="1"/>
        </dgm:presLayoutVars>
      </dgm:prSet>
      <dgm:spPr/>
    </dgm:pt>
    <dgm:pt modelId="{E7918E5B-118B-4CDE-B322-B21BD35CCB2F}" type="pres">
      <dgm:prSet presAssocID="{F4454979-9A66-410E-B999-FDF1937D79B7}" presName="sibTrans" presStyleLbl="sibTrans1D1" presStyleIdx="2" presStyleCnt="5"/>
      <dgm:spPr/>
    </dgm:pt>
    <dgm:pt modelId="{E581C445-2AB9-43AC-BF3C-8345B43621A8}" type="pres">
      <dgm:prSet presAssocID="{F4454979-9A66-410E-B999-FDF1937D79B7}" presName="connectorText" presStyleLbl="sibTrans1D1" presStyleIdx="2" presStyleCnt="5"/>
      <dgm:spPr/>
    </dgm:pt>
    <dgm:pt modelId="{AE2BD151-E49E-49A8-A534-AB68AE062B7B}" type="pres">
      <dgm:prSet presAssocID="{B9DC96FE-CACF-4A0C-8AAE-F82871370D06}" presName="node" presStyleLbl="node1" presStyleIdx="3" presStyleCnt="6">
        <dgm:presLayoutVars>
          <dgm:bulletEnabled val="1"/>
        </dgm:presLayoutVars>
      </dgm:prSet>
      <dgm:spPr/>
    </dgm:pt>
    <dgm:pt modelId="{BB059915-FA99-4A27-A64C-B843F0E2E883}" type="pres">
      <dgm:prSet presAssocID="{59A1B5F9-9EC4-49B7-B788-73EA2863A5E0}" presName="sibTrans" presStyleLbl="sibTrans1D1" presStyleIdx="3" presStyleCnt="5"/>
      <dgm:spPr/>
    </dgm:pt>
    <dgm:pt modelId="{46E4E180-456A-468C-8FD1-2EBDDFD9E7A3}" type="pres">
      <dgm:prSet presAssocID="{59A1B5F9-9EC4-49B7-B788-73EA2863A5E0}" presName="connectorText" presStyleLbl="sibTrans1D1" presStyleIdx="3" presStyleCnt="5"/>
      <dgm:spPr/>
    </dgm:pt>
    <dgm:pt modelId="{2D23CA86-BA86-485A-9D73-96F3BBC2BD1D}" type="pres">
      <dgm:prSet presAssocID="{1B28E933-E636-43BE-9DCA-CD07722199C3}" presName="node" presStyleLbl="node1" presStyleIdx="4" presStyleCnt="6">
        <dgm:presLayoutVars>
          <dgm:bulletEnabled val="1"/>
        </dgm:presLayoutVars>
      </dgm:prSet>
      <dgm:spPr/>
    </dgm:pt>
    <dgm:pt modelId="{DD63F7F3-33E8-4AC2-978F-4F2D65522059}" type="pres">
      <dgm:prSet presAssocID="{9D53EC2C-20B6-4354-9E23-1822F9C7094E}" presName="sibTrans" presStyleLbl="sibTrans1D1" presStyleIdx="4" presStyleCnt="5"/>
      <dgm:spPr/>
    </dgm:pt>
    <dgm:pt modelId="{5E09CCB7-CE97-4A8E-9807-6C17E7A5AAE0}" type="pres">
      <dgm:prSet presAssocID="{9D53EC2C-20B6-4354-9E23-1822F9C7094E}" presName="connectorText" presStyleLbl="sibTrans1D1" presStyleIdx="4" presStyleCnt="5"/>
      <dgm:spPr/>
    </dgm:pt>
    <dgm:pt modelId="{B9F50D4E-C3B5-44B7-86FC-8308B75CC45B}" type="pres">
      <dgm:prSet presAssocID="{65F9C0F1-479D-4100-8DD5-884753565138}" presName="node" presStyleLbl="node1" presStyleIdx="5" presStyleCnt="6">
        <dgm:presLayoutVars>
          <dgm:bulletEnabled val="1"/>
        </dgm:presLayoutVars>
      </dgm:prSet>
      <dgm:spPr/>
    </dgm:pt>
  </dgm:ptLst>
  <dgm:cxnLst>
    <dgm:cxn modelId="{48D34302-B01F-42FE-930A-BAE5BA7EC32E}" srcId="{FCFF48E5-3B42-432D-A27C-5001D49CC2A5}" destId="{65F9C0F1-479D-4100-8DD5-884753565138}" srcOrd="5" destOrd="0" parTransId="{0972131F-814B-44CF-991F-5E9336BC9555}" sibTransId="{DBCEBBF1-47D7-46D4-BF5E-20B137AB4E48}"/>
    <dgm:cxn modelId="{E17EB60F-BAAF-4403-BBFB-8D80F9C75CE3}" type="presOf" srcId="{F4625CE3-DD65-4163-BE17-EBF7199392CF}" destId="{A1CE6EF9-8757-4239-90EC-B46AB12AB6B6}" srcOrd="0" destOrd="0" presId="urn:microsoft.com/office/officeart/2005/8/layout/bProcess3"/>
    <dgm:cxn modelId="{8290621D-B10B-469A-B7A4-5CE825D02211}" srcId="{FCFF48E5-3B42-432D-A27C-5001D49CC2A5}" destId="{B9DC96FE-CACF-4A0C-8AAE-F82871370D06}" srcOrd="3" destOrd="0" parTransId="{F729C219-3CF8-4FBD-89A1-8E6C0AB6878A}" sibTransId="{59A1B5F9-9EC4-49B7-B788-73EA2863A5E0}"/>
    <dgm:cxn modelId="{014FFE26-8602-421D-8D5C-C0E8787F5BE2}" srcId="{FCFF48E5-3B42-432D-A27C-5001D49CC2A5}" destId="{1B28E933-E636-43BE-9DCA-CD07722199C3}" srcOrd="4" destOrd="0" parTransId="{F081CACE-4D4F-419A-83C9-74A68FA6408E}" sibTransId="{9D53EC2C-20B6-4354-9E23-1822F9C7094E}"/>
    <dgm:cxn modelId="{1E4F0127-E7D4-44CA-AE44-893D6E13E395}" type="presOf" srcId="{41EBA939-37D6-45C8-A69C-FFEF70DDABDC}" destId="{1CB7F713-D8D0-48FD-AC9F-A0963C429D0A}" srcOrd="0" destOrd="0" presId="urn:microsoft.com/office/officeart/2005/8/layout/bProcess3"/>
    <dgm:cxn modelId="{5A844438-981B-44CE-960F-345B7A16E6E0}" type="presOf" srcId="{9D53EC2C-20B6-4354-9E23-1822F9C7094E}" destId="{5E09CCB7-CE97-4A8E-9807-6C17E7A5AAE0}" srcOrd="1" destOrd="0" presId="urn:microsoft.com/office/officeart/2005/8/layout/bProcess3"/>
    <dgm:cxn modelId="{B3158F5E-D13C-4B48-9FAC-461F39FB4604}" type="presOf" srcId="{F4625CE3-DD65-4163-BE17-EBF7199392CF}" destId="{E9141D15-C024-4D03-91FF-CC11D46075FB}" srcOrd="1" destOrd="0" presId="urn:microsoft.com/office/officeart/2005/8/layout/bProcess3"/>
    <dgm:cxn modelId="{12311351-B735-48D5-A313-694D0DFA2EB5}" type="presOf" srcId="{B9DC96FE-CACF-4A0C-8AAE-F82871370D06}" destId="{AE2BD151-E49E-49A8-A534-AB68AE062B7B}" srcOrd="0" destOrd="0" presId="urn:microsoft.com/office/officeart/2005/8/layout/bProcess3"/>
    <dgm:cxn modelId="{BBC0D873-68C0-4D28-A8EF-6D7D0E9FE09D}" type="presOf" srcId="{F4454979-9A66-410E-B999-FDF1937D79B7}" destId="{E581C445-2AB9-43AC-BF3C-8345B43621A8}" srcOrd="1" destOrd="0" presId="urn:microsoft.com/office/officeart/2005/8/layout/bProcess3"/>
    <dgm:cxn modelId="{6E209376-945A-441E-A744-0CB0FCED728F}" type="presOf" srcId="{FCFF48E5-3B42-432D-A27C-5001D49CC2A5}" destId="{EF01F556-A3C1-4FE4-9FC1-0D53D6FC3EC6}" srcOrd="0" destOrd="0" presId="urn:microsoft.com/office/officeart/2005/8/layout/bProcess3"/>
    <dgm:cxn modelId="{02C5967A-DA89-4B60-9A6F-8CDFB05D80C8}" srcId="{FCFF48E5-3B42-432D-A27C-5001D49CC2A5}" destId="{2916400E-35BE-4783-86C6-2FEFF3D3F6B5}" srcOrd="1" destOrd="0" parTransId="{A75B0546-A15B-4A2A-BB98-297AAC45972B}" sibTransId="{41EBA939-37D6-45C8-A69C-FFEF70DDABDC}"/>
    <dgm:cxn modelId="{AF22B77F-BFDF-4E36-8484-A4075605724F}" type="presOf" srcId="{41EBA939-37D6-45C8-A69C-FFEF70DDABDC}" destId="{DE8D6B67-4EE7-4A48-9FBF-D510F43F2BF1}" srcOrd="1" destOrd="0" presId="urn:microsoft.com/office/officeart/2005/8/layout/bProcess3"/>
    <dgm:cxn modelId="{EF96D591-AAC6-4010-B1D4-C2DE69C42EE5}" srcId="{FCFF48E5-3B42-432D-A27C-5001D49CC2A5}" destId="{07AFCF28-21E6-4D41-9FFF-ADCE782CB43C}" srcOrd="2" destOrd="0" parTransId="{BFA760F9-5D62-4D3F-847B-962919F962EB}" sibTransId="{F4454979-9A66-410E-B999-FDF1937D79B7}"/>
    <dgm:cxn modelId="{37C99795-9FA9-46AE-90F7-2377526BACD1}" type="presOf" srcId="{59A1B5F9-9EC4-49B7-B788-73EA2863A5E0}" destId="{46E4E180-456A-468C-8FD1-2EBDDFD9E7A3}" srcOrd="1" destOrd="0" presId="urn:microsoft.com/office/officeart/2005/8/layout/bProcess3"/>
    <dgm:cxn modelId="{6D153E97-F35E-4F2F-A0BB-37092AF478B1}" srcId="{FCFF48E5-3B42-432D-A27C-5001D49CC2A5}" destId="{D0AE29DF-B6F4-484A-83F6-D941D992C02D}" srcOrd="0" destOrd="0" parTransId="{B47F498C-6C3F-405D-8BF4-0461EB7CCF44}" sibTransId="{F4625CE3-DD65-4163-BE17-EBF7199392CF}"/>
    <dgm:cxn modelId="{F8D505AF-FDD1-4CBE-8594-4FED6F4A9103}" type="presOf" srcId="{65F9C0F1-479D-4100-8DD5-884753565138}" destId="{B9F50D4E-C3B5-44B7-86FC-8308B75CC45B}" srcOrd="0" destOrd="0" presId="urn:microsoft.com/office/officeart/2005/8/layout/bProcess3"/>
    <dgm:cxn modelId="{B4816ED9-DAE8-4B6A-8B86-87FF4EFF2A0F}" type="presOf" srcId="{F4454979-9A66-410E-B999-FDF1937D79B7}" destId="{E7918E5B-118B-4CDE-B322-B21BD35CCB2F}" srcOrd="0" destOrd="0" presId="urn:microsoft.com/office/officeart/2005/8/layout/bProcess3"/>
    <dgm:cxn modelId="{B0A83EE1-179C-41F0-81A4-CCAD9218BCBB}" type="presOf" srcId="{2916400E-35BE-4783-86C6-2FEFF3D3F6B5}" destId="{3DCBD884-D670-4929-8952-1A7AB7F991F2}" srcOrd="0" destOrd="0" presId="urn:microsoft.com/office/officeart/2005/8/layout/bProcess3"/>
    <dgm:cxn modelId="{35F18AE2-F836-4530-91AC-427B3CFAF2DD}" type="presOf" srcId="{D0AE29DF-B6F4-484A-83F6-D941D992C02D}" destId="{D7AC27E2-6DE2-4509-83A4-45B223236E3C}" srcOrd="0" destOrd="0" presId="urn:microsoft.com/office/officeart/2005/8/layout/bProcess3"/>
    <dgm:cxn modelId="{9CD15EF0-3844-4C85-AC88-27B5D591A116}" type="presOf" srcId="{07AFCF28-21E6-4D41-9FFF-ADCE782CB43C}" destId="{69D736ED-51DC-420B-BA43-68A36090D86C}" srcOrd="0" destOrd="0" presId="urn:microsoft.com/office/officeart/2005/8/layout/bProcess3"/>
    <dgm:cxn modelId="{7CE7EEF6-6FF0-446C-AAA0-A6058EFE6CF4}" type="presOf" srcId="{1B28E933-E636-43BE-9DCA-CD07722199C3}" destId="{2D23CA86-BA86-485A-9D73-96F3BBC2BD1D}" srcOrd="0" destOrd="0" presId="urn:microsoft.com/office/officeart/2005/8/layout/bProcess3"/>
    <dgm:cxn modelId="{B1C679F7-81D7-4691-BFCC-242BF773AD1F}" type="presOf" srcId="{59A1B5F9-9EC4-49B7-B788-73EA2863A5E0}" destId="{BB059915-FA99-4A27-A64C-B843F0E2E883}" srcOrd="0" destOrd="0" presId="urn:microsoft.com/office/officeart/2005/8/layout/bProcess3"/>
    <dgm:cxn modelId="{BFC5C5F9-EBB6-42A0-B080-519E0A08456D}" type="presOf" srcId="{9D53EC2C-20B6-4354-9E23-1822F9C7094E}" destId="{DD63F7F3-33E8-4AC2-978F-4F2D65522059}" srcOrd="0" destOrd="0" presId="urn:microsoft.com/office/officeart/2005/8/layout/bProcess3"/>
    <dgm:cxn modelId="{9253A0EB-668E-4432-AEF9-FD9757E19C82}" type="presParOf" srcId="{EF01F556-A3C1-4FE4-9FC1-0D53D6FC3EC6}" destId="{D7AC27E2-6DE2-4509-83A4-45B223236E3C}" srcOrd="0" destOrd="0" presId="urn:microsoft.com/office/officeart/2005/8/layout/bProcess3"/>
    <dgm:cxn modelId="{B585E0FD-06E2-4B75-8559-F5CE78BC0FAF}" type="presParOf" srcId="{EF01F556-A3C1-4FE4-9FC1-0D53D6FC3EC6}" destId="{A1CE6EF9-8757-4239-90EC-B46AB12AB6B6}" srcOrd="1" destOrd="0" presId="urn:microsoft.com/office/officeart/2005/8/layout/bProcess3"/>
    <dgm:cxn modelId="{099E031F-EAEF-4277-B208-66A516356020}" type="presParOf" srcId="{A1CE6EF9-8757-4239-90EC-B46AB12AB6B6}" destId="{E9141D15-C024-4D03-91FF-CC11D46075FB}" srcOrd="0" destOrd="0" presId="urn:microsoft.com/office/officeart/2005/8/layout/bProcess3"/>
    <dgm:cxn modelId="{25D225C7-DD01-49B1-AA35-A57C804511A2}" type="presParOf" srcId="{EF01F556-A3C1-4FE4-9FC1-0D53D6FC3EC6}" destId="{3DCBD884-D670-4929-8952-1A7AB7F991F2}" srcOrd="2" destOrd="0" presId="urn:microsoft.com/office/officeart/2005/8/layout/bProcess3"/>
    <dgm:cxn modelId="{9C519242-610E-422F-B816-BC26D2893C71}" type="presParOf" srcId="{EF01F556-A3C1-4FE4-9FC1-0D53D6FC3EC6}" destId="{1CB7F713-D8D0-48FD-AC9F-A0963C429D0A}" srcOrd="3" destOrd="0" presId="urn:microsoft.com/office/officeart/2005/8/layout/bProcess3"/>
    <dgm:cxn modelId="{B2DB5E4D-1DE7-400F-8FFB-45E779061DB7}" type="presParOf" srcId="{1CB7F713-D8D0-48FD-AC9F-A0963C429D0A}" destId="{DE8D6B67-4EE7-4A48-9FBF-D510F43F2BF1}" srcOrd="0" destOrd="0" presId="urn:microsoft.com/office/officeart/2005/8/layout/bProcess3"/>
    <dgm:cxn modelId="{CAE5989B-A950-4642-ABC3-727FE1C8CA40}" type="presParOf" srcId="{EF01F556-A3C1-4FE4-9FC1-0D53D6FC3EC6}" destId="{69D736ED-51DC-420B-BA43-68A36090D86C}" srcOrd="4" destOrd="0" presId="urn:microsoft.com/office/officeart/2005/8/layout/bProcess3"/>
    <dgm:cxn modelId="{D05ACB97-C8D8-4267-9A01-935692532251}" type="presParOf" srcId="{EF01F556-A3C1-4FE4-9FC1-0D53D6FC3EC6}" destId="{E7918E5B-118B-4CDE-B322-B21BD35CCB2F}" srcOrd="5" destOrd="0" presId="urn:microsoft.com/office/officeart/2005/8/layout/bProcess3"/>
    <dgm:cxn modelId="{CA64DA4C-D55C-4D89-8E7C-2897D73BF29E}" type="presParOf" srcId="{E7918E5B-118B-4CDE-B322-B21BD35CCB2F}" destId="{E581C445-2AB9-43AC-BF3C-8345B43621A8}" srcOrd="0" destOrd="0" presId="urn:microsoft.com/office/officeart/2005/8/layout/bProcess3"/>
    <dgm:cxn modelId="{6D7454B5-CC0F-4909-9354-8ED846B03F25}" type="presParOf" srcId="{EF01F556-A3C1-4FE4-9FC1-0D53D6FC3EC6}" destId="{AE2BD151-E49E-49A8-A534-AB68AE062B7B}" srcOrd="6" destOrd="0" presId="urn:microsoft.com/office/officeart/2005/8/layout/bProcess3"/>
    <dgm:cxn modelId="{5481131E-2487-4BE1-9B4B-ECF9343A9853}" type="presParOf" srcId="{EF01F556-A3C1-4FE4-9FC1-0D53D6FC3EC6}" destId="{BB059915-FA99-4A27-A64C-B843F0E2E883}" srcOrd="7" destOrd="0" presId="urn:microsoft.com/office/officeart/2005/8/layout/bProcess3"/>
    <dgm:cxn modelId="{FF18B373-409E-4F70-BC86-09AE05A9A0A3}" type="presParOf" srcId="{BB059915-FA99-4A27-A64C-B843F0E2E883}" destId="{46E4E180-456A-468C-8FD1-2EBDDFD9E7A3}" srcOrd="0" destOrd="0" presId="urn:microsoft.com/office/officeart/2005/8/layout/bProcess3"/>
    <dgm:cxn modelId="{043FF4E6-05D4-4AFA-BFF0-7FB2AB362265}" type="presParOf" srcId="{EF01F556-A3C1-4FE4-9FC1-0D53D6FC3EC6}" destId="{2D23CA86-BA86-485A-9D73-96F3BBC2BD1D}" srcOrd="8" destOrd="0" presId="urn:microsoft.com/office/officeart/2005/8/layout/bProcess3"/>
    <dgm:cxn modelId="{C4481157-BBD8-4865-AA2D-32C63A8A02F9}" type="presParOf" srcId="{EF01F556-A3C1-4FE4-9FC1-0D53D6FC3EC6}" destId="{DD63F7F3-33E8-4AC2-978F-4F2D65522059}" srcOrd="9" destOrd="0" presId="urn:microsoft.com/office/officeart/2005/8/layout/bProcess3"/>
    <dgm:cxn modelId="{3A20FED7-0A6F-446D-A66A-79F7CE57C48E}" type="presParOf" srcId="{DD63F7F3-33E8-4AC2-978F-4F2D65522059}" destId="{5E09CCB7-CE97-4A8E-9807-6C17E7A5AAE0}" srcOrd="0" destOrd="0" presId="urn:microsoft.com/office/officeart/2005/8/layout/bProcess3"/>
    <dgm:cxn modelId="{15D2BCF8-DE68-45A4-8FCD-A2EDCDEDE7E1}" type="presParOf" srcId="{EF01F556-A3C1-4FE4-9FC1-0D53D6FC3EC6}" destId="{B9F50D4E-C3B5-44B7-86FC-8308B75CC45B}" srcOrd="10" destOrd="0" presId="urn:microsoft.com/office/officeart/2005/8/layout/bProcess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CFF48E5-3B42-432D-A27C-5001D49CC2A5}"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AU"/>
        </a:p>
      </dgm:t>
    </dgm:pt>
    <dgm:pt modelId="{D0AE29DF-B6F4-484A-83F6-D941D992C02D}">
      <dgm:prSet phldrT="[Text]"/>
      <dgm:spPr>
        <a:xfrm>
          <a:off x="207865" y="20"/>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1. Patient suspected of ovarian cancer</a:t>
          </a:r>
        </a:p>
      </dgm:t>
    </dgm:pt>
    <dgm:pt modelId="{B47F498C-6C3F-405D-8BF4-0461EB7CCF44}" type="parTrans" cxnId="{6D153E97-F35E-4F2F-A0BB-37092AF478B1}">
      <dgm:prSet/>
      <dgm:spPr/>
      <dgm:t>
        <a:bodyPr/>
        <a:lstStyle/>
        <a:p>
          <a:endParaRPr lang="en-AU"/>
        </a:p>
      </dgm:t>
    </dgm:pt>
    <dgm:pt modelId="{F4625CE3-DD65-4163-BE17-EBF7199392CF}" type="sibTrans" cxnId="{6D153E97-F35E-4F2F-A0BB-37092AF478B1}">
      <dgm:prSet/>
      <dgm:spPr>
        <a:xfrm>
          <a:off x="1339493" y="294329"/>
          <a:ext cx="230088" cy="91440"/>
        </a:xfrm>
        <a:custGeom>
          <a:avLst/>
          <a:gdLst/>
          <a:ahLst/>
          <a:cxnLst/>
          <a:rect l="0" t="0" r="0" b="0"/>
          <a:pathLst>
            <a:path>
              <a:moveTo>
                <a:pt x="0" y="45720"/>
              </a:moveTo>
              <a:lnTo>
                <a:pt x="251770"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buNone/>
          </a:pPr>
          <a:endParaRPr lang="en-AU">
            <a:solidFill>
              <a:sysClr val="windowText" lastClr="000000">
                <a:hueOff val="0"/>
                <a:satOff val="0"/>
                <a:lumOff val="0"/>
                <a:alphaOff val="0"/>
              </a:sysClr>
            </a:solidFill>
            <a:latin typeface="Calibri" panose="020F0502020204030204"/>
            <a:ea typeface="+mn-ea"/>
            <a:cs typeface="+mn-cs"/>
          </a:endParaRPr>
        </a:p>
      </dgm:t>
    </dgm:pt>
    <dgm:pt modelId="{2916400E-35BE-4783-86C6-2FEFF3D3F6B5}">
      <dgm:prSet phldrT="[Text]"/>
      <dgm:spPr>
        <a:xfrm>
          <a:off x="1601982" y="20"/>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2. Gynaecological oncologist or treating physician orders biopsy and diagnostic work-up </a:t>
          </a:r>
        </a:p>
      </dgm:t>
    </dgm:pt>
    <dgm:pt modelId="{A75B0546-A15B-4A2A-BB98-297AAC45972B}" type="parTrans" cxnId="{02C5967A-DA89-4B60-9A6F-8CDFB05D80C8}">
      <dgm:prSet/>
      <dgm:spPr/>
      <dgm:t>
        <a:bodyPr/>
        <a:lstStyle/>
        <a:p>
          <a:endParaRPr lang="en-AU"/>
        </a:p>
      </dgm:t>
    </dgm:pt>
    <dgm:pt modelId="{41EBA939-37D6-45C8-A69C-FFEF70DDABDC}" type="sibTrans" cxnId="{02C5967A-DA89-4B60-9A6F-8CDFB05D80C8}">
      <dgm:prSet/>
      <dgm:spPr>
        <a:xfrm>
          <a:off x="2733610" y="294329"/>
          <a:ext cx="230088" cy="91440"/>
        </a:xfrm>
        <a:custGeom>
          <a:avLst/>
          <a:gdLst/>
          <a:ahLst/>
          <a:cxnLst/>
          <a:rect l="0" t="0" r="0" b="0"/>
          <a:pathLst>
            <a:path>
              <a:moveTo>
                <a:pt x="0" y="45720"/>
              </a:moveTo>
              <a:lnTo>
                <a:pt x="251770"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buNone/>
          </a:pPr>
          <a:endParaRPr lang="en-AU">
            <a:solidFill>
              <a:sysClr val="windowText" lastClr="000000">
                <a:hueOff val="0"/>
                <a:satOff val="0"/>
                <a:lumOff val="0"/>
                <a:alphaOff val="0"/>
              </a:sysClr>
            </a:solidFill>
            <a:latin typeface="Calibri" panose="020F0502020204030204"/>
            <a:ea typeface="+mn-ea"/>
            <a:cs typeface="+mn-cs"/>
          </a:endParaRPr>
        </a:p>
      </dgm:t>
    </dgm:pt>
    <dgm:pt modelId="{07AFCF28-21E6-4D41-9FFF-ADCE782CB43C}">
      <dgm:prSet phldrT="[Text]"/>
      <dgm:spPr>
        <a:xfrm>
          <a:off x="2996099" y="20"/>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3. Pathology confirms high-grade serous epithelial histology</a:t>
          </a:r>
        </a:p>
        <a:p>
          <a:pPr>
            <a:buNone/>
          </a:pPr>
          <a:r>
            <a:rPr lang="en-AU">
              <a:solidFill>
                <a:sysClr val="window" lastClr="FFFFFF"/>
              </a:solidFill>
              <a:latin typeface="Calibri" panose="020F0502020204030204"/>
              <a:ea typeface="+mn-ea"/>
              <a:cs typeface="+mn-cs"/>
            </a:rPr>
            <a:t>Gynae-oncologist performs cytoreductive surgery</a:t>
          </a:r>
        </a:p>
      </dgm:t>
    </dgm:pt>
    <dgm:pt modelId="{BFA760F9-5D62-4D3F-847B-962919F962EB}" type="parTrans" cxnId="{EF96D591-AAC6-4010-B1D4-C2DE69C42EE5}">
      <dgm:prSet/>
      <dgm:spPr/>
      <dgm:t>
        <a:bodyPr/>
        <a:lstStyle/>
        <a:p>
          <a:endParaRPr lang="en-AU"/>
        </a:p>
      </dgm:t>
    </dgm:pt>
    <dgm:pt modelId="{F4454979-9A66-410E-B999-FDF1937D79B7}" type="sibTrans" cxnId="{EF96D591-AAC6-4010-B1D4-C2DE69C42EE5}">
      <dgm:prSet/>
      <dgm:spPr>
        <a:xfrm>
          <a:off x="4127727" y="294329"/>
          <a:ext cx="230088" cy="91440"/>
        </a:xfrm>
        <a:custGeom>
          <a:avLst/>
          <a:gdLst/>
          <a:ahLst/>
          <a:cxnLst/>
          <a:rect l="0" t="0" r="0" b="0"/>
          <a:pathLst>
            <a:path>
              <a:moveTo>
                <a:pt x="0" y="45720"/>
              </a:moveTo>
              <a:lnTo>
                <a:pt x="251770"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buNone/>
          </a:pPr>
          <a:endParaRPr lang="en-AU">
            <a:solidFill>
              <a:sysClr val="windowText" lastClr="000000">
                <a:hueOff val="0"/>
                <a:satOff val="0"/>
                <a:lumOff val="0"/>
                <a:alphaOff val="0"/>
              </a:sysClr>
            </a:solidFill>
            <a:latin typeface="Calibri" panose="020F0502020204030204"/>
            <a:ea typeface="+mn-ea"/>
            <a:cs typeface="+mn-cs"/>
          </a:endParaRPr>
        </a:p>
      </dgm:t>
    </dgm:pt>
    <dgm:pt modelId="{B9DC96FE-CACF-4A0C-8AAE-F82871370D06}">
      <dgm:prSet phldrT="[Text]"/>
      <dgm:spPr>
        <a:xfrm>
          <a:off x="4390216" y="20"/>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4. Tissue sample from biopsy or cytoreductive surgery sent to pathology for HRD testing</a:t>
          </a:r>
        </a:p>
      </dgm:t>
    </dgm:pt>
    <dgm:pt modelId="{F729C219-3CF8-4FBD-89A1-8E6C0AB6878A}" type="parTrans" cxnId="{8290621D-B10B-469A-B7A4-5CE825D02211}">
      <dgm:prSet/>
      <dgm:spPr/>
      <dgm:t>
        <a:bodyPr/>
        <a:lstStyle/>
        <a:p>
          <a:endParaRPr lang="en-AU"/>
        </a:p>
      </dgm:t>
    </dgm:pt>
    <dgm:pt modelId="{59A1B5F9-9EC4-49B7-B788-73EA2863A5E0}" type="sibTrans" cxnId="{8290621D-B10B-469A-B7A4-5CE825D02211}">
      <dgm:prSet/>
      <dgm:spPr>
        <a:xfrm>
          <a:off x="774579" y="678277"/>
          <a:ext cx="4182351" cy="230088"/>
        </a:xfrm>
        <a:custGeom>
          <a:avLst/>
          <a:gdLst/>
          <a:ahLst/>
          <a:cxnLst/>
          <a:rect l="0" t="0" r="0" b="0"/>
          <a:pathLst>
            <a:path>
              <a:moveTo>
                <a:pt x="4530197" y="0"/>
              </a:moveTo>
              <a:lnTo>
                <a:pt x="4530197" y="142985"/>
              </a:lnTo>
              <a:lnTo>
                <a:pt x="0" y="142985"/>
              </a:lnTo>
              <a:lnTo>
                <a:pt x="0" y="25177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buNone/>
          </a:pPr>
          <a:endParaRPr lang="en-AU">
            <a:solidFill>
              <a:sysClr val="windowText" lastClr="000000">
                <a:hueOff val="0"/>
                <a:satOff val="0"/>
                <a:lumOff val="0"/>
                <a:alphaOff val="0"/>
              </a:sysClr>
            </a:solidFill>
            <a:latin typeface="Calibri" panose="020F0502020204030204"/>
            <a:ea typeface="+mn-ea"/>
            <a:cs typeface="+mn-cs"/>
          </a:endParaRPr>
        </a:p>
      </dgm:t>
    </dgm:pt>
    <dgm:pt modelId="{1B28E933-E636-43BE-9DCA-CD07722199C3}">
      <dgm:prSet phldrT="[Text]"/>
      <dgm:spPr>
        <a:xfrm>
          <a:off x="1601982" y="940766"/>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6. If BRCA test results positive, no further testing required to determine Genomic Instability status</a:t>
          </a:r>
        </a:p>
      </dgm:t>
    </dgm:pt>
    <dgm:pt modelId="{F081CACE-4D4F-419A-83C9-74A68FA6408E}" type="parTrans" cxnId="{014FFE26-8602-421D-8D5C-C0E8787F5BE2}">
      <dgm:prSet/>
      <dgm:spPr/>
      <dgm:t>
        <a:bodyPr/>
        <a:lstStyle/>
        <a:p>
          <a:endParaRPr lang="en-AU"/>
        </a:p>
      </dgm:t>
    </dgm:pt>
    <dgm:pt modelId="{9D53EC2C-20B6-4354-9E23-1822F9C7094E}" type="sibTrans" cxnId="{014FFE26-8602-421D-8D5C-C0E8787F5BE2}">
      <dgm:prSet/>
      <dgm:spPr>
        <a:xfrm>
          <a:off x="2733610" y="1235075"/>
          <a:ext cx="230088" cy="91440"/>
        </a:xfrm>
        <a:custGeom>
          <a:avLst/>
          <a:gdLst/>
          <a:ahLst/>
          <a:cxnLst/>
          <a:rect l="0" t="0" r="0" b="0"/>
          <a:pathLst>
            <a:path>
              <a:moveTo>
                <a:pt x="0" y="45720"/>
              </a:moveTo>
              <a:lnTo>
                <a:pt x="251770"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buNone/>
          </a:pPr>
          <a:endParaRPr lang="en-AU">
            <a:solidFill>
              <a:sysClr val="windowText" lastClr="000000">
                <a:hueOff val="0"/>
                <a:satOff val="0"/>
                <a:lumOff val="0"/>
                <a:alphaOff val="0"/>
              </a:sysClr>
            </a:solidFill>
            <a:latin typeface="Calibri" panose="020F0502020204030204"/>
            <a:ea typeface="+mn-ea"/>
            <a:cs typeface="+mn-cs"/>
          </a:endParaRPr>
        </a:p>
      </dgm:t>
    </dgm:pt>
    <dgm:pt modelId="{65F9C0F1-479D-4100-8DD5-884753565138}">
      <dgm:prSet phldrT="[Text]"/>
      <dgm:spPr>
        <a:xfrm>
          <a:off x="4390216" y="940766"/>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8. BRCA and HRD status results reported to gynae-oncologist/treating physician</a:t>
          </a:r>
        </a:p>
      </dgm:t>
    </dgm:pt>
    <dgm:pt modelId="{0972131F-814B-44CF-991F-5E9336BC9555}" type="parTrans" cxnId="{48D34302-B01F-42FE-930A-BAE5BA7EC32E}">
      <dgm:prSet/>
      <dgm:spPr/>
      <dgm:t>
        <a:bodyPr/>
        <a:lstStyle/>
        <a:p>
          <a:endParaRPr lang="en-AU"/>
        </a:p>
      </dgm:t>
    </dgm:pt>
    <dgm:pt modelId="{DBCEBBF1-47D7-46D4-BF5E-20B137AB4E48}" type="sibTrans" cxnId="{48D34302-B01F-42FE-930A-BAE5BA7EC32E}">
      <dgm:prSet/>
      <dgm:spPr>
        <a:xfrm>
          <a:off x="774579" y="1619023"/>
          <a:ext cx="4182351" cy="230088"/>
        </a:xfrm>
        <a:custGeom>
          <a:avLst/>
          <a:gdLst/>
          <a:ahLst/>
          <a:cxnLst/>
          <a:rect l="0" t="0" r="0" b="0"/>
          <a:pathLst>
            <a:path>
              <a:moveTo>
                <a:pt x="4182351" y="0"/>
              </a:moveTo>
              <a:lnTo>
                <a:pt x="4182351" y="132144"/>
              </a:lnTo>
              <a:lnTo>
                <a:pt x="0" y="132144"/>
              </a:lnTo>
              <a:lnTo>
                <a:pt x="0" y="230088"/>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buNone/>
          </a:pPr>
          <a:endParaRPr lang="en-AU">
            <a:solidFill>
              <a:sysClr val="windowText" lastClr="000000">
                <a:hueOff val="0"/>
                <a:satOff val="0"/>
                <a:lumOff val="0"/>
                <a:alphaOff val="0"/>
              </a:sysClr>
            </a:solidFill>
            <a:latin typeface="Calibri" panose="020F0502020204030204"/>
            <a:ea typeface="+mn-ea"/>
            <a:cs typeface="+mn-cs"/>
          </a:endParaRPr>
        </a:p>
      </dgm:t>
    </dgm:pt>
    <dgm:pt modelId="{DC8CDF3F-B551-4F76-8013-22A81E072474}">
      <dgm:prSet/>
      <dgm:spPr>
        <a:xfrm>
          <a:off x="207865" y="940766"/>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5. HRD testing workflow </a:t>
          </a:r>
        </a:p>
        <a:p>
          <a:pPr>
            <a:buNone/>
          </a:pPr>
          <a:r>
            <a:rPr lang="en-AU">
              <a:solidFill>
                <a:sysClr val="window" lastClr="FFFFFF"/>
              </a:solidFill>
              <a:latin typeface="Calibri" panose="020F0502020204030204"/>
              <a:ea typeface="+mn-ea"/>
              <a:cs typeface="+mn-cs"/>
            </a:rPr>
            <a:t>commences with BRCA testing </a:t>
          </a:r>
        </a:p>
      </dgm:t>
    </dgm:pt>
    <dgm:pt modelId="{0EB0391A-BC6A-438A-A16C-0B2E9E20A515}" type="parTrans" cxnId="{EB4973BC-DA93-491D-8264-059D15AA2503}">
      <dgm:prSet/>
      <dgm:spPr/>
      <dgm:t>
        <a:bodyPr/>
        <a:lstStyle/>
        <a:p>
          <a:endParaRPr lang="en-AU"/>
        </a:p>
      </dgm:t>
    </dgm:pt>
    <dgm:pt modelId="{493501D4-7930-4F1B-866D-FE04AAA04753}" type="sibTrans" cxnId="{EB4973BC-DA93-491D-8264-059D15AA2503}">
      <dgm:prSet/>
      <dgm:spPr>
        <a:xfrm>
          <a:off x="1339493" y="1235075"/>
          <a:ext cx="230088" cy="91440"/>
        </a:xfrm>
        <a:custGeom>
          <a:avLst/>
          <a:gdLst/>
          <a:ahLst/>
          <a:cxnLst/>
          <a:rect l="0" t="0" r="0" b="0"/>
          <a:pathLst>
            <a:path>
              <a:moveTo>
                <a:pt x="0" y="45720"/>
              </a:moveTo>
              <a:lnTo>
                <a:pt x="230088" y="45720"/>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buNone/>
          </a:pPr>
          <a:endParaRPr lang="en-AU">
            <a:solidFill>
              <a:sysClr val="windowText" lastClr="000000">
                <a:hueOff val="0"/>
                <a:satOff val="0"/>
                <a:lumOff val="0"/>
                <a:alphaOff val="0"/>
              </a:sysClr>
            </a:solidFill>
            <a:latin typeface="Calibri" panose="020F0502020204030204"/>
            <a:ea typeface="+mn-ea"/>
            <a:cs typeface="+mn-cs"/>
          </a:endParaRPr>
        </a:p>
      </dgm:t>
    </dgm:pt>
    <dgm:pt modelId="{05EDA47F-24C7-4C13-8794-7C1DC7915FD4}">
      <dgm:prSet/>
      <dgm:spPr>
        <a:xfrm>
          <a:off x="2996099" y="940766"/>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7. If BRCA test resullt negative, continue testing to determine Genomic Instability status</a:t>
          </a:r>
        </a:p>
      </dgm:t>
    </dgm:pt>
    <dgm:pt modelId="{E2D7F6F8-8D7F-4E29-976D-F5AFD874161D}" type="parTrans" cxnId="{C449AEC8-43A3-4EFB-85DC-CCC78ED1E563}">
      <dgm:prSet/>
      <dgm:spPr/>
      <dgm:t>
        <a:bodyPr/>
        <a:lstStyle/>
        <a:p>
          <a:endParaRPr lang="en-AU"/>
        </a:p>
      </dgm:t>
    </dgm:pt>
    <dgm:pt modelId="{98BB7D42-77C8-41DD-9588-81769B6FAC9A}" type="sibTrans" cxnId="{C449AEC8-43A3-4EFB-85DC-CCC78ED1E563}">
      <dgm:prSet/>
      <dgm:spPr>
        <a:xfrm>
          <a:off x="4127727" y="1235075"/>
          <a:ext cx="230088" cy="91440"/>
        </a:xfrm>
        <a:custGeom>
          <a:avLst/>
          <a:gdLst/>
          <a:ahLst/>
          <a:cxnLst/>
          <a:rect l="0" t="0" r="0" b="0"/>
          <a:pathLst>
            <a:path>
              <a:moveTo>
                <a:pt x="0" y="45720"/>
              </a:moveTo>
              <a:lnTo>
                <a:pt x="230088" y="45720"/>
              </a:lnTo>
            </a:path>
          </a:pathLst>
        </a:custGeom>
        <a:noFill/>
        <a:ln w="6350" cap="flat" cmpd="sng" algn="ctr">
          <a:solidFill>
            <a:srgbClr val="4472C4">
              <a:hueOff val="0"/>
              <a:satOff val="0"/>
              <a:lumOff val="0"/>
              <a:alphaOff val="0"/>
            </a:srgbClr>
          </a:solidFill>
          <a:prstDash val="solid"/>
          <a:miter lim="800000"/>
          <a:tailEnd type="arrow"/>
        </a:ln>
        <a:effectLst/>
      </dgm:spPr>
      <dgm:t>
        <a:bodyPr/>
        <a:lstStyle/>
        <a:p>
          <a:pPr>
            <a:buNone/>
          </a:pPr>
          <a:endParaRPr lang="en-AU">
            <a:solidFill>
              <a:sysClr val="windowText" lastClr="000000">
                <a:hueOff val="0"/>
                <a:satOff val="0"/>
                <a:lumOff val="0"/>
                <a:alphaOff val="0"/>
              </a:sysClr>
            </a:solidFill>
            <a:latin typeface="Calibri" panose="020F0502020204030204"/>
            <a:ea typeface="+mn-ea"/>
            <a:cs typeface="+mn-cs"/>
          </a:endParaRPr>
        </a:p>
      </dgm:t>
    </dgm:pt>
    <dgm:pt modelId="{855FE50A-3517-4A27-B075-1526741F5807}">
      <dgm:prSet/>
      <dgm:spPr>
        <a:xfrm>
          <a:off x="207865" y="1881512"/>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9. If patient test positive for a BRCA mutation, genetic counselling provided and germline BRCA testing offered</a:t>
          </a:r>
        </a:p>
      </dgm:t>
    </dgm:pt>
    <dgm:pt modelId="{9E8F41A9-B571-4348-888E-C132F1FA8447}" type="parTrans" cxnId="{EB1E6E41-A5FF-45F2-B1D4-B56F4FD621BF}">
      <dgm:prSet/>
      <dgm:spPr/>
      <dgm:t>
        <a:bodyPr/>
        <a:lstStyle/>
        <a:p>
          <a:endParaRPr lang="en-AU"/>
        </a:p>
      </dgm:t>
    </dgm:pt>
    <dgm:pt modelId="{DB974250-B497-485D-B0A6-9977CA288A8E}" type="sibTrans" cxnId="{EB1E6E41-A5FF-45F2-B1D4-B56F4FD621BF}">
      <dgm:prSet/>
      <dgm:spPr/>
      <dgm:t>
        <a:bodyPr/>
        <a:lstStyle/>
        <a:p>
          <a:endParaRPr lang="en-AU"/>
        </a:p>
      </dgm:t>
    </dgm:pt>
    <dgm:pt modelId="{EF01F556-A3C1-4FE4-9FC1-0D53D6FC3EC6}" type="pres">
      <dgm:prSet presAssocID="{FCFF48E5-3B42-432D-A27C-5001D49CC2A5}" presName="Name0" presStyleCnt="0">
        <dgm:presLayoutVars>
          <dgm:dir/>
          <dgm:resizeHandles val="exact"/>
        </dgm:presLayoutVars>
      </dgm:prSet>
      <dgm:spPr/>
    </dgm:pt>
    <dgm:pt modelId="{D7AC27E2-6DE2-4509-83A4-45B223236E3C}" type="pres">
      <dgm:prSet presAssocID="{D0AE29DF-B6F4-484A-83F6-D941D992C02D}" presName="node" presStyleLbl="node1" presStyleIdx="0" presStyleCnt="9">
        <dgm:presLayoutVars>
          <dgm:bulletEnabled val="1"/>
        </dgm:presLayoutVars>
      </dgm:prSet>
      <dgm:spPr/>
    </dgm:pt>
    <dgm:pt modelId="{A1CE6EF9-8757-4239-90EC-B46AB12AB6B6}" type="pres">
      <dgm:prSet presAssocID="{F4625CE3-DD65-4163-BE17-EBF7199392CF}" presName="sibTrans" presStyleLbl="sibTrans1D1" presStyleIdx="0" presStyleCnt="8"/>
      <dgm:spPr/>
    </dgm:pt>
    <dgm:pt modelId="{E9141D15-C024-4D03-91FF-CC11D46075FB}" type="pres">
      <dgm:prSet presAssocID="{F4625CE3-DD65-4163-BE17-EBF7199392CF}" presName="connectorText" presStyleLbl="sibTrans1D1" presStyleIdx="0" presStyleCnt="8"/>
      <dgm:spPr/>
    </dgm:pt>
    <dgm:pt modelId="{3DCBD884-D670-4929-8952-1A7AB7F991F2}" type="pres">
      <dgm:prSet presAssocID="{2916400E-35BE-4783-86C6-2FEFF3D3F6B5}" presName="node" presStyleLbl="node1" presStyleIdx="1" presStyleCnt="9">
        <dgm:presLayoutVars>
          <dgm:bulletEnabled val="1"/>
        </dgm:presLayoutVars>
      </dgm:prSet>
      <dgm:spPr/>
    </dgm:pt>
    <dgm:pt modelId="{1CB7F713-D8D0-48FD-AC9F-A0963C429D0A}" type="pres">
      <dgm:prSet presAssocID="{41EBA939-37D6-45C8-A69C-FFEF70DDABDC}" presName="sibTrans" presStyleLbl="sibTrans1D1" presStyleIdx="1" presStyleCnt="8"/>
      <dgm:spPr/>
    </dgm:pt>
    <dgm:pt modelId="{DE8D6B67-4EE7-4A48-9FBF-D510F43F2BF1}" type="pres">
      <dgm:prSet presAssocID="{41EBA939-37D6-45C8-A69C-FFEF70DDABDC}" presName="connectorText" presStyleLbl="sibTrans1D1" presStyleIdx="1" presStyleCnt="8"/>
      <dgm:spPr/>
    </dgm:pt>
    <dgm:pt modelId="{69D736ED-51DC-420B-BA43-68A36090D86C}" type="pres">
      <dgm:prSet presAssocID="{07AFCF28-21E6-4D41-9FFF-ADCE782CB43C}" presName="node" presStyleLbl="node1" presStyleIdx="2" presStyleCnt="9">
        <dgm:presLayoutVars>
          <dgm:bulletEnabled val="1"/>
        </dgm:presLayoutVars>
      </dgm:prSet>
      <dgm:spPr/>
    </dgm:pt>
    <dgm:pt modelId="{E7918E5B-118B-4CDE-B322-B21BD35CCB2F}" type="pres">
      <dgm:prSet presAssocID="{F4454979-9A66-410E-B999-FDF1937D79B7}" presName="sibTrans" presStyleLbl="sibTrans1D1" presStyleIdx="2" presStyleCnt="8"/>
      <dgm:spPr/>
    </dgm:pt>
    <dgm:pt modelId="{E581C445-2AB9-43AC-BF3C-8345B43621A8}" type="pres">
      <dgm:prSet presAssocID="{F4454979-9A66-410E-B999-FDF1937D79B7}" presName="connectorText" presStyleLbl="sibTrans1D1" presStyleIdx="2" presStyleCnt="8"/>
      <dgm:spPr/>
    </dgm:pt>
    <dgm:pt modelId="{AE2BD151-E49E-49A8-A534-AB68AE062B7B}" type="pres">
      <dgm:prSet presAssocID="{B9DC96FE-CACF-4A0C-8AAE-F82871370D06}" presName="node" presStyleLbl="node1" presStyleIdx="3" presStyleCnt="9">
        <dgm:presLayoutVars>
          <dgm:bulletEnabled val="1"/>
        </dgm:presLayoutVars>
      </dgm:prSet>
      <dgm:spPr/>
    </dgm:pt>
    <dgm:pt modelId="{BB059915-FA99-4A27-A64C-B843F0E2E883}" type="pres">
      <dgm:prSet presAssocID="{59A1B5F9-9EC4-49B7-B788-73EA2863A5E0}" presName="sibTrans" presStyleLbl="sibTrans1D1" presStyleIdx="3" presStyleCnt="8"/>
      <dgm:spPr/>
    </dgm:pt>
    <dgm:pt modelId="{46E4E180-456A-468C-8FD1-2EBDDFD9E7A3}" type="pres">
      <dgm:prSet presAssocID="{59A1B5F9-9EC4-49B7-B788-73EA2863A5E0}" presName="connectorText" presStyleLbl="sibTrans1D1" presStyleIdx="3" presStyleCnt="8"/>
      <dgm:spPr/>
    </dgm:pt>
    <dgm:pt modelId="{66C4896E-765A-4A87-813F-D13AE8580C11}" type="pres">
      <dgm:prSet presAssocID="{DC8CDF3F-B551-4F76-8013-22A81E072474}" presName="node" presStyleLbl="node1" presStyleIdx="4" presStyleCnt="9">
        <dgm:presLayoutVars>
          <dgm:bulletEnabled val="1"/>
        </dgm:presLayoutVars>
      </dgm:prSet>
      <dgm:spPr/>
    </dgm:pt>
    <dgm:pt modelId="{B6BBEBA4-1C60-422A-BBD9-19FE95362093}" type="pres">
      <dgm:prSet presAssocID="{493501D4-7930-4F1B-866D-FE04AAA04753}" presName="sibTrans" presStyleLbl="sibTrans1D1" presStyleIdx="4" presStyleCnt="8"/>
      <dgm:spPr/>
    </dgm:pt>
    <dgm:pt modelId="{4BEFF288-6EC8-4633-9159-2959649E981D}" type="pres">
      <dgm:prSet presAssocID="{493501D4-7930-4F1B-866D-FE04AAA04753}" presName="connectorText" presStyleLbl="sibTrans1D1" presStyleIdx="4" presStyleCnt="8"/>
      <dgm:spPr/>
    </dgm:pt>
    <dgm:pt modelId="{2D23CA86-BA86-485A-9D73-96F3BBC2BD1D}" type="pres">
      <dgm:prSet presAssocID="{1B28E933-E636-43BE-9DCA-CD07722199C3}" presName="node" presStyleLbl="node1" presStyleIdx="5" presStyleCnt="9">
        <dgm:presLayoutVars>
          <dgm:bulletEnabled val="1"/>
        </dgm:presLayoutVars>
      </dgm:prSet>
      <dgm:spPr/>
    </dgm:pt>
    <dgm:pt modelId="{DD63F7F3-33E8-4AC2-978F-4F2D65522059}" type="pres">
      <dgm:prSet presAssocID="{9D53EC2C-20B6-4354-9E23-1822F9C7094E}" presName="sibTrans" presStyleLbl="sibTrans1D1" presStyleIdx="5" presStyleCnt="8"/>
      <dgm:spPr/>
    </dgm:pt>
    <dgm:pt modelId="{5E09CCB7-CE97-4A8E-9807-6C17E7A5AAE0}" type="pres">
      <dgm:prSet presAssocID="{9D53EC2C-20B6-4354-9E23-1822F9C7094E}" presName="connectorText" presStyleLbl="sibTrans1D1" presStyleIdx="5" presStyleCnt="8"/>
      <dgm:spPr/>
    </dgm:pt>
    <dgm:pt modelId="{B6F4DA6D-40AB-4A6D-AC2F-7A18ECC5B6CF}" type="pres">
      <dgm:prSet presAssocID="{05EDA47F-24C7-4C13-8794-7C1DC7915FD4}" presName="node" presStyleLbl="node1" presStyleIdx="6" presStyleCnt="9">
        <dgm:presLayoutVars>
          <dgm:bulletEnabled val="1"/>
        </dgm:presLayoutVars>
      </dgm:prSet>
      <dgm:spPr/>
    </dgm:pt>
    <dgm:pt modelId="{3FB69DC8-9B34-4AAC-B6F3-D92D10B8AE48}" type="pres">
      <dgm:prSet presAssocID="{98BB7D42-77C8-41DD-9588-81769B6FAC9A}" presName="sibTrans" presStyleLbl="sibTrans1D1" presStyleIdx="6" presStyleCnt="8"/>
      <dgm:spPr/>
    </dgm:pt>
    <dgm:pt modelId="{31F78115-B68E-4DB6-84BB-59DF4AEE37F6}" type="pres">
      <dgm:prSet presAssocID="{98BB7D42-77C8-41DD-9588-81769B6FAC9A}" presName="connectorText" presStyleLbl="sibTrans1D1" presStyleIdx="6" presStyleCnt="8"/>
      <dgm:spPr/>
    </dgm:pt>
    <dgm:pt modelId="{B9F50D4E-C3B5-44B7-86FC-8308B75CC45B}" type="pres">
      <dgm:prSet presAssocID="{65F9C0F1-479D-4100-8DD5-884753565138}" presName="node" presStyleLbl="node1" presStyleIdx="7" presStyleCnt="9">
        <dgm:presLayoutVars>
          <dgm:bulletEnabled val="1"/>
        </dgm:presLayoutVars>
      </dgm:prSet>
      <dgm:spPr/>
    </dgm:pt>
    <dgm:pt modelId="{67A099AF-8668-4383-BEDE-6EE3B0645A23}" type="pres">
      <dgm:prSet presAssocID="{DBCEBBF1-47D7-46D4-BF5E-20B137AB4E48}" presName="sibTrans" presStyleLbl="sibTrans1D1" presStyleIdx="7" presStyleCnt="8"/>
      <dgm:spPr/>
    </dgm:pt>
    <dgm:pt modelId="{7A43F1F0-9264-4157-ADB9-E2F144986BB5}" type="pres">
      <dgm:prSet presAssocID="{DBCEBBF1-47D7-46D4-BF5E-20B137AB4E48}" presName="connectorText" presStyleLbl="sibTrans1D1" presStyleIdx="7" presStyleCnt="8"/>
      <dgm:spPr/>
    </dgm:pt>
    <dgm:pt modelId="{1D7C8CD0-AAC3-4C2B-9E3C-E21B129F05B1}" type="pres">
      <dgm:prSet presAssocID="{855FE50A-3517-4A27-B075-1526741F5807}" presName="node" presStyleLbl="node1" presStyleIdx="8" presStyleCnt="9">
        <dgm:presLayoutVars>
          <dgm:bulletEnabled val="1"/>
        </dgm:presLayoutVars>
      </dgm:prSet>
      <dgm:spPr/>
    </dgm:pt>
  </dgm:ptLst>
  <dgm:cxnLst>
    <dgm:cxn modelId="{48D34302-B01F-42FE-930A-BAE5BA7EC32E}" srcId="{FCFF48E5-3B42-432D-A27C-5001D49CC2A5}" destId="{65F9C0F1-479D-4100-8DD5-884753565138}" srcOrd="7" destOrd="0" parTransId="{0972131F-814B-44CF-991F-5E9336BC9555}" sibTransId="{DBCEBBF1-47D7-46D4-BF5E-20B137AB4E48}"/>
    <dgm:cxn modelId="{FD95D503-FEC0-4DE5-9FFF-7B6EF2D7E437}" type="presOf" srcId="{493501D4-7930-4F1B-866D-FE04AAA04753}" destId="{B6BBEBA4-1C60-422A-BBD9-19FE95362093}" srcOrd="0" destOrd="0" presId="urn:microsoft.com/office/officeart/2005/8/layout/bProcess3"/>
    <dgm:cxn modelId="{E17EB60F-BAAF-4403-BBFB-8D80F9C75CE3}" type="presOf" srcId="{F4625CE3-DD65-4163-BE17-EBF7199392CF}" destId="{A1CE6EF9-8757-4239-90EC-B46AB12AB6B6}" srcOrd="0" destOrd="0" presId="urn:microsoft.com/office/officeart/2005/8/layout/bProcess3"/>
    <dgm:cxn modelId="{8290621D-B10B-469A-B7A4-5CE825D02211}" srcId="{FCFF48E5-3B42-432D-A27C-5001D49CC2A5}" destId="{B9DC96FE-CACF-4A0C-8AAE-F82871370D06}" srcOrd="3" destOrd="0" parTransId="{F729C219-3CF8-4FBD-89A1-8E6C0AB6878A}" sibTransId="{59A1B5F9-9EC4-49B7-B788-73EA2863A5E0}"/>
    <dgm:cxn modelId="{014FFE26-8602-421D-8D5C-C0E8787F5BE2}" srcId="{FCFF48E5-3B42-432D-A27C-5001D49CC2A5}" destId="{1B28E933-E636-43BE-9DCA-CD07722199C3}" srcOrd="5" destOrd="0" parTransId="{F081CACE-4D4F-419A-83C9-74A68FA6408E}" sibTransId="{9D53EC2C-20B6-4354-9E23-1822F9C7094E}"/>
    <dgm:cxn modelId="{1E4F0127-E7D4-44CA-AE44-893D6E13E395}" type="presOf" srcId="{41EBA939-37D6-45C8-A69C-FFEF70DDABDC}" destId="{1CB7F713-D8D0-48FD-AC9F-A0963C429D0A}" srcOrd="0" destOrd="0" presId="urn:microsoft.com/office/officeart/2005/8/layout/bProcess3"/>
    <dgm:cxn modelId="{5A844438-981B-44CE-960F-345B7A16E6E0}" type="presOf" srcId="{9D53EC2C-20B6-4354-9E23-1822F9C7094E}" destId="{5E09CCB7-CE97-4A8E-9807-6C17E7A5AAE0}" srcOrd="1" destOrd="0" presId="urn:microsoft.com/office/officeart/2005/8/layout/bProcess3"/>
    <dgm:cxn modelId="{B3158F5E-D13C-4B48-9FAC-461F39FB4604}" type="presOf" srcId="{F4625CE3-DD65-4163-BE17-EBF7199392CF}" destId="{E9141D15-C024-4D03-91FF-CC11D46075FB}" srcOrd="1" destOrd="0" presId="urn:microsoft.com/office/officeart/2005/8/layout/bProcess3"/>
    <dgm:cxn modelId="{EB1E6E41-A5FF-45F2-B1D4-B56F4FD621BF}" srcId="{FCFF48E5-3B42-432D-A27C-5001D49CC2A5}" destId="{855FE50A-3517-4A27-B075-1526741F5807}" srcOrd="8" destOrd="0" parTransId="{9E8F41A9-B571-4348-888E-C132F1FA8447}" sibTransId="{DB974250-B497-485D-B0A6-9977CA288A8E}"/>
    <dgm:cxn modelId="{AD2E0164-E7B5-4322-99E1-D97CACD53FC8}" type="presOf" srcId="{DBCEBBF1-47D7-46D4-BF5E-20B137AB4E48}" destId="{67A099AF-8668-4383-BEDE-6EE3B0645A23}" srcOrd="0" destOrd="0" presId="urn:microsoft.com/office/officeart/2005/8/layout/bProcess3"/>
    <dgm:cxn modelId="{12311351-B735-48D5-A313-694D0DFA2EB5}" type="presOf" srcId="{B9DC96FE-CACF-4A0C-8AAE-F82871370D06}" destId="{AE2BD151-E49E-49A8-A534-AB68AE062B7B}" srcOrd="0" destOrd="0" presId="urn:microsoft.com/office/officeart/2005/8/layout/bProcess3"/>
    <dgm:cxn modelId="{1600C953-5B01-47C5-87CE-D3D6C8B15A67}" type="presOf" srcId="{493501D4-7930-4F1B-866D-FE04AAA04753}" destId="{4BEFF288-6EC8-4633-9159-2959649E981D}" srcOrd="1" destOrd="0" presId="urn:microsoft.com/office/officeart/2005/8/layout/bProcess3"/>
    <dgm:cxn modelId="{BBC0D873-68C0-4D28-A8EF-6D7D0E9FE09D}" type="presOf" srcId="{F4454979-9A66-410E-B999-FDF1937D79B7}" destId="{E581C445-2AB9-43AC-BF3C-8345B43621A8}" srcOrd="1" destOrd="0" presId="urn:microsoft.com/office/officeart/2005/8/layout/bProcess3"/>
    <dgm:cxn modelId="{6E209376-945A-441E-A744-0CB0FCED728F}" type="presOf" srcId="{FCFF48E5-3B42-432D-A27C-5001D49CC2A5}" destId="{EF01F556-A3C1-4FE4-9FC1-0D53D6FC3EC6}" srcOrd="0" destOrd="0" presId="urn:microsoft.com/office/officeart/2005/8/layout/bProcess3"/>
    <dgm:cxn modelId="{02C5967A-DA89-4B60-9A6F-8CDFB05D80C8}" srcId="{FCFF48E5-3B42-432D-A27C-5001D49CC2A5}" destId="{2916400E-35BE-4783-86C6-2FEFF3D3F6B5}" srcOrd="1" destOrd="0" parTransId="{A75B0546-A15B-4A2A-BB98-297AAC45972B}" sibTransId="{41EBA939-37D6-45C8-A69C-FFEF70DDABDC}"/>
    <dgm:cxn modelId="{AF22B77F-BFDF-4E36-8484-A4075605724F}" type="presOf" srcId="{41EBA939-37D6-45C8-A69C-FFEF70DDABDC}" destId="{DE8D6B67-4EE7-4A48-9FBF-D510F43F2BF1}" srcOrd="1" destOrd="0" presId="urn:microsoft.com/office/officeart/2005/8/layout/bProcess3"/>
    <dgm:cxn modelId="{FE04B285-D1F6-4538-8A56-7F73446091BA}" type="presOf" srcId="{DBCEBBF1-47D7-46D4-BF5E-20B137AB4E48}" destId="{7A43F1F0-9264-4157-ADB9-E2F144986BB5}" srcOrd="1" destOrd="0" presId="urn:microsoft.com/office/officeart/2005/8/layout/bProcess3"/>
    <dgm:cxn modelId="{EF96D591-AAC6-4010-B1D4-C2DE69C42EE5}" srcId="{FCFF48E5-3B42-432D-A27C-5001D49CC2A5}" destId="{07AFCF28-21E6-4D41-9FFF-ADCE782CB43C}" srcOrd="2" destOrd="0" parTransId="{BFA760F9-5D62-4D3F-847B-962919F962EB}" sibTransId="{F4454979-9A66-410E-B999-FDF1937D79B7}"/>
    <dgm:cxn modelId="{37C99795-9FA9-46AE-90F7-2377526BACD1}" type="presOf" srcId="{59A1B5F9-9EC4-49B7-B788-73EA2863A5E0}" destId="{46E4E180-456A-468C-8FD1-2EBDDFD9E7A3}" srcOrd="1" destOrd="0" presId="urn:microsoft.com/office/officeart/2005/8/layout/bProcess3"/>
    <dgm:cxn modelId="{6D153E97-F35E-4F2F-A0BB-37092AF478B1}" srcId="{FCFF48E5-3B42-432D-A27C-5001D49CC2A5}" destId="{D0AE29DF-B6F4-484A-83F6-D941D992C02D}" srcOrd="0" destOrd="0" parTransId="{B47F498C-6C3F-405D-8BF4-0461EB7CCF44}" sibTransId="{F4625CE3-DD65-4163-BE17-EBF7199392CF}"/>
    <dgm:cxn modelId="{D78722AC-9509-45C1-A34D-7C349404F6F8}" type="presOf" srcId="{98BB7D42-77C8-41DD-9588-81769B6FAC9A}" destId="{3FB69DC8-9B34-4AAC-B6F3-D92D10B8AE48}" srcOrd="0" destOrd="0" presId="urn:microsoft.com/office/officeart/2005/8/layout/bProcess3"/>
    <dgm:cxn modelId="{F8D505AF-FDD1-4CBE-8594-4FED6F4A9103}" type="presOf" srcId="{65F9C0F1-479D-4100-8DD5-884753565138}" destId="{B9F50D4E-C3B5-44B7-86FC-8308B75CC45B}" srcOrd="0" destOrd="0" presId="urn:microsoft.com/office/officeart/2005/8/layout/bProcess3"/>
    <dgm:cxn modelId="{EB4973BC-DA93-491D-8264-059D15AA2503}" srcId="{FCFF48E5-3B42-432D-A27C-5001D49CC2A5}" destId="{DC8CDF3F-B551-4F76-8013-22A81E072474}" srcOrd="4" destOrd="0" parTransId="{0EB0391A-BC6A-438A-A16C-0B2E9E20A515}" sibTransId="{493501D4-7930-4F1B-866D-FE04AAA04753}"/>
    <dgm:cxn modelId="{C449AEC8-43A3-4EFB-85DC-CCC78ED1E563}" srcId="{FCFF48E5-3B42-432D-A27C-5001D49CC2A5}" destId="{05EDA47F-24C7-4C13-8794-7C1DC7915FD4}" srcOrd="6" destOrd="0" parTransId="{E2D7F6F8-8D7F-4E29-976D-F5AFD874161D}" sibTransId="{98BB7D42-77C8-41DD-9588-81769B6FAC9A}"/>
    <dgm:cxn modelId="{B4816ED9-DAE8-4B6A-8B86-87FF4EFF2A0F}" type="presOf" srcId="{F4454979-9A66-410E-B999-FDF1937D79B7}" destId="{E7918E5B-118B-4CDE-B322-B21BD35CCB2F}" srcOrd="0" destOrd="0" presId="urn:microsoft.com/office/officeart/2005/8/layout/bProcess3"/>
    <dgm:cxn modelId="{034D2BDD-A5AC-4CA1-A30B-C89A868B6713}" type="presOf" srcId="{855FE50A-3517-4A27-B075-1526741F5807}" destId="{1D7C8CD0-AAC3-4C2B-9E3C-E21B129F05B1}" srcOrd="0" destOrd="0" presId="urn:microsoft.com/office/officeart/2005/8/layout/bProcess3"/>
    <dgm:cxn modelId="{B0A83EE1-179C-41F0-81A4-CCAD9218BCBB}" type="presOf" srcId="{2916400E-35BE-4783-86C6-2FEFF3D3F6B5}" destId="{3DCBD884-D670-4929-8952-1A7AB7F991F2}" srcOrd="0" destOrd="0" presId="urn:microsoft.com/office/officeart/2005/8/layout/bProcess3"/>
    <dgm:cxn modelId="{35F18AE2-F836-4530-91AC-427B3CFAF2DD}" type="presOf" srcId="{D0AE29DF-B6F4-484A-83F6-D941D992C02D}" destId="{D7AC27E2-6DE2-4509-83A4-45B223236E3C}" srcOrd="0" destOrd="0" presId="urn:microsoft.com/office/officeart/2005/8/layout/bProcess3"/>
    <dgm:cxn modelId="{6F544AE6-8293-4F09-BA0E-CEC6E07408AB}" type="presOf" srcId="{98BB7D42-77C8-41DD-9588-81769B6FAC9A}" destId="{31F78115-B68E-4DB6-84BB-59DF4AEE37F6}" srcOrd="1" destOrd="0" presId="urn:microsoft.com/office/officeart/2005/8/layout/bProcess3"/>
    <dgm:cxn modelId="{3D5A80E7-CD7E-4725-819F-0C73BFA5A3E8}" type="presOf" srcId="{DC8CDF3F-B551-4F76-8013-22A81E072474}" destId="{66C4896E-765A-4A87-813F-D13AE8580C11}" srcOrd="0" destOrd="0" presId="urn:microsoft.com/office/officeart/2005/8/layout/bProcess3"/>
    <dgm:cxn modelId="{9CD15EF0-3844-4C85-AC88-27B5D591A116}" type="presOf" srcId="{07AFCF28-21E6-4D41-9FFF-ADCE782CB43C}" destId="{69D736ED-51DC-420B-BA43-68A36090D86C}" srcOrd="0" destOrd="0" presId="urn:microsoft.com/office/officeart/2005/8/layout/bProcess3"/>
    <dgm:cxn modelId="{D2E15BF2-861D-4DBC-95F5-19FB7EB41F9E}" type="presOf" srcId="{05EDA47F-24C7-4C13-8794-7C1DC7915FD4}" destId="{B6F4DA6D-40AB-4A6D-AC2F-7A18ECC5B6CF}" srcOrd="0" destOrd="0" presId="urn:microsoft.com/office/officeart/2005/8/layout/bProcess3"/>
    <dgm:cxn modelId="{7CE7EEF6-6FF0-446C-AAA0-A6058EFE6CF4}" type="presOf" srcId="{1B28E933-E636-43BE-9DCA-CD07722199C3}" destId="{2D23CA86-BA86-485A-9D73-96F3BBC2BD1D}" srcOrd="0" destOrd="0" presId="urn:microsoft.com/office/officeart/2005/8/layout/bProcess3"/>
    <dgm:cxn modelId="{B1C679F7-81D7-4691-BFCC-242BF773AD1F}" type="presOf" srcId="{59A1B5F9-9EC4-49B7-B788-73EA2863A5E0}" destId="{BB059915-FA99-4A27-A64C-B843F0E2E883}" srcOrd="0" destOrd="0" presId="urn:microsoft.com/office/officeart/2005/8/layout/bProcess3"/>
    <dgm:cxn modelId="{BFC5C5F9-EBB6-42A0-B080-519E0A08456D}" type="presOf" srcId="{9D53EC2C-20B6-4354-9E23-1822F9C7094E}" destId="{DD63F7F3-33E8-4AC2-978F-4F2D65522059}" srcOrd="0" destOrd="0" presId="urn:microsoft.com/office/officeart/2005/8/layout/bProcess3"/>
    <dgm:cxn modelId="{9253A0EB-668E-4432-AEF9-FD9757E19C82}" type="presParOf" srcId="{EF01F556-A3C1-4FE4-9FC1-0D53D6FC3EC6}" destId="{D7AC27E2-6DE2-4509-83A4-45B223236E3C}" srcOrd="0" destOrd="0" presId="urn:microsoft.com/office/officeart/2005/8/layout/bProcess3"/>
    <dgm:cxn modelId="{B585E0FD-06E2-4B75-8559-F5CE78BC0FAF}" type="presParOf" srcId="{EF01F556-A3C1-4FE4-9FC1-0D53D6FC3EC6}" destId="{A1CE6EF9-8757-4239-90EC-B46AB12AB6B6}" srcOrd="1" destOrd="0" presId="urn:microsoft.com/office/officeart/2005/8/layout/bProcess3"/>
    <dgm:cxn modelId="{099E031F-EAEF-4277-B208-66A516356020}" type="presParOf" srcId="{A1CE6EF9-8757-4239-90EC-B46AB12AB6B6}" destId="{E9141D15-C024-4D03-91FF-CC11D46075FB}" srcOrd="0" destOrd="0" presId="urn:microsoft.com/office/officeart/2005/8/layout/bProcess3"/>
    <dgm:cxn modelId="{25D225C7-DD01-49B1-AA35-A57C804511A2}" type="presParOf" srcId="{EF01F556-A3C1-4FE4-9FC1-0D53D6FC3EC6}" destId="{3DCBD884-D670-4929-8952-1A7AB7F991F2}" srcOrd="2" destOrd="0" presId="urn:microsoft.com/office/officeart/2005/8/layout/bProcess3"/>
    <dgm:cxn modelId="{9C519242-610E-422F-B816-BC26D2893C71}" type="presParOf" srcId="{EF01F556-A3C1-4FE4-9FC1-0D53D6FC3EC6}" destId="{1CB7F713-D8D0-48FD-AC9F-A0963C429D0A}" srcOrd="3" destOrd="0" presId="urn:microsoft.com/office/officeart/2005/8/layout/bProcess3"/>
    <dgm:cxn modelId="{B2DB5E4D-1DE7-400F-8FFB-45E779061DB7}" type="presParOf" srcId="{1CB7F713-D8D0-48FD-AC9F-A0963C429D0A}" destId="{DE8D6B67-4EE7-4A48-9FBF-D510F43F2BF1}" srcOrd="0" destOrd="0" presId="urn:microsoft.com/office/officeart/2005/8/layout/bProcess3"/>
    <dgm:cxn modelId="{CAE5989B-A950-4642-ABC3-727FE1C8CA40}" type="presParOf" srcId="{EF01F556-A3C1-4FE4-9FC1-0D53D6FC3EC6}" destId="{69D736ED-51DC-420B-BA43-68A36090D86C}" srcOrd="4" destOrd="0" presId="urn:microsoft.com/office/officeart/2005/8/layout/bProcess3"/>
    <dgm:cxn modelId="{D05ACB97-C8D8-4267-9A01-935692532251}" type="presParOf" srcId="{EF01F556-A3C1-4FE4-9FC1-0D53D6FC3EC6}" destId="{E7918E5B-118B-4CDE-B322-B21BD35CCB2F}" srcOrd="5" destOrd="0" presId="urn:microsoft.com/office/officeart/2005/8/layout/bProcess3"/>
    <dgm:cxn modelId="{CA64DA4C-D55C-4D89-8E7C-2897D73BF29E}" type="presParOf" srcId="{E7918E5B-118B-4CDE-B322-B21BD35CCB2F}" destId="{E581C445-2AB9-43AC-BF3C-8345B43621A8}" srcOrd="0" destOrd="0" presId="urn:microsoft.com/office/officeart/2005/8/layout/bProcess3"/>
    <dgm:cxn modelId="{6D7454B5-CC0F-4909-9354-8ED846B03F25}" type="presParOf" srcId="{EF01F556-A3C1-4FE4-9FC1-0D53D6FC3EC6}" destId="{AE2BD151-E49E-49A8-A534-AB68AE062B7B}" srcOrd="6" destOrd="0" presId="urn:microsoft.com/office/officeart/2005/8/layout/bProcess3"/>
    <dgm:cxn modelId="{5481131E-2487-4BE1-9B4B-ECF9343A9853}" type="presParOf" srcId="{EF01F556-A3C1-4FE4-9FC1-0D53D6FC3EC6}" destId="{BB059915-FA99-4A27-A64C-B843F0E2E883}" srcOrd="7" destOrd="0" presId="urn:microsoft.com/office/officeart/2005/8/layout/bProcess3"/>
    <dgm:cxn modelId="{FF18B373-409E-4F70-BC86-09AE05A9A0A3}" type="presParOf" srcId="{BB059915-FA99-4A27-A64C-B843F0E2E883}" destId="{46E4E180-456A-468C-8FD1-2EBDDFD9E7A3}" srcOrd="0" destOrd="0" presId="urn:microsoft.com/office/officeart/2005/8/layout/bProcess3"/>
    <dgm:cxn modelId="{116328D8-1B60-43E3-A771-99C68A24523B}" type="presParOf" srcId="{EF01F556-A3C1-4FE4-9FC1-0D53D6FC3EC6}" destId="{66C4896E-765A-4A87-813F-D13AE8580C11}" srcOrd="8" destOrd="0" presId="urn:microsoft.com/office/officeart/2005/8/layout/bProcess3"/>
    <dgm:cxn modelId="{8F3445CA-70BA-4AB5-BB00-28DAA50F1F4C}" type="presParOf" srcId="{EF01F556-A3C1-4FE4-9FC1-0D53D6FC3EC6}" destId="{B6BBEBA4-1C60-422A-BBD9-19FE95362093}" srcOrd="9" destOrd="0" presId="urn:microsoft.com/office/officeart/2005/8/layout/bProcess3"/>
    <dgm:cxn modelId="{9409142E-CED1-49FE-9879-4893D2F9A845}" type="presParOf" srcId="{B6BBEBA4-1C60-422A-BBD9-19FE95362093}" destId="{4BEFF288-6EC8-4633-9159-2959649E981D}" srcOrd="0" destOrd="0" presId="urn:microsoft.com/office/officeart/2005/8/layout/bProcess3"/>
    <dgm:cxn modelId="{043FF4E6-05D4-4AFA-BFF0-7FB2AB362265}" type="presParOf" srcId="{EF01F556-A3C1-4FE4-9FC1-0D53D6FC3EC6}" destId="{2D23CA86-BA86-485A-9D73-96F3BBC2BD1D}" srcOrd="10" destOrd="0" presId="urn:microsoft.com/office/officeart/2005/8/layout/bProcess3"/>
    <dgm:cxn modelId="{C4481157-BBD8-4865-AA2D-32C63A8A02F9}" type="presParOf" srcId="{EF01F556-A3C1-4FE4-9FC1-0D53D6FC3EC6}" destId="{DD63F7F3-33E8-4AC2-978F-4F2D65522059}" srcOrd="11" destOrd="0" presId="urn:microsoft.com/office/officeart/2005/8/layout/bProcess3"/>
    <dgm:cxn modelId="{3A20FED7-0A6F-446D-A66A-79F7CE57C48E}" type="presParOf" srcId="{DD63F7F3-33E8-4AC2-978F-4F2D65522059}" destId="{5E09CCB7-CE97-4A8E-9807-6C17E7A5AAE0}" srcOrd="0" destOrd="0" presId="urn:microsoft.com/office/officeart/2005/8/layout/bProcess3"/>
    <dgm:cxn modelId="{88D49CF9-6501-41BF-AB91-FD83D9EE9727}" type="presParOf" srcId="{EF01F556-A3C1-4FE4-9FC1-0D53D6FC3EC6}" destId="{B6F4DA6D-40AB-4A6D-AC2F-7A18ECC5B6CF}" srcOrd="12" destOrd="0" presId="urn:microsoft.com/office/officeart/2005/8/layout/bProcess3"/>
    <dgm:cxn modelId="{F5A20503-9D3B-4A23-91F4-329F8A3E1371}" type="presParOf" srcId="{EF01F556-A3C1-4FE4-9FC1-0D53D6FC3EC6}" destId="{3FB69DC8-9B34-4AAC-B6F3-D92D10B8AE48}" srcOrd="13" destOrd="0" presId="urn:microsoft.com/office/officeart/2005/8/layout/bProcess3"/>
    <dgm:cxn modelId="{064911FA-C110-471B-A2AD-26AD07DE887C}" type="presParOf" srcId="{3FB69DC8-9B34-4AAC-B6F3-D92D10B8AE48}" destId="{31F78115-B68E-4DB6-84BB-59DF4AEE37F6}" srcOrd="0" destOrd="0" presId="urn:microsoft.com/office/officeart/2005/8/layout/bProcess3"/>
    <dgm:cxn modelId="{15D2BCF8-DE68-45A4-8FCD-A2EDCDEDE7E1}" type="presParOf" srcId="{EF01F556-A3C1-4FE4-9FC1-0D53D6FC3EC6}" destId="{B9F50D4E-C3B5-44B7-86FC-8308B75CC45B}" srcOrd="14" destOrd="0" presId="urn:microsoft.com/office/officeart/2005/8/layout/bProcess3"/>
    <dgm:cxn modelId="{5442112D-205A-4101-A583-9DC2E1952209}" type="presParOf" srcId="{EF01F556-A3C1-4FE4-9FC1-0D53D6FC3EC6}" destId="{67A099AF-8668-4383-BEDE-6EE3B0645A23}" srcOrd="15" destOrd="0" presId="urn:microsoft.com/office/officeart/2005/8/layout/bProcess3"/>
    <dgm:cxn modelId="{11B277F8-6CFC-4D46-B044-6DAD953165C4}" type="presParOf" srcId="{67A099AF-8668-4383-BEDE-6EE3B0645A23}" destId="{7A43F1F0-9264-4157-ADB9-E2F144986BB5}" srcOrd="0" destOrd="0" presId="urn:microsoft.com/office/officeart/2005/8/layout/bProcess3"/>
    <dgm:cxn modelId="{8A825F24-E4FB-423E-AA81-FB6ECD282957}" type="presParOf" srcId="{EF01F556-A3C1-4FE4-9FC1-0D53D6FC3EC6}" destId="{1D7C8CD0-AAC3-4C2B-9E3C-E21B129F05B1}" srcOrd="16" destOrd="0" presId="urn:microsoft.com/office/officeart/2005/8/layout/bProcess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CE6EF9-8757-4239-90EC-B46AB12AB6B6}">
      <dsp:nvSpPr>
        <dsp:cNvPr id="0" name=""/>
        <dsp:cNvSpPr/>
      </dsp:nvSpPr>
      <dsp:spPr>
        <a:xfrm>
          <a:off x="1247273" y="315583"/>
          <a:ext cx="245858" cy="91440"/>
        </a:xfrm>
        <a:custGeom>
          <a:avLst/>
          <a:gdLst/>
          <a:ahLst/>
          <a:cxnLst/>
          <a:rect l="0" t="0" r="0" b="0"/>
          <a:pathLst>
            <a:path>
              <a:moveTo>
                <a:pt x="0" y="45720"/>
              </a:moveTo>
              <a:lnTo>
                <a:pt x="24585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363291" y="359920"/>
        <a:ext cx="13822" cy="2764"/>
      </dsp:txXfrm>
    </dsp:sp>
    <dsp:sp modelId="{D7AC27E2-6DE2-4509-83A4-45B223236E3C}">
      <dsp:nvSpPr>
        <dsp:cNvPr id="0" name=""/>
        <dsp:cNvSpPr/>
      </dsp:nvSpPr>
      <dsp:spPr>
        <a:xfrm>
          <a:off x="47079" y="704"/>
          <a:ext cx="1201993" cy="7211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t>Patient suspected of ovarian cancer</a:t>
          </a:r>
        </a:p>
      </dsp:txBody>
      <dsp:txXfrm>
        <a:off x="47079" y="704"/>
        <a:ext cx="1201993" cy="721196"/>
      </dsp:txXfrm>
    </dsp:sp>
    <dsp:sp modelId="{1CB7F713-D8D0-48FD-AC9F-A0963C429D0A}">
      <dsp:nvSpPr>
        <dsp:cNvPr id="0" name=""/>
        <dsp:cNvSpPr/>
      </dsp:nvSpPr>
      <dsp:spPr>
        <a:xfrm>
          <a:off x="2725725" y="315583"/>
          <a:ext cx="245858" cy="91440"/>
        </a:xfrm>
        <a:custGeom>
          <a:avLst/>
          <a:gdLst/>
          <a:ahLst/>
          <a:cxnLst/>
          <a:rect l="0" t="0" r="0" b="0"/>
          <a:pathLst>
            <a:path>
              <a:moveTo>
                <a:pt x="0" y="45720"/>
              </a:moveTo>
              <a:lnTo>
                <a:pt x="24585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841743" y="359920"/>
        <a:ext cx="13822" cy="2764"/>
      </dsp:txXfrm>
    </dsp:sp>
    <dsp:sp modelId="{3DCBD884-D670-4929-8952-1A7AB7F991F2}">
      <dsp:nvSpPr>
        <dsp:cNvPr id="0" name=""/>
        <dsp:cNvSpPr/>
      </dsp:nvSpPr>
      <dsp:spPr>
        <a:xfrm>
          <a:off x="1525531" y="704"/>
          <a:ext cx="1201993" cy="7211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t>Gynaecological oncologist or treating physician orders biopsy and diagnostic work-up </a:t>
          </a:r>
        </a:p>
      </dsp:txBody>
      <dsp:txXfrm>
        <a:off x="1525531" y="704"/>
        <a:ext cx="1201993" cy="721196"/>
      </dsp:txXfrm>
    </dsp:sp>
    <dsp:sp modelId="{E7918E5B-118B-4CDE-B322-B21BD35CCB2F}">
      <dsp:nvSpPr>
        <dsp:cNvPr id="0" name=""/>
        <dsp:cNvSpPr/>
      </dsp:nvSpPr>
      <dsp:spPr>
        <a:xfrm>
          <a:off x="4204178" y="315583"/>
          <a:ext cx="245858" cy="91440"/>
        </a:xfrm>
        <a:custGeom>
          <a:avLst/>
          <a:gdLst/>
          <a:ahLst/>
          <a:cxnLst/>
          <a:rect l="0" t="0" r="0" b="0"/>
          <a:pathLst>
            <a:path>
              <a:moveTo>
                <a:pt x="0" y="45720"/>
              </a:moveTo>
              <a:lnTo>
                <a:pt x="24585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4320196" y="359920"/>
        <a:ext cx="13822" cy="2764"/>
      </dsp:txXfrm>
    </dsp:sp>
    <dsp:sp modelId="{69D736ED-51DC-420B-BA43-68A36090D86C}">
      <dsp:nvSpPr>
        <dsp:cNvPr id="0" name=""/>
        <dsp:cNvSpPr/>
      </dsp:nvSpPr>
      <dsp:spPr>
        <a:xfrm>
          <a:off x="3003984" y="704"/>
          <a:ext cx="1201993" cy="7211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t>Pathology confirms high-grade serous epithelial histology</a:t>
          </a:r>
        </a:p>
        <a:p>
          <a:pPr marL="0" lvl="0" indent="0" algn="ctr" defTabSz="311150">
            <a:lnSpc>
              <a:spcPct val="90000"/>
            </a:lnSpc>
            <a:spcBef>
              <a:spcPct val="0"/>
            </a:spcBef>
            <a:spcAft>
              <a:spcPct val="35000"/>
            </a:spcAft>
            <a:buNone/>
          </a:pPr>
          <a:r>
            <a:rPr lang="en-AU" sz="700" kern="1200"/>
            <a:t>Gynae-oncologist performs cytoreductive surgery</a:t>
          </a:r>
        </a:p>
      </dsp:txBody>
      <dsp:txXfrm>
        <a:off x="3003984" y="704"/>
        <a:ext cx="1201993" cy="721196"/>
      </dsp:txXfrm>
    </dsp:sp>
    <dsp:sp modelId="{BB059915-FA99-4A27-A64C-B843F0E2E883}">
      <dsp:nvSpPr>
        <dsp:cNvPr id="0" name=""/>
        <dsp:cNvSpPr/>
      </dsp:nvSpPr>
      <dsp:spPr>
        <a:xfrm>
          <a:off x="648076" y="720101"/>
          <a:ext cx="4435357" cy="245858"/>
        </a:xfrm>
        <a:custGeom>
          <a:avLst/>
          <a:gdLst/>
          <a:ahLst/>
          <a:cxnLst/>
          <a:rect l="0" t="0" r="0" b="0"/>
          <a:pathLst>
            <a:path>
              <a:moveTo>
                <a:pt x="4435357" y="0"/>
              </a:moveTo>
              <a:lnTo>
                <a:pt x="4435357" y="140029"/>
              </a:lnTo>
              <a:lnTo>
                <a:pt x="0" y="140029"/>
              </a:lnTo>
              <a:lnTo>
                <a:pt x="0" y="24585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754655" y="841648"/>
        <a:ext cx="222198" cy="2764"/>
      </dsp:txXfrm>
    </dsp:sp>
    <dsp:sp modelId="{AE2BD151-E49E-49A8-A534-AB68AE062B7B}">
      <dsp:nvSpPr>
        <dsp:cNvPr id="0" name=""/>
        <dsp:cNvSpPr/>
      </dsp:nvSpPr>
      <dsp:spPr>
        <a:xfrm>
          <a:off x="4482436" y="704"/>
          <a:ext cx="1201993" cy="7211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t>Tissue sample from biopsy or cytoreductive surgery sent to pathology for BRCA testing</a:t>
          </a:r>
        </a:p>
      </dsp:txBody>
      <dsp:txXfrm>
        <a:off x="4482436" y="704"/>
        <a:ext cx="1201993" cy="721196"/>
      </dsp:txXfrm>
    </dsp:sp>
    <dsp:sp modelId="{DD63F7F3-33E8-4AC2-978F-4F2D65522059}">
      <dsp:nvSpPr>
        <dsp:cNvPr id="0" name=""/>
        <dsp:cNvSpPr/>
      </dsp:nvSpPr>
      <dsp:spPr>
        <a:xfrm>
          <a:off x="1247273" y="1313237"/>
          <a:ext cx="245858" cy="91440"/>
        </a:xfrm>
        <a:custGeom>
          <a:avLst/>
          <a:gdLst/>
          <a:ahLst/>
          <a:cxnLst/>
          <a:rect l="0" t="0" r="0" b="0"/>
          <a:pathLst>
            <a:path>
              <a:moveTo>
                <a:pt x="0" y="45720"/>
              </a:moveTo>
              <a:lnTo>
                <a:pt x="24585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363291" y="1357575"/>
        <a:ext cx="13822" cy="2764"/>
      </dsp:txXfrm>
    </dsp:sp>
    <dsp:sp modelId="{2D23CA86-BA86-485A-9D73-96F3BBC2BD1D}">
      <dsp:nvSpPr>
        <dsp:cNvPr id="0" name=""/>
        <dsp:cNvSpPr/>
      </dsp:nvSpPr>
      <dsp:spPr>
        <a:xfrm>
          <a:off x="47079" y="998359"/>
          <a:ext cx="1201993" cy="7211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t>BRCA test results reported to gynae-oncologist</a:t>
          </a:r>
        </a:p>
      </dsp:txBody>
      <dsp:txXfrm>
        <a:off x="47079" y="998359"/>
        <a:ext cx="1201993" cy="721196"/>
      </dsp:txXfrm>
    </dsp:sp>
    <dsp:sp modelId="{B9F50D4E-C3B5-44B7-86FC-8308B75CC45B}">
      <dsp:nvSpPr>
        <dsp:cNvPr id="0" name=""/>
        <dsp:cNvSpPr/>
      </dsp:nvSpPr>
      <dsp:spPr>
        <a:xfrm>
          <a:off x="1525531" y="998359"/>
          <a:ext cx="1201993" cy="7211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t>If patient tests positive for a BRCA mutation, genetic counselling provided and germline BRCA testing offered</a:t>
          </a:r>
        </a:p>
      </dsp:txBody>
      <dsp:txXfrm>
        <a:off x="1525531" y="998359"/>
        <a:ext cx="1201993" cy="7211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CE6EF9-8757-4239-90EC-B46AB12AB6B6}">
      <dsp:nvSpPr>
        <dsp:cNvPr id="0" name=""/>
        <dsp:cNvSpPr/>
      </dsp:nvSpPr>
      <dsp:spPr>
        <a:xfrm>
          <a:off x="1339493" y="294329"/>
          <a:ext cx="230088" cy="91440"/>
        </a:xfrm>
        <a:custGeom>
          <a:avLst/>
          <a:gdLst/>
          <a:ahLst/>
          <a:cxnLst/>
          <a:rect l="0" t="0" r="0" b="0"/>
          <a:pathLst>
            <a:path>
              <a:moveTo>
                <a:pt x="0" y="45720"/>
              </a:moveTo>
              <a:lnTo>
                <a:pt x="25177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panose="020F0502020204030204"/>
            <a:ea typeface="+mn-ea"/>
            <a:cs typeface="+mn-cs"/>
          </a:endParaRPr>
        </a:p>
      </dsp:txBody>
      <dsp:txXfrm>
        <a:off x="1448020" y="338745"/>
        <a:ext cx="0" cy="0"/>
      </dsp:txXfrm>
    </dsp:sp>
    <dsp:sp modelId="{D7AC27E2-6DE2-4509-83A4-45B223236E3C}">
      <dsp:nvSpPr>
        <dsp:cNvPr id="0" name=""/>
        <dsp:cNvSpPr/>
      </dsp:nvSpPr>
      <dsp:spPr>
        <a:xfrm>
          <a:off x="207865" y="20"/>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solidFill>
                <a:sysClr val="window" lastClr="FFFFFF"/>
              </a:solidFill>
              <a:latin typeface="Calibri" panose="020F0502020204030204"/>
              <a:ea typeface="+mn-ea"/>
              <a:cs typeface="+mn-cs"/>
            </a:rPr>
            <a:t>1. Patient suspected of ovarian cancer</a:t>
          </a:r>
        </a:p>
      </dsp:txBody>
      <dsp:txXfrm>
        <a:off x="207865" y="20"/>
        <a:ext cx="1133428" cy="680057"/>
      </dsp:txXfrm>
    </dsp:sp>
    <dsp:sp modelId="{1CB7F713-D8D0-48FD-AC9F-A0963C429D0A}">
      <dsp:nvSpPr>
        <dsp:cNvPr id="0" name=""/>
        <dsp:cNvSpPr/>
      </dsp:nvSpPr>
      <dsp:spPr>
        <a:xfrm>
          <a:off x="2733610" y="294329"/>
          <a:ext cx="230088" cy="91440"/>
        </a:xfrm>
        <a:custGeom>
          <a:avLst/>
          <a:gdLst/>
          <a:ahLst/>
          <a:cxnLst/>
          <a:rect l="0" t="0" r="0" b="0"/>
          <a:pathLst>
            <a:path>
              <a:moveTo>
                <a:pt x="0" y="45720"/>
              </a:moveTo>
              <a:lnTo>
                <a:pt x="25177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panose="020F0502020204030204"/>
            <a:ea typeface="+mn-ea"/>
            <a:cs typeface="+mn-cs"/>
          </a:endParaRPr>
        </a:p>
      </dsp:txBody>
      <dsp:txXfrm>
        <a:off x="2842137" y="338745"/>
        <a:ext cx="0" cy="0"/>
      </dsp:txXfrm>
    </dsp:sp>
    <dsp:sp modelId="{3DCBD884-D670-4929-8952-1A7AB7F991F2}">
      <dsp:nvSpPr>
        <dsp:cNvPr id="0" name=""/>
        <dsp:cNvSpPr/>
      </dsp:nvSpPr>
      <dsp:spPr>
        <a:xfrm>
          <a:off x="1601982" y="20"/>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solidFill>
                <a:sysClr val="window" lastClr="FFFFFF"/>
              </a:solidFill>
              <a:latin typeface="Calibri" panose="020F0502020204030204"/>
              <a:ea typeface="+mn-ea"/>
              <a:cs typeface="+mn-cs"/>
            </a:rPr>
            <a:t>2. Gynaecological oncologist or treating physician orders biopsy and diagnostic work-up </a:t>
          </a:r>
        </a:p>
      </dsp:txBody>
      <dsp:txXfrm>
        <a:off x="1601982" y="20"/>
        <a:ext cx="1133428" cy="680057"/>
      </dsp:txXfrm>
    </dsp:sp>
    <dsp:sp modelId="{E7918E5B-118B-4CDE-B322-B21BD35CCB2F}">
      <dsp:nvSpPr>
        <dsp:cNvPr id="0" name=""/>
        <dsp:cNvSpPr/>
      </dsp:nvSpPr>
      <dsp:spPr>
        <a:xfrm>
          <a:off x="4127727" y="294329"/>
          <a:ext cx="230088" cy="91440"/>
        </a:xfrm>
        <a:custGeom>
          <a:avLst/>
          <a:gdLst/>
          <a:ahLst/>
          <a:cxnLst/>
          <a:rect l="0" t="0" r="0" b="0"/>
          <a:pathLst>
            <a:path>
              <a:moveTo>
                <a:pt x="0" y="45720"/>
              </a:moveTo>
              <a:lnTo>
                <a:pt x="25177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panose="020F0502020204030204"/>
            <a:ea typeface="+mn-ea"/>
            <a:cs typeface="+mn-cs"/>
          </a:endParaRPr>
        </a:p>
      </dsp:txBody>
      <dsp:txXfrm>
        <a:off x="4236254" y="338745"/>
        <a:ext cx="0" cy="0"/>
      </dsp:txXfrm>
    </dsp:sp>
    <dsp:sp modelId="{69D736ED-51DC-420B-BA43-68A36090D86C}">
      <dsp:nvSpPr>
        <dsp:cNvPr id="0" name=""/>
        <dsp:cNvSpPr/>
      </dsp:nvSpPr>
      <dsp:spPr>
        <a:xfrm>
          <a:off x="2996099" y="20"/>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solidFill>
                <a:sysClr val="window" lastClr="FFFFFF"/>
              </a:solidFill>
              <a:latin typeface="Calibri" panose="020F0502020204030204"/>
              <a:ea typeface="+mn-ea"/>
              <a:cs typeface="+mn-cs"/>
            </a:rPr>
            <a:t>3. Pathology confirms high-grade serous epithelial histology</a:t>
          </a:r>
        </a:p>
        <a:p>
          <a:pPr marL="0" lvl="0" indent="0" algn="ctr" defTabSz="311150">
            <a:lnSpc>
              <a:spcPct val="90000"/>
            </a:lnSpc>
            <a:spcBef>
              <a:spcPct val="0"/>
            </a:spcBef>
            <a:spcAft>
              <a:spcPct val="35000"/>
            </a:spcAft>
            <a:buNone/>
          </a:pPr>
          <a:r>
            <a:rPr lang="en-AU" sz="700" kern="1200">
              <a:solidFill>
                <a:sysClr val="window" lastClr="FFFFFF"/>
              </a:solidFill>
              <a:latin typeface="Calibri" panose="020F0502020204030204"/>
              <a:ea typeface="+mn-ea"/>
              <a:cs typeface="+mn-cs"/>
            </a:rPr>
            <a:t>Gynae-oncologist performs cytoreductive surgery</a:t>
          </a:r>
        </a:p>
      </dsp:txBody>
      <dsp:txXfrm>
        <a:off x="2996099" y="20"/>
        <a:ext cx="1133428" cy="680057"/>
      </dsp:txXfrm>
    </dsp:sp>
    <dsp:sp modelId="{BB059915-FA99-4A27-A64C-B843F0E2E883}">
      <dsp:nvSpPr>
        <dsp:cNvPr id="0" name=""/>
        <dsp:cNvSpPr/>
      </dsp:nvSpPr>
      <dsp:spPr>
        <a:xfrm>
          <a:off x="774579" y="678277"/>
          <a:ext cx="4182351" cy="230088"/>
        </a:xfrm>
        <a:custGeom>
          <a:avLst/>
          <a:gdLst/>
          <a:ahLst/>
          <a:cxnLst/>
          <a:rect l="0" t="0" r="0" b="0"/>
          <a:pathLst>
            <a:path>
              <a:moveTo>
                <a:pt x="4530197" y="0"/>
              </a:moveTo>
              <a:lnTo>
                <a:pt x="4530197" y="142985"/>
              </a:lnTo>
              <a:lnTo>
                <a:pt x="0" y="142985"/>
              </a:lnTo>
              <a:lnTo>
                <a:pt x="0" y="25177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panose="020F0502020204030204"/>
            <a:ea typeface="+mn-ea"/>
            <a:cs typeface="+mn-cs"/>
          </a:endParaRPr>
        </a:p>
      </dsp:txBody>
      <dsp:txXfrm>
        <a:off x="2760993" y="792018"/>
        <a:ext cx="0" cy="0"/>
      </dsp:txXfrm>
    </dsp:sp>
    <dsp:sp modelId="{AE2BD151-E49E-49A8-A534-AB68AE062B7B}">
      <dsp:nvSpPr>
        <dsp:cNvPr id="0" name=""/>
        <dsp:cNvSpPr/>
      </dsp:nvSpPr>
      <dsp:spPr>
        <a:xfrm>
          <a:off x="4390216" y="20"/>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solidFill>
                <a:sysClr val="window" lastClr="FFFFFF"/>
              </a:solidFill>
              <a:latin typeface="Calibri" panose="020F0502020204030204"/>
              <a:ea typeface="+mn-ea"/>
              <a:cs typeface="+mn-cs"/>
            </a:rPr>
            <a:t>4. Tissue sample from biopsy or cytoreductive surgery sent to pathology for HRD testing</a:t>
          </a:r>
        </a:p>
      </dsp:txBody>
      <dsp:txXfrm>
        <a:off x="4390216" y="20"/>
        <a:ext cx="1133428" cy="680057"/>
      </dsp:txXfrm>
    </dsp:sp>
    <dsp:sp modelId="{B6BBEBA4-1C60-422A-BBD9-19FE95362093}">
      <dsp:nvSpPr>
        <dsp:cNvPr id="0" name=""/>
        <dsp:cNvSpPr/>
      </dsp:nvSpPr>
      <dsp:spPr>
        <a:xfrm>
          <a:off x="1339493" y="1235075"/>
          <a:ext cx="230088" cy="91440"/>
        </a:xfrm>
        <a:custGeom>
          <a:avLst/>
          <a:gdLst/>
          <a:ahLst/>
          <a:cxnLst/>
          <a:rect l="0" t="0" r="0" b="0"/>
          <a:pathLst>
            <a:path>
              <a:moveTo>
                <a:pt x="0" y="45720"/>
              </a:moveTo>
              <a:lnTo>
                <a:pt x="230088"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panose="020F0502020204030204"/>
            <a:ea typeface="+mn-ea"/>
            <a:cs typeface="+mn-cs"/>
          </a:endParaRPr>
        </a:p>
      </dsp:txBody>
      <dsp:txXfrm>
        <a:off x="1448020" y="1279491"/>
        <a:ext cx="0" cy="0"/>
      </dsp:txXfrm>
    </dsp:sp>
    <dsp:sp modelId="{66C4896E-765A-4A87-813F-D13AE8580C11}">
      <dsp:nvSpPr>
        <dsp:cNvPr id="0" name=""/>
        <dsp:cNvSpPr/>
      </dsp:nvSpPr>
      <dsp:spPr>
        <a:xfrm>
          <a:off x="207865" y="940766"/>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solidFill>
                <a:sysClr val="window" lastClr="FFFFFF"/>
              </a:solidFill>
              <a:latin typeface="Calibri" panose="020F0502020204030204"/>
              <a:ea typeface="+mn-ea"/>
              <a:cs typeface="+mn-cs"/>
            </a:rPr>
            <a:t>5. HRD testing workflow </a:t>
          </a:r>
        </a:p>
        <a:p>
          <a:pPr marL="0" lvl="0" indent="0" algn="ctr" defTabSz="311150">
            <a:lnSpc>
              <a:spcPct val="90000"/>
            </a:lnSpc>
            <a:spcBef>
              <a:spcPct val="0"/>
            </a:spcBef>
            <a:spcAft>
              <a:spcPct val="35000"/>
            </a:spcAft>
            <a:buNone/>
          </a:pPr>
          <a:r>
            <a:rPr lang="en-AU" sz="700" kern="1200">
              <a:solidFill>
                <a:sysClr val="window" lastClr="FFFFFF"/>
              </a:solidFill>
              <a:latin typeface="Calibri" panose="020F0502020204030204"/>
              <a:ea typeface="+mn-ea"/>
              <a:cs typeface="+mn-cs"/>
            </a:rPr>
            <a:t>commences with BRCA testing </a:t>
          </a:r>
        </a:p>
      </dsp:txBody>
      <dsp:txXfrm>
        <a:off x="207865" y="940766"/>
        <a:ext cx="1133428" cy="680057"/>
      </dsp:txXfrm>
    </dsp:sp>
    <dsp:sp modelId="{DD63F7F3-33E8-4AC2-978F-4F2D65522059}">
      <dsp:nvSpPr>
        <dsp:cNvPr id="0" name=""/>
        <dsp:cNvSpPr/>
      </dsp:nvSpPr>
      <dsp:spPr>
        <a:xfrm>
          <a:off x="2733610" y="1235075"/>
          <a:ext cx="230088" cy="91440"/>
        </a:xfrm>
        <a:custGeom>
          <a:avLst/>
          <a:gdLst/>
          <a:ahLst/>
          <a:cxnLst/>
          <a:rect l="0" t="0" r="0" b="0"/>
          <a:pathLst>
            <a:path>
              <a:moveTo>
                <a:pt x="0" y="45720"/>
              </a:moveTo>
              <a:lnTo>
                <a:pt x="251770"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panose="020F0502020204030204"/>
            <a:ea typeface="+mn-ea"/>
            <a:cs typeface="+mn-cs"/>
          </a:endParaRPr>
        </a:p>
      </dsp:txBody>
      <dsp:txXfrm>
        <a:off x="2842137" y="1279491"/>
        <a:ext cx="0" cy="0"/>
      </dsp:txXfrm>
    </dsp:sp>
    <dsp:sp modelId="{2D23CA86-BA86-485A-9D73-96F3BBC2BD1D}">
      <dsp:nvSpPr>
        <dsp:cNvPr id="0" name=""/>
        <dsp:cNvSpPr/>
      </dsp:nvSpPr>
      <dsp:spPr>
        <a:xfrm>
          <a:off x="1601982" y="940766"/>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solidFill>
                <a:sysClr val="window" lastClr="FFFFFF"/>
              </a:solidFill>
              <a:latin typeface="Calibri" panose="020F0502020204030204"/>
              <a:ea typeface="+mn-ea"/>
              <a:cs typeface="+mn-cs"/>
            </a:rPr>
            <a:t>6. If BRCA test results positive, no further testing required to determine Genomic Instability status</a:t>
          </a:r>
        </a:p>
      </dsp:txBody>
      <dsp:txXfrm>
        <a:off x="1601982" y="940766"/>
        <a:ext cx="1133428" cy="680057"/>
      </dsp:txXfrm>
    </dsp:sp>
    <dsp:sp modelId="{3FB69DC8-9B34-4AAC-B6F3-D92D10B8AE48}">
      <dsp:nvSpPr>
        <dsp:cNvPr id="0" name=""/>
        <dsp:cNvSpPr/>
      </dsp:nvSpPr>
      <dsp:spPr>
        <a:xfrm>
          <a:off x="4127727" y="1235075"/>
          <a:ext cx="230088" cy="91440"/>
        </a:xfrm>
        <a:custGeom>
          <a:avLst/>
          <a:gdLst/>
          <a:ahLst/>
          <a:cxnLst/>
          <a:rect l="0" t="0" r="0" b="0"/>
          <a:pathLst>
            <a:path>
              <a:moveTo>
                <a:pt x="0" y="45720"/>
              </a:moveTo>
              <a:lnTo>
                <a:pt x="230088" y="45720"/>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panose="020F0502020204030204"/>
            <a:ea typeface="+mn-ea"/>
            <a:cs typeface="+mn-cs"/>
          </a:endParaRPr>
        </a:p>
      </dsp:txBody>
      <dsp:txXfrm>
        <a:off x="4236254" y="1279491"/>
        <a:ext cx="0" cy="0"/>
      </dsp:txXfrm>
    </dsp:sp>
    <dsp:sp modelId="{B6F4DA6D-40AB-4A6D-AC2F-7A18ECC5B6CF}">
      <dsp:nvSpPr>
        <dsp:cNvPr id="0" name=""/>
        <dsp:cNvSpPr/>
      </dsp:nvSpPr>
      <dsp:spPr>
        <a:xfrm>
          <a:off x="2996099" y="940766"/>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solidFill>
                <a:sysClr val="window" lastClr="FFFFFF"/>
              </a:solidFill>
              <a:latin typeface="Calibri" panose="020F0502020204030204"/>
              <a:ea typeface="+mn-ea"/>
              <a:cs typeface="+mn-cs"/>
            </a:rPr>
            <a:t>7. If BRCA test resullt negative, continue testing to determine Genomic Instability status</a:t>
          </a:r>
        </a:p>
      </dsp:txBody>
      <dsp:txXfrm>
        <a:off x="2996099" y="940766"/>
        <a:ext cx="1133428" cy="680057"/>
      </dsp:txXfrm>
    </dsp:sp>
    <dsp:sp modelId="{67A099AF-8668-4383-BEDE-6EE3B0645A23}">
      <dsp:nvSpPr>
        <dsp:cNvPr id="0" name=""/>
        <dsp:cNvSpPr/>
      </dsp:nvSpPr>
      <dsp:spPr>
        <a:xfrm>
          <a:off x="774579" y="1619023"/>
          <a:ext cx="4182351" cy="230088"/>
        </a:xfrm>
        <a:custGeom>
          <a:avLst/>
          <a:gdLst/>
          <a:ahLst/>
          <a:cxnLst/>
          <a:rect l="0" t="0" r="0" b="0"/>
          <a:pathLst>
            <a:path>
              <a:moveTo>
                <a:pt x="4182351" y="0"/>
              </a:moveTo>
              <a:lnTo>
                <a:pt x="4182351" y="132144"/>
              </a:lnTo>
              <a:lnTo>
                <a:pt x="0" y="132144"/>
              </a:lnTo>
              <a:lnTo>
                <a:pt x="0" y="230088"/>
              </a:lnTo>
            </a:path>
          </a:pathLst>
        </a:custGeom>
        <a:noFill/>
        <a:ln w="6350" cap="flat" cmpd="sng" algn="ctr">
          <a:solidFill>
            <a:srgbClr val="4472C4">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solidFill>
              <a:sysClr val="windowText" lastClr="000000">
                <a:hueOff val="0"/>
                <a:satOff val="0"/>
                <a:lumOff val="0"/>
                <a:alphaOff val="0"/>
              </a:sysClr>
            </a:solidFill>
            <a:latin typeface="Calibri" panose="020F0502020204030204"/>
            <a:ea typeface="+mn-ea"/>
            <a:cs typeface="+mn-cs"/>
          </a:endParaRPr>
        </a:p>
      </dsp:txBody>
      <dsp:txXfrm>
        <a:off x="2760993" y="1732764"/>
        <a:ext cx="0" cy="0"/>
      </dsp:txXfrm>
    </dsp:sp>
    <dsp:sp modelId="{B9F50D4E-C3B5-44B7-86FC-8308B75CC45B}">
      <dsp:nvSpPr>
        <dsp:cNvPr id="0" name=""/>
        <dsp:cNvSpPr/>
      </dsp:nvSpPr>
      <dsp:spPr>
        <a:xfrm>
          <a:off x="4390216" y="940766"/>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solidFill>
                <a:sysClr val="window" lastClr="FFFFFF"/>
              </a:solidFill>
              <a:latin typeface="Calibri" panose="020F0502020204030204"/>
              <a:ea typeface="+mn-ea"/>
              <a:cs typeface="+mn-cs"/>
            </a:rPr>
            <a:t>8. BRCA and HRD status results reported to gynae-oncologist/treating physician</a:t>
          </a:r>
        </a:p>
      </dsp:txBody>
      <dsp:txXfrm>
        <a:off x="4390216" y="940766"/>
        <a:ext cx="1133428" cy="680057"/>
      </dsp:txXfrm>
    </dsp:sp>
    <dsp:sp modelId="{1D7C8CD0-AAC3-4C2B-9E3C-E21B129F05B1}">
      <dsp:nvSpPr>
        <dsp:cNvPr id="0" name=""/>
        <dsp:cNvSpPr/>
      </dsp:nvSpPr>
      <dsp:spPr>
        <a:xfrm>
          <a:off x="207865" y="1881512"/>
          <a:ext cx="1133428" cy="680057"/>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solidFill>
                <a:sysClr val="window" lastClr="FFFFFF"/>
              </a:solidFill>
              <a:latin typeface="Calibri" panose="020F0502020204030204"/>
              <a:ea typeface="+mn-ea"/>
              <a:cs typeface="+mn-cs"/>
            </a:rPr>
            <a:t>9. If patient test positive for a BRCA mutation, genetic counselling provided and germline BRCA testing offered</a:t>
          </a:r>
        </a:p>
      </dsp:txBody>
      <dsp:txXfrm>
        <a:off x="207865" y="1881512"/>
        <a:ext cx="1133428" cy="68005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n_x0020_hold xmlns="141f672c-a742-4f7d-bee8-9875e0b1288c">false</On_x0020_hold>
    <PerfectIt_x0020_Completed_x003f_ xmlns="141f672c-a742-4f7d-bee8-9875e0b1288c">false</PerfectIt_x0020_Completed_x003f_>
    <Formatted_x003f_ xmlns="141f672c-a742-4f7d-bee8-9875e0b1288c">false</Formatted_x003f_>
    <Project xmlns="141f672c-a742-4f7d-bee8-9875e0b1288c" xsi:nil="true"/>
    <Reviewer xmlns="141f672c-a742-4f7d-bee8-9875e0b1288c">
      <UserInfo>
        <DisplayName/>
        <AccountId xsi:nil="true"/>
        <AccountType/>
      </UserInfo>
    </Reviewer>
    <_Flow_SignoffStatus xmlns="141f672c-a742-4f7d-bee8-9875e0b1288c" xsi:nil="true"/>
    <Comments xmlns="141f672c-a742-4f7d-bee8-9875e0b128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722DF37306B74281015C8A99C71D48" ma:contentTypeVersion="19" ma:contentTypeDescription="Create a new document." ma:contentTypeScope="" ma:versionID="6cdc007a86dc7b8dc442462cb710b4ce">
  <xsd:schema xmlns:xsd="http://www.w3.org/2001/XMLSchema" xmlns:xs="http://www.w3.org/2001/XMLSchema" xmlns:p="http://schemas.microsoft.com/office/2006/metadata/properties" xmlns:ns2="141f672c-a742-4f7d-bee8-9875e0b1288c" xmlns:ns3="ef6df2f1-38cc-4ffa-8e26-5922eec7da4b" targetNamespace="http://schemas.microsoft.com/office/2006/metadata/properties" ma:root="true" ma:fieldsID="67cc8742735296344b171ff90f3a5497" ns2:_="" ns3:_="">
    <xsd:import namespace="141f672c-a742-4f7d-bee8-9875e0b1288c"/>
    <xsd:import namespace="ef6df2f1-38cc-4ffa-8e26-5922eec7da4b"/>
    <xsd:element name="properties">
      <xsd:complexType>
        <xsd:sequence>
          <xsd:element name="documentManagement">
            <xsd:complexType>
              <xsd:all>
                <xsd:element ref="ns2:Project" minOccurs="0"/>
                <xsd:element ref="ns2:PerfectIt_x0020_Completed_x003f_" minOccurs="0"/>
                <xsd:element ref="ns2:Formatted_x003f_" minOccurs="0"/>
                <xsd:element ref="ns2:Comments" minOccurs="0"/>
                <xsd:element ref="ns2:Reviewer" minOccurs="0"/>
                <xsd:element ref="ns2:On_x0020_hol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f672c-a742-4f7d-bee8-9875e0b1288c" elementFormDefault="qualified">
    <xsd:import namespace="http://schemas.microsoft.com/office/2006/documentManagement/types"/>
    <xsd:import namespace="http://schemas.microsoft.com/office/infopath/2007/PartnerControls"/>
    <xsd:element name="Project" ma:index="2" nillable="true" ma:displayName="Project" ma:format="Dropdown" ma:indexed="true" ma:internalName="Project">
      <xsd:simpleType>
        <xsd:restriction base="dms:Text">
          <xsd:maxLength value="255"/>
        </xsd:restriction>
      </xsd:simpleType>
    </xsd:element>
    <xsd:element name="PerfectIt_x0020_Completed_x003f_" ma:index="3" nillable="true" ma:displayName="PerfectIt Run?" ma:default="0" ma:indexed="true" ma:internalName="PerfectIt_x0020_Completed_x003f_">
      <xsd:simpleType>
        <xsd:restriction base="dms:Boolean"/>
      </xsd:simpleType>
    </xsd:element>
    <xsd:element name="Formatted_x003f_" ma:index="4" nillable="true" ma:displayName="Formatted?" ma:default="0" ma:indexed="true" ma:internalName="Formatted_x003f_">
      <xsd:simpleType>
        <xsd:restriction base="dms:Boolean"/>
      </xsd:simpleType>
    </xsd:element>
    <xsd:element name="Comments" ma:index="5" nillable="true" ma:displayName="Comments" ma:internalName="Comments">
      <xsd:simpleType>
        <xsd:restriction base="dms:Note">
          <xsd:maxLength value="255"/>
        </xsd:restriction>
      </xsd:simpleType>
    </xsd:element>
    <xsd:element name="Reviewer" ma:index="6" nillable="true" ma:displayName="Reviewer" ma:indexed="true"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n_x0020_hold" ma:index="7" nillable="true" ma:displayName="On hold" ma:default="0" ma:internalName="On_x0020_hol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df2f1-38cc-4ffa-8e26-5922eec7da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Version="0">
  <b:Source>
    <b:Tag>Raj12</b:Tag>
    <b:SourceType>JournalArticle</b:SourceType>
    <b:Guid>{FD3BDE65-99CE-4FA8-BB85-70ED309BF46D}</b:Guid>
    <b:Author>
      <b:Author>
        <b:NameList>
          <b:Person>
            <b:Last>Raja FA</b:Last>
            <b:First>Chopra</b:First>
            <b:Middle>N, Ledermann JA.</b:Middle>
          </b:Person>
        </b:NameList>
      </b:Author>
    </b:Author>
    <b:Title>Optimal first-line treatment in ovarian cancer.</b:Title>
    <b:JournalName> Ann Oncol </b:JournalName>
    <b:Year>2012</b:Year>
    <b:Pages>23 Suppl 10: x118-27</b:Pages>
    <b:RefOrder>1</b:RefOrder>
  </b:Source>
  <b:Source>
    <b:Tag>Led17</b:Tag>
    <b:SourceType>JournalArticle</b:SourceType>
    <b:Guid>{31574A9A-2384-4175-BC60-34510D0A804E}</b:Guid>
    <b:Author>
      <b:Author>
        <b:Corporate>Ledermann JA</b:Corporate>
      </b:Author>
    </b:Author>
    <b:Title>Front-line therapy of advanced ovarian cancer: new approaches.</b:Title>
    <b:JournalName>Ann Oncol</b:JournalName>
    <b:Year>2017</b:Year>
    <b:Pages>28(suppl_8): viii46-viii50</b:Pages>
    <b:RefOrder>2</b:RefOrder>
  </b:Source>
  <b:Source>
    <b:Tag>Led13</b:Tag>
    <b:SourceType>JournalArticle</b:SourceType>
    <b:Guid>{918DF8B6-B082-4576-89EA-B39A8E16999B}</b:Guid>
    <b:Title>Newly diagnosed and relapsed epithelial ovarian carcinoma: ESMO Clinical Practice Guidelines for diagnosis, treatment and follow-up.</b:Title>
    <b:Year>2013</b:Year>
    <b:Author>
      <b:Author>
        <b:NameList>
          <b:Person>
            <b:Last>Ledermann</b:Last>
            <b:First>JA</b:First>
          </b:Person>
          <b:Person>
            <b:Last>Raja</b:Last>
            <b:First>FA</b:First>
          </b:Person>
          <b:Person>
            <b:Last>Fotopoulou</b:Last>
            <b:First>C</b:First>
          </b:Person>
          <b:Person>
            <b:Last>Gonzalez-Martin</b:Last>
            <b:First>A</b:First>
          </b:Person>
          <b:Person>
            <b:Last>Colombo</b:Last>
            <b:First>N</b:First>
          </b:Person>
          <b:Person>
            <b:Last>Sessa</b:Last>
            <b:First>C</b:First>
          </b:Person>
        </b:NameList>
      </b:Author>
    </b:Author>
    <b:JournalName>Ann Oncol</b:JournalName>
    <b:Pages>24(Suppl 6): vi24-vi32.</b:Pages>
    <b:RefOrder>3</b:RefOrder>
  </b:Source>
  <b:Source>
    <b:Tag>duB09</b:Tag>
    <b:SourceType>JournalArticle</b:SourceType>
    <b:Guid>{49A5C554-D36A-4D2B-A323-6B87DADD91B4}</b:Guid>
    <b:Author>
      <b:Author>
        <b:NameList>
          <b:Person>
            <b:Last>du Bois A</b:Last>
            <b:First>Reuss</b:First>
            <b:Middle>A, Pujade-Lauraine E, Harter P, Ray-Coquard I, Pfisterer J.</b:Middle>
          </b:Person>
        </b:NameList>
      </b:Author>
    </b:Author>
    <b:Title>Role of surgical outcome as prognostic factor in advanced epithelial ovarian cancer: a combined exploratory analysis of 3 prospectively randomised phase 3 multicenter trials</b:Title>
    <b:JournalName>Cancer</b:JournalName>
    <b:Year>2009</b:Year>
    <b:Pages>115(6):1234-44</b:Pages>
    <b:RefOrder>4</b:RefOrder>
  </b:Source>
  <b:Source>
    <b:Tag>van95</b:Tag>
    <b:SourceType>JournalArticle</b:SourceType>
    <b:Guid>{3B313041-12A8-4196-9588-7F11BA3A1E68}</b:Guid>
    <b:Author>
      <b:Author>
        <b:NameList>
          <b:Person>
            <b:Last>van der Burg ME</b:Last>
            <b:First>van</b:First>
            <b:Middle>Lent M, Buyse Met al.</b:Middle>
          </b:Person>
        </b:NameList>
      </b:Author>
    </b:Author>
    <b:Title>The effect of debulking surgery after induction chemotherapy on the prognosis in advanced epithelial ovarian cancer.</b:Title>
    <b:JournalName>N Engl J Med</b:JournalName>
    <b:Year>1995</b:Year>
    <b:Pages>332 (10):629-34</b:Pages>
    <b:RefOrder>5</b:RefOrder>
  </b:Source>
  <b:Source>
    <b:Tag>Ver10</b:Tag>
    <b:SourceType>JournalArticle</b:SourceType>
    <b:Guid>{D4FB6A83-DC2A-4226-B20A-EF2E9817B690}</b:Guid>
    <b:Author>
      <b:Author>
        <b:NameList>
          <b:Person>
            <b:Last>Vergote I</b:Last>
            <b:First>Trope</b:First>
            <b:Middle>CG, Amant F, et al</b:Middle>
          </b:Person>
        </b:NameList>
      </b:Author>
    </b:Author>
    <b:Title>Neoadjuvant chemotherapy or primary surgery in stage IIIC or IV ovarian cancer.</b:Title>
    <b:JournalName>N Engl J Med</b:JournalName>
    <b:Year>2010</b:Year>
    <b:Pages>363 (10):943-53</b:Pages>
    <b:RefOrder>6</b:RefOrder>
  </b:Source>
  <b:Source>
    <b:Tag>Fot17</b:Tag>
    <b:SourceType>Book</b:SourceType>
    <b:Guid>{B6720F4C-73AF-4ADC-A748-656E18C92E7F}</b:Guid>
    <b:Author>
      <b:Author>
        <b:NameList>
          <b:Person>
            <b:Last>Fotopoulou C</b:Last>
            <b:First>Hall</b:First>
            <b:Middle>M, Cruickshank D et al</b:Middle>
          </b:Person>
        </b:NameList>
      </b:Author>
    </b:Author>
    <b:Title>Bristish Gynaecological Cancer Society (BGCS) epithelial ovarian/fallopian tube/primary periotoneal cancer guidelines:recommendations for practice</b:Title>
    <b:Year>2017</b:Year>
    <b:RefOrder>7</b:RefOrder>
  </b:Source>
  <b:Source>
    <b:Tag>Aus19</b:Tag>
    <b:SourceType>InternetSite</b:SourceType>
    <b:Guid>{0A860A19-5E23-4DE2-8F6B-7E8AA58926EA}</b:Guid>
    <b:Author>
      <b:Author>
        <b:NameList>
          <b:Person>
            <b:Last>AIHW</b:Last>
          </b:Person>
        </b:NameList>
      </b:Author>
    </b:Author>
    <b:Title>Cancer Data in Australia. Cat. no. CAN 122</b:Title>
    <b:Year>2018</b:Year>
    <b:City>Canberra</b:City>
    <b:InternetSiteTitle>Australian Institute of Health and Welfare</b:InternetSiteTitle>
    <b:Month>January</b:Month>
    <b:RefOrder>8</b:RefOrder>
  </b:Source>
  <b:Source>
    <b:Tag>NIC11</b:Tag>
    <b:SourceType>DocumentFromInternetSite</b:SourceType>
    <b:Guid>{48C9A2C7-D0A1-4E6D-9CBD-75A1A12EE5EE}</b:Guid>
    <b:Title>Clinical Guideline 122</b:Title>
    <b:Year>2011</b:Year>
    <b:Author>
      <b:Author>
        <b:NameList>
          <b:Person>
            <b:Last>NICE</b:Last>
          </b:Person>
        </b:NameList>
      </b:Author>
    </b:Author>
    <b:URL>http://guidance.nice.org.uk/CG122/Guidance/pdf/English</b:URL>
    <b:RefOrder>9</b:RefOrder>
  </b:Source>
  <b:Source>
    <b:Tag>Als12</b:Tag>
    <b:SourceType>JournalArticle</b:SourceType>
    <b:Guid>{9E1ADAC9-7A19-4DD0-AD06-472A6CE6E19A}</b:Guid>
    <b:Title>BRCA Mutation Frequency and Patterns of Treatment Response in BRCA Mutation–Positive Women With Ovarian Cancer: A Report From the Australian Ovarian Cancer Study Group</b:Title>
    <b:Year>2012</b:Year>
    <b:Author>
      <b:Author>
        <b:NameList>
          <b:Person>
            <b:Last>Alsop K</b:Last>
            <b:First>Fereday</b:First>
            <b:Middle>S, Meldrum C, deFazio A, Emmanuel C, George J, et al</b:Middle>
          </b:Person>
        </b:NameList>
      </b:Author>
    </b:Author>
    <b:JournalName>J Clin Oncol</b:JournalName>
    <b:Pages>2654-2663</b:Pages>
    <b:Volume>30</b:Volume>
    <b:RefOrder>10</b:RefOrder>
  </b:Source>
  <b:Source>
    <b:Tag>UKC16</b:Tag>
    <b:SourceType>DocumentFromInternetSite</b:SourceType>
    <b:Guid>{1A2C7E4A-A914-4C13-BC6C-98531BEA2B1F}</b:Guid>
    <b:Author>
      <b:Author>
        <b:NameList>
          <b:Person>
            <b:Last>CancerResearchUK</b:Last>
          </b:Person>
        </b:NameList>
      </b:Author>
    </b:Author>
    <b:Year>2016</b:Year>
    <b:Month>December</b:Month>
    <b:URL>http://www.cancerreasearchuk.org/sites/default/files/gynae_carboplatin-paclitaxel_v1.pdf</b:URL>
    <b:RefOrder>11</b:RefOrder>
  </b:Source>
</b:Sources>
</file>

<file path=customXml/itemProps1.xml><?xml version="1.0" encoding="utf-8"?>
<ds:datastoreItem xmlns:ds="http://schemas.openxmlformats.org/officeDocument/2006/customXml" ds:itemID="{5F5AC67E-85E1-413C-993A-E49C56B4F8B5}">
  <ds:schemaRefs>
    <ds:schemaRef ds:uri="http://schemas.microsoft.com/sharepoint/v3/contenttype/forms"/>
  </ds:schemaRefs>
</ds:datastoreItem>
</file>

<file path=customXml/itemProps2.xml><?xml version="1.0" encoding="utf-8"?>
<ds:datastoreItem xmlns:ds="http://schemas.openxmlformats.org/officeDocument/2006/customXml" ds:itemID="{AFEF6857-8625-479F-A5E5-EA17B6F6B128}">
  <ds:schemaRefs>
    <ds:schemaRef ds:uri="http://purl.org/dc/dcmitype/"/>
    <ds:schemaRef ds:uri="http://schemas.microsoft.com/office/infopath/2007/PartnerControls"/>
    <ds:schemaRef ds:uri="141f672c-a742-4f7d-bee8-9875e0b1288c"/>
    <ds:schemaRef ds:uri="http://purl.org/dc/elements/1.1/"/>
    <ds:schemaRef ds:uri="http://schemas.microsoft.com/office/2006/metadata/properties"/>
    <ds:schemaRef ds:uri="ef6df2f1-38cc-4ffa-8e26-5922eec7da4b"/>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EE71D9C-1BCA-45B9-A2E0-02CD04565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f672c-a742-4f7d-bee8-9875e0b1288c"/>
    <ds:schemaRef ds:uri="ef6df2f1-38cc-4ffa-8e26-5922eec7d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11FD73-F6F7-4BB5-A96D-2800A440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12438</Words>
  <Characters>70900</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83172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Department of Health</cp:lastModifiedBy>
  <cp:revision>2</cp:revision>
  <cp:lastPrinted>2020-11-12T23:10:00Z</cp:lastPrinted>
  <dcterms:created xsi:type="dcterms:W3CDTF">2022-02-03T01:08:00Z</dcterms:created>
  <dcterms:modified xsi:type="dcterms:W3CDTF">2022-02-03T01:08:00Z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0x0101006E722DF37306B74281015C8A99C71D48</vt:lpwstr>
  </property>
</Properties>
</file>