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27DCFD70"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w:t>
      </w:r>
      <w:r w:rsidR="00660C4B">
        <w:rPr>
          <w:rFonts w:ascii="Arial" w:hAnsi="Arial" w:cs="Arial"/>
          <w:b/>
          <w:sz w:val="48"/>
          <w:szCs w:val="48"/>
        </w:rPr>
        <w:t>658.1</w:t>
      </w:r>
    </w:p>
    <w:p w14:paraId="32371250" w14:textId="252FFEB9" w:rsidR="00660C4B" w:rsidRDefault="00660C4B" w:rsidP="00660C4B">
      <w:pPr>
        <w:spacing w:before="240" w:after="120"/>
        <w:jc w:val="center"/>
        <w:rPr>
          <w:rFonts w:ascii="Arial" w:hAnsi="Arial" w:cs="Arial"/>
          <w:b/>
          <w:sz w:val="28"/>
          <w:szCs w:val="28"/>
        </w:rPr>
      </w:pPr>
      <w:r w:rsidRPr="00660C4B">
        <w:rPr>
          <w:rFonts w:ascii="Arial" w:hAnsi="Arial" w:cs="Arial"/>
          <w:b/>
          <w:sz w:val="28"/>
          <w:szCs w:val="28"/>
        </w:rPr>
        <w:t xml:space="preserve">Testing of tumour tissue to determine a positive homologous recombination deficiency status in women newly diagnosed with advanced (FIGO stage III-IV) high grade epithelial ovarian, fallopian tube or primary peritoneal cancer, for access to PBS </w:t>
      </w:r>
      <w:proofErr w:type="spellStart"/>
      <w:r>
        <w:rPr>
          <w:rFonts w:ascii="Arial" w:hAnsi="Arial" w:cs="Arial"/>
          <w:b/>
          <w:sz w:val="28"/>
          <w:szCs w:val="28"/>
        </w:rPr>
        <w:t>olaparib</w:t>
      </w:r>
      <w:proofErr w:type="spellEnd"/>
    </w:p>
    <w:p w14:paraId="2224A917" w14:textId="6231F955"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660C4B">
        <w:rPr>
          <w:b w:val="0"/>
        </w:rPr>
      </w:r>
      <w:r w:rsidR="00660C4B">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60C4B">
        <w:rPr>
          <w:b w:val="0"/>
        </w:rPr>
      </w:r>
      <w:r w:rsidR="00660C4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60C4B"/>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2022-09-30T05:43:00Z</dcterms:created>
  <dcterms:modified xsi:type="dcterms:W3CDTF">2022-09-30T05:43:00Z</dcterms:modified>
</cp:coreProperties>
</file>