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4E20" w14:textId="0696A688" w:rsidR="00F830EB" w:rsidRDefault="00F830EB" w:rsidP="006E6BB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6E6BB4" w:rsidRPr="00F76D74">
        <w:rPr>
          <w:rFonts w:ascii="Arial" w:hAnsi="Arial" w:cs="Arial"/>
          <w:b/>
          <w:bCs/>
          <w:color w:val="000080"/>
          <w:sz w:val="36"/>
          <w:szCs w:val="36"/>
        </w:rPr>
        <w:t>Public Summary Document</w:t>
      </w:r>
    </w:p>
    <w:bookmarkEnd w:id="0"/>
    <w:p w14:paraId="067F1725" w14:textId="75D4B308" w:rsidR="00F830EB" w:rsidRPr="0044058B" w:rsidRDefault="00F830EB" w:rsidP="00F830EB">
      <w:pPr>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 xml:space="preserve">Application No. </w:t>
      </w:r>
      <w:r>
        <w:rPr>
          <w:rStyle w:val="normaltextrun"/>
          <w:rFonts w:ascii="Arial" w:hAnsi="Arial" w:cs="Arial"/>
          <w:b/>
          <w:bCs/>
          <w:i/>
          <w:iCs/>
          <w:color w:val="000080"/>
          <w:sz w:val="28"/>
          <w:szCs w:val="28"/>
          <w:shd w:val="clear" w:color="auto" w:fill="FFFFFF"/>
        </w:rPr>
        <w:t>1659 – Catheter-based renal denervation for uncontrolled elevated systolic blood pressure</w:t>
      </w:r>
    </w:p>
    <w:p w14:paraId="54A78A68" w14:textId="683F298B" w:rsidR="00F830EB" w:rsidRDefault="00F830EB" w:rsidP="00F830EB">
      <w:pPr>
        <w:tabs>
          <w:tab w:val="left" w:pos="3686"/>
        </w:tabs>
        <w:spacing w:line="256" w:lineRule="auto"/>
        <w:rPr>
          <w:rStyle w:val="normaltextrun"/>
          <w:rFonts w:ascii="Arial" w:hAnsi="Arial" w:cs="Arial"/>
          <w:b/>
          <w:bCs/>
          <w:color w:val="000000"/>
          <w:shd w:val="clear" w:color="auto" w:fill="FFFFFF"/>
        </w:rPr>
      </w:pPr>
      <w:r w:rsidRPr="0044058B">
        <w:rPr>
          <w:rFonts w:ascii="Arial" w:eastAsia="Calibri" w:hAnsi="Arial" w:cs="Arial"/>
          <w:b/>
          <w:szCs w:val="24"/>
        </w:rPr>
        <w:t>Applicant:</w:t>
      </w:r>
      <w:r w:rsidRPr="0044058B">
        <w:rPr>
          <w:rFonts w:ascii="Arial" w:eastAsia="Calibri" w:hAnsi="Arial" w:cs="Arial"/>
          <w:b/>
          <w:szCs w:val="24"/>
        </w:rPr>
        <w:tab/>
      </w:r>
      <w:r>
        <w:rPr>
          <w:rStyle w:val="normaltextrun"/>
          <w:rFonts w:ascii="Arial" w:hAnsi="Arial" w:cs="Arial"/>
          <w:b/>
          <w:bCs/>
          <w:color w:val="000000"/>
          <w:shd w:val="clear" w:color="auto" w:fill="FFFFFF"/>
        </w:rPr>
        <w:t>Medtronic Australasia Pty Ltd</w:t>
      </w:r>
    </w:p>
    <w:p w14:paraId="08DAD259" w14:textId="62B31FBE" w:rsidR="00424410" w:rsidRDefault="00424410" w:rsidP="00424410">
      <w:pPr>
        <w:tabs>
          <w:tab w:val="left" w:pos="3686"/>
        </w:tabs>
        <w:spacing w:after="360"/>
        <w:rPr>
          <w:rStyle w:val="normaltextrun"/>
          <w:rFonts w:ascii="Arial" w:hAnsi="Arial" w:cs="Arial"/>
          <w:b/>
          <w:bCs/>
          <w:color w:val="000000"/>
          <w:bdr w:val="none" w:sz="0" w:space="0" w:color="auto" w:frame="1"/>
        </w:rPr>
      </w:pPr>
      <w:r w:rsidRPr="002C0248">
        <w:rPr>
          <w:rFonts w:ascii="Arial" w:eastAsia="Calibri" w:hAnsi="Arial" w:cs="Arial"/>
          <w:b/>
          <w:szCs w:val="24"/>
        </w:rPr>
        <w:t xml:space="preserve">Date of </w:t>
      </w:r>
      <w:r w:rsidR="006E6BB4">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6E6BB4">
        <w:rPr>
          <w:rFonts w:ascii="Arial" w:hAnsi="Arial" w:cs="Arial"/>
          <w:b/>
          <w:szCs w:val="24"/>
        </w:rPr>
        <w:t>23-24 November</w:t>
      </w:r>
      <w:r w:rsidR="006E6BB4" w:rsidRPr="00E138A7">
        <w:rPr>
          <w:rFonts w:ascii="Arial" w:hAnsi="Arial" w:cs="Arial"/>
          <w:b/>
          <w:szCs w:val="24"/>
        </w:rPr>
        <w:t xml:space="preserve"> </w:t>
      </w:r>
      <w:r>
        <w:rPr>
          <w:rStyle w:val="normaltextrun"/>
          <w:rFonts w:ascii="Arial" w:hAnsi="Arial" w:cs="Arial"/>
          <w:b/>
          <w:bCs/>
          <w:color w:val="000000"/>
          <w:bdr w:val="none" w:sz="0" w:space="0" w:color="auto" w:frame="1"/>
        </w:rPr>
        <w:t>2023</w:t>
      </w:r>
    </w:p>
    <w:p w14:paraId="12E85372" w14:textId="77777777" w:rsidR="006E6BB4" w:rsidRPr="00415A9B" w:rsidRDefault="006E6BB4" w:rsidP="006E6BB4">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1" w:name="_Toc69491415"/>
      <w:r>
        <w:t>1.</w:t>
      </w:r>
      <w:r>
        <w:tab/>
      </w:r>
      <w:r w:rsidR="00772829" w:rsidRPr="00CE28E3">
        <w:t xml:space="preserve">Purpose </w:t>
      </w:r>
      <w:r w:rsidR="00772829" w:rsidRPr="00CE28E3">
        <w:rPr>
          <w:szCs w:val="32"/>
        </w:rPr>
        <w:t>of</w:t>
      </w:r>
      <w:r w:rsidR="00772829" w:rsidRPr="00CE28E3">
        <w:t xml:space="preserve"> application</w:t>
      </w:r>
      <w:bookmarkEnd w:id="1"/>
    </w:p>
    <w:p w14:paraId="70323BAB" w14:textId="45CDC4A1" w:rsidR="00587D94" w:rsidRDefault="00772829" w:rsidP="00772829">
      <w:pPr>
        <w:spacing w:after="240"/>
        <w:rPr>
          <w:iCs/>
        </w:rPr>
      </w:pPr>
      <w:bookmarkStart w:id="2" w:name="_Hlk69734469"/>
      <w:r w:rsidRPr="009A3778">
        <w:rPr>
          <w:iCs/>
        </w:rPr>
        <w:t>An application reques</w:t>
      </w:r>
      <w:r w:rsidRPr="00B91242">
        <w:rPr>
          <w:iCs/>
        </w:rPr>
        <w:t xml:space="preserve">ting Medicare Benefits Schedule (MBS) listing of </w:t>
      </w:r>
      <w:r w:rsidR="00C64B99">
        <w:rPr>
          <w:iCs/>
        </w:rPr>
        <w:t>renal denervation (RDN)</w:t>
      </w:r>
      <w:r w:rsidRPr="009A3778">
        <w:rPr>
          <w:iCs/>
        </w:rPr>
        <w:t xml:space="preserve"> </w:t>
      </w:r>
      <w:r w:rsidR="0035170B" w:rsidRPr="00890AE0">
        <w:rPr>
          <w:iCs/>
        </w:rPr>
        <w:t xml:space="preserve">with a radiofrequency </w:t>
      </w:r>
      <w:r w:rsidR="0035170B">
        <w:rPr>
          <w:iCs/>
        </w:rPr>
        <w:t xml:space="preserve">(RF) </w:t>
      </w:r>
      <w:r w:rsidR="0035170B" w:rsidRPr="00890AE0">
        <w:rPr>
          <w:iCs/>
        </w:rPr>
        <w:t>ablation catheter for the treatment of patients with specialist</w:t>
      </w:r>
      <w:r w:rsidR="0035170B">
        <w:rPr>
          <w:iCs/>
        </w:rPr>
        <w:t>-</w:t>
      </w:r>
      <w:r w:rsidR="0035170B" w:rsidRPr="00890AE0">
        <w:rPr>
          <w:iCs/>
        </w:rPr>
        <w:t>confirmed treatment resistant hypertension</w:t>
      </w:r>
      <w:r w:rsidR="0035170B">
        <w:rPr>
          <w:iCs/>
        </w:rPr>
        <w:t xml:space="preserve"> (TRHTN)</w:t>
      </w:r>
      <w:r w:rsidRPr="009A3778">
        <w:rPr>
          <w:iCs/>
        </w:rPr>
        <w:t xml:space="preserve"> was received from </w:t>
      </w:r>
      <w:r w:rsidR="00B91242">
        <w:rPr>
          <w:iCs/>
        </w:rPr>
        <w:t>Medtronic Austral</w:t>
      </w:r>
      <w:r w:rsidR="00545396">
        <w:rPr>
          <w:iCs/>
        </w:rPr>
        <w:t>asia Pty Ltd</w:t>
      </w:r>
      <w:r w:rsidR="00B91242">
        <w:rPr>
          <w:iCs/>
        </w:rPr>
        <w:t xml:space="preserve"> </w:t>
      </w:r>
      <w:r w:rsidRPr="009A3778">
        <w:rPr>
          <w:iCs/>
        </w:rPr>
        <w:t>by the Department of Health</w:t>
      </w:r>
      <w:r w:rsidR="00116DDC">
        <w:rPr>
          <w:iCs/>
        </w:rPr>
        <w:t xml:space="preserve"> </w:t>
      </w:r>
      <w:r w:rsidR="00116DDC" w:rsidRPr="008D791B">
        <w:rPr>
          <w:iCs/>
        </w:rPr>
        <w:t>and Aged Care</w:t>
      </w:r>
      <w:r w:rsidRPr="009A3778">
        <w:rPr>
          <w:iCs/>
        </w:rPr>
        <w:t>.</w:t>
      </w:r>
    </w:p>
    <w:p w14:paraId="0B6C2A99" w14:textId="77777777" w:rsidR="006E6BB4" w:rsidRDefault="006E6BB4" w:rsidP="006E6BB4">
      <w:pPr>
        <w:pStyle w:val="Heading2"/>
        <w:numPr>
          <w:ilvl w:val="1"/>
          <w:numId w:val="0"/>
        </w:numPr>
      </w:pPr>
      <w:r>
        <w:t>2.</w:t>
      </w:r>
      <w:r>
        <w:tab/>
        <w:t>MSAC’s advice to the Minister</w:t>
      </w:r>
    </w:p>
    <w:p w14:paraId="00FB50CF" w14:textId="599DA7D2" w:rsidR="00095DC3" w:rsidRDefault="006E6BB4" w:rsidP="007A6B13">
      <w:r>
        <w:t>After considering the strength of the available evidence in relation to comparative safety, clinical effectiveness, cost-effectiveness and total cost, MSAC</w:t>
      </w:r>
      <w:r w:rsidR="00744393">
        <w:t xml:space="preserve"> did not support </w:t>
      </w:r>
      <w:r w:rsidR="002D6DBE">
        <w:t>public funding of catheter-based RDN for the treatment of patients with TRHTN with uncontrolled elevated systolic blood (SBP; ≥150</w:t>
      </w:r>
      <w:r w:rsidR="001F07E2">
        <w:t> </w:t>
      </w:r>
      <w:r w:rsidR="002D6DBE">
        <w:t>mmHg) and/or elevated diastolic blood pressure (DBP; ≥110</w:t>
      </w:r>
      <w:r w:rsidR="001F07E2">
        <w:t> </w:t>
      </w:r>
      <w:r w:rsidR="002D6DBE">
        <w:t>mmHg) despite optimal medical management (OMM).</w:t>
      </w:r>
      <w:r w:rsidR="00095DC3">
        <w:t xml:space="preserve"> MSAC considered that the evidence presented in the application did not demonstrate that RDN has superior clinical effectiveness compared to the comparator (OMM) in the proposed population. </w:t>
      </w:r>
      <w:r w:rsidR="002752C5">
        <w:t xml:space="preserve">Based on the available evidence, </w:t>
      </w:r>
      <w:r w:rsidR="00095DC3">
        <w:t xml:space="preserve">MSAC noted that RDN resulted in </w:t>
      </w:r>
      <w:r w:rsidR="000F4769">
        <w:t>a small</w:t>
      </w:r>
      <w:r w:rsidR="00095DC3">
        <w:t xml:space="preserve"> reduction </w:t>
      </w:r>
      <w:r w:rsidR="000F4769">
        <w:t xml:space="preserve">(&lt;5 mmHg) </w:t>
      </w:r>
      <w:r w:rsidR="00095DC3">
        <w:t xml:space="preserve">in </w:t>
      </w:r>
      <w:r w:rsidR="00FA29EE">
        <w:t>SBP</w:t>
      </w:r>
      <w:r w:rsidR="00095DC3">
        <w:t xml:space="preserve"> and </w:t>
      </w:r>
      <w:r w:rsidR="00FA29EE">
        <w:t>D</w:t>
      </w:r>
      <w:r w:rsidR="00095DC3">
        <w:t>BP (recorded in an office setting) compared with sham procedures at 6 months</w:t>
      </w:r>
      <w:r w:rsidR="00296BA4">
        <w:t xml:space="preserve"> in some patient subgroups</w:t>
      </w:r>
      <w:r w:rsidR="00095DC3">
        <w:t>.</w:t>
      </w:r>
      <w:r w:rsidR="00032C26">
        <w:t xml:space="preserve"> </w:t>
      </w:r>
      <w:r w:rsidR="005C7FA7">
        <w:t xml:space="preserve">However, </w:t>
      </w:r>
      <w:r w:rsidR="007F2342">
        <w:t>MSAC expressed concerns about the long-term sustainability of the blood pressure</w:t>
      </w:r>
      <w:r w:rsidR="00032C26">
        <w:t xml:space="preserve"> (BP)</w:t>
      </w:r>
      <w:r w:rsidR="007F2342">
        <w:t xml:space="preserve"> </w:t>
      </w:r>
      <w:r w:rsidR="007369D9">
        <w:t xml:space="preserve">lowering effect considering </w:t>
      </w:r>
      <w:r w:rsidR="007073CF">
        <w:t xml:space="preserve">potential influences from other factors such as </w:t>
      </w:r>
      <w:r w:rsidR="00095DC3">
        <w:t xml:space="preserve">anti-hypertensive medications and lifestyle changes. MSAC also noted the absence of direct evidence of reduction in cardiovascular events due to RDN. MSAC considered the cost-effectiveness of RDN was uncertain because the economic analysis applied reductions in office </w:t>
      </w:r>
      <w:r w:rsidR="00FA29EE">
        <w:t>S</w:t>
      </w:r>
      <w:r w:rsidR="00095DC3">
        <w:t>BP from a small, post-hoc subgroup of a single trial</w:t>
      </w:r>
      <w:r w:rsidR="0076602E">
        <w:t>,</w:t>
      </w:r>
      <w:r w:rsidR="00095DC3">
        <w:t xml:space="preserve"> </w:t>
      </w:r>
      <w:r w:rsidR="00AC6456">
        <w:t>noting that in this specific subgroup</w:t>
      </w:r>
      <w:r w:rsidR="0076602E">
        <w:t>,</w:t>
      </w:r>
      <w:r w:rsidR="00AC6456">
        <w:t xml:space="preserve"> the degree of reduction in BP</w:t>
      </w:r>
      <w:r w:rsidR="00095DC3">
        <w:t xml:space="preserve"> was not statistically significant and was further compounded by the uncertain longevity of </w:t>
      </w:r>
      <w:r w:rsidR="00744890">
        <w:t xml:space="preserve">the effect of </w:t>
      </w:r>
      <w:r w:rsidR="00095DC3">
        <w:t xml:space="preserve">RDN. The financial analysis was also considered to be highly uncertain and potentially underestimated. This was attributed to the potentially large pool of individuals with </w:t>
      </w:r>
      <w:r w:rsidR="001F07E2">
        <w:t>TRHTN</w:t>
      </w:r>
      <w:r w:rsidR="00095DC3">
        <w:t xml:space="preserve"> meeting the eligibility criteria, along with the potentially higher number of providers capable of performing the proposed intervention than that estimated by the applicant. </w:t>
      </w:r>
    </w:p>
    <w:p w14:paraId="79CE6903" w14:textId="10D6D6DC" w:rsidR="00095DC3" w:rsidRPr="00744393" w:rsidRDefault="00095DC3" w:rsidP="00095DC3">
      <w:pPr>
        <w:rPr>
          <w:szCs w:val="24"/>
        </w:rPr>
      </w:pPr>
      <w:r w:rsidRPr="4C75B400">
        <w:t xml:space="preserve">MSAC considered that there may be a high clinical need for RDN in a specific subset of patients who have </w:t>
      </w:r>
      <w:r w:rsidR="00970030">
        <w:t>TRHTN</w:t>
      </w:r>
      <w:r w:rsidRPr="4C75B400">
        <w:t xml:space="preserve"> (e.g.</w:t>
      </w:r>
      <w:r w:rsidR="00114D87">
        <w:t>,</w:t>
      </w:r>
      <w:r w:rsidRPr="4C75B400">
        <w:t xml:space="preserve"> patients who are in ‘hypertensive crisis’ with &gt;180</w:t>
      </w:r>
      <w:r w:rsidR="007422F1">
        <w:t> </w:t>
      </w:r>
      <w:r w:rsidRPr="4C75B400">
        <w:t>mmHg</w:t>
      </w:r>
      <w:r w:rsidR="007422F1">
        <w:t> </w:t>
      </w:r>
      <w:r w:rsidR="00FA29EE">
        <w:t>S</w:t>
      </w:r>
      <w:r w:rsidRPr="4C75B400">
        <w:t>BP</w:t>
      </w:r>
      <w:r w:rsidR="007422F1">
        <w:t>/</w:t>
      </w:r>
      <w:r w:rsidRPr="4C75B400">
        <w:t>120</w:t>
      </w:r>
      <w:r w:rsidR="007422F1">
        <w:t> </w:t>
      </w:r>
      <w:r w:rsidRPr="4C75B400">
        <w:t xml:space="preserve">mmHg </w:t>
      </w:r>
      <w:r w:rsidR="00FA29EE">
        <w:t>D</w:t>
      </w:r>
      <w:r w:rsidRPr="4C75B400">
        <w:t>BP) who are on OMM with no other treatment alternatives as determined by a multidisciplinary team. However, MSAC considered that if this subpopulation was pursued, then a reapplication supported by evidence for the clinical effectiveness of RDN in this specific subpopulation would be required.</w:t>
      </w:r>
    </w:p>
    <w:tbl>
      <w:tblPr>
        <w:tblStyle w:val="TableGrid"/>
        <w:tblW w:w="0" w:type="auto"/>
        <w:tblLook w:val="04A0" w:firstRow="1" w:lastRow="0" w:firstColumn="1" w:lastColumn="0" w:noHBand="0" w:noVBand="1"/>
        <w:tblDescription w:val="Consumer summary of MSAC consideration"/>
      </w:tblPr>
      <w:tblGrid>
        <w:gridCol w:w="9016"/>
      </w:tblGrid>
      <w:tr w:rsidR="006E6BB4" w:rsidRPr="00AF46D8" w14:paraId="7CDA7372" w14:textId="77777777">
        <w:trPr>
          <w:tblHeader/>
        </w:trPr>
        <w:tc>
          <w:tcPr>
            <w:tcW w:w="9016" w:type="dxa"/>
          </w:tcPr>
          <w:p w14:paraId="69F526B2" w14:textId="77777777" w:rsidR="006E6BB4" w:rsidRPr="00AF46D8" w:rsidRDefault="006E6BB4">
            <w:pPr>
              <w:pStyle w:val="Heading3"/>
              <w:spacing w:before="120"/>
              <w:ind w:left="720" w:hanging="720"/>
              <w:rPr>
                <w:iCs/>
              </w:rPr>
            </w:pPr>
            <w:r w:rsidRPr="00AF46D8">
              <w:lastRenderedPageBreak/>
              <w:t>Consumer summary</w:t>
            </w:r>
          </w:p>
        </w:tc>
      </w:tr>
      <w:tr w:rsidR="006E6BB4" w:rsidRPr="00AF46D8" w14:paraId="6EF5104C" w14:textId="77777777">
        <w:tc>
          <w:tcPr>
            <w:tcW w:w="9016" w:type="dxa"/>
          </w:tcPr>
          <w:p w14:paraId="2335F0DE" w14:textId="0916D87B" w:rsidR="000375F6" w:rsidRDefault="000375F6" w:rsidP="000375F6">
            <w:r w:rsidRPr="00AF46D8">
              <w:t xml:space="preserve">This is an application from </w:t>
            </w:r>
            <w:r>
              <w:t>Medtronic Australasia</w:t>
            </w:r>
            <w:r w:rsidR="0022245D">
              <w:t xml:space="preserve"> Pty Ltd</w:t>
            </w:r>
            <w:r w:rsidRPr="00AF46D8">
              <w:t xml:space="preserve"> requesting Medicare Benefits Schedule</w:t>
            </w:r>
            <w:r w:rsidR="00970030">
              <w:t xml:space="preserve"> (MBS)</w:t>
            </w:r>
            <w:r w:rsidRPr="00AF46D8">
              <w:t xml:space="preserve"> listing of</w:t>
            </w:r>
            <w:r>
              <w:t xml:space="preserve"> renal denervation with a radiofrequency ablation catheter for the treatment of patients with treatment-resistant hypertension.</w:t>
            </w:r>
          </w:p>
          <w:p w14:paraId="67662952" w14:textId="1CA84F55" w:rsidR="000375F6" w:rsidRDefault="000375F6" w:rsidP="000375F6">
            <w:r w:rsidRPr="00F56CB6">
              <w:t>Hypertension</w:t>
            </w:r>
            <w:r>
              <w:t xml:space="preserve"> </w:t>
            </w:r>
            <w:r w:rsidRPr="00F56CB6">
              <w:t xml:space="preserve">is </w:t>
            </w:r>
            <w:r>
              <w:t>a condition in which the blood pressure in the arteries is higher than normal</w:t>
            </w:r>
            <w:r w:rsidR="00B30ED1">
              <w:t>.</w:t>
            </w:r>
            <w:r>
              <w:t xml:space="preserve"> In most people, hypertension does not cause symptoms. However, if left untreated, </w:t>
            </w:r>
            <w:r w:rsidR="00AC6456" w:rsidRPr="00AC6456">
              <w:t>persistent high pressure in the arteries causes damage, and</w:t>
            </w:r>
            <w:r>
              <w:t xml:space="preserve"> can result in more serious conditions, including stroke, </w:t>
            </w:r>
            <w:r w:rsidRPr="008209FD">
              <w:t>heart attack</w:t>
            </w:r>
            <w:r>
              <w:t xml:space="preserve">, heart failure, </w:t>
            </w:r>
            <w:r w:rsidRPr="008209FD">
              <w:t>damaged arteries</w:t>
            </w:r>
            <w:r>
              <w:t xml:space="preserve">, kidney disease and </w:t>
            </w:r>
            <w:r w:rsidRPr="008209FD">
              <w:t>dementia</w:t>
            </w:r>
            <w:r>
              <w:t>.</w:t>
            </w:r>
          </w:p>
          <w:p w14:paraId="554C233A" w14:textId="61D21222" w:rsidR="000375F6" w:rsidRDefault="000375F6" w:rsidP="000375F6">
            <w:r>
              <w:t xml:space="preserve">For many people, </w:t>
            </w:r>
            <w:r w:rsidR="00AC6456">
              <w:t>increasing daily physical activity, exercising</w:t>
            </w:r>
            <w:r w:rsidR="00A21C8F">
              <w:t>,</w:t>
            </w:r>
            <w:r w:rsidR="00AC6456">
              <w:t xml:space="preserve"> and lowering salt in the diet can reduce </w:t>
            </w:r>
            <w:r>
              <w:t>hypertension</w:t>
            </w:r>
            <w:r w:rsidR="00AC6456">
              <w:t>.</w:t>
            </w:r>
            <w:r>
              <w:t xml:space="preserve"> If these</w:t>
            </w:r>
            <w:r w:rsidR="00AC6456">
              <w:t xml:space="preserve"> lifestyle changes</w:t>
            </w:r>
            <w:r>
              <w:t xml:space="preserve"> alone are not effective in lowering blood pressure, medicines called antihypertensives are needed. However, a small group of people take </w:t>
            </w:r>
            <w:r w:rsidR="008209FD">
              <w:t>multiple</w:t>
            </w:r>
            <w:r w:rsidR="00970030">
              <w:t xml:space="preserve"> </w:t>
            </w:r>
            <w:r>
              <w:t>antihypertensive medicines and still have high blood pressure</w:t>
            </w:r>
            <w:r w:rsidR="00AC6456">
              <w:t>. T</w:t>
            </w:r>
            <w:r w:rsidR="004216BF">
              <w:t>his</w:t>
            </w:r>
            <w:r>
              <w:t xml:space="preserve"> is called treatment-resistant hypertension.</w:t>
            </w:r>
          </w:p>
          <w:p w14:paraId="64F04C3F" w14:textId="44023276" w:rsidR="000375F6" w:rsidRDefault="000375F6" w:rsidP="000375F6">
            <w:r>
              <w:t xml:space="preserve">The heart, brain and kidneys send messages to nerves throughout the body to help regulate blood pressure. If </w:t>
            </w:r>
            <w:r w:rsidR="00CA19BB">
              <w:t>the</w:t>
            </w:r>
            <w:r>
              <w:t xml:space="preserve"> nerves </w:t>
            </w:r>
            <w:r w:rsidR="00CA19BB">
              <w:t>near the kidneys</w:t>
            </w:r>
            <w:r>
              <w:t xml:space="preserve"> are </w:t>
            </w:r>
            <w:r w:rsidR="00017CCA">
              <w:t>over</w:t>
            </w:r>
            <w:r>
              <w:t>active, it can</w:t>
            </w:r>
            <w:r w:rsidR="00D93FA8">
              <w:t xml:space="preserve"> make the high blood pressure worse</w:t>
            </w:r>
            <w:r>
              <w:t xml:space="preserve">. </w:t>
            </w:r>
            <w:r w:rsidR="0071579F">
              <w:t>In c</w:t>
            </w:r>
            <w:r>
              <w:t>atheter-based renal denervation</w:t>
            </w:r>
            <w:r w:rsidR="00F9323F">
              <w:t>,</w:t>
            </w:r>
            <w:r>
              <w:t xml:space="preserve"> a catheter </w:t>
            </w:r>
            <w:r w:rsidR="0070214E">
              <w:t>(thin flexible tube)</w:t>
            </w:r>
            <w:r>
              <w:t xml:space="preserve"> </w:t>
            </w:r>
            <w:r w:rsidR="0071579F">
              <w:t xml:space="preserve">is inserted into an artery in the </w:t>
            </w:r>
            <w:r w:rsidR="00776B6E">
              <w:t>groin</w:t>
            </w:r>
            <w:r w:rsidR="00B30ED1">
              <w:t xml:space="preserve"> </w:t>
            </w:r>
            <w:r w:rsidR="0071579F">
              <w:t>and guided to the arteries that supply blood to your kidneys. Once at the correct location, the catheter</w:t>
            </w:r>
            <w:r>
              <w:t xml:space="preserve"> send</w:t>
            </w:r>
            <w:r w:rsidR="0071579F">
              <w:t>s</w:t>
            </w:r>
            <w:r>
              <w:t xml:space="preserve"> radiofrequency energy</w:t>
            </w:r>
            <w:r w:rsidR="0081114D">
              <w:t>,</w:t>
            </w:r>
            <w:r w:rsidR="00B30ED1">
              <w:t xml:space="preserve"> </w:t>
            </w:r>
            <w:r w:rsidR="00AC6456">
              <w:t xml:space="preserve">which leads to </w:t>
            </w:r>
            <w:r w:rsidR="00CD3EA4">
              <w:t>co</w:t>
            </w:r>
            <w:r w:rsidR="00C21373">
              <w:t>ncentrated</w:t>
            </w:r>
            <w:r w:rsidR="00B30ED1">
              <w:t xml:space="preserve"> </w:t>
            </w:r>
            <w:r w:rsidR="00AC6456">
              <w:t xml:space="preserve">heating </w:t>
            </w:r>
            <w:r>
              <w:t xml:space="preserve">to </w:t>
            </w:r>
            <w:r w:rsidR="00D5519B">
              <w:t>a particular place</w:t>
            </w:r>
            <w:r w:rsidR="00402486">
              <w:t xml:space="preserve"> on </w:t>
            </w:r>
            <w:r>
              <w:t xml:space="preserve">the </w:t>
            </w:r>
            <w:r w:rsidR="0071579F">
              <w:t xml:space="preserve">wall of the </w:t>
            </w:r>
            <w:r>
              <w:t>arter</w:t>
            </w:r>
            <w:r w:rsidR="0071579F">
              <w:t>y</w:t>
            </w:r>
            <w:r>
              <w:t>. The heat energy destroys the nerves</w:t>
            </w:r>
            <w:r w:rsidR="008B2DEE">
              <w:t xml:space="preserve"> near the arteries</w:t>
            </w:r>
            <w:r>
              <w:t xml:space="preserve"> without damaging the arteries, </w:t>
            </w:r>
            <w:r w:rsidR="00D17E31">
              <w:t xml:space="preserve">potentially </w:t>
            </w:r>
            <w:r>
              <w:t>resulting in less nerve activity</w:t>
            </w:r>
            <w:r w:rsidR="00C254E0">
              <w:t>, relaxation of the art</w:t>
            </w:r>
            <w:r w:rsidR="00863E04">
              <w:t>eries</w:t>
            </w:r>
            <w:r>
              <w:t xml:space="preserve"> and a drop in blood pressure. This could be a</w:t>
            </w:r>
            <w:r w:rsidR="00DE1ED9">
              <w:t xml:space="preserve"> treatment</w:t>
            </w:r>
            <w:r>
              <w:t xml:space="preserve"> option for people with treatment-resistant hypertension.</w:t>
            </w:r>
          </w:p>
          <w:p w14:paraId="638BD51F" w14:textId="1DE28D88" w:rsidR="006E6BB4" w:rsidRDefault="008D2EE0" w:rsidP="000375F6">
            <w:r>
              <w:t>MSAC considered renal denervation to have a similar safety profile to other procedures that</w:t>
            </w:r>
            <w:r w:rsidR="00C02044">
              <w:t xml:space="preserve"> </w:t>
            </w:r>
            <w:r w:rsidR="00A75DBE">
              <w:t xml:space="preserve">involve the insertion of a catheter into the arteries that supply blood to the kidneys (e.g. </w:t>
            </w:r>
            <w:r w:rsidR="0071579F">
              <w:t>imaging tests</w:t>
            </w:r>
            <w:r w:rsidR="00A75DBE">
              <w:t xml:space="preserve"> to look at the arteries in the kidneys)</w:t>
            </w:r>
            <w:r>
              <w:t xml:space="preserve">. </w:t>
            </w:r>
            <w:r w:rsidR="000375F6" w:rsidRPr="00C914F6">
              <w:t>MSAC</w:t>
            </w:r>
            <w:r w:rsidR="00671DF3">
              <w:t>, however,</w:t>
            </w:r>
            <w:r w:rsidR="000375F6" w:rsidRPr="00C914F6">
              <w:t xml:space="preserve"> considered it likely that renal denervation </w:t>
            </w:r>
            <w:r w:rsidR="008A4D0E">
              <w:t>i</w:t>
            </w:r>
            <w:r w:rsidR="008A4D0E" w:rsidRPr="00C914F6">
              <w:t xml:space="preserve">s </w:t>
            </w:r>
            <w:r w:rsidR="008550E1">
              <w:t>less</w:t>
            </w:r>
            <w:r w:rsidR="000375F6" w:rsidRPr="00C914F6">
              <w:t xml:space="preserve"> safe</w:t>
            </w:r>
            <w:r w:rsidR="00C31076">
              <w:t xml:space="preserve"> </w:t>
            </w:r>
            <w:r w:rsidR="000375F6" w:rsidRPr="00C914F6">
              <w:t xml:space="preserve">than </w:t>
            </w:r>
            <w:r w:rsidR="00671DF3">
              <w:t>the current standard of care</w:t>
            </w:r>
            <w:r w:rsidR="000375F6" w:rsidRPr="00C914F6" w:rsidDel="00C31076">
              <w:t xml:space="preserve"> </w:t>
            </w:r>
            <w:r w:rsidR="00C02044">
              <w:t>(antihypertensive medicines)</w:t>
            </w:r>
            <w:r w:rsidR="0071579F">
              <w:t>. This is because</w:t>
            </w:r>
            <w:r w:rsidR="00261B9E">
              <w:t xml:space="preserve"> </w:t>
            </w:r>
            <w:r w:rsidR="0071579F">
              <w:t>renal denervation</w:t>
            </w:r>
            <w:r w:rsidR="008B1DDB">
              <w:t xml:space="preserve"> is a procedure that involves</w:t>
            </w:r>
            <w:r w:rsidR="0071579F">
              <w:t xml:space="preserve"> </w:t>
            </w:r>
            <w:r w:rsidR="00261B9E">
              <w:t xml:space="preserve">a catheter </w:t>
            </w:r>
            <w:r w:rsidR="008B1DDB">
              <w:t>being</w:t>
            </w:r>
            <w:r w:rsidR="00261B9E">
              <w:t xml:space="preserve"> inserted into the arteries</w:t>
            </w:r>
            <w:r w:rsidR="008B1DDB">
              <w:t xml:space="preserve">. </w:t>
            </w:r>
            <w:r w:rsidR="00082ED7">
              <w:t>This</w:t>
            </w:r>
            <w:r w:rsidR="008B1DDB">
              <w:t xml:space="preserve"> procedure</w:t>
            </w:r>
            <w:r w:rsidR="00261B9E">
              <w:t xml:space="preserve"> </w:t>
            </w:r>
            <w:r w:rsidR="008B1DDB">
              <w:t>may cause unwanted events</w:t>
            </w:r>
            <w:r w:rsidR="00261B9E">
              <w:t xml:space="preserve"> such as damage to blood vessels, bleeding, and infection. </w:t>
            </w:r>
            <w:r w:rsidR="008B1DDB">
              <w:t>These kinds of complications</w:t>
            </w:r>
            <w:r w:rsidR="00261B9E">
              <w:t xml:space="preserve"> </w:t>
            </w:r>
            <w:r w:rsidR="00F7229B">
              <w:t>cannot be caused by</w:t>
            </w:r>
            <w:r w:rsidR="00C52F1E">
              <w:t xml:space="preserve"> </w:t>
            </w:r>
            <w:r w:rsidR="00261B9E">
              <w:t xml:space="preserve">antihypertensive medications. </w:t>
            </w:r>
            <w:r w:rsidR="008B1DDB">
              <w:t>MSAC noted that results from studies show a small drop in blood pressure after the renal denervation procedure</w:t>
            </w:r>
            <w:r w:rsidR="00BF53F1">
              <w:t>. However,</w:t>
            </w:r>
            <w:r w:rsidR="00812F27">
              <w:t xml:space="preserve"> MSAC was uncertain whether this effect is long lasting and able to </w:t>
            </w:r>
            <w:r w:rsidR="008B1DDB">
              <w:t xml:space="preserve">reduce the risk of </w:t>
            </w:r>
            <w:r w:rsidR="00812F27">
              <w:t xml:space="preserve">developing </w:t>
            </w:r>
            <w:r w:rsidR="008B1DDB">
              <w:t>more serious conditions such as stroke and heart attack</w:t>
            </w:r>
            <w:r w:rsidR="00BF53F1">
              <w:t>. Therefore,</w:t>
            </w:r>
            <w:r w:rsidR="008B1DDB">
              <w:t xml:space="preserve"> </w:t>
            </w:r>
            <w:r w:rsidR="000375F6" w:rsidRPr="00C914F6">
              <w:t xml:space="preserve">MSAC </w:t>
            </w:r>
            <w:r w:rsidR="00C31076">
              <w:t xml:space="preserve">was not convinced that </w:t>
            </w:r>
            <w:r w:rsidR="000375F6" w:rsidRPr="00C914F6">
              <w:t>renal denervation</w:t>
            </w:r>
            <w:r w:rsidR="00C31076">
              <w:t xml:space="preserve"> is </w:t>
            </w:r>
            <w:r w:rsidR="008A4D0E">
              <w:t xml:space="preserve">more </w:t>
            </w:r>
            <w:r w:rsidR="00C31076">
              <w:t>effective</w:t>
            </w:r>
            <w:r w:rsidR="000375F6" w:rsidRPr="00C914F6">
              <w:t xml:space="preserve"> in improving a person’s </w:t>
            </w:r>
            <w:r w:rsidR="008B1DDB">
              <w:t>hypertension</w:t>
            </w:r>
            <w:r w:rsidR="008A4D0E">
              <w:t xml:space="preserve"> compared with the current standard of care</w:t>
            </w:r>
            <w:r w:rsidR="000375F6" w:rsidRPr="00C914F6">
              <w:t>.</w:t>
            </w:r>
            <w:r w:rsidR="00BF53F1">
              <w:t xml:space="preserve"> MSAC considered that renal denervation might have some benefit</w:t>
            </w:r>
            <w:r w:rsidR="00B35E32">
              <w:t xml:space="preserve"> for</w:t>
            </w:r>
            <w:r w:rsidR="00BF53F1">
              <w:t xml:space="preserve"> patients who have </w:t>
            </w:r>
            <w:r w:rsidR="00A649E6">
              <w:t>very</w:t>
            </w:r>
            <w:r w:rsidR="00BF53F1">
              <w:t xml:space="preserve"> high blood pressure (patients who are in ‘hypertensive crisis’). However, MSAC noted that this group of patients were not included in the recent studies of renal denervation</w:t>
            </w:r>
            <w:r w:rsidR="009810FE">
              <w:t>,</w:t>
            </w:r>
            <w:r w:rsidR="00BF53F1">
              <w:t xml:space="preserve"> and therefore</w:t>
            </w:r>
            <w:r w:rsidR="009810FE">
              <w:t>,</w:t>
            </w:r>
            <w:r w:rsidR="00BF53F1">
              <w:t xml:space="preserve"> more evidence </w:t>
            </w:r>
            <w:r w:rsidR="009810FE">
              <w:t>will be</w:t>
            </w:r>
            <w:r w:rsidR="00BF53F1">
              <w:t xml:space="preserve"> needed to support this.</w:t>
            </w:r>
            <w:r w:rsidR="009810FE">
              <w:t xml:space="preserve"> MSAC did not consider renal denervation to be </w:t>
            </w:r>
            <w:r w:rsidR="009F1FFA">
              <w:t xml:space="preserve">good </w:t>
            </w:r>
            <w:r w:rsidR="009810FE">
              <w:t>value for money</w:t>
            </w:r>
            <w:r w:rsidR="00D67ADD">
              <w:t xml:space="preserve"> in the group targeted by this proposal</w:t>
            </w:r>
            <w:r w:rsidR="009810FE">
              <w:t xml:space="preserve">. </w:t>
            </w:r>
            <w:r w:rsidR="000375F6">
              <w:t>MSAC was also concerned that more people would access the treatment than predicted, which made the cost estimates very uncertain.</w:t>
            </w:r>
          </w:p>
          <w:p w14:paraId="067BF815" w14:textId="77777777" w:rsidR="006E6BB4" w:rsidRPr="00AF46D8" w:rsidRDefault="006E6BB4">
            <w:pPr>
              <w:pStyle w:val="Heading3"/>
              <w:ind w:left="720" w:hanging="720"/>
            </w:pPr>
            <w:r w:rsidRPr="00AF46D8">
              <w:t>MSAC’s advice to the Commonwealth Minister for Health</w:t>
            </w:r>
            <w:r>
              <w:t xml:space="preserve"> and Aged Care</w:t>
            </w:r>
          </w:p>
          <w:p w14:paraId="5CE8EDBB" w14:textId="5948817E" w:rsidR="006E6BB4" w:rsidRPr="00AF46D8" w:rsidRDefault="001C4B5F">
            <w:pPr>
              <w:spacing w:after="120"/>
            </w:pPr>
            <w:r w:rsidRPr="008A4D0E">
              <w:t xml:space="preserve">MSAC did not support MBS listing of renal denervation with a radiofrequency ablation catheter for the treatment of patients with treatment-resistant hypertension. MSAC did not consider renal denervation to be more effective than </w:t>
            </w:r>
            <w:r w:rsidR="008A4D0E">
              <w:t>the current standard of care (optimal medical management)</w:t>
            </w:r>
            <w:r w:rsidRPr="008A4D0E">
              <w:t>. MSAC was also not convinced that renal denervation would be good value for money,</w:t>
            </w:r>
            <w:r w:rsidR="00442F27">
              <w:t xml:space="preserve"> and considered the estimates of the total financial impact to be highly uncertain.</w:t>
            </w:r>
            <w:r w:rsidRPr="008A4D0E">
              <w:t xml:space="preserve"> </w:t>
            </w:r>
          </w:p>
        </w:tc>
      </w:tr>
    </w:tbl>
    <w:p w14:paraId="0BEDF002" w14:textId="77777777" w:rsidR="006E6BB4" w:rsidRDefault="006E6BB4" w:rsidP="006E6BB4">
      <w:pPr>
        <w:pStyle w:val="Heading2"/>
        <w:numPr>
          <w:ilvl w:val="1"/>
          <w:numId w:val="0"/>
        </w:numPr>
      </w:pPr>
      <w:r>
        <w:lastRenderedPageBreak/>
        <w:t>3.</w:t>
      </w:r>
      <w:r>
        <w:tab/>
        <w:t>Summary of consideration and rationale for MSAC’s advice</w:t>
      </w:r>
    </w:p>
    <w:p w14:paraId="0515DDE4" w14:textId="1115D413" w:rsidR="007D1761" w:rsidRDefault="007D1761" w:rsidP="007D1761">
      <w:r w:rsidRPr="00516D4E">
        <w:t>MSAC</w:t>
      </w:r>
      <w:r>
        <w:t xml:space="preserve"> noted that this application from Medtronic Australasia Pty Ltd was requesting MBS listing of RDN with a RF ablation catheter for the treatment of patients with specialist-confirmed TRHTN.</w:t>
      </w:r>
    </w:p>
    <w:p w14:paraId="769A3F2B" w14:textId="57DE8996" w:rsidR="007D1761" w:rsidRDefault="007D1761" w:rsidP="007D1761">
      <w:r>
        <w:t xml:space="preserve">MSAC noted that this is the first time it has considered this </w:t>
      </w:r>
      <w:r w:rsidR="00397816">
        <w:t>therapy</w:t>
      </w:r>
      <w:r>
        <w:t>. However, an MSAC application</w:t>
      </w:r>
      <w:r w:rsidR="003D53B2">
        <w:t xml:space="preserve"> (</w:t>
      </w:r>
      <w:r w:rsidR="003D53B2" w:rsidRPr="007D7073">
        <w:t>application 1338</w:t>
      </w:r>
      <w:r w:rsidR="003D53B2">
        <w:t>)</w:t>
      </w:r>
      <w:r>
        <w:t xml:space="preserve"> for catheter-based RDN for TRHTN was considered by PASC in </w:t>
      </w:r>
      <w:r w:rsidR="003D53B2">
        <w:t>April</w:t>
      </w:r>
      <w:r w:rsidR="00F250E4">
        <w:t xml:space="preserve"> 2013</w:t>
      </w:r>
      <w:r w:rsidR="003D53B2">
        <w:t xml:space="preserve"> and</w:t>
      </w:r>
      <w:r w:rsidR="00F250E4">
        <w:t xml:space="preserve"> again in</w:t>
      </w:r>
      <w:r w:rsidR="003D53B2">
        <w:t xml:space="preserve"> August</w:t>
      </w:r>
      <w:r>
        <w:t xml:space="preserve"> 2013. This application was withdrawn </w:t>
      </w:r>
      <w:r w:rsidR="00051E55">
        <w:t>by the applicant</w:t>
      </w:r>
      <w:r>
        <w:t xml:space="preserve"> </w:t>
      </w:r>
      <w:r w:rsidR="00F250E4">
        <w:t>prior to consideration by ESC or MSAC</w:t>
      </w:r>
      <w:r>
        <w:t xml:space="preserve"> when a sham-controlled trial (SYMPLICITY HTN-3) that used a first-generation device (</w:t>
      </w:r>
      <w:r w:rsidR="00BD7FEA">
        <w:t xml:space="preserve">SYMPLICITY </w:t>
      </w:r>
      <w:r>
        <w:t xml:space="preserve">Flex with a single-electrode RF delivery system) did not confirm a significant antihypertensive effect compared with the sham control. </w:t>
      </w:r>
      <w:r w:rsidR="0072542F">
        <w:t>MSAC noted that since then long</w:t>
      </w:r>
      <w:r w:rsidR="004450D3">
        <w:t>-</w:t>
      </w:r>
      <w:r w:rsidR="0072542F">
        <w:t>term data from the SYMPLICITY HTN-3 trial and data from other randomised sham</w:t>
      </w:r>
      <w:r w:rsidR="0097478F">
        <w:t>-</w:t>
      </w:r>
      <w:r w:rsidR="0072542F">
        <w:t>controlled trials of RDN using a next generation multi-electrode catheter (</w:t>
      </w:r>
      <w:r w:rsidR="00BD7FEA">
        <w:t>SYMPLICITY</w:t>
      </w:r>
      <w:r w:rsidR="0072542F">
        <w:t xml:space="preserve"> Spyral) have become available, contributing to the evidence base of the current application. </w:t>
      </w:r>
      <w:r>
        <w:t xml:space="preserve">MSAC noted that </w:t>
      </w:r>
      <w:r w:rsidR="0072542F">
        <w:t xml:space="preserve">the </w:t>
      </w:r>
      <w:r w:rsidR="00BD7FEA">
        <w:t>SYMPLICITY</w:t>
      </w:r>
      <w:r>
        <w:t xml:space="preserve"> Spyral</w:t>
      </w:r>
      <w:r w:rsidR="0072542F">
        <w:t xml:space="preserve"> catheter</w:t>
      </w:r>
      <w:r>
        <w:t xml:space="preserve"> is currently listed on the Australian Register of Therapeutic Goods (ARTG) and is now in use.</w:t>
      </w:r>
      <w:r w:rsidR="00612472">
        <w:t xml:space="preserve"> </w:t>
      </w:r>
      <w:r>
        <w:t xml:space="preserve">MSAC noted that this application </w:t>
      </w:r>
      <w:r w:rsidR="00F668E6">
        <w:t xml:space="preserve">only included evidence relating to </w:t>
      </w:r>
      <w:r>
        <w:t>Medtronic</w:t>
      </w:r>
      <w:r w:rsidR="00F668E6">
        <w:t xml:space="preserve"> RDN devices</w:t>
      </w:r>
      <w:r>
        <w:t xml:space="preserve"> </w:t>
      </w:r>
      <w:r w:rsidR="00F668E6">
        <w:t>(</w:t>
      </w:r>
      <w:r w:rsidR="00BD7FEA">
        <w:t>SYMPLICITY</w:t>
      </w:r>
      <w:r w:rsidR="00F668E6">
        <w:t xml:space="preserve"> Flex and </w:t>
      </w:r>
      <w:r w:rsidR="00BD7FEA">
        <w:t>SYMPLICITY</w:t>
      </w:r>
      <w:r>
        <w:t xml:space="preserve"> Spyral</w:t>
      </w:r>
      <w:r w:rsidR="00F668E6">
        <w:t>). MSAC considered this inconsistent with the advice from PASC</w:t>
      </w:r>
      <w:r w:rsidR="002E14FC">
        <w:t>, that evidence from other manufacturers should also be considered.</w:t>
      </w:r>
      <w:r w:rsidR="00F668E6">
        <w:t xml:space="preserve"> </w:t>
      </w:r>
      <w:r w:rsidR="00312447">
        <w:t>MSAC noted that this</w:t>
      </w:r>
      <w:r w:rsidR="00F668E6">
        <w:t xml:space="preserve"> raised concerns regarding the generalisability of the evidence to other RDN devices</w:t>
      </w:r>
      <w:r w:rsidR="00A75DBE">
        <w:t xml:space="preserve"> given that the proposed MBS item is device agnostic</w:t>
      </w:r>
      <w:r w:rsidR="00F668E6">
        <w:t>.</w:t>
      </w:r>
      <w:r>
        <w:t xml:space="preserve"> </w:t>
      </w:r>
    </w:p>
    <w:p w14:paraId="1676416B" w14:textId="06C9CDE2" w:rsidR="007D1761" w:rsidRDefault="007D1761" w:rsidP="007D1761">
      <w:r w:rsidRPr="00D80DFF">
        <w:t xml:space="preserve">MSAC noted that, in March 2023, the UK National Institute for Health and Care Excellence (NICE) </w:t>
      </w:r>
      <w:r w:rsidR="00F668E6">
        <w:t xml:space="preserve">recommended </w:t>
      </w:r>
      <w:r w:rsidR="009D579F">
        <w:t>RDN</w:t>
      </w:r>
      <w:r w:rsidR="00F668E6">
        <w:t xml:space="preserve"> for resistant hypertension</w:t>
      </w:r>
      <w:r w:rsidRPr="00D80DFF">
        <w:t xml:space="preserve"> </w:t>
      </w:r>
      <w:r w:rsidR="00F668E6">
        <w:t xml:space="preserve">only </w:t>
      </w:r>
      <w:r w:rsidRPr="00D80DFF">
        <w:t>under special arrangements</w:t>
      </w:r>
      <w:r w:rsidR="009D579F">
        <w:t xml:space="preserve"> given the uncertainties relating to the long</w:t>
      </w:r>
      <w:r w:rsidR="00970030">
        <w:t>-</w:t>
      </w:r>
      <w:r w:rsidR="009D579F">
        <w:t>term effectiveness and safety of the procedure</w:t>
      </w:r>
      <w:r w:rsidR="00FB5173">
        <w:rPr>
          <w:rStyle w:val="FootnoteReference"/>
        </w:rPr>
        <w:footnoteReference w:id="2"/>
      </w:r>
      <w:r>
        <w:t xml:space="preserve">. </w:t>
      </w:r>
      <w:r w:rsidRPr="00D80DFF">
        <w:t xml:space="preserve">In </w:t>
      </w:r>
      <w:r w:rsidR="00805600">
        <w:t>November</w:t>
      </w:r>
      <w:r w:rsidR="00805600" w:rsidRPr="00D80DFF">
        <w:t xml:space="preserve"> </w:t>
      </w:r>
      <w:r w:rsidRPr="00D80DFF">
        <w:t xml:space="preserve">2023, the US Food and Drug Administration (FDA) </w:t>
      </w:r>
      <w:r w:rsidR="00805600">
        <w:t xml:space="preserve">approved the </w:t>
      </w:r>
      <w:r w:rsidR="00BD7FEA">
        <w:t>SYMPLICITY</w:t>
      </w:r>
      <w:r w:rsidR="00805600">
        <w:t xml:space="preserve"> Spyral RDN system for use in patients with hypertension</w:t>
      </w:r>
      <w:r w:rsidR="009370C2">
        <w:rPr>
          <w:rStyle w:val="FootnoteReference"/>
        </w:rPr>
        <w:footnoteReference w:id="3"/>
      </w:r>
      <w:r w:rsidRPr="00D80DFF">
        <w:t>.</w:t>
      </w:r>
    </w:p>
    <w:p w14:paraId="51B875D2" w14:textId="4530D22B" w:rsidR="007D1761" w:rsidRDefault="007D1761" w:rsidP="007D1761">
      <w:r>
        <w:t>MSAC noted the applicant claim</w:t>
      </w:r>
      <w:r w:rsidR="002D6813">
        <w:t>ed</w:t>
      </w:r>
      <w:r>
        <w:t xml:space="preserve"> that catheter-based intra-arterial RF ablation of renal sympathetic nerves addresses an unmet clinical need in people with TRHTN. This population is at increased risk of cardiovascular events, including death, and currently have limited further therapy options. </w:t>
      </w:r>
    </w:p>
    <w:p w14:paraId="2C8CCBDD" w14:textId="60746430" w:rsidR="007D1761" w:rsidRDefault="007D1761" w:rsidP="007D1761">
      <w:r>
        <w:t>MSAC noted that the proposed population are those</w:t>
      </w:r>
      <w:r w:rsidR="0028674B">
        <w:t xml:space="preserve"> with TRHTN</w:t>
      </w:r>
      <w:r w:rsidR="00612472">
        <w:t xml:space="preserve"> with elevated SBP ≥150 mmHg or elevated DBP </w:t>
      </w:r>
      <w:r w:rsidR="00612472" w:rsidRPr="00612472">
        <w:t>≥1</w:t>
      </w:r>
      <w:r w:rsidR="00612472">
        <w:t>1</w:t>
      </w:r>
      <w:r w:rsidR="00612472" w:rsidRPr="00612472">
        <w:t>0 mmHg</w:t>
      </w:r>
      <w:r>
        <w:t xml:space="preserve"> </w:t>
      </w:r>
      <w:r w:rsidR="00612472">
        <w:t>despite OMM</w:t>
      </w:r>
      <w:r w:rsidR="00EC1E3B">
        <w:t xml:space="preserve"> (</w:t>
      </w:r>
      <w:r w:rsidR="00612472">
        <w:t xml:space="preserve">defined in the application as </w:t>
      </w:r>
      <w:r>
        <w:t>three</w:t>
      </w:r>
      <w:r w:rsidR="0028674B">
        <w:t xml:space="preserve"> </w:t>
      </w:r>
      <w:r>
        <w:t>or</w:t>
      </w:r>
      <w:r w:rsidR="0028674B">
        <w:t xml:space="preserve"> </w:t>
      </w:r>
      <w:r>
        <w:t>more</w:t>
      </w:r>
      <w:r w:rsidR="0028674B">
        <w:t xml:space="preserve"> </w:t>
      </w:r>
      <w:r>
        <w:t>antihypertensive medications, including a diuretic</w:t>
      </w:r>
      <w:r w:rsidR="005E72A4">
        <w:t>,</w:t>
      </w:r>
      <w:r w:rsidR="00612472">
        <w:t xml:space="preserve"> at optimal tolerated doses)</w:t>
      </w:r>
      <w:r w:rsidR="0028674B">
        <w:t xml:space="preserve"> and at least one other defined cardiovascular risk factor</w:t>
      </w:r>
      <w:r>
        <w:t xml:space="preserve">. The </w:t>
      </w:r>
      <w:r w:rsidR="00612472">
        <w:t xml:space="preserve">proposed </w:t>
      </w:r>
      <w:r>
        <w:t xml:space="preserve">comparator is </w:t>
      </w:r>
      <w:r w:rsidR="00612472">
        <w:t>OMM</w:t>
      </w:r>
      <w:r>
        <w:t>. MSAC</w:t>
      </w:r>
      <w:r w:rsidR="00612472">
        <w:t>, however, did not consider the proposed population to consist entirely of patients with true TRHTN</w:t>
      </w:r>
      <w:r>
        <w:t xml:space="preserve"> </w:t>
      </w:r>
      <w:r w:rsidR="001F234B">
        <w:t>and noted the availability of a range of other</w:t>
      </w:r>
      <w:r>
        <w:t xml:space="preserve"> alternative </w:t>
      </w:r>
      <w:r w:rsidR="00823549">
        <w:t xml:space="preserve">options </w:t>
      </w:r>
      <w:r>
        <w:t>for reducing BP</w:t>
      </w:r>
      <w:r w:rsidR="00D80DFF">
        <w:t xml:space="preserve"> in the proposed population</w:t>
      </w:r>
      <w:r>
        <w:t xml:space="preserve">, including </w:t>
      </w:r>
      <w:r w:rsidR="00823549">
        <w:t xml:space="preserve">additional pharmacotherapy and </w:t>
      </w:r>
      <w:r>
        <w:t>lifestyle changes.</w:t>
      </w:r>
    </w:p>
    <w:p w14:paraId="30759735" w14:textId="30BDEE09" w:rsidR="007D1761" w:rsidRDefault="007D1761" w:rsidP="007D1761">
      <w:r>
        <w:t xml:space="preserve">MSAC </w:t>
      </w:r>
      <w:r w:rsidR="0097543F">
        <w:t xml:space="preserve">agreed with the commentary that of </w:t>
      </w:r>
      <w:r>
        <w:t xml:space="preserve">the </w:t>
      </w:r>
      <w:r w:rsidR="0097543F">
        <w:t xml:space="preserve">clinical </w:t>
      </w:r>
      <w:r>
        <w:t>evidence</w:t>
      </w:r>
      <w:r w:rsidR="0097543F">
        <w:t xml:space="preserve"> presented in the </w:t>
      </w:r>
      <w:r w:rsidR="00CA2D85">
        <w:t>Applicant Developed Assessment Report (</w:t>
      </w:r>
      <w:r w:rsidR="0097543F">
        <w:t>ADAR</w:t>
      </w:r>
      <w:r w:rsidR="00CA2D85">
        <w:t>)</w:t>
      </w:r>
      <w:r w:rsidR="001F234B">
        <w:t>,</w:t>
      </w:r>
      <w:r w:rsidR="0097543F">
        <w:t xml:space="preserve"> only</w:t>
      </w:r>
      <w:r>
        <w:t xml:space="preserve"> three sham control</w:t>
      </w:r>
      <w:r w:rsidR="0097543F">
        <w:t>led</w:t>
      </w:r>
      <w:r>
        <w:t xml:space="preserve"> trials</w:t>
      </w:r>
      <w:r w:rsidR="00823549">
        <w:t xml:space="preserve"> (SYMPLICITY HTN-3, ReSET</w:t>
      </w:r>
      <w:r w:rsidR="001F234B">
        <w:t xml:space="preserve"> and </w:t>
      </w:r>
      <w:r w:rsidR="00823549">
        <w:t>SPYRAL HTN-ON MED)</w:t>
      </w:r>
      <w:r w:rsidR="0097543F">
        <w:t xml:space="preserve"> form</w:t>
      </w:r>
      <w:r w:rsidR="000203E2">
        <w:t>ed</w:t>
      </w:r>
      <w:r w:rsidR="0097543F">
        <w:t xml:space="preserve"> the key evidence base for RDN. </w:t>
      </w:r>
      <w:r>
        <w:t xml:space="preserve">MSAC noted that two of the </w:t>
      </w:r>
      <w:r w:rsidR="00823549">
        <w:t xml:space="preserve">key </w:t>
      </w:r>
      <w:r>
        <w:t xml:space="preserve">trials (SYMPLICITY HTN-3 and ReSET) used the </w:t>
      </w:r>
      <w:r w:rsidR="006C07B4">
        <w:t xml:space="preserve">first generation </w:t>
      </w:r>
      <w:r w:rsidR="00BD7FEA">
        <w:t>SYMPLICITY</w:t>
      </w:r>
      <w:r w:rsidR="006C07B4">
        <w:t xml:space="preserve"> </w:t>
      </w:r>
      <w:r>
        <w:t xml:space="preserve">Flex device </w:t>
      </w:r>
      <w:r w:rsidR="006C07B4">
        <w:t xml:space="preserve">while the SPYRAL HTN-ON MED trial used the second generation </w:t>
      </w:r>
      <w:r w:rsidR="00BD7FEA">
        <w:t>SYMPLICITY</w:t>
      </w:r>
      <w:r w:rsidR="006C07B4">
        <w:t xml:space="preserve"> S</w:t>
      </w:r>
      <w:r w:rsidR="00BD7FEA">
        <w:t>pyral</w:t>
      </w:r>
      <w:r w:rsidR="006C07B4">
        <w:t xml:space="preserve"> device</w:t>
      </w:r>
      <w:r>
        <w:t xml:space="preserve">. </w:t>
      </w:r>
      <w:r w:rsidR="006C07B4">
        <w:t xml:space="preserve">MSAC further noted that </w:t>
      </w:r>
      <w:r>
        <w:t xml:space="preserve">only a </w:t>
      </w:r>
      <w:r w:rsidR="00884BC2">
        <w:t xml:space="preserve">small </w:t>
      </w:r>
      <w:r>
        <w:t>subgroup of participants</w:t>
      </w:r>
      <w:r w:rsidR="006C07B4">
        <w:t xml:space="preserve"> from the SPYRAL HTN-ON MED</w:t>
      </w:r>
      <w:r w:rsidR="00884BC2">
        <w:t xml:space="preserve"> trial</w:t>
      </w:r>
      <w:r w:rsidR="001F234B">
        <w:t xml:space="preserve"> </w:t>
      </w:r>
      <w:r>
        <w:t>were on three</w:t>
      </w:r>
      <w:r w:rsidR="00293581">
        <w:t xml:space="preserve"> or more</w:t>
      </w:r>
      <w:r>
        <w:t> antihypertensive medications</w:t>
      </w:r>
      <w:r w:rsidR="00293581">
        <w:t xml:space="preserve">, and therefore </w:t>
      </w:r>
      <w:r w:rsidR="007568E7">
        <w:t xml:space="preserve">only a subpopulation of the SPYRAL HTN-ON MED trial </w:t>
      </w:r>
      <w:r w:rsidR="00293581">
        <w:t>aligned with the proposed population</w:t>
      </w:r>
      <w:r>
        <w:t xml:space="preserve">. </w:t>
      </w:r>
      <w:r w:rsidR="00293581">
        <w:t>MSAC</w:t>
      </w:r>
      <w:r w:rsidR="00EC1E3B">
        <w:t xml:space="preserve"> </w:t>
      </w:r>
      <w:r w:rsidR="00EC1E3B">
        <w:lastRenderedPageBreak/>
        <w:t xml:space="preserve">agreed with the commentary that </w:t>
      </w:r>
      <w:r w:rsidR="001F234B">
        <w:t>data from</w:t>
      </w:r>
      <w:r w:rsidR="00293581">
        <w:t xml:space="preserve"> the SPYRAL HTN-OFF MED</w:t>
      </w:r>
      <w:r w:rsidR="001F234B">
        <w:t xml:space="preserve"> </w:t>
      </w:r>
      <w:r w:rsidR="00EC1E3B">
        <w:t xml:space="preserve">trial </w:t>
      </w:r>
      <w:r w:rsidR="001F234B">
        <w:t>(a</w:t>
      </w:r>
      <w:r w:rsidR="00293581">
        <w:t xml:space="preserve"> sham</w:t>
      </w:r>
      <w:r w:rsidR="001F234B">
        <w:t>-</w:t>
      </w:r>
      <w:r w:rsidR="00293581">
        <w:t>controlled trial</w:t>
      </w:r>
      <w:r w:rsidR="001F234B">
        <w:t xml:space="preserve"> presented in the ADAR)</w:t>
      </w:r>
      <w:r w:rsidR="00293581">
        <w:t xml:space="preserve"> </w:t>
      </w:r>
      <w:r w:rsidR="00EC1E3B">
        <w:t>should be considered</w:t>
      </w:r>
      <w:r w:rsidR="00293581">
        <w:t xml:space="preserve"> supplementary evidence only as the study was not aligned with the PICO in terms of the population, intervention or comparator. MSAC also considered the </w:t>
      </w:r>
      <w:r w:rsidR="003F21A8">
        <w:t xml:space="preserve">Global SYMPLICITY </w:t>
      </w:r>
      <w:r w:rsidR="00293581">
        <w:t xml:space="preserve">registry data, which includes data for both first and second generation </w:t>
      </w:r>
      <w:r w:rsidR="00BD7FEA">
        <w:t>SYMPLICITY</w:t>
      </w:r>
      <w:r w:rsidR="00293581">
        <w:t xml:space="preserve"> devices to be supplementary evidence. </w:t>
      </w:r>
      <w:r>
        <w:t xml:space="preserve">MSAC </w:t>
      </w:r>
      <w:r w:rsidR="006C07B4">
        <w:t xml:space="preserve">considered </w:t>
      </w:r>
      <w:r>
        <w:t xml:space="preserve">that the evidence base for the intervention </w:t>
      </w:r>
      <w:r w:rsidR="003B598C">
        <w:t>was still evolving</w:t>
      </w:r>
      <w:r w:rsidR="00556023">
        <w:t>,</w:t>
      </w:r>
      <w:r w:rsidR="003B598C">
        <w:t xml:space="preserve"> </w:t>
      </w:r>
      <w:r>
        <w:t xml:space="preserve">with </w:t>
      </w:r>
      <w:r w:rsidR="006C07B4">
        <w:t xml:space="preserve">over </w:t>
      </w:r>
      <w:r>
        <w:t>3</w:t>
      </w:r>
      <w:r w:rsidR="006C07B4">
        <w:t>0</w:t>
      </w:r>
      <w:r>
        <w:t xml:space="preserve"> clinical trials currently </w:t>
      </w:r>
      <w:r w:rsidR="00944647">
        <w:t>in the</w:t>
      </w:r>
      <w:r>
        <w:t xml:space="preserve"> active recruit</w:t>
      </w:r>
      <w:r w:rsidR="00944647">
        <w:t>ment phase</w:t>
      </w:r>
      <w:r w:rsidR="00C231D3">
        <w:rPr>
          <w:rStyle w:val="FootnoteReference"/>
        </w:rPr>
        <w:footnoteReference w:id="4"/>
      </w:r>
      <w:r>
        <w:t>.</w:t>
      </w:r>
    </w:p>
    <w:p w14:paraId="2A368F64" w14:textId="067D3337" w:rsidR="007D1761" w:rsidRDefault="007D1761" w:rsidP="007D1761">
      <w:r>
        <w:t>MSAC noted that major adverse events (MAEs) related to RDN are rare, occurring in less than 1% of people. MAEs include dissection, embolic events, renal artery spasm, vascular complication at the femoral artery access site (</w:t>
      </w:r>
      <w:r w:rsidR="00C02044">
        <w:t xml:space="preserve">e.g. </w:t>
      </w:r>
      <w:r>
        <w:t xml:space="preserve">haematoma and pseudoaneurysm), hypertensive crisis and </w:t>
      </w:r>
      <w:r w:rsidR="00313F3F">
        <w:t xml:space="preserve">issues related to the use of </w:t>
      </w:r>
      <w:r>
        <w:t>contrast</w:t>
      </w:r>
      <w:r w:rsidR="00313F3F">
        <w:t xml:space="preserve"> agents</w:t>
      </w:r>
      <w:r>
        <w:t xml:space="preserve"> (</w:t>
      </w:r>
      <w:r w:rsidR="00C02044">
        <w:t>e.g.</w:t>
      </w:r>
      <w:r>
        <w:t xml:space="preserve"> anaphylaxis and renal impairment). MSAC also noted the </w:t>
      </w:r>
      <w:r w:rsidR="001F234B">
        <w:t xml:space="preserve">ADAR </w:t>
      </w:r>
      <w:r>
        <w:t>claim</w:t>
      </w:r>
      <w:r w:rsidR="00FE000C">
        <w:t>ed</w:t>
      </w:r>
      <w:r>
        <w:t xml:space="preserve"> that RDN has non-inferior safety compared to sham control, based on MAEs not being significantly more common in RDN than in the sham control arm. </w:t>
      </w:r>
      <w:r w:rsidR="00540217">
        <w:t xml:space="preserve">MSAC noted that </w:t>
      </w:r>
      <w:r w:rsidR="00C600D9">
        <w:t xml:space="preserve">the </w:t>
      </w:r>
      <w:r w:rsidR="00F129CD">
        <w:t>safety of RDN in comparison to OMM has not been evaluated in the existing studies</w:t>
      </w:r>
      <w:r w:rsidR="001B2376">
        <w:t>.</w:t>
      </w:r>
      <w:r w:rsidR="00F129CD">
        <w:t xml:space="preserve"> Des</w:t>
      </w:r>
      <w:r w:rsidR="001B2376">
        <w:t>p</w:t>
      </w:r>
      <w:r w:rsidR="00F129CD">
        <w:t>ite this gap</w:t>
      </w:r>
      <w:r w:rsidR="0018597B">
        <w:t xml:space="preserve"> in evidence</w:t>
      </w:r>
      <w:r w:rsidR="00F129CD">
        <w:t>,</w:t>
      </w:r>
      <w:r w:rsidR="003E2BA9">
        <w:t xml:space="preserve"> MSAC considered that</w:t>
      </w:r>
      <w:r w:rsidR="00F129CD">
        <w:t xml:space="preserve"> given RDN is a minimally invasive procedure linked to</w:t>
      </w:r>
      <w:r>
        <w:t xml:space="preserve"> MAEs</w:t>
      </w:r>
      <w:r w:rsidR="00F129CD">
        <w:t xml:space="preserve"> not observed with</w:t>
      </w:r>
      <w:r>
        <w:t xml:space="preserve"> OMM,</w:t>
      </w:r>
      <w:r w:rsidR="00F129CD">
        <w:t xml:space="preserve"> it </w:t>
      </w:r>
      <w:r w:rsidR="00B344BD">
        <w:t xml:space="preserve">would be </w:t>
      </w:r>
      <w:r w:rsidR="00F129CD">
        <w:t xml:space="preserve">conservative to assume </w:t>
      </w:r>
      <w:r>
        <w:t xml:space="preserve">that RDN has inferior safety compared to OMM. </w:t>
      </w:r>
    </w:p>
    <w:p w14:paraId="0A27BF94" w14:textId="2E7EC84F" w:rsidR="007D1761" w:rsidRDefault="007D1761" w:rsidP="007D1761">
      <w:r>
        <w:t xml:space="preserve">MSAC noted that a reduction in measured </w:t>
      </w:r>
      <w:r w:rsidDel="001F234B">
        <w:t>BP</w:t>
      </w:r>
      <w:r w:rsidR="00142D5F">
        <w:t xml:space="preserve"> </w:t>
      </w:r>
      <w:r>
        <w:t xml:space="preserve">is often used in trials as a surrogate for reduced cardiovascular disease (CVD) risk. MSAC noted that </w:t>
      </w:r>
      <w:r w:rsidR="00313F3F">
        <w:t>o</w:t>
      </w:r>
      <w:r>
        <w:t xml:space="preserve">ffice </w:t>
      </w:r>
      <w:r w:rsidR="001F234B">
        <w:t>S</w:t>
      </w:r>
      <w:r>
        <w:t xml:space="preserve">BP (OSBP) is often used as a standard clinically relevant measure, as it is easy to measure and is used in Australian guidelines. However, MSAC considered that </w:t>
      </w:r>
      <w:r w:rsidR="00B344BD">
        <w:t>24</w:t>
      </w:r>
      <w:r w:rsidR="00DA548F">
        <w:t>-</w:t>
      </w:r>
      <w:r w:rsidR="00B344BD">
        <w:t xml:space="preserve">hour </w:t>
      </w:r>
      <w:r>
        <w:t>ambulatory measures were more accurate</w:t>
      </w:r>
      <w:r w:rsidR="000166D2">
        <w:t xml:space="preserve"> in capturing an individual’s BP in everyday life. This was attributed to ambulatory measures</w:t>
      </w:r>
      <w:r w:rsidR="008466F4">
        <w:t xml:space="preserve"> </w:t>
      </w:r>
      <w:r w:rsidR="000166D2">
        <w:t>being</w:t>
      </w:r>
      <w:r w:rsidR="008466F4">
        <w:t xml:space="preserve"> less susceptible to the white coat effect (</w:t>
      </w:r>
      <w:r w:rsidR="000166D2">
        <w:t xml:space="preserve">a phenomenon </w:t>
      </w:r>
      <w:r w:rsidR="008466F4">
        <w:t xml:space="preserve">where a patient’s BP is falsely elevated </w:t>
      </w:r>
      <w:r w:rsidR="000166D2">
        <w:t>in</w:t>
      </w:r>
      <w:r w:rsidR="008466F4">
        <w:t xml:space="preserve"> a health care </w:t>
      </w:r>
      <w:r w:rsidR="000166D2">
        <w:t>setting</w:t>
      </w:r>
      <w:r w:rsidR="008466F4">
        <w:t>)</w:t>
      </w:r>
      <w:r w:rsidR="000166D2">
        <w:t xml:space="preserve"> and the higher volume of </w:t>
      </w:r>
      <w:r w:rsidR="004A6C2D">
        <w:t xml:space="preserve">BP </w:t>
      </w:r>
      <w:r w:rsidR="000166D2">
        <w:t>readings obtained throughout a given time span</w:t>
      </w:r>
      <w:r>
        <w:t>.</w:t>
      </w:r>
    </w:p>
    <w:p w14:paraId="79764CA1" w14:textId="175C52E8" w:rsidR="007D1761" w:rsidRDefault="00A66569" w:rsidP="007D1761">
      <w:r>
        <w:t>For the comparative effectiveness assessment</w:t>
      </w:r>
      <w:r w:rsidR="00F57590">
        <w:t xml:space="preserve">, </w:t>
      </w:r>
      <w:r w:rsidR="00DA548F">
        <w:t xml:space="preserve">MSAC considered that none of the meta-analyses of the key trials comparing RDN plus baseline medication compared to baseline medication alone yielded a statistically significant and clinically meaningful BP reduction (either OSBP, office DBP [ODBP], 24-hour ambulatory SBP [ASBP] or 24-hour ambulatory DBP [ADBP]) favouring RDN. </w:t>
      </w:r>
      <w:r w:rsidR="00F57590">
        <w:t xml:space="preserve">MSAC noted that data for OSBP changes </w:t>
      </w:r>
      <w:r w:rsidR="007B1FA4">
        <w:t xml:space="preserve">for RDN plus baseline medication compared to baseline medication alone </w:t>
      </w:r>
      <w:r w:rsidR="00F57590">
        <w:t xml:space="preserve">were available for </w:t>
      </w:r>
      <w:r>
        <w:t>two of the key trials (</w:t>
      </w:r>
      <w:r w:rsidR="007D1761">
        <w:t>SYMPLICITY HTN-3 and SPYRAL HTN-ON MED</w:t>
      </w:r>
      <w:r>
        <w:t>)</w:t>
      </w:r>
      <w:r w:rsidR="007D1761">
        <w:t>.</w:t>
      </w:r>
      <w:r w:rsidR="00C02044">
        <w:t xml:space="preserve"> </w:t>
      </w:r>
      <w:r w:rsidR="00D34433">
        <w:t>MSAC noted th</w:t>
      </w:r>
      <w:r w:rsidR="00C16C0E">
        <w:t>at a</w:t>
      </w:r>
      <w:r w:rsidR="00D34433">
        <w:t xml:space="preserve"> meta-analysis</w:t>
      </w:r>
      <w:r w:rsidR="00C16C0E">
        <w:t xml:space="preserve"> conducted by the commentary</w:t>
      </w:r>
      <w:r w:rsidR="00D34433">
        <w:t xml:space="preserve"> of the </w:t>
      </w:r>
      <w:r w:rsidR="00C16C0E">
        <w:t xml:space="preserve">SYMPLICITY HTN-3 and SPYRAL HTN-ON MED trials found a statistically significant reduction in mean OSBP at 6 months favouring the RDN intervention, but MSAC </w:t>
      </w:r>
      <w:r w:rsidR="001F30E8">
        <w:t xml:space="preserve">did not </w:t>
      </w:r>
      <w:r w:rsidR="00C16C0E">
        <w:t>consider</w:t>
      </w:r>
      <w:r w:rsidR="00D67ADD">
        <w:t xml:space="preserve"> that on balance</w:t>
      </w:r>
      <w:r w:rsidR="00C16C0E">
        <w:t xml:space="preserve"> this mean OSBP reduction (</w:t>
      </w:r>
      <w:r w:rsidR="00970DFF">
        <w:noBreakHyphen/>
      </w:r>
      <w:r w:rsidR="00C16C0E">
        <w:t xml:space="preserve">4.08 mmHg) </w:t>
      </w:r>
      <w:r w:rsidR="00D67ADD">
        <w:t>was</w:t>
      </w:r>
      <w:r w:rsidR="001F30E8">
        <w:t xml:space="preserve"> clinically meaningful</w:t>
      </w:r>
      <w:r w:rsidR="00C16C0E">
        <w:t xml:space="preserve">. </w:t>
      </w:r>
    </w:p>
    <w:p w14:paraId="30F34FF8" w14:textId="2122DB0B" w:rsidR="004D3028" w:rsidRDefault="00D67ADD" w:rsidP="007D1761">
      <w:r>
        <w:t xml:space="preserve">In regards to the concept of clinically meaningful </w:t>
      </w:r>
      <w:r w:rsidR="00032C26">
        <w:t>BP</w:t>
      </w:r>
      <w:r w:rsidR="00020127">
        <w:t xml:space="preserve"> reduction</w:t>
      </w:r>
      <w:r>
        <w:t xml:space="preserve">, </w:t>
      </w:r>
      <w:r w:rsidR="004D3028">
        <w:t xml:space="preserve">MSAC noted that consensus from the Hypertension Academic Research Consortium (HARC) indicated that a reduction in OSBP of </w:t>
      </w:r>
      <w:r w:rsidR="004D3028" w:rsidRPr="526A786A">
        <w:rPr>
          <w:rFonts w:ascii="Symbol" w:eastAsia="Symbol" w:hAnsi="Symbol" w:cs="Symbol"/>
        </w:rPr>
        <w:t>³</w:t>
      </w:r>
      <w:r w:rsidR="004D3028">
        <w:t xml:space="preserve">5–10 mmHg, or a reduction in ODBP of </w:t>
      </w:r>
      <w:r w:rsidR="004D3028" w:rsidRPr="526A786A">
        <w:rPr>
          <w:rFonts w:ascii="Symbol" w:eastAsia="Symbol" w:hAnsi="Symbol" w:cs="Symbol"/>
        </w:rPr>
        <w:t>³</w:t>
      </w:r>
      <w:r w:rsidR="004D3028">
        <w:t xml:space="preserve">3–5 mmHg, or a reduction in mean ASBP of </w:t>
      </w:r>
      <w:r w:rsidR="004D3028" w:rsidRPr="526A786A">
        <w:rPr>
          <w:rFonts w:ascii="Symbol" w:eastAsia="Symbol" w:hAnsi="Symbol" w:cs="Symbol"/>
        </w:rPr>
        <w:t>³</w:t>
      </w:r>
      <w:r w:rsidR="004D3028">
        <w:t>5 mmHg was generally considered to be clinically meaningful. However, other groups had suggested slightly higher thresholds. For example, the European Clinical Consensus Conference indicated that, for device-based therapies for hypertension, a reduction in OSBP of 10 mmHg, or a reduction in ASBP of 6–7 mmHg, was clinically meaningful.</w:t>
      </w:r>
    </w:p>
    <w:p w14:paraId="54E62426" w14:textId="08A870AB" w:rsidR="006A2F51" w:rsidRDefault="006A2F51" w:rsidP="007D1761">
      <w:r>
        <w:t xml:space="preserve">MSAC noted that the meta-analysis from Ettehad et al (2016) </w:t>
      </w:r>
      <w:r w:rsidR="00D67ADD">
        <w:t xml:space="preserve">proposed </w:t>
      </w:r>
      <w:r>
        <w:t xml:space="preserve">a linear relationship between the degree of SBP reduction and reduced CVD risk. According to this study, a 5 mmHg and 10 mmHg reduction in SBP reduced the risk of all-cause mortality by approximately 5% and 13% respectively. However, MSAC was not convinced that the relationship between SBP </w:t>
      </w:r>
      <w:r>
        <w:lastRenderedPageBreak/>
        <w:t>reduction and reduced CVD risk was linear for SBP reductions less than 5 mmHg. MSAC considered the relationship between reduced CVD risks at a SBP reduction of less than 5 mmHg to be highly uncertain.</w:t>
      </w:r>
    </w:p>
    <w:p w14:paraId="4F68459D" w14:textId="11B86FE1" w:rsidR="00F10265" w:rsidRDefault="007D1761" w:rsidP="007D1761">
      <w:r>
        <w:t xml:space="preserve">Regarding longevity of </w:t>
      </w:r>
      <w:r w:rsidR="000E785A">
        <w:t xml:space="preserve">treatment </w:t>
      </w:r>
      <w:r>
        <w:t xml:space="preserve">effect, MSAC noted </w:t>
      </w:r>
      <w:r w:rsidR="00F23660">
        <w:t xml:space="preserve">long term </w:t>
      </w:r>
      <w:r>
        <w:t xml:space="preserve">data from registries and sham-controlled trials </w:t>
      </w:r>
      <w:r w:rsidR="00F23660">
        <w:t xml:space="preserve">up to 10 years. </w:t>
      </w:r>
      <w:r w:rsidR="00F23660">
        <w:rPr>
          <w:rStyle w:val="normaltextrun"/>
          <w:color w:val="000000"/>
          <w:shd w:val="clear" w:color="auto" w:fill="FFFFFF"/>
        </w:rPr>
        <w:t xml:space="preserve">MSAC considered the durability of the RDN BP-lowering treatment effect encouraging, however raised uncertainty in the longevity of the treatment effect due to possible contributions from </w:t>
      </w:r>
      <w:r w:rsidR="00D67ADD">
        <w:rPr>
          <w:rStyle w:val="normaltextrun"/>
          <w:color w:val="000000"/>
          <w:shd w:val="clear" w:color="auto" w:fill="FFFFFF"/>
        </w:rPr>
        <w:t xml:space="preserve">potential changes in </w:t>
      </w:r>
      <w:r w:rsidR="00F23660">
        <w:rPr>
          <w:rStyle w:val="normaltextrun"/>
          <w:color w:val="000000"/>
          <w:shd w:val="clear" w:color="auto" w:fill="FFFFFF"/>
        </w:rPr>
        <w:t>anti-hypertensive medications and lifestyle changes</w:t>
      </w:r>
      <w:r w:rsidR="00A040CA">
        <w:rPr>
          <w:rStyle w:val="normaltextrun"/>
          <w:color w:val="000000"/>
          <w:shd w:val="clear" w:color="auto" w:fill="FFFFFF"/>
        </w:rPr>
        <w:t>, which may have been confounding factors</w:t>
      </w:r>
      <w:r>
        <w:t>.</w:t>
      </w:r>
      <w:r w:rsidR="003C7B56">
        <w:t xml:space="preserve"> </w:t>
      </w:r>
      <w:r w:rsidR="00F10265">
        <w:t>MSAC considered it plausible that RDN may result in a reduction in mortality and adverse cardiovascular events based on modest reductions in BP (as an accepted surrogate). However, there was no clear evidence for a reduction in cardiovascular mortality or other CVD-related events from the clinical trials up to 36 and 60 months.</w:t>
      </w:r>
    </w:p>
    <w:p w14:paraId="085518B0" w14:textId="6A655768" w:rsidR="00CB37CA" w:rsidRDefault="007D1761" w:rsidP="00CB37CA">
      <w:r>
        <w:t xml:space="preserve">MSAC noted the </w:t>
      </w:r>
      <w:r w:rsidR="00095B36">
        <w:t xml:space="preserve">ADAR’s </w:t>
      </w:r>
      <w:r>
        <w:t xml:space="preserve">clinical claim that RDN has superior effectiveness compared with sham procedures or no RDN. </w:t>
      </w:r>
      <w:r w:rsidR="00CB37CA">
        <w:t>However, MSAC considered that the evidence presented in the application did not demonstrate that RDN has superior clinical effectiveness compared to the comparator (OMM) in the proposed population.</w:t>
      </w:r>
    </w:p>
    <w:p w14:paraId="63106DE3" w14:textId="129B1DD8" w:rsidR="007D1761" w:rsidRDefault="007D1761" w:rsidP="007D1761">
      <w:r>
        <w:t>MSAC noted that the economic evaluation was a cost-utility analysis comparing RDN (plus OMM) with OMM</w:t>
      </w:r>
      <w:r w:rsidR="00941561">
        <w:t xml:space="preserve"> alone</w:t>
      </w:r>
      <w:r>
        <w:t xml:space="preserve">. It used a Markov model that was initially developed for trials of RDN using the first-generation device. </w:t>
      </w:r>
      <w:r w:rsidR="00142D5F">
        <w:t>S</w:t>
      </w:r>
      <w:r>
        <w:t>BP was used as a predictor for cardiovascular events, with multivariate risk equations from large cohort studies used to calculate transition probabilities.</w:t>
      </w:r>
      <w:r w:rsidR="003C7B56">
        <w:t xml:space="preserve"> </w:t>
      </w:r>
      <w:r>
        <w:t>MSAC noted that the ADAR base case only used data from the small subgroup of the SPYRAL HTN-ON MED trial that aligned with the PICO</w:t>
      </w:r>
      <w:r w:rsidR="00A31456">
        <w:t xml:space="preserve">. </w:t>
      </w:r>
      <w:r>
        <w:t>This resulted in 46 patients</w:t>
      </w:r>
      <w:r w:rsidR="00AB3989">
        <w:t xml:space="preserve"> in the RDN intervention arm</w:t>
      </w:r>
      <w:r>
        <w:t xml:space="preserve"> and 32 patients</w:t>
      </w:r>
      <w:r w:rsidR="00AB3989">
        <w:t xml:space="preserve"> in the sham </w:t>
      </w:r>
      <w:r w:rsidR="00D02E87">
        <w:t xml:space="preserve">control </w:t>
      </w:r>
      <w:r w:rsidR="00AB3989">
        <w:t>arm of the trial</w:t>
      </w:r>
      <w:r>
        <w:t xml:space="preserve">. </w:t>
      </w:r>
      <w:r w:rsidR="00AB3989">
        <w:t>MSAC noted that the mean OSBP reduction in this subgroup (-5.2</w:t>
      </w:r>
      <w:r w:rsidR="005C5FD6">
        <w:t> </w:t>
      </w:r>
      <w:r w:rsidR="00AB3989">
        <w:t>mmHg) reached the threshold for a clinically meaningful change as per the HARC consensus document, however noted that this reduction in BP was not statistically significant</w:t>
      </w:r>
      <w:r w:rsidR="00142D5F">
        <w:t>.</w:t>
      </w:r>
      <w:r w:rsidR="00AB3989">
        <w:t xml:space="preserve"> </w:t>
      </w:r>
      <w:r>
        <w:t>The ADAR’s base case incremental cost-effectiveness ratio (ICER) was $</w:t>
      </w:r>
      <w:r w:rsidR="005F10C4">
        <w:rPr>
          <w:b/>
          <w:bCs/>
        </w:rPr>
        <w:t>redacted</w:t>
      </w:r>
      <w:r>
        <w:t>. The commentary</w:t>
      </w:r>
      <w:r w:rsidR="00AB3989">
        <w:t xml:space="preserve"> proposed a revised base case using data from a meta-analysis of the SPYRAL HTN</w:t>
      </w:r>
      <w:r w:rsidR="00970DFF">
        <w:noBreakHyphen/>
      </w:r>
      <w:r w:rsidR="00AB3989">
        <w:t>ON MED subgroup together with the entire TRHTN population of SYMPLICITY HTN-3</w:t>
      </w:r>
      <w:r>
        <w:t>. This</w:t>
      </w:r>
      <w:r w:rsidR="00D02E87">
        <w:t xml:space="preserve"> increased the patient numbers to 399 in the RDN treatment arm and 2</w:t>
      </w:r>
      <w:r w:rsidR="00970DFF">
        <w:t>0</w:t>
      </w:r>
      <w:r w:rsidR="00D02E87">
        <w:t>3 in the sham control arm</w:t>
      </w:r>
      <w:r w:rsidR="00BD7FEA">
        <w:t>. In this meta-analysis performed by the commentary</w:t>
      </w:r>
      <w:r w:rsidR="002F6EAE">
        <w:t xml:space="preserve">, </w:t>
      </w:r>
      <w:r w:rsidR="00BD7FEA">
        <w:t>the mean between group difference in OSBP was -3.57</w:t>
      </w:r>
      <w:r w:rsidR="005C5FD6">
        <w:t> </w:t>
      </w:r>
      <w:r w:rsidR="00BD7FEA">
        <w:t>mmHg</w:t>
      </w:r>
      <w:r w:rsidR="002F7F6B">
        <w:t xml:space="preserve">. </w:t>
      </w:r>
      <w:r w:rsidR="002F7F6B" w:rsidRPr="002F6EAE">
        <w:t xml:space="preserve">MSAC noted that </w:t>
      </w:r>
      <w:r w:rsidR="002F7F6B">
        <w:t xml:space="preserve">this </w:t>
      </w:r>
      <w:r w:rsidR="002F7F6B" w:rsidRPr="002F6EAE">
        <w:t>reduction in BP was statistically significant, but MSAC did not consider this change to be clinically meaningful</w:t>
      </w:r>
      <w:r w:rsidR="002F7F6B">
        <w:t xml:space="preserve">. MSAC noted that using the </w:t>
      </w:r>
      <w:r w:rsidR="005C5FD6">
        <w:noBreakHyphen/>
      </w:r>
      <w:r w:rsidR="002F7F6B">
        <w:t>3.57</w:t>
      </w:r>
      <w:r w:rsidR="005C5FD6">
        <w:t> </w:t>
      </w:r>
      <w:r w:rsidR="002F7F6B">
        <w:t xml:space="preserve">mmHg treatment effect of RDN </w:t>
      </w:r>
      <w:r>
        <w:t>resulted in a revised base case ICER of $</w:t>
      </w:r>
      <w:r w:rsidR="005F10C4">
        <w:rPr>
          <w:b/>
          <w:bCs/>
        </w:rPr>
        <w:t>redacted</w:t>
      </w:r>
      <w:r w:rsidR="002F6EAE">
        <w:t>.</w:t>
      </w:r>
    </w:p>
    <w:p w14:paraId="3C7C9294" w14:textId="6636BF81" w:rsidR="002F7F6B" w:rsidRDefault="007D1761" w:rsidP="007D1761">
      <w:r>
        <w:t>MSAC noted</w:t>
      </w:r>
      <w:r w:rsidR="00E91F4E">
        <w:t xml:space="preserve"> the ICERs generated from the sensitivity analyses conducted in the ADAR and by t</w:t>
      </w:r>
      <w:r w:rsidR="00EA6C41">
        <w:t>h</w:t>
      </w:r>
      <w:r w:rsidR="00E91F4E">
        <w:t>e commentary (see Tab</w:t>
      </w:r>
      <w:r w:rsidR="00EA6C41">
        <w:t>l</w:t>
      </w:r>
      <w:r w:rsidR="00E91F4E">
        <w:t xml:space="preserve">e 16). </w:t>
      </w:r>
      <w:r w:rsidR="00EA6C41">
        <w:t>MSAC noted that the sensitivity analysis results were most sensitive to model starting age, time horizon of the analysis, degree of BP reduction, the source of the relative risk used in the model and</w:t>
      </w:r>
      <w:r>
        <w:t xml:space="preserve"> the cost of the RDN catheter. </w:t>
      </w:r>
      <w:r w:rsidR="003F21A8">
        <w:t xml:space="preserve">MSAC did not consider the modelled base case time horizon of 34.4 years appropriate given that there is no evidence of longevity of RDN treatment effect beyond 10 years. Reducing the time horizon to 15 years increased the ICER to </w:t>
      </w:r>
      <w:r w:rsidR="003F21A8" w:rsidRPr="003F21A8">
        <w:t>$</w:t>
      </w:r>
      <w:r w:rsidR="00E228DE">
        <w:rPr>
          <w:b/>
          <w:bCs/>
        </w:rPr>
        <w:t>redacted</w:t>
      </w:r>
      <w:r w:rsidR="003F21A8">
        <w:t xml:space="preserve"> (see Table 16). MSAC noted that t</w:t>
      </w:r>
      <w:r>
        <w:t>he sensitivity analysis results were relatively insensitive to costs (other than costs of the RDN catheter) and the utility values chosen.</w:t>
      </w:r>
      <w:r w:rsidR="00EA6C41">
        <w:t xml:space="preserve"> </w:t>
      </w:r>
      <w:r w:rsidR="002F7F6B">
        <w:t xml:space="preserve">MSAC considered the cost-effectiveness of RDN uncertain </w:t>
      </w:r>
      <w:r w:rsidR="00E97D9C">
        <w:t>because</w:t>
      </w:r>
      <w:r w:rsidR="002F7F6B">
        <w:t xml:space="preserve"> it was based on </w:t>
      </w:r>
      <w:r w:rsidR="00E97D9C">
        <w:t>a non-statistically significant</w:t>
      </w:r>
      <w:r w:rsidR="002F7F6B">
        <w:t xml:space="preserve"> OSBP reduction </w:t>
      </w:r>
      <w:r w:rsidR="00E97D9C">
        <w:t>from</w:t>
      </w:r>
      <w:r w:rsidR="002F7F6B">
        <w:t xml:space="preserve"> a small post-hoc subgroup of a single trial</w:t>
      </w:r>
      <w:r w:rsidR="00E97D9C">
        <w:t>, further compounded by the uncertain durability of the RDN treatment.</w:t>
      </w:r>
    </w:p>
    <w:p w14:paraId="3017C778" w14:textId="0F435AF9" w:rsidR="007D1761" w:rsidRDefault="007D1761" w:rsidP="007D1761">
      <w:r>
        <w:t xml:space="preserve">MSAC noted that an epidemiological approach was used to estimate </w:t>
      </w:r>
      <w:r w:rsidR="00A649E6">
        <w:t xml:space="preserve">the total eligible population for the RDN procedure and capacity </w:t>
      </w:r>
      <w:r w:rsidR="00BA1318">
        <w:t xml:space="preserve">to deliver the </w:t>
      </w:r>
      <w:r w:rsidR="00E66D4A">
        <w:t>service</w:t>
      </w:r>
      <w:r w:rsidR="00A649E6">
        <w:t xml:space="preserve"> (both provider and infrastructure) were used to estimate</w:t>
      </w:r>
      <w:r>
        <w:t xml:space="preserve"> utilisation and the financial</w:t>
      </w:r>
      <w:r w:rsidR="003F21A8">
        <w:t xml:space="preserve"> implications of an MBS listing for RDN</w:t>
      </w:r>
      <w:r>
        <w:t>. The</w:t>
      </w:r>
      <w:r w:rsidR="00505F6D">
        <w:t xml:space="preserve"> eligible</w:t>
      </w:r>
      <w:r>
        <w:t xml:space="preserve"> patient population was estimated based on the number of adults prescribed antihypertensives </w:t>
      </w:r>
      <w:r>
        <w:lastRenderedPageBreak/>
        <w:t xml:space="preserve">available through the Pharmaceutical Benefits Scheme (PBS). It also used published and unpublished data sources (including subgroup analyses from the Global SYMPLICITY Registry) to estimate the proportion of </w:t>
      </w:r>
      <w:r w:rsidR="00505F6D">
        <w:t xml:space="preserve">eligible </w:t>
      </w:r>
      <w:r>
        <w:t xml:space="preserve">patients who would undertake RDN. </w:t>
      </w:r>
      <w:r w:rsidR="00273C6E">
        <w:t>MSAC noted t</w:t>
      </w:r>
      <w:r>
        <w:t xml:space="preserve">he ADAR assumptions </w:t>
      </w:r>
      <w:r w:rsidR="00273C6E">
        <w:t xml:space="preserve">regarding </w:t>
      </w:r>
      <w:r>
        <w:t>catheterisation laboratory capacity and interventional cardiologist capacity</w:t>
      </w:r>
      <w:r w:rsidR="00273C6E">
        <w:t xml:space="preserve"> that would limit utilisation</w:t>
      </w:r>
      <w:r>
        <w:t xml:space="preserve">. </w:t>
      </w:r>
      <w:r w:rsidR="00675576">
        <w:t xml:space="preserve">Based on these assumptions, </w:t>
      </w:r>
      <w:r w:rsidR="00D907E6">
        <w:rPr>
          <w:b/>
          <w:bCs/>
        </w:rPr>
        <w:t>redacted</w:t>
      </w:r>
      <w:r w:rsidR="00675576">
        <w:t xml:space="preserve"> people </w:t>
      </w:r>
      <w:r w:rsidR="00AE40AA">
        <w:t xml:space="preserve">were </w:t>
      </w:r>
      <w:r w:rsidR="00675576">
        <w:t xml:space="preserve">estimated to seek RDN treatment in year 1, with only </w:t>
      </w:r>
      <w:r w:rsidR="001938F6">
        <w:rPr>
          <w:b/>
          <w:bCs/>
        </w:rPr>
        <w:t>redacted</w:t>
      </w:r>
      <w:r w:rsidR="00675576">
        <w:t xml:space="preserve"> of these </w:t>
      </w:r>
      <w:r w:rsidR="000B1B93">
        <w:t xml:space="preserve">predicted to </w:t>
      </w:r>
      <w:r w:rsidR="00E66D4A">
        <w:t xml:space="preserve">receive </w:t>
      </w:r>
      <w:r w:rsidR="00675576">
        <w:t>RDN treat</w:t>
      </w:r>
      <w:r w:rsidR="00E66D4A">
        <w:t>ment</w:t>
      </w:r>
      <w:r w:rsidR="00675576">
        <w:t xml:space="preserve"> due to capacity constraints. </w:t>
      </w:r>
      <w:r>
        <w:t>MSAC considered the assumptions about capacity constraints to be highly uncertain, as RDN would likely also be performed by providers</w:t>
      </w:r>
      <w:r w:rsidR="00675576">
        <w:t xml:space="preserve"> other than interventional cardiologists</w:t>
      </w:r>
      <w:r>
        <w:t xml:space="preserve"> and in </w:t>
      </w:r>
      <w:r w:rsidR="00675576">
        <w:t xml:space="preserve">settings </w:t>
      </w:r>
      <w:r>
        <w:t>other</w:t>
      </w:r>
      <w:r w:rsidR="00675576">
        <w:t xml:space="preserve"> than private</w:t>
      </w:r>
      <w:r>
        <w:t xml:space="preserve"> catheterisation laboratories. </w:t>
      </w:r>
      <w:r w:rsidR="00675576">
        <w:t>MSAC noted that a sensitivity analysis without supply constraints conducted by the commentary suggests a net cost to the MBS of over $</w:t>
      </w:r>
      <w:r w:rsidR="00AB0E49">
        <w:rPr>
          <w:b/>
          <w:bCs/>
        </w:rPr>
        <w:t>redacted</w:t>
      </w:r>
      <w:r w:rsidR="00675576">
        <w:t xml:space="preserve"> in year 1.</w:t>
      </w:r>
      <w:r w:rsidR="001226E9">
        <w:t xml:space="preserve"> While MSAC acknowledged that this estimate is likely unrealistic in practice, MSAC considered it a reflection of the potentially high financial implications to the MBS based on the </w:t>
      </w:r>
      <w:r w:rsidR="00142D5F">
        <w:t>proposed</w:t>
      </w:r>
      <w:r w:rsidR="001542C7">
        <w:t xml:space="preserve"> eligible</w:t>
      </w:r>
      <w:r w:rsidR="00142D5F">
        <w:t xml:space="preserve"> </w:t>
      </w:r>
      <w:r w:rsidR="001226E9">
        <w:t>population</w:t>
      </w:r>
      <w:r w:rsidR="008E2D55">
        <w:t xml:space="preserve"> for RDN</w:t>
      </w:r>
      <w:r w:rsidR="001226E9">
        <w:t>.</w:t>
      </w:r>
      <w:r w:rsidR="00675576">
        <w:t xml:space="preserve"> </w:t>
      </w:r>
    </w:p>
    <w:p w14:paraId="1B4C0DDA" w14:textId="391A2E83" w:rsidR="007D1761" w:rsidRDefault="007D1761" w:rsidP="007D1761">
      <w:r>
        <w:t xml:space="preserve">MSAC noted that the ADAR estimated the net financial impact to the MBS to be </w:t>
      </w:r>
      <w:r w:rsidR="00411299">
        <w:t>$</w:t>
      </w:r>
      <w:r w:rsidR="00411299">
        <w:rPr>
          <w:b/>
          <w:bCs/>
        </w:rPr>
        <w:t>redacted</w:t>
      </w:r>
      <w:r>
        <w:t xml:space="preserve"> in year 1, increasing to $</w:t>
      </w:r>
      <w:r w:rsidR="000B3821">
        <w:rPr>
          <w:b/>
          <w:bCs/>
        </w:rPr>
        <w:t>redacted</w:t>
      </w:r>
      <w:r>
        <w:t xml:space="preserve"> in year 6</w:t>
      </w:r>
      <w:r w:rsidR="009438F7">
        <w:t xml:space="preserve"> assuming an MBS fee for RDN equivalent to MBS item 38287 (</w:t>
      </w:r>
      <w:r w:rsidR="009438F7" w:rsidRPr="009438F7">
        <w:t>atrial chamber ablation</w:t>
      </w:r>
      <w:r w:rsidR="009438F7">
        <w:t>)</w:t>
      </w:r>
      <w:r>
        <w:t>. MSAC</w:t>
      </w:r>
      <w:r w:rsidR="008E2D55">
        <w:t xml:space="preserve"> agreed with the </w:t>
      </w:r>
      <w:r w:rsidR="00142D5F">
        <w:t>D</w:t>
      </w:r>
      <w:r w:rsidR="008E2D55">
        <w:t>epartment and</w:t>
      </w:r>
      <w:r>
        <w:t xml:space="preserve"> did not consider MBS item </w:t>
      </w:r>
      <w:r w:rsidR="00142D5F">
        <w:t xml:space="preserve">38287 </w:t>
      </w:r>
      <w:r>
        <w:t>to be an</w:t>
      </w:r>
      <w:r w:rsidDel="00A52075">
        <w:t xml:space="preserve"> </w:t>
      </w:r>
      <w:r w:rsidR="00522A53">
        <w:t>equivalent procedure to RDN in terms of complexity and time taken for procedure</w:t>
      </w:r>
      <w:r w:rsidR="001E54E5">
        <w:t xml:space="preserve"> and therefore did not consider </w:t>
      </w:r>
      <w:r w:rsidR="00D17670">
        <w:t>it appropriate for the fee for RDN to be the same as MBS item 3</w:t>
      </w:r>
      <w:r w:rsidR="00DF47B0">
        <w:t>8287</w:t>
      </w:r>
      <w:r w:rsidR="00D17670">
        <w:t xml:space="preserve">. </w:t>
      </w:r>
      <w:r w:rsidR="00224480">
        <w:t>MSAC</w:t>
      </w:r>
      <w:r>
        <w:t xml:space="preserve"> considered MBS item 3</w:t>
      </w:r>
      <w:r w:rsidR="00142D5F">
        <w:t>352</w:t>
      </w:r>
      <w:r>
        <w:t xml:space="preserve">7 to be </w:t>
      </w:r>
      <w:r w:rsidR="006830CC">
        <w:t xml:space="preserve">a </w:t>
      </w:r>
      <w:r>
        <w:t>more appropriate</w:t>
      </w:r>
      <w:r w:rsidR="000018F9">
        <w:t xml:space="preserve"> </w:t>
      </w:r>
      <w:r w:rsidR="00313BC4">
        <w:t xml:space="preserve">fee </w:t>
      </w:r>
      <w:r w:rsidR="000018F9">
        <w:t>comparison</w:t>
      </w:r>
      <w:r>
        <w:t xml:space="preserve">. </w:t>
      </w:r>
      <w:r w:rsidR="00313BC4">
        <w:t xml:space="preserve">MSAC noted </w:t>
      </w:r>
      <w:r w:rsidR="00DB16E5">
        <w:t>the alternative</w:t>
      </w:r>
      <w:r w:rsidR="00313BC4" w:rsidRPr="00313BC4">
        <w:t xml:space="preserve"> financial impact </w:t>
      </w:r>
      <w:r w:rsidR="00080604">
        <w:t xml:space="preserve">analysis, </w:t>
      </w:r>
      <w:r w:rsidR="00313BC4" w:rsidRPr="00313BC4">
        <w:t xml:space="preserve">based on aligning the RDN fee with the fee for MBS item 33527, </w:t>
      </w:r>
      <w:r w:rsidR="00CD5E43">
        <w:t xml:space="preserve">resulted in a </w:t>
      </w:r>
      <w:r w:rsidR="00313BC4" w:rsidRPr="00313BC4">
        <w:t xml:space="preserve">slightly reduced </w:t>
      </w:r>
      <w:r w:rsidR="00CD5E43">
        <w:t>net</w:t>
      </w:r>
      <w:r w:rsidR="00313BC4" w:rsidRPr="00313BC4">
        <w:t xml:space="preserve"> impact to</w:t>
      </w:r>
      <w:r w:rsidR="00CD5E43">
        <w:t xml:space="preserve"> the MBS of</w:t>
      </w:r>
      <w:r w:rsidR="00313BC4" w:rsidRPr="00313BC4">
        <w:t xml:space="preserve"> $</w:t>
      </w:r>
      <w:r w:rsidR="00411299">
        <w:rPr>
          <w:b/>
          <w:bCs/>
        </w:rPr>
        <w:t>redacted</w:t>
      </w:r>
      <w:r w:rsidR="00313BC4" w:rsidRPr="00313BC4">
        <w:t xml:space="preserve"> in year 1 to </w:t>
      </w:r>
      <w:r w:rsidR="00411299">
        <w:t>$</w:t>
      </w:r>
      <w:r w:rsidR="00DB44F7">
        <w:rPr>
          <w:b/>
          <w:bCs/>
        </w:rPr>
        <w:t>redacted</w:t>
      </w:r>
      <w:r w:rsidR="00313BC4" w:rsidRPr="00313BC4">
        <w:t xml:space="preserve"> in year 6. </w:t>
      </w:r>
    </w:p>
    <w:p w14:paraId="4FBC3411" w14:textId="5117C09C" w:rsidR="007D1761" w:rsidRPr="000B3821" w:rsidRDefault="007D1761" w:rsidP="007D1761">
      <w:r>
        <w:t>MSAC noted that there were other cost factors not addressed. These included follow-up imaging costs</w:t>
      </w:r>
      <w:r w:rsidR="008E2D55">
        <w:t xml:space="preserve"> (</w:t>
      </w:r>
      <w:r w:rsidR="0074090A">
        <w:t>e.g.</w:t>
      </w:r>
      <w:r w:rsidR="008E2D55">
        <w:t xml:space="preserve"> to monitor for renal artery stenosis)</w:t>
      </w:r>
      <w:r>
        <w:t xml:space="preserve">, patient out-of-pocket costs, and </w:t>
      </w:r>
      <w:r w:rsidR="0074090A">
        <w:t>cost of</w:t>
      </w:r>
      <w:r>
        <w:t xml:space="preserve"> the RDN catheter (proposed to be </w:t>
      </w:r>
      <w:r w:rsidR="00E957A7">
        <w:t>$</w:t>
      </w:r>
      <w:r w:rsidR="00E957A7">
        <w:rPr>
          <w:b/>
          <w:bCs/>
        </w:rPr>
        <w:t>redacted</w:t>
      </w:r>
      <w:r>
        <w:t xml:space="preserve">) </w:t>
      </w:r>
      <w:r w:rsidRPr="00DB44F7">
        <w:t xml:space="preserve">if </w:t>
      </w:r>
      <w:r w:rsidR="0074090A" w:rsidRPr="00DB44F7">
        <w:t>it is</w:t>
      </w:r>
      <w:r w:rsidRPr="00DB44F7">
        <w:t xml:space="preserve"> not approved for listing on Part C of the Prescribed List of Medical Devices and Human Tissue Products.</w:t>
      </w:r>
    </w:p>
    <w:p w14:paraId="02266225" w14:textId="58FA72FE" w:rsidR="007D1761" w:rsidRPr="00065A69" w:rsidRDefault="0061738B" w:rsidP="007D1761">
      <w:r>
        <w:t xml:space="preserve">Overall, </w:t>
      </w:r>
      <w:r w:rsidR="007D1761">
        <w:t xml:space="preserve">MSAC considered the financial impact to be uncertain, and that, under some </w:t>
      </w:r>
      <w:r w:rsidR="00D67ADD">
        <w:t xml:space="preserve">plausible </w:t>
      </w:r>
      <w:r w:rsidR="007D1761">
        <w:t xml:space="preserve">scenarios, it could be </w:t>
      </w:r>
      <w:r w:rsidR="008E2D55">
        <w:t>significantly higher than estimated in the ADAR</w:t>
      </w:r>
      <w:r w:rsidR="007D1761">
        <w:t xml:space="preserve">. </w:t>
      </w:r>
      <w:r w:rsidR="007D1761" w:rsidRPr="00065A69">
        <w:t xml:space="preserve">MSAC noted that the applicant also acknowledged that the </w:t>
      </w:r>
      <w:r w:rsidR="008E2D55" w:rsidRPr="00065A69">
        <w:t xml:space="preserve">financial </w:t>
      </w:r>
      <w:r w:rsidR="007D1761" w:rsidRPr="00065A69">
        <w:t xml:space="preserve">estimates were highly uncertain, so offered to explore a risk-sharing arrangement. However, the Department advised that </w:t>
      </w:r>
      <w:r w:rsidR="009C327E" w:rsidRPr="00065A69">
        <w:t>this could</w:t>
      </w:r>
      <w:r w:rsidR="00450F1A" w:rsidRPr="00065A69">
        <w:t xml:space="preserve"> not</w:t>
      </w:r>
      <w:r w:rsidR="009C327E" w:rsidRPr="00065A69">
        <w:t xml:space="preserve"> be accommodated within the existing legislative framework</w:t>
      </w:r>
      <w:r w:rsidR="00450F1A" w:rsidRPr="00065A69">
        <w:t xml:space="preserve"> for the MBS</w:t>
      </w:r>
      <w:r w:rsidR="007D1761" w:rsidRPr="00065A69">
        <w:t>.</w:t>
      </w:r>
    </w:p>
    <w:p w14:paraId="421D2723" w14:textId="009C5FA5" w:rsidR="006E6BB4" w:rsidRDefault="007D1761" w:rsidP="006E6BB4">
      <w:r>
        <w:t xml:space="preserve">Overall, MSAC did not support public funding of RDN with an RF ablation catheter for the treatment of patients with specialist-confirmed TRHTN. </w:t>
      </w:r>
      <w:r w:rsidR="009D3625">
        <w:t>MSAC considered the safety of RDN non-inferior to similar procedures including renal angiograph</w:t>
      </w:r>
      <w:r w:rsidR="004E1AD4">
        <w:t>y, but inferior compared with OMM alone</w:t>
      </w:r>
      <w:r w:rsidR="000D78A4">
        <w:t xml:space="preserve"> – the current standard of care</w:t>
      </w:r>
      <w:r w:rsidR="004E1AD4">
        <w:t xml:space="preserve">. MSAC considered </w:t>
      </w:r>
      <w:r w:rsidR="00D67ADD">
        <w:t xml:space="preserve">that based on the available evidence </w:t>
      </w:r>
      <w:r w:rsidR="004E1AD4">
        <w:t>the treatment effect size of RDN in the short term to not be clinically meaningful</w:t>
      </w:r>
      <w:r w:rsidR="00D67ADD">
        <w:t xml:space="preserve"> in the proposed population</w:t>
      </w:r>
      <w:r w:rsidR="004E1AD4">
        <w:t xml:space="preserve">. </w:t>
      </w:r>
      <w:r>
        <w:t xml:space="preserve">Although registry data are encouraging, MSAC noted that there is no proven long-term reduction in cardiovascular events due to RDN. </w:t>
      </w:r>
      <w:r w:rsidR="004E1AD4">
        <w:t>Due to the reasons highlighted above</w:t>
      </w:r>
      <w:r>
        <w:t>,</w:t>
      </w:r>
      <w:r w:rsidR="000E785A">
        <w:t xml:space="preserve"> MSAC </w:t>
      </w:r>
      <w:r w:rsidR="004E1AD4">
        <w:t xml:space="preserve">did not </w:t>
      </w:r>
      <w:r w:rsidR="000E785A">
        <w:t>consider that</w:t>
      </w:r>
      <w:r>
        <w:t xml:space="preserve"> RDN has </w:t>
      </w:r>
      <w:r w:rsidR="004E1AD4">
        <w:t xml:space="preserve">superior clinical </w:t>
      </w:r>
      <w:r>
        <w:t xml:space="preserve">effectiveness </w:t>
      </w:r>
      <w:r w:rsidR="004E1AD4">
        <w:t xml:space="preserve">compared with </w:t>
      </w:r>
      <w:r w:rsidR="007A6B13">
        <w:t>the comparator</w:t>
      </w:r>
      <w:r w:rsidR="004E1AD4">
        <w:t xml:space="preserve"> </w:t>
      </w:r>
      <w:r w:rsidR="007A6B13">
        <w:t>(</w:t>
      </w:r>
      <w:r w:rsidR="004E1AD4">
        <w:t>OMM</w:t>
      </w:r>
      <w:r w:rsidR="007A6B13">
        <w:t>)</w:t>
      </w:r>
      <w:r>
        <w:t xml:space="preserve"> in</w:t>
      </w:r>
      <w:r w:rsidR="000E785A">
        <w:t xml:space="preserve"> the proposed patient population</w:t>
      </w:r>
      <w:r>
        <w:t xml:space="preserve">. </w:t>
      </w:r>
      <w:r w:rsidR="00343ACA">
        <w:rPr>
          <w:rStyle w:val="normaltextrun"/>
          <w:color w:val="000000"/>
          <w:shd w:val="clear" w:color="auto" w:fill="FFFFFF"/>
        </w:rPr>
        <w:t xml:space="preserve">MSAC considered </w:t>
      </w:r>
      <w:r w:rsidR="00087BF8">
        <w:rPr>
          <w:rStyle w:val="normaltextrun"/>
          <w:color w:val="000000"/>
          <w:shd w:val="clear" w:color="auto" w:fill="FFFFFF"/>
        </w:rPr>
        <w:t>that</w:t>
      </w:r>
      <w:r w:rsidR="00343ACA">
        <w:rPr>
          <w:rStyle w:val="normaltextrun"/>
          <w:color w:val="000000"/>
          <w:shd w:val="clear" w:color="auto" w:fill="FFFFFF"/>
        </w:rPr>
        <w:t xml:space="preserve"> the cost-effectiveness of RDN was uncertain because the economic analysis applied reductions in OSBP from a small, subgroup of a single trial that was not statistically significant and was further compounded by the uncertain longevity of </w:t>
      </w:r>
      <w:r w:rsidR="000E67FF">
        <w:rPr>
          <w:rStyle w:val="normaltextrun"/>
          <w:color w:val="000000"/>
          <w:shd w:val="clear" w:color="auto" w:fill="FFFFFF"/>
        </w:rPr>
        <w:t xml:space="preserve">the </w:t>
      </w:r>
      <w:r w:rsidR="00343ACA">
        <w:rPr>
          <w:rStyle w:val="normaltextrun"/>
          <w:color w:val="000000"/>
          <w:shd w:val="clear" w:color="auto" w:fill="FFFFFF"/>
        </w:rPr>
        <w:t>RDN</w:t>
      </w:r>
      <w:r w:rsidR="000E67FF">
        <w:rPr>
          <w:rStyle w:val="normaltextrun"/>
          <w:color w:val="000000"/>
          <w:shd w:val="clear" w:color="auto" w:fill="FFFFFF"/>
        </w:rPr>
        <w:t xml:space="preserve"> effect</w:t>
      </w:r>
      <w:r w:rsidR="00343ACA">
        <w:rPr>
          <w:rStyle w:val="normaltextrun"/>
          <w:color w:val="000000"/>
          <w:shd w:val="clear" w:color="auto" w:fill="FFFFFF"/>
        </w:rPr>
        <w:t>. The financial analysis was also considered to be highly uncertain and potentially underestimated.</w:t>
      </w:r>
    </w:p>
    <w:p w14:paraId="0CCD3CC5" w14:textId="20DED59D" w:rsidR="00343ACA" w:rsidRPr="000A352D" w:rsidRDefault="00343ACA" w:rsidP="006E6BB4">
      <w:r>
        <w:rPr>
          <w:rStyle w:val="normaltextrun"/>
          <w:color w:val="000000"/>
          <w:shd w:val="clear" w:color="auto" w:fill="FFFFFF"/>
        </w:rPr>
        <w:t xml:space="preserve">MSAC considered that there may be a high clinical need for RDN in a specific subset of patients who have </w:t>
      </w:r>
      <w:r w:rsidR="006830CC">
        <w:rPr>
          <w:rStyle w:val="normaltextrun"/>
          <w:color w:val="000000"/>
          <w:shd w:val="clear" w:color="auto" w:fill="FFFFFF"/>
        </w:rPr>
        <w:t>TRHTN</w:t>
      </w:r>
      <w:r>
        <w:rPr>
          <w:rStyle w:val="normaltextrun"/>
          <w:color w:val="000000"/>
          <w:shd w:val="clear" w:color="auto" w:fill="FFFFFF"/>
        </w:rPr>
        <w:t xml:space="preserve"> (e.g.</w:t>
      </w:r>
      <w:r w:rsidR="008E3018">
        <w:rPr>
          <w:rStyle w:val="normaltextrun"/>
          <w:color w:val="000000"/>
          <w:shd w:val="clear" w:color="auto" w:fill="FFFFFF"/>
        </w:rPr>
        <w:t>,</w:t>
      </w:r>
      <w:r>
        <w:rPr>
          <w:rStyle w:val="normaltextrun"/>
          <w:color w:val="000000"/>
          <w:shd w:val="clear" w:color="auto" w:fill="FFFFFF"/>
        </w:rPr>
        <w:t xml:space="preserve"> patients who are in ‘hypertensive crisis’ with &gt;180 mmHg </w:t>
      </w:r>
      <w:r w:rsidR="00125059">
        <w:rPr>
          <w:rStyle w:val="normaltextrun"/>
          <w:color w:val="000000"/>
          <w:shd w:val="clear" w:color="auto" w:fill="FFFFFF"/>
        </w:rPr>
        <w:t>S</w:t>
      </w:r>
      <w:r>
        <w:rPr>
          <w:rStyle w:val="normaltextrun"/>
          <w:color w:val="000000"/>
          <w:shd w:val="clear" w:color="auto" w:fill="FFFFFF"/>
        </w:rPr>
        <w:t xml:space="preserve">BP /120mmHg </w:t>
      </w:r>
      <w:r w:rsidR="00125059">
        <w:rPr>
          <w:rStyle w:val="normaltextrun"/>
          <w:color w:val="000000"/>
          <w:shd w:val="clear" w:color="auto" w:fill="FFFFFF"/>
        </w:rPr>
        <w:t>D</w:t>
      </w:r>
      <w:r>
        <w:rPr>
          <w:rStyle w:val="normaltextrun"/>
          <w:color w:val="000000"/>
          <w:shd w:val="clear" w:color="auto" w:fill="FFFFFF"/>
        </w:rPr>
        <w:t xml:space="preserve">BP) who are on OMM with no other treatment alternatives as determined by a multidisciplinary team. MSAC noted that this subpopulation </w:t>
      </w:r>
      <w:r w:rsidR="002C6470">
        <w:rPr>
          <w:rStyle w:val="normaltextrun"/>
          <w:color w:val="000000"/>
          <w:shd w:val="clear" w:color="auto" w:fill="FFFFFF"/>
        </w:rPr>
        <w:t>was</w:t>
      </w:r>
      <w:r>
        <w:rPr>
          <w:rStyle w:val="normaltextrun"/>
          <w:color w:val="000000"/>
          <w:shd w:val="clear" w:color="auto" w:fill="FFFFFF"/>
        </w:rPr>
        <w:t xml:space="preserve"> excluded from </w:t>
      </w:r>
      <w:r w:rsidR="009C327E">
        <w:rPr>
          <w:rStyle w:val="normaltextrun"/>
          <w:color w:val="000000"/>
          <w:shd w:val="clear" w:color="auto" w:fill="FFFFFF"/>
        </w:rPr>
        <w:t>the</w:t>
      </w:r>
      <w:r>
        <w:rPr>
          <w:rStyle w:val="normaltextrun"/>
          <w:color w:val="000000"/>
          <w:shd w:val="clear" w:color="auto" w:fill="FFFFFF"/>
        </w:rPr>
        <w:t xml:space="preserve"> </w:t>
      </w:r>
      <w:r w:rsidR="009C327E">
        <w:rPr>
          <w:rStyle w:val="normaltextrun"/>
          <w:color w:val="000000"/>
          <w:shd w:val="clear" w:color="auto" w:fill="FFFFFF"/>
        </w:rPr>
        <w:t xml:space="preserve">recent </w:t>
      </w:r>
      <w:r w:rsidR="009C327E">
        <w:rPr>
          <w:rStyle w:val="normaltextrun"/>
          <w:color w:val="000000"/>
          <w:shd w:val="clear" w:color="auto" w:fill="FFFFFF"/>
        </w:rPr>
        <w:lastRenderedPageBreak/>
        <w:t>SPYRAL HTN-ON MED and SPYRAL HTN-OFF MED</w:t>
      </w:r>
      <w:r w:rsidR="00125059">
        <w:rPr>
          <w:rStyle w:val="normaltextrun"/>
          <w:color w:val="000000"/>
          <w:shd w:val="clear" w:color="auto" w:fill="FFFFFF"/>
        </w:rPr>
        <w:t xml:space="preserve"> studies </w:t>
      </w:r>
      <w:r w:rsidR="009C327E">
        <w:rPr>
          <w:rStyle w:val="normaltextrun"/>
          <w:color w:val="000000"/>
          <w:shd w:val="clear" w:color="auto" w:fill="FFFFFF"/>
        </w:rPr>
        <w:t>which used</w:t>
      </w:r>
      <w:r w:rsidR="00125059">
        <w:rPr>
          <w:rStyle w:val="normaltextrun"/>
          <w:color w:val="000000"/>
          <w:shd w:val="clear" w:color="auto" w:fill="FFFFFF"/>
        </w:rPr>
        <w:t xml:space="preserve"> the </w:t>
      </w:r>
      <w:r w:rsidR="009C327E">
        <w:rPr>
          <w:rStyle w:val="normaltextrun"/>
          <w:color w:val="000000"/>
          <w:shd w:val="clear" w:color="auto" w:fill="FFFFFF"/>
        </w:rPr>
        <w:t>second generation SYMPLICITY S</w:t>
      </w:r>
      <w:r w:rsidR="00BD7FEA">
        <w:rPr>
          <w:rStyle w:val="normaltextrun"/>
          <w:color w:val="000000"/>
          <w:shd w:val="clear" w:color="auto" w:fill="FFFFFF"/>
        </w:rPr>
        <w:t>pyral</w:t>
      </w:r>
      <w:r w:rsidR="009C327E">
        <w:rPr>
          <w:rStyle w:val="normaltextrun"/>
          <w:color w:val="000000"/>
          <w:shd w:val="clear" w:color="auto" w:fill="FFFFFF"/>
        </w:rPr>
        <w:t xml:space="preserve"> device included on the ARTG</w:t>
      </w:r>
      <w:r w:rsidR="00125059">
        <w:rPr>
          <w:rStyle w:val="normaltextrun"/>
          <w:color w:val="000000"/>
          <w:shd w:val="clear" w:color="auto" w:fill="FFFFFF"/>
        </w:rPr>
        <w:t xml:space="preserve">. </w:t>
      </w:r>
      <w:r>
        <w:rPr>
          <w:rStyle w:val="normaltextrun"/>
          <w:color w:val="000000"/>
          <w:shd w:val="clear" w:color="auto" w:fill="FFFFFF"/>
        </w:rPr>
        <w:t xml:space="preserve">MSAC considered that if this subpopulation </w:t>
      </w:r>
      <w:r w:rsidR="00AC2922">
        <w:rPr>
          <w:rStyle w:val="normaltextrun"/>
          <w:color w:val="000000"/>
          <w:shd w:val="clear" w:color="auto" w:fill="FFFFFF"/>
        </w:rPr>
        <w:t>were to be</w:t>
      </w:r>
      <w:r>
        <w:rPr>
          <w:rStyle w:val="normaltextrun"/>
          <w:color w:val="000000"/>
          <w:shd w:val="clear" w:color="auto" w:fill="FFFFFF"/>
        </w:rPr>
        <w:t xml:space="preserve"> pursued, then a reapplication supported by evidence for the clinical effectiveness of RDN in this specific sub</w:t>
      </w:r>
      <w:r w:rsidR="0074090A">
        <w:rPr>
          <w:rStyle w:val="normaltextrun"/>
          <w:color w:val="000000"/>
          <w:shd w:val="clear" w:color="auto" w:fill="FFFFFF"/>
        </w:rPr>
        <w:t>group</w:t>
      </w:r>
      <w:r>
        <w:rPr>
          <w:rStyle w:val="normaltextrun"/>
          <w:color w:val="000000"/>
          <w:shd w:val="clear" w:color="auto" w:fill="FFFFFF"/>
        </w:rPr>
        <w:t xml:space="preserve"> would be required.</w:t>
      </w:r>
    </w:p>
    <w:p w14:paraId="6710B69D" w14:textId="328C3C2E" w:rsidR="00772829" w:rsidRDefault="006E6BB4" w:rsidP="002A18BE">
      <w:pPr>
        <w:pStyle w:val="Heading2"/>
        <w:numPr>
          <w:ilvl w:val="0"/>
          <w:numId w:val="0"/>
        </w:numPr>
      </w:pPr>
      <w:bookmarkStart w:id="3" w:name="_Toc69491416"/>
      <w:bookmarkEnd w:id="2"/>
      <w:r>
        <w:t>4</w:t>
      </w:r>
      <w:r w:rsidR="00C36633">
        <w:t>.</w:t>
      </w:r>
      <w:r w:rsidR="00C36633">
        <w:tab/>
      </w:r>
      <w:r w:rsidR="00772829" w:rsidRPr="00CE28E3">
        <w:t>Background</w:t>
      </w:r>
      <w:bookmarkEnd w:id="3"/>
    </w:p>
    <w:p w14:paraId="4AA941A4" w14:textId="2EB9A464" w:rsidR="007229CB" w:rsidRPr="000B3821" w:rsidRDefault="00F06BC0" w:rsidP="00755F12">
      <w:r>
        <w:t>MSAC has not previously considered RDN</w:t>
      </w:r>
      <w:r w:rsidR="00C51884">
        <w:t xml:space="preserve"> for treatment of </w:t>
      </w:r>
      <w:r w:rsidR="00FD4F38">
        <w:t>TRHTN</w:t>
      </w:r>
      <w:r w:rsidR="006E7E8C">
        <w:t xml:space="preserve"> or for any other indication</w:t>
      </w:r>
      <w:r w:rsidR="007229CB">
        <w:t xml:space="preserve">. </w:t>
      </w:r>
      <w:r w:rsidR="00070478">
        <w:t xml:space="preserve">In 2012, </w:t>
      </w:r>
      <w:r w:rsidR="007229CB">
        <w:t>Medtronic Austral</w:t>
      </w:r>
      <w:r w:rsidR="00281221">
        <w:t>as</w:t>
      </w:r>
      <w:r w:rsidR="007229CB">
        <w:t xml:space="preserve">ia initiated an MSAC application for the listing of RDN </w:t>
      </w:r>
      <w:r w:rsidR="009558ED">
        <w:t>for TRHTN</w:t>
      </w:r>
      <w:r w:rsidR="00070478">
        <w:t xml:space="preserve"> based </w:t>
      </w:r>
      <w:r w:rsidR="002B26AF">
        <w:t xml:space="preserve">on evidence from an </w:t>
      </w:r>
      <w:r w:rsidR="007229CB">
        <w:t>early proof-of-concept single</w:t>
      </w:r>
      <w:r w:rsidR="002C6C37">
        <w:t>-</w:t>
      </w:r>
      <w:r w:rsidR="007229CB">
        <w:t>arm study (SYMPLICITY HTN-1</w:t>
      </w:r>
      <w:r w:rsidR="002B26AF">
        <w:t xml:space="preserve">) </w:t>
      </w:r>
      <w:r w:rsidR="007229CB">
        <w:t xml:space="preserve">and an </w:t>
      </w:r>
      <w:r w:rsidR="004360D3">
        <w:t xml:space="preserve">open </w:t>
      </w:r>
      <w:r w:rsidR="007229CB">
        <w:t>randomised controlled study (SYMPLICITY HTN-2), in addition to other trials of RDN using RF ablation conducted in a TRHTN study population</w:t>
      </w:r>
      <w:r w:rsidR="007D3936">
        <w:t xml:space="preserve"> (</w:t>
      </w:r>
      <w:hyperlink r:id="rId9" w:history="1">
        <w:r w:rsidR="004943D9" w:rsidRPr="00227CE8">
          <w:rPr>
            <w:rStyle w:val="Hyperlink"/>
          </w:rPr>
          <w:t>MSAC a</w:t>
        </w:r>
        <w:r w:rsidR="007D3936" w:rsidRPr="00227CE8">
          <w:rPr>
            <w:rStyle w:val="Hyperlink"/>
          </w:rPr>
          <w:t>pplication 1338</w:t>
        </w:r>
      </w:hyperlink>
      <w:r w:rsidR="007D3936">
        <w:t>)</w:t>
      </w:r>
      <w:r w:rsidR="007229CB">
        <w:t xml:space="preserve">. </w:t>
      </w:r>
      <w:r w:rsidR="00755F12" w:rsidRPr="004D0CBD">
        <w:t>The Decision Analytic Protocol (DAP) was finalised in September 2013, and an MSAC submission was lodged in October 2013.</w:t>
      </w:r>
      <w:r w:rsidR="00AA48C2" w:rsidRPr="004D0CBD">
        <w:t xml:space="preserve"> </w:t>
      </w:r>
      <w:r w:rsidR="007229CB" w:rsidRPr="004D0CBD">
        <w:t xml:space="preserve">However, just after </w:t>
      </w:r>
      <w:r w:rsidR="003335F1" w:rsidRPr="004D0CBD">
        <w:t>submission</w:t>
      </w:r>
      <w:r w:rsidR="007229CB" w:rsidRPr="004D0CBD">
        <w:t>, results from a single-blind, randomised, sham-controlled clinical trial (SYMPLICITY HTN-3) became available</w:t>
      </w:r>
      <w:r w:rsidR="00A8221F" w:rsidRPr="004D0CBD">
        <w:t>,</w:t>
      </w:r>
      <w:r w:rsidR="007229CB" w:rsidRPr="004D0CBD">
        <w:t xml:space="preserve"> which failed to confirm a significant beneficial effect of RDN on blood pressure </w:t>
      </w:r>
      <w:r w:rsidR="00E06A2B" w:rsidRPr="004D0CBD">
        <w:t xml:space="preserve">(BP) </w:t>
      </w:r>
      <w:r w:rsidR="007229CB" w:rsidRPr="004D0CBD">
        <w:t xml:space="preserve">compared </w:t>
      </w:r>
      <w:r w:rsidR="00C21201" w:rsidRPr="004D0CBD">
        <w:t>with</w:t>
      </w:r>
      <w:r w:rsidR="007229CB" w:rsidRPr="004D0CBD">
        <w:t xml:space="preserve"> the sham procedure. As a consequence of the </w:t>
      </w:r>
      <w:r w:rsidR="00472DDF" w:rsidRPr="004D0CBD">
        <w:t xml:space="preserve">negative </w:t>
      </w:r>
      <w:r w:rsidR="007229CB" w:rsidRPr="004D0CBD">
        <w:t xml:space="preserve">outcome of the </w:t>
      </w:r>
      <w:r w:rsidR="000324B8" w:rsidRPr="004D0CBD">
        <w:t xml:space="preserve">SYMPLICITY </w:t>
      </w:r>
      <w:r w:rsidR="007229CB" w:rsidRPr="004D0CBD">
        <w:t xml:space="preserve">HTN-3 trial, many programs for the development of various RDN devices were halted or suspended and </w:t>
      </w:r>
      <w:r w:rsidR="00B10A1C" w:rsidRPr="004D0CBD">
        <w:t>MSAC a</w:t>
      </w:r>
      <w:r w:rsidR="007229CB" w:rsidRPr="004D0CBD">
        <w:t xml:space="preserve">pplication </w:t>
      </w:r>
      <w:r w:rsidR="00973597" w:rsidRPr="004D0CBD">
        <w:t>1338</w:t>
      </w:r>
      <w:r w:rsidR="007229CB" w:rsidRPr="004D0CBD">
        <w:t xml:space="preserve"> was </w:t>
      </w:r>
      <w:r w:rsidR="002B5426" w:rsidRPr="004D0CBD">
        <w:t>withdrawn</w:t>
      </w:r>
      <w:r w:rsidR="007229CB" w:rsidRPr="004D0CBD">
        <w:t>.</w:t>
      </w:r>
    </w:p>
    <w:p w14:paraId="07A71C11" w14:textId="21376FDF" w:rsidR="007229CB" w:rsidRDefault="007229CB" w:rsidP="007229CB">
      <w:r>
        <w:t xml:space="preserve">More recently, long term data from </w:t>
      </w:r>
      <w:r w:rsidR="00A14843">
        <w:t xml:space="preserve">SYMPLICITY </w:t>
      </w:r>
      <w:r>
        <w:t>HTN-</w:t>
      </w:r>
      <w:r w:rsidR="00C71C33">
        <w:t>3 and</w:t>
      </w:r>
      <w:r>
        <w:t xml:space="preserve"> </w:t>
      </w:r>
      <w:r w:rsidR="00642137">
        <w:t>other trials</w:t>
      </w:r>
      <w:r>
        <w:t xml:space="preserve"> </w:t>
      </w:r>
      <w:r w:rsidR="00642137">
        <w:t>ha</w:t>
      </w:r>
      <w:r w:rsidR="009A449A">
        <w:t>ve</w:t>
      </w:r>
      <w:r w:rsidR="00642137">
        <w:t xml:space="preserve"> become available</w:t>
      </w:r>
      <w:r>
        <w:t xml:space="preserve">, </w:t>
      </w:r>
      <w:r w:rsidR="008C532B">
        <w:t>together with</w:t>
      </w:r>
      <w:r>
        <w:t xml:space="preserve"> </w:t>
      </w:r>
      <w:r w:rsidR="00B338CD">
        <w:t xml:space="preserve">data from the Global </w:t>
      </w:r>
      <w:r w:rsidR="00C63BF7">
        <w:t>SYMPLICITY</w:t>
      </w:r>
      <w:r w:rsidR="00B338CD">
        <w:t xml:space="preserve"> Registry and </w:t>
      </w:r>
      <w:r>
        <w:t>recent randomised sham</w:t>
      </w:r>
      <w:r w:rsidR="008C532B">
        <w:t>-</w:t>
      </w:r>
      <w:r>
        <w:t>controlled trials of RDN</w:t>
      </w:r>
      <w:r w:rsidR="008C532B">
        <w:t xml:space="preserve"> </w:t>
      </w:r>
      <w:r>
        <w:t xml:space="preserve">involving the next generation </w:t>
      </w:r>
      <w:r w:rsidR="00C63BF7">
        <w:t>SYMPLICITY</w:t>
      </w:r>
      <w:r>
        <w:t xml:space="preserve"> Spyral RDN system. Medtronic Australia therefore </w:t>
      </w:r>
      <w:r w:rsidR="003D0333">
        <w:t xml:space="preserve">initiated a new </w:t>
      </w:r>
      <w:r w:rsidR="00AE048D">
        <w:t xml:space="preserve">MSAC </w:t>
      </w:r>
      <w:r w:rsidR="003D0333">
        <w:t>application</w:t>
      </w:r>
      <w:r w:rsidR="008B2637">
        <w:t>, acknowledging</w:t>
      </w:r>
      <w:r>
        <w:t xml:space="preserve"> changes in updated treatment guidelines for managing </w:t>
      </w:r>
      <w:r w:rsidR="00DC11A1">
        <w:t>hypertension (</w:t>
      </w:r>
      <w:r>
        <w:t>HTN</w:t>
      </w:r>
      <w:r w:rsidR="00DC11A1">
        <w:t>)</w:t>
      </w:r>
      <w:r w:rsidR="00ED1025">
        <w:t xml:space="preserve"> and potential </w:t>
      </w:r>
      <w:r w:rsidR="00CE0440">
        <w:t>changes in the population targeted for RDN</w:t>
      </w:r>
      <w:r w:rsidR="00AE048D">
        <w:t>.</w:t>
      </w:r>
    </w:p>
    <w:p w14:paraId="5731DBCD" w14:textId="36B9E24E" w:rsidR="009F0C6E" w:rsidRPr="009F0C6E" w:rsidRDefault="009F0C6E" w:rsidP="009F0C6E">
      <w:pPr>
        <w:pStyle w:val="Caption"/>
      </w:pPr>
      <w:r w:rsidRPr="00CE28E3">
        <w:t>Table</w:t>
      </w:r>
      <w:r>
        <w:t> </w:t>
      </w:r>
      <w:r>
        <w:fldChar w:fldCharType="begin"/>
      </w:r>
      <w:r>
        <w:instrText>SEQ Table \* ARABIC</w:instrText>
      </w:r>
      <w:r>
        <w:fldChar w:fldCharType="separate"/>
      </w:r>
      <w:r w:rsidR="003D5203">
        <w:rPr>
          <w:noProof/>
        </w:rPr>
        <w:t>1</w:t>
      </w:r>
      <w:r>
        <w:fldChar w:fldCharType="end"/>
      </w:r>
      <w:r w:rsidRPr="00CE28E3">
        <w:tab/>
      </w:r>
      <w:r>
        <w:t xml:space="preserve">MSAC application history for </w:t>
      </w:r>
      <w:r w:rsidR="00347BAC">
        <w:t>renal denervation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MSAC application history for RDN"/>
        <w:tblDescription w:val="Applications for RDN and consideration dates by PASC, ESC and MSAC"/>
      </w:tblPr>
      <w:tblGrid>
        <w:gridCol w:w="4586"/>
        <w:gridCol w:w="4430"/>
      </w:tblGrid>
      <w:tr w:rsidR="00BF6556" w:rsidRPr="00CE28E3" w14:paraId="0A45340E" w14:textId="77777777" w:rsidTr="00AA00F3">
        <w:trPr>
          <w:cantSplit/>
          <w:tblHeader/>
        </w:trPr>
        <w:tc>
          <w:tcPr>
            <w:tcW w:w="2543" w:type="pct"/>
            <w:shd w:val="clear" w:color="auto" w:fill="auto"/>
            <w:vAlign w:val="center"/>
          </w:tcPr>
          <w:p w14:paraId="2ECA31CC" w14:textId="12AFB8D1" w:rsidR="00BF6556" w:rsidRPr="00CE28E3" w:rsidRDefault="00BF6556" w:rsidP="00AA00F3">
            <w:pPr>
              <w:pStyle w:val="TableHeading0"/>
            </w:pPr>
            <w:r>
              <w:t>Application</w:t>
            </w:r>
          </w:p>
        </w:tc>
        <w:tc>
          <w:tcPr>
            <w:tcW w:w="2457" w:type="pct"/>
            <w:shd w:val="clear" w:color="auto" w:fill="auto"/>
            <w:vAlign w:val="center"/>
          </w:tcPr>
          <w:p w14:paraId="1DE52F49" w14:textId="361D8054" w:rsidR="00BF6556" w:rsidRPr="00CE28E3" w:rsidRDefault="00654D2A" w:rsidP="00AA00F3">
            <w:pPr>
              <w:pStyle w:val="TableHeading0"/>
            </w:pPr>
            <w:r>
              <w:t>PASC/ ESC/ MSAC consideration</w:t>
            </w:r>
          </w:p>
        </w:tc>
      </w:tr>
      <w:tr w:rsidR="00BF6556" w:rsidRPr="00CE28E3" w14:paraId="4C45A379" w14:textId="77777777" w:rsidTr="00820496">
        <w:trPr>
          <w:cantSplit/>
        </w:trPr>
        <w:tc>
          <w:tcPr>
            <w:tcW w:w="2543" w:type="pct"/>
            <w:shd w:val="clear" w:color="auto" w:fill="auto"/>
            <w:vAlign w:val="center"/>
          </w:tcPr>
          <w:p w14:paraId="12CA6201" w14:textId="7463562A" w:rsidR="00BF6556" w:rsidRPr="00CE28E3" w:rsidRDefault="001068BB" w:rsidP="00530372">
            <w:pPr>
              <w:pStyle w:val="TableText"/>
              <w:rPr>
                <w:lang w:val="en-US"/>
              </w:rPr>
            </w:pPr>
            <w:r>
              <w:rPr>
                <w:lang w:val="en-US"/>
              </w:rPr>
              <w:t>MSAC a</w:t>
            </w:r>
            <w:r w:rsidR="00BF6556">
              <w:rPr>
                <w:lang w:val="en-US"/>
              </w:rPr>
              <w:t xml:space="preserve">pplication 1338 – </w:t>
            </w:r>
            <w:r w:rsidR="00BF6556" w:rsidRPr="002A7BB3">
              <w:rPr>
                <w:lang w:val="en-US"/>
              </w:rPr>
              <w:t>Catheter-based renal denervation for treatment-resistant hypertension</w:t>
            </w:r>
          </w:p>
        </w:tc>
        <w:tc>
          <w:tcPr>
            <w:tcW w:w="2457" w:type="pct"/>
            <w:shd w:val="clear" w:color="auto" w:fill="auto"/>
            <w:vAlign w:val="center"/>
          </w:tcPr>
          <w:p w14:paraId="3044AD22" w14:textId="0D6BABBB" w:rsidR="00BF6556" w:rsidRDefault="00BF6556" w:rsidP="00530372">
            <w:pPr>
              <w:pStyle w:val="TableText"/>
              <w:rPr>
                <w:lang w:val="en-US"/>
              </w:rPr>
            </w:pPr>
            <w:r>
              <w:rPr>
                <w:lang w:val="en-US"/>
              </w:rPr>
              <w:t>PASC April 2013</w:t>
            </w:r>
            <w:r w:rsidR="00845183">
              <w:rPr>
                <w:lang w:val="en-US"/>
              </w:rPr>
              <w:t xml:space="preserve"> and A</w:t>
            </w:r>
            <w:r>
              <w:rPr>
                <w:lang w:val="en-US"/>
              </w:rPr>
              <w:t>ugust 2013</w:t>
            </w:r>
          </w:p>
          <w:p w14:paraId="791E75B6" w14:textId="55B2ABF2" w:rsidR="00BF6556" w:rsidRPr="00B06970" w:rsidRDefault="00BF6556" w:rsidP="00530372">
            <w:pPr>
              <w:pStyle w:val="TableText"/>
              <w:rPr>
                <w:lang w:val="en-US"/>
              </w:rPr>
            </w:pPr>
            <w:r w:rsidRPr="00B06970">
              <w:rPr>
                <w:lang w:val="en-US"/>
              </w:rPr>
              <w:t>Application withdrawn after lodgment in October 2013</w:t>
            </w:r>
          </w:p>
        </w:tc>
      </w:tr>
      <w:tr w:rsidR="00BF6556" w:rsidRPr="00CE28E3" w14:paraId="6088F52F" w14:textId="77777777" w:rsidTr="00820496">
        <w:trPr>
          <w:cantSplit/>
        </w:trPr>
        <w:tc>
          <w:tcPr>
            <w:tcW w:w="2543" w:type="pct"/>
            <w:shd w:val="clear" w:color="auto" w:fill="auto"/>
            <w:vAlign w:val="center"/>
          </w:tcPr>
          <w:p w14:paraId="695F8FA8" w14:textId="21ED9095" w:rsidR="00BF6556" w:rsidRPr="00CE28E3" w:rsidRDefault="001068BB" w:rsidP="00530372">
            <w:pPr>
              <w:pStyle w:val="TableText"/>
              <w:rPr>
                <w:lang w:val="en-US"/>
              </w:rPr>
            </w:pPr>
            <w:r>
              <w:rPr>
                <w:lang w:val="en-US"/>
              </w:rPr>
              <w:t>MSAC a</w:t>
            </w:r>
            <w:r w:rsidR="00BF6556">
              <w:rPr>
                <w:lang w:val="en-US"/>
              </w:rPr>
              <w:t xml:space="preserve">pplication 1659 – </w:t>
            </w:r>
            <w:r w:rsidR="00BF6556" w:rsidRPr="002A7BB3">
              <w:rPr>
                <w:lang w:val="en-US"/>
              </w:rPr>
              <w:t xml:space="preserve">Catheter-based renal denervation for </w:t>
            </w:r>
            <w:r w:rsidR="00BF6556">
              <w:rPr>
                <w:lang w:val="en-US"/>
              </w:rPr>
              <w:t>uncontrolled elevated systolic blood pressure</w:t>
            </w:r>
          </w:p>
        </w:tc>
        <w:tc>
          <w:tcPr>
            <w:tcW w:w="2457" w:type="pct"/>
            <w:shd w:val="clear" w:color="auto" w:fill="auto"/>
            <w:vAlign w:val="center"/>
          </w:tcPr>
          <w:p w14:paraId="4998FD23" w14:textId="77777777" w:rsidR="00BF6556" w:rsidRDefault="00BF6556" w:rsidP="00530372">
            <w:pPr>
              <w:pStyle w:val="TableText"/>
              <w:rPr>
                <w:lang w:val="en-US"/>
              </w:rPr>
            </w:pPr>
            <w:r>
              <w:rPr>
                <w:lang w:val="en-US"/>
              </w:rPr>
              <w:t>PASC April 2021</w:t>
            </w:r>
          </w:p>
          <w:p w14:paraId="12170497" w14:textId="5B988E7E" w:rsidR="00BF6556" w:rsidRPr="00EE4236" w:rsidRDefault="00BF6556" w:rsidP="00530372">
            <w:pPr>
              <w:pStyle w:val="TableText"/>
              <w:rPr>
                <w:lang w:val="en-US"/>
              </w:rPr>
            </w:pPr>
            <w:r w:rsidRPr="00EE4236">
              <w:rPr>
                <w:lang w:val="en-US"/>
              </w:rPr>
              <w:t xml:space="preserve">Lodgment of </w:t>
            </w:r>
            <w:r w:rsidR="00373A64">
              <w:rPr>
                <w:lang w:val="en-US"/>
              </w:rPr>
              <w:t>A</w:t>
            </w:r>
            <w:r w:rsidR="00587EAA">
              <w:rPr>
                <w:lang w:val="en-US"/>
              </w:rPr>
              <w:t xml:space="preserve">pplicant </w:t>
            </w:r>
            <w:r w:rsidR="00373A64">
              <w:rPr>
                <w:lang w:val="en-US"/>
              </w:rPr>
              <w:t>D</w:t>
            </w:r>
            <w:r w:rsidR="00587EAA">
              <w:rPr>
                <w:lang w:val="en-US"/>
              </w:rPr>
              <w:t xml:space="preserve">eveloped </w:t>
            </w:r>
            <w:r w:rsidR="00373A64">
              <w:rPr>
                <w:lang w:val="en-US"/>
              </w:rPr>
              <w:t>A</w:t>
            </w:r>
            <w:r w:rsidR="00587EAA">
              <w:rPr>
                <w:lang w:val="en-US"/>
              </w:rPr>
              <w:t xml:space="preserve">ssessment </w:t>
            </w:r>
            <w:r w:rsidR="00373A64">
              <w:rPr>
                <w:lang w:val="en-US"/>
              </w:rPr>
              <w:t>R</w:t>
            </w:r>
            <w:r w:rsidR="00587EAA">
              <w:rPr>
                <w:lang w:val="en-US"/>
              </w:rPr>
              <w:t>eport (</w:t>
            </w:r>
            <w:r w:rsidRPr="00EE4236">
              <w:rPr>
                <w:lang w:val="en-US"/>
              </w:rPr>
              <w:t>ADAR</w:t>
            </w:r>
            <w:r w:rsidR="00587EAA">
              <w:rPr>
                <w:lang w:val="en-US"/>
              </w:rPr>
              <w:t>)</w:t>
            </w:r>
            <w:r w:rsidRPr="00EE4236">
              <w:rPr>
                <w:lang w:val="en-US"/>
              </w:rPr>
              <w:t xml:space="preserve"> June 2023</w:t>
            </w:r>
          </w:p>
        </w:tc>
      </w:tr>
    </w:tbl>
    <w:p w14:paraId="11D91B2F" w14:textId="77777777" w:rsidR="003658C9" w:rsidRDefault="003658C9" w:rsidP="00EE4236">
      <w:pPr>
        <w:pStyle w:val="Tablenotes0"/>
      </w:pPr>
      <w:r>
        <w:t>ESC = Evaluation Sub-committee; MSAC = Medical Services Advisory Committee; PASC = PICO Advisory Sub-committee</w:t>
      </w:r>
    </w:p>
    <w:p w14:paraId="4AB4FB6F" w14:textId="755D281F" w:rsidR="009F0C6E" w:rsidRPr="00CE28E3" w:rsidRDefault="00B811FA" w:rsidP="00EE4236">
      <w:pPr>
        <w:pStyle w:val="Tablenotes0"/>
      </w:pPr>
      <w:r>
        <w:t>Source:</w:t>
      </w:r>
      <w:r w:rsidR="00DD59C2">
        <w:t xml:space="preserve"> </w:t>
      </w:r>
      <w:r w:rsidR="001813CD">
        <w:t>Compiled by the commentary</w:t>
      </w:r>
      <w:r w:rsidR="00EE4236">
        <w:t xml:space="preserve"> from </w:t>
      </w:r>
      <w:r w:rsidR="00C54E5D">
        <w:t>Table 8 of MSAC 1659 ADAR</w:t>
      </w:r>
      <w:r w:rsidR="00C039CA">
        <w:t>.</w:t>
      </w:r>
    </w:p>
    <w:p w14:paraId="6F52500A" w14:textId="2F2F6C97" w:rsidR="00772829" w:rsidRDefault="006E6BB4" w:rsidP="002A18BE">
      <w:pPr>
        <w:pStyle w:val="Heading2"/>
        <w:numPr>
          <w:ilvl w:val="0"/>
          <w:numId w:val="0"/>
        </w:numPr>
      </w:pPr>
      <w:bookmarkStart w:id="4" w:name="_Toc69491417"/>
      <w:r>
        <w:t>5</w:t>
      </w:r>
      <w:r w:rsidR="00C36633">
        <w:t>.</w:t>
      </w:r>
      <w:r w:rsidR="00C36633">
        <w:tab/>
      </w:r>
      <w:r w:rsidR="00772829" w:rsidRPr="00CE28E3">
        <w:t>Prerequisites to implementation of any funding advice</w:t>
      </w:r>
      <w:bookmarkEnd w:id="4"/>
    </w:p>
    <w:p w14:paraId="234E4127" w14:textId="5AA3682C" w:rsidR="000E5427" w:rsidRDefault="000E5427" w:rsidP="000E5427">
      <w:pPr>
        <w:pStyle w:val="Heading3"/>
      </w:pPr>
      <w:r>
        <w:t xml:space="preserve">Regulatory </w:t>
      </w:r>
      <w:r w:rsidR="00677141">
        <w:t xml:space="preserve">approval </w:t>
      </w:r>
      <w:r>
        <w:t>status</w:t>
      </w:r>
      <w:r w:rsidR="00677141">
        <w:t xml:space="preserve"> of RDN systems</w:t>
      </w:r>
    </w:p>
    <w:p w14:paraId="750265C4" w14:textId="3D463DF8" w:rsidR="00DF5E4A" w:rsidRDefault="006F322A" w:rsidP="006F322A">
      <w:r>
        <w:t xml:space="preserve">RDN is a device-based therapy. The device system comprises a single use catheter and reusable RF ablation generator. Currently, there are two RDN systems listed on the Australian Register of Therapeutic Goods (ARTG): </w:t>
      </w:r>
    </w:p>
    <w:p w14:paraId="5CE3597D" w14:textId="08B4E779" w:rsidR="00DF5E4A" w:rsidRDefault="006F322A" w:rsidP="00DF5E4A">
      <w:pPr>
        <w:pStyle w:val="Bullet"/>
      </w:pPr>
      <w:r>
        <w:t>Medtronic</w:t>
      </w:r>
      <w:r w:rsidR="000F25CC">
        <w:t xml:space="preserve"> Austral</w:t>
      </w:r>
      <w:r w:rsidR="00BA4801">
        <w:t>as</w:t>
      </w:r>
      <w:r w:rsidR="000F25CC">
        <w:t>ia</w:t>
      </w:r>
      <w:r>
        <w:t xml:space="preserve">’s second generation </w:t>
      </w:r>
      <w:r w:rsidR="000D3D44">
        <w:t>SYMPLICITY</w:t>
      </w:r>
      <w:r>
        <w:t xml:space="preserve"> Spyral </w:t>
      </w:r>
      <w:r w:rsidR="00276E70">
        <w:t xml:space="preserve">RDN </w:t>
      </w:r>
      <w:r w:rsidR="00195C7B">
        <w:t xml:space="preserve">multi-electrode </w:t>
      </w:r>
      <w:r>
        <w:t>catheter</w:t>
      </w:r>
      <w:r w:rsidR="00624FE2">
        <w:t xml:space="preserve"> (ARTG ID </w:t>
      </w:r>
      <w:r w:rsidR="005A6FD5">
        <w:t>343930</w:t>
      </w:r>
      <w:r w:rsidR="00622CDE">
        <w:t xml:space="preserve">; effective date </w:t>
      </w:r>
      <w:r w:rsidR="008325F6">
        <w:t>21/09/</w:t>
      </w:r>
      <w:r w:rsidR="00A832E8">
        <w:t>2020</w:t>
      </w:r>
      <w:r w:rsidR="005A6FD5">
        <w:t xml:space="preserve">) </w:t>
      </w:r>
      <w:r w:rsidR="00C143B6">
        <w:t xml:space="preserve">and </w:t>
      </w:r>
      <w:r w:rsidR="000D3D44">
        <w:t>SYMPLICITY</w:t>
      </w:r>
      <w:r w:rsidR="0021051B">
        <w:t xml:space="preserve"> system </w:t>
      </w:r>
      <w:r w:rsidR="0045381F">
        <w:t xml:space="preserve">RF </w:t>
      </w:r>
      <w:r w:rsidR="004E4342">
        <w:t xml:space="preserve">ablation </w:t>
      </w:r>
      <w:r w:rsidR="0021051B">
        <w:t xml:space="preserve">generator (ARTG ID </w:t>
      </w:r>
      <w:r w:rsidR="00A30396">
        <w:t>198</w:t>
      </w:r>
      <w:r w:rsidR="00E23C62">
        <w:t>986</w:t>
      </w:r>
      <w:r w:rsidR="00417D0C">
        <w:t xml:space="preserve">; </w:t>
      </w:r>
      <w:r w:rsidR="00270FE3">
        <w:t xml:space="preserve">effective date </w:t>
      </w:r>
      <w:r w:rsidR="00A564B9">
        <w:t>03/07</w:t>
      </w:r>
      <w:r w:rsidR="00270FE3">
        <w:t>/201</w:t>
      </w:r>
      <w:r w:rsidR="00A564B9">
        <w:t>2</w:t>
      </w:r>
      <w:r w:rsidR="00270FE3">
        <w:t>)</w:t>
      </w:r>
      <w:r>
        <w:t xml:space="preserve"> </w:t>
      </w:r>
    </w:p>
    <w:p w14:paraId="0762C22B" w14:textId="11958145" w:rsidR="0045381F" w:rsidRDefault="00EF37C4" w:rsidP="00DF5E4A">
      <w:pPr>
        <w:pStyle w:val="Bullet"/>
      </w:pPr>
      <w:r>
        <w:lastRenderedPageBreak/>
        <w:t xml:space="preserve">Abbott </w:t>
      </w:r>
      <w:r w:rsidR="000F25CC">
        <w:t xml:space="preserve">Medical Australia’s </w:t>
      </w:r>
      <w:r w:rsidR="006F322A">
        <w:t xml:space="preserve">EnligHTN </w:t>
      </w:r>
      <w:r w:rsidR="004E4342">
        <w:t xml:space="preserve">RF </w:t>
      </w:r>
      <w:r w:rsidR="006F322A">
        <w:t xml:space="preserve">Ablation Catheter </w:t>
      </w:r>
      <w:r w:rsidR="00077D8F">
        <w:t>(ARTG ID 221818; effective date 31/03/</w:t>
      </w:r>
      <w:r w:rsidR="00970E74">
        <w:t>2014</w:t>
      </w:r>
      <w:r w:rsidR="00077D8F">
        <w:t>)</w:t>
      </w:r>
      <w:r w:rsidR="006F322A">
        <w:t xml:space="preserve">, </w:t>
      </w:r>
      <w:r w:rsidR="000F25CC">
        <w:t>and</w:t>
      </w:r>
      <w:r w:rsidR="006F322A">
        <w:t xml:space="preserve"> </w:t>
      </w:r>
      <w:r w:rsidR="000F25CC">
        <w:t>EnligHTN system</w:t>
      </w:r>
      <w:r w:rsidR="0045381F">
        <w:t xml:space="preserve"> RF</w:t>
      </w:r>
      <w:r w:rsidR="006F322A">
        <w:t xml:space="preserve"> </w:t>
      </w:r>
      <w:r w:rsidR="004E4342">
        <w:t xml:space="preserve">ablation </w:t>
      </w:r>
      <w:r w:rsidR="006F322A">
        <w:t>generator</w:t>
      </w:r>
      <w:r w:rsidR="00077D8F">
        <w:t xml:space="preserve"> (ARTG ID </w:t>
      </w:r>
      <w:r w:rsidR="005F59BB">
        <w:t>198878</w:t>
      </w:r>
      <w:r w:rsidR="00077D8F">
        <w:t xml:space="preserve">; effective date </w:t>
      </w:r>
      <w:r w:rsidR="002A6F7F">
        <w:t>29/06/2012</w:t>
      </w:r>
      <w:r w:rsidR="00077D8F">
        <w:t>)</w:t>
      </w:r>
      <w:r w:rsidR="001E70D9">
        <w:t xml:space="preserve">. </w:t>
      </w:r>
    </w:p>
    <w:p w14:paraId="4BCBA288" w14:textId="0C614EC6" w:rsidR="00C34860" w:rsidRDefault="007B3308" w:rsidP="0045381F">
      <w:r>
        <w:t xml:space="preserve">The </w:t>
      </w:r>
      <w:r w:rsidR="003B32E9">
        <w:t>A</w:t>
      </w:r>
      <w:r w:rsidR="008907E9">
        <w:t xml:space="preserve">pplicant </w:t>
      </w:r>
      <w:r w:rsidR="003B32E9">
        <w:t>D</w:t>
      </w:r>
      <w:r w:rsidR="008907E9">
        <w:t xml:space="preserve">eveloped </w:t>
      </w:r>
      <w:r w:rsidR="003B32E9">
        <w:t>A</w:t>
      </w:r>
      <w:r w:rsidR="008907E9">
        <w:t xml:space="preserve">ssessment </w:t>
      </w:r>
      <w:r w:rsidR="003B32E9">
        <w:t>R</w:t>
      </w:r>
      <w:r w:rsidR="008907E9">
        <w:t>eport (</w:t>
      </w:r>
      <w:r>
        <w:t>ADAR</w:t>
      </w:r>
      <w:r w:rsidR="008907E9">
        <w:t>)</w:t>
      </w:r>
      <w:r>
        <w:t xml:space="preserve"> </w:t>
      </w:r>
      <w:r w:rsidR="002C53B8">
        <w:t>claimed</w:t>
      </w:r>
      <w:r>
        <w:t xml:space="preserve"> that</w:t>
      </w:r>
      <w:r w:rsidR="002716F0">
        <w:t xml:space="preserve"> the </w:t>
      </w:r>
      <w:r w:rsidR="0052611B" w:rsidRPr="0052611B">
        <w:t xml:space="preserve">EnligHTN system is not currently used in Australia and the </w:t>
      </w:r>
      <w:r w:rsidR="00222F52" w:rsidRPr="0052611B">
        <w:t xml:space="preserve">EnligHTN </w:t>
      </w:r>
      <w:r w:rsidR="0052611B" w:rsidRPr="0052611B">
        <w:t xml:space="preserve">trial program </w:t>
      </w:r>
      <w:r w:rsidR="009E3E8C">
        <w:t>has been</w:t>
      </w:r>
      <w:r w:rsidR="0052611B" w:rsidRPr="0052611B">
        <w:t xml:space="preserve"> terminated</w:t>
      </w:r>
      <w:r w:rsidR="002716F0">
        <w:t>.</w:t>
      </w:r>
    </w:p>
    <w:p w14:paraId="0A9A3312" w14:textId="506208B0" w:rsidR="002716F0" w:rsidRDefault="00A82CD3" w:rsidP="006F322A">
      <w:r w:rsidRPr="00A82CD3">
        <w:t xml:space="preserve">The PICO Confirmation lists RDN systems </w:t>
      </w:r>
      <w:r w:rsidR="00A945E8">
        <w:t>that are no longer included on the</w:t>
      </w:r>
      <w:r w:rsidRPr="00A82CD3">
        <w:t xml:space="preserve"> ARTG </w:t>
      </w:r>
      <w:r w:rsidR="00D47000">
        <w:t>(</w:t>
      </w:r>
      <w:hyperlink r:id="rId10" w:history="1">
        <w:r w:rsidR="00D47000" w:rsidRPr="007B4141">
          <w:rPr>
            <w:rStyle w:val="Hyperlink"/>
          </w:rPr>
          <w:t>MSAC 1659 PICO confirmation</w:t>
        </w:r>
      </w:hyperlink>
      <w:r w:rsidR="00D47000">
        <w:t xml:space="preserve">, Table </w:t>
      </w:r>
      <w:r w:rsidR="007B4141">
        <w:t>A2)</w:t>
      </w:r>
      <w:r w:rsidRPr="00A82CD3">
        <w:t xml:space="preserve">. </w:t>
      </w:r>
      <w:r w:rsidR="00713AF5">
        <w:t xml:space="preserve">In addition to the </w:t>
      </w:r>
      <w:r w:rsidR="00274CA5" w:rsidDel="00813D97">
        <w:t xml:space="preserve">predicate </w:t>
      </w:r>
      <w:r w:rsidR="00274CA5">
        <w:t>for SYMPLICITY Spyral (</w:t>
      </w:r>
      <w:r w:rsidR="00904594">
        <w:t xml:space="preserve">single electrode </w:t>
      </w:r>
      <w:r w:rsidR="00274CA5">
        <w:t>SYMPLICITY Flex), t</w:t>
      </w:r>
      <w:r w:rsidRPr="00A82CD3">
        <w:t>he</w:t>
      </w:r>
      <w:r w:rsidR="00DB4C5A">
        <w:t xml:space="preserve"> withdrawn devices</w:t>
      </w:r>
      <w:r w:rsidRPr="00A82CD3">
        <w:t xml:space="preserve"> include RDN systems from Covidien (OneShot), St Jude, and Pacific Clinical Research Group Pty Ltd (Vessix Vascular V2 system, subsequently marketed by Boston Scientific).</w:t>
      </w:r>
    </w:p>
    <w:p w14:paraId="4EAEDCB5" w14:textId="47F77269" w:rsidR="002B59B7" w:rsidRDefault="00054877" w:rsidP="00150935">
      <w:r>
        <w:t>O</w:t>
      </w:r>
      <w:r w:rsidR="00BA5C5C">
        <w:t xml:space="preserve">ther </w:t>
      </w:r>
      <w:r w:rsidR="5832E6DC">
        <w:t xml:space="preserve">RF </w:t>
      </w:r>
      <w:r w:rsidR="00B07835">
        <w:t xml:space="preserve">RDN </w:t>
      </w:r>
      <w:r w:rsidR="002E1BD9">
        <w:t xml:space="preserve">systems </w:t>
      </w:r>
      <w:r w:rsidR="00BA5C5C">
        <w:t>appear to be marketed in China (GL-06E15WA ablator and GL-6W ablation catheter)</w:t>
      </w:r>
      <w:r w:rsidR="00351C16">
        <w:t xml:space="preserve">, </w:t>
      </w:r>
      <w:r w:rsidR="00BA5C5C">
        <w:t>Korea (DENEX system)</w:t>
      </w:r>
      <w:r w:rsidR="00D62569">
        <w:t xml:space="preserve"> and Europe (</w:t>
      </w:r>
      <w:r w:rsidR="00BA5C5C">
        <w:t>Iberis system</w:t>
      </w:r>
      <w:r w:rsidR="00D62569">
        <w:t xml:space="preserve"> [</w:t>
      </w:r>
      <w:r w:rsidR="00BA5C5C">
        <w:t>Terumo</w:t>
      </w:r>
      <w:r w:rsidR="00D62569">
        <w:t>]</w:t>
      </w:r>
      <w:r w:rsidR="00BA5C5C">
        <w:t>)</w:t>
      </w:r>
      <w:r w:rsidR="009131D7">
        <w:t>.</w:t>
      </w:r>
      <w:r w:rsidR="00B0482C">
        <w:t xml:space="preserve"> </w:t>
      </w:r>
      <w:r>
        <w:t>Several</w:t>
      </w:r>
      <w:r w:rsidR="00B0482C">
        <w:t xml:space="preserve"> systems are </w:t>
      </w:r>
      <w:r w:rsidR="00951D0C">
        <w:t xml:space="preserve">in development </w:t>
      </w:r>
      <w:r w:rsidR="00B0482C">
        <w:t>internationally</w:t>
      </w:r>
      <w:r w:rsidR="00150935">
        <w:t xml:space="preserve">, including the </w:t>
      </w:r>
      <w:r w:rsidR="00BA5C5C">
        <w:t>Netrod system (Shanghai Golden Leaf MedTec Co. Ltd, China)</w:t>
      </w:r>
      <w:r w:rsidR="001313CC">
        <w:t xml:space="preserve"> </w:t>
      </w:r>
      <w:r w:rsidR="00CB7581">
        <w:t xml:space="preserve">with a </w:t>
      </w:r>
      <w:r w:rsidR="001313CC">
        <w:t>recently</w:t>
      </w:r>
      <w:r w:rsidR="000A40DA">
        <w:t xml:space="preserve"> </w:t>
      </w:r>
      <w:r w:rsidR="00CB7581">
        <w:t>completed</w:t>
      </w:r>
      <w:r w:rsidR="001313CC">
        <w:t xml:space="preserve"> </w:t>
      </w:r>
      <w:r w:rsidR="00C81487">
        <w:t>sham-controlled trial</w:t>
      </w:r>
      <w:r w:rsidR="00E80937">
        <w:t xml:space="preserve"> </w:t>
      </w:r>
      <w:r w:rsidR="000A40DA">
        <w:t xml:space="preserve">in patients with uncontrolled essential </w:t>
      </w:r>
      <w:r w:rsidR="0044024A">
        <w:t xml:space="preserve">HTN </w:t>
      </w:r>
      <w:r w:rsidR="005B3190">
        <w:t>(not yet published).</w:t>
      </w:r>
    </w:p>
    <w:p w14:paraId="0D6061F5" w14:textId="5B14F2A4" w:rsidR="000E5427" w:rsidRDefault="0009538C" w:rsidP="005406AA">
      <w:pPr>
        <w:pStyle w:val="Heading3"/>
      </w:pPr>
      <w:r>
        <w:t>Funding provision</w:t>
      </w:r>
      <w:r w:rsidR="005406AA">
        <w:t xml:space="preserve"> for the single use catheter</w:t>
      </w:r>
      <w:r w:rsidR="00877F41">
        <w:t xml:space="preserve"> and generator</w:t>
      </w:r>
    </w:p>
    <w:p w14:paraId="57FE3807" w14:textId="6B5645B5" w:rsidR="000E5427" w:rsidRPr="00B06970" w:rsidRDefault="008E667B" w:rsidP="006F322A">
      <w:r w:rsidRPr="00B06970">
        <w:t xml:space="preserve">No RDN catheters are </w:t>
      </w:r>
      <w:r w:rsidR="009A1C73" w:rsidRPr="00B06970">
        <w:t xml:space="preserve">currently listed on the </w:t>
      </w:r>
      <w:r w:rsidR="000D263C" w:rsidRPr="00B06970">
        <w:t>Prescribed List of Medical Devices and Human Tissue Products</w:t>
      </w:r>
      <w:r w:rsidR="00D70EDF" w:rsidRPr="00B06970">
        <w:t xml:space="preserve"> (PL)</w:t>
      </w:r>
      <w:r w:rsidR="000D263C" w:rsidRPr="00B06970">
        <w:t>.</w:t>
      </w:r>
      <w:r w:rsidR="00C418D8" w:rsidRPr="00B06970">
        <w:t xml:space="preserve"> Medtronic is intending to apply for the inclusion of the </w:t>
      </w:r>
      <w:r w:rsidR="000D3D44" w:rsidRPr="00B06970">
        <w:t>SYMPLICITY</w:t>
      </w:r>
      <w:r w:rsidR="00C418D8" w:rsidRPr="00B06970">
        <w:t xml:space="preserve"> Spyral RDN catheter on Part C.</w:t>
      </w:r>
      <w:r w:rsidR="002C2F29" w:rsidRPr="00B06970">
        <w:t xml:space="preserve"> </w:t>
      </w:r>
      <w:r w:rsidR="00040550" w:rsidRPr="00B06970">
        <w:t xml:space="preserve">Advice on eligibility for </w:t>
      </w:r>
      <w:r w:rsidR="00287470" w:rsidRPr="00B06970">
        <w:t xml:space="preserve">the PL </w:t>
      </w:r>
      <w:r w:rsidR="00040550" w:rsidRPr="00B06970">
        <w:t xml:space="preserve">and </w:t>
      </w:r>
      <w:r w:rsidR="00287470" w:rsidRPr="00B06970">
        <w:t xml:space="preserve">a </w:t>
      </w:r>
      <w:r w:rsidR="00040550" w:rsidRPr="00B06970">
        <w:t xml:space="preserve">recommendation on whether or not to include the SYMPLICITY Spyral RDN catheter on Part C </w:t>
      </w:r>
      <w:r w:rsidR="000A1EF3" w:rsidRPr="00B06970">
        <w:t xml:space="preserve">of the PL </w:t>
      </w:r>
      <w:r w:rsidR="00040550" w:rsidRPr="00B06970">
        <w:t>would fall within the remit of the Medical Devices and Human Tissue Advisory Committee (MDHTAC).</w:t>
      </w:r>
    </w:p>
    <w:p w14:paraId="027EB749" w14:textId="5CAB7DA5" w:rsidR="005E4BFE" w:rsidRPr="000B3821" w:rsidRDefault="005E4BFE" w:rsidP="005E4BFE">
      <w:r w:rsidRPr="00EF7ACE">
        <w:t xml:space="preserve">If not listed on the PL, treatment with RDN could result in significant out-of-pocket costs for patients. </w:t>
      </w:r>
      <w:r w:rsidR="002D75CD" w:rsidRPr="00EF7ACE">
        <w:t>According to the ADAR, t</w:t>
      </w:r>
      <w:r w:rsidRPr="00EF7ACE">
        <w:t xml:space="preserve">he cost of the </w:t>
      </w:r>
      <w:r w:rsidR="000D3D44" w:rsidRPr="00EF7ACE">
        <w:t>SYMPLICITY</w:t>
      </w:r>
      <w:r w:rsidRPr="00EF7ACE">
        <w:t xml:space="preserve"> Spyral catheter </w:t>
      </w:r>
      <w:r w:rsidR="00F43B06" w:rsidRPr="00EF7ACE">
        <w:t>is</w:t>
      </w:r>
      <w:r w:rsidR="00AE19D9">
        <w:t xml:space="preserve"> $</w:t>
      </w:r>
      <w:r w:rsidR="00AE19D9">
        <w:rPr>
          <w:b/>
          <w:bCs/>
        </w:rPr>
        <w:t>redacted</w:t>
      </w:r>
      <w:r w:rsidR="00F43B06" w:rsidRPr="00EF7ACE">
        <w:t xml:space="preserve"> </w:t>
      </w:r>
      <w:r w:rsidRPr="00EF7ACE">
        <w:t>(</w:t>
      </w:r>
      <w:r w:rsidR="00506554" w:rsidRPr="00EF7ACE">
        <w:t xml:space="preserve">per </w:t>
      </w:r>
      <w:r w:rsidRPr="00EF7ACE">
        <w:t>single-use catheter</w:t>
      </w:r>
      <w:r w:rsidR="004E4357" w:rsidRPr="00EF7ACE">
        <w:t xml:space="preserve"> per treatment per lifetime</w:t>
      </w:r>
      <w:r w:rsidRPr="00EF7ACE">
        <w:t>)</w:t>
      </w:r>
      <w:r w:rsidR="004E566D" w:rsidRPr="00EF7ACE">
        <w:t xml:space="preserve">. No justification for this cost </w:t>
      </w:r>
      <w:r w:rsidR="00E0111F" w:rsidRPr="00EF7ACE">
        <w:t>was provided</w:t>
      </w:r>
      <w:r w:rsidRPr="00EF7ACE">
        <w:t xml:space="preserve">. </w:t>
      </w:r>
      <w:r w:rsidR="00716152" w:rsidRPr="00EF7ACE">
        <w:t>Th</w:t>
      </w:r>
      <w:r w:rsidR="008B0785" w:rsidRPr="00EF7ACE">
        <w:t xml:space="preserve">e </w:t>
      </w:r>
      <w:r w:rsidR="009E4070" w:rsidRPr="00EF7ACE">
        <w:t xml:space="preserve">cost of </w:t>
      </w:r>
      <w:r w:rsidR="008B0785" w:rsidRPr="00EF7ACE">
        <w:t>the</w:t>
      </w:r>
      <w:r w:rsidR="00716152" w:rsidRPr="00EF7ACE">
        <w:t xml:space="preserve"> </w:t>
      </w:r>
      <w:r w:rsidR="00E57BF8" w:rsidRPr="00EF7ACE">
        <w:t>SYMPLICITY Spyral catheter</w:t>
      </w:r>
      <w:r w:rsidR="008B0785" w:rsidRPr="00EF7ACE">
        <w:t xml:space="preserve"> </w:t>
      </w:r>
      <w:r w:rsidR="00716152" w:rsidRPr="00EF7ACE">
        <w:t xml:space="preserve">is substantially higher than the </w:t>
      </w:r>
      <w:r w:rsidR="00783ABE" w:rsidRPr="00EF7ACE">
        <w:t xml:space="preserve">PL Benefit for </w:t>
      </w:r>
      <w:r w:rsidRPr="00EF7ACE">
        <w:t>cardiac RF ablation catheters</w:t>
      </w:r>
      <w:r w:rsidR="00783ABE" w:rsidRPr="00EF7ACE">
        <w:t xml:space="preserve">, which </w:t>
      </w:r>
      <w:r w:rsidRPr="00EF7ACE">
        <w:t>range from $900 (non-irrigated) to $3,700 (irrigated).</w:t>
      </w:r>
    </w:p>
    <w:p w14:paraId="5838EB31" w14:textId="291383CD" w:rsidR="005E4BFE" w:rsidRPr="00C30CDD" w:rsidRDefault="005E4BFE" w:rsidP="005E4BFE">
      <w:r w:rsidRPr="00C30CDD">
        <w:t xml:space="preserve">The cost </w:t>
      </w:r>
      <w:r w:rsidR="00FA67B3" w:rsidRPr="00C30CDD">
        <w:t xml:space="preserve">applied to the economic </w:t>
      </w:r>
      <w:r w:rsidR="005A75DF" w:rsidRPr="00C30CDD">
        <w:t>evaluation</w:t>
      </w:r>
      <w:r w:rsidR="00FA67B3" w:rsidRPr="00C30CDD">
        <w:t xml:space="preserve"> </w:t>
      </w:r>
      <w:r w:rsidR="004E6FDB" w:rsidRPr="00C30CDD">
        <w:t xml:space="preserve">for </w:t>
      </w:r>
      <w:r w:rsidR="00783ABE" w:rsidRPr="00C30CDD">
        <w:t>the</w:t>
      </w:r>
      <w:r w:rsidRPr="00C30CDD">
        <w:t xml:space="preserve"> </w:t>
      </w:r>
      <w:r w:rsidR="000D3D44" w:rsidRPr="00C30CDD">
        <w:t>SYMPLICITY</w:t>
      </w:r>
      <w:r w:rsidRPr="00C30CDD">
        <w:t xml:space="preserve"> RF ablation generator is </w:t>
      </w:r>
      <w:r w:rsidR="00C30CDD">
        <w:t>$</w:t>
      </w:r>
      <w:r w:rsidR="00C30CDD">
        <w:rPr>
          <w:b/>
          <w:bCs/>
        </w:rPr>
        <w:t>redacted</w:t>
      </w:r>
      <w:r w:rsidR="008A784F" w:rsidRPr="00C30CDD">
        <w:t>.</w:t>
      </w:r>
      <w:r w:rsidR="004E6FDB" w:rsidRPr="00C30CDD">
        <w:t xml:space="preserve"> </w:t>
      </w:r>
      <w:r w:rsidR="008A784F" w:rsidRPr="00C30CDD">
        <w:t>This cost would be borne by</w:t>
      </w:r>
      <w:r w:rsidRPr="00C30CDD">
        <w:t xml:space="preserve"> the</w:t>
      </w:r>
      <w:r w:rsidR="00C54ECD" w:rsidRPr="00C30CDD">
        <w:t xml:space="preserve"> specialist</w:t>
      </w:r>
      <w:r w:rsidRPr="00C30CDD">
        <w:t xml:space="preserve"> centre providing the service (hospital or catheterisation laboratory).</w:t>
      </w:r>
      <w:r w:rsidR="002F56E9" w:rsidRPr="00C30CDD">
        <w:t xml:space="preserve"> </w:t>
      </w:r>
      <w:r w:rsidR="008A784F" w:rsidRPr="00C30CDD">
        <w:t xml:space="preserve">Likewise, </w:t>
      </w:r>
      <w:r w:rsidR="002970BE" w:rsidRPr="00C30CDD">
        <w:t>it is assumed the centre prov</w:t>
      </w:r>
      <w:r w:rsidR="00783913" w:rsidRPr="00C30CDD">
        <w:t>iding the service would absorb the cost of a</w:t>
      </w:r>
      <w:r w:rsidRPr="00C30CDD">
        <w:t>dditional consumable items (such as an introducer sheath, disposable guide catheter and dispersive electrodes).</w:t>
      </w:r>
    </w:p>
    <w:p w14:paraId="44C3B242" w14:textId="5E77B853" w:rsidR="00772829" w:rsidRDefault="006E6BB4" w:rsidP="002A18BE">
      <w:pPr>
        <w:pStyle w:val="Heading2"/>
        <w:numPr>
          <w:ilvl w:val="0"/>
          <w:numId w:val="0"/>
        </w:numPr>
      </w:pPr>
      <w:bookmarkStart w:id="5" w:name="_Toc69491418"/>
      <w:r>
        <w:t>6</w:t>
      </w:r>
      <w:r w:rsidR="00C36633">
        <w:t>.</w:t>
      </w:r>
      <w:r w:rsidR="00C36633">
        <w:tab/>
      </w:r>
      <w:r w:rsidR="00772829" w:rsidRPr="00CE28E3">
        <w:t>Proposal for public funding</w:t>
      </w:r>
      <w:bookmarkEnd w:id="5"/>
    </w:p>
    <w:p w14:paraId="004191D1" w14:textId="60844578" w:rsidR="002D0679" w:rsidRDefault="002D0679" w:rsidP="00AD7799">
      <w:r>
        <w:t xml:space="preserve">A new MBS listing is being requested for catheter-based </w:t>
      </w:r>
      <w:r w:rsidR="2698570E">
        <w:t xml:space="preserve">RF </w:t>
      </w:r>
      <w:r>
        <w:t xml:space="preserve">RDN. </w:t>
      </w:r>
    </w:p>
    <w:p w14:paraId="056421E4" w14:textId="705CB210" w:rsidR="00AD7799" w:rsidRDefault="005B7C0F" w:rsidP="00AD7799">
      <w:r w:rsidRPr="005B7C0F">
        <w:t xml:space="preserve">Catheter-based RDN is a minimally invasive therapeutic procedure using standard endovascular intervention techniques similar to those used in renal angioplasty or stenting. It is intended as a one-time treatment adjunct to existing standard-of-care medication therapy. </w:t>
      </w:r>
    </w:p>
    <w:p w14:paraId="51FFCCB6" w14:textId="77777777" w:rsidR="00E23456" w:rsidRDefault="00E23456" w:rsidP="00E23456">
      <w:r w:rsidRPr="006C1E7F">
        <w:t>The proposed medical service is to be undertaken in specialist centres with appropriate catheterisation laboratory and emergency stenting facilities, in either the Public or Private setting, with the patient being admitted as an inpatient in hospital.</w:t>
      </w:r>
      <w:r>
        <w:t xml:space="preserve"> </w:t>
      </w:r>
      <w:r w:rsidRPr="00E86E3B">
        <w:t>Typically, a patient admitted early in the morning for their procedure would be permitted to go home in the afternoon. A patient admitted later in the day would generally be required to stay overnight.</w:t>
      </w:r>
      <w:r>
        <w:t xml:space="preserve"> </w:t>
      </w:r>
    </w:p>
    <w:p w14:paraId="698CA10F" w14:textId="616C9C7B" w:rsidR="009325B2" w:rsidRDefault="009325B2" w:rsidP="00996CBE">
      <w:r w:rsidRPr="009325B2">
        <w:lastRenderedPageBreak/>
        <w:t xml:space="preserve">The </w:t>
      </w:r>
      <w:r>
        <w:t xml:space="preserve">RDN </w:t>
      </w:r>
      <w:r w:rsidRPr="009325B2">
        <w:t>procedure is typically performed under conscious sedation by a suitably qualified interventionist (interventional cardiologist, interventional radiologist, interventional nephrologist</w:t>
      </w:r>
      <w:r w:rsidR="00023A75">
        <w:t>, or vascular surgeon</w:t>
      </w:r>
      <w:r w:rsidRPr="009325B2">
        <w:t xml:space="preserve">) with adequate experience in catheterisation and angioplasty of renal arteries as well as the necessary technical resources available for the management of any immediate complications that may occur. </w:t>
      </w:r>
    </w:p>
    <w:p w14:paraId="628CA22B" w14:textId="7498ACA3" w:rsidR="00364CE1" w:rsidRPr="00A01821" w:rsidRDefault="00364CE1" w:rsidP="00364CE1">
      <w:r w:rsidRPr="00A01821">
        <w:t xml:space="preserve">With respect to the use of the </w:t>
      </w:r>
      <w:r w:rsidR="000D3D44" w:rsidRPr="00A01821">
        <w:t>SYMPLICITY</w:t>
      </w:r>
      <w:r w:rsidRPr="00A01821">
        <w:t xml:space="preserve"> Spyral, all operating healthcare professionals need to undergo </w:t>
      </w:r>
      <w:r w:rsidR="00FF3F3A" w:rsidRPr="00A01821">
        <w:t>a comprehensive training program that includes</w:t>
      </w:r>
      <w:r w:rsidRPr="00A01821">
        <w:t xml:space="preserve"> online training, web-based workshops and remote or onsite proctoring</w:t>
      </w:r>
      <w:r w:rsidR="00FF3F3A" w:rsidRPr="00A01821">
        <w:t xml:space="preserve"> by Medtronic personnel</w:t>
      </w:r>
      <w:r w:rsidRPr="00A01821">
        <w:t>.</w:t>
      </w:r>
      <w:r w:rsidR="00FF3F3A" w:rsidRPr="00A01821">
        <w:t xml:space="preserve"> </w:t>
      </w:r>
      <w:r w:rsidRPr="00A01821">
        <w:t xml:space="preserve">The training </w:t>
      </w:r>
      <w:r w:rsidR="00FA32B0" w:rsidRPr="00A01821">
        <w:t>i</w:t>
      </w:r>
      <w:r w:rsidRPr="00A01821">
        <w:t xml:space="preserve">s provided by </w:t>
      </w:r>
      <w:r w:rsidR="00A52DCD" w:rsidRPr="00A01821">
        <w:t>Medtronic</w:t>
      </w:r>
      <w:r w:rsidRPr="00A01821">
        <w:t xml:space="preserve">, but </w:t>
      </w:r>
      <w:r w:rsidR="00063B7B" w:rsidRPr="00A01821">
        <w:t xml:space="preserve">it is not </w:t>
      </w:r>
      <w:r w:rsidR="005114BB" w:rsidRPr="00A01821">
        <w:t xml:space="preserve">clear </w:t>
      </w:r>
      <w:r w:rsidRPr="00A01821">
        <w:t xml:space="preserve">whether </w:t>
      </w:r>
      <w:r w:rsidR="00A52DCD" w:rsidRPr="00A01821">
        <w:t>it is free of charge</w:t>
      </w:r>
      <w:r w:rsidRPr="00A01821">
        <w:t>.</w:t>
      </w:r>
      <w:r w:rsidR="00063B7B" w:rsidRPr="00A01821">
        <w:t xml:space="preserve"> </w:t>
      </w:r>
      <w:r w:rsidR="005114BB" w:rsidRPr="00A01821">
        <w:t xml:space="preserve">The ADAR claims that </w:t>
      </w:r>
      <w:r w:rsidRPr="00A01821">
        <w:t>most intervention</w:t>
      </w:r>
      <w:r w:rsidR="002717C2" w:rsidRPr="00A01821">
        <w:t>al</w:t>
      </w:r>
      <w:r w:rsidRPr="00A01821">
        <w:t xml:space="preserve"> cardiologists should be proficient in the procedure following training in 5-10 cases.</w:t>
      </w:r>
      <w:r w:rsidR="00271C33" w:rsidRPr="00A01821">
        <w:t xml:space="preserve"> </w:t>
      </w:r>
    </w:p>
    <w:p w14:paraId="4C081689" w14:textId="2FFA7059" w:rsidR="00150598" w:rsidRDefault="000230F7" w:rsidP="00595926">
      <w:pPr>
        <w:pStyle w:val="Heading3"/>
      </w:pPr>
      <w:r>
        <w:t>Description</w:t>
      </w:r>
      <w:r w:rsidR="00296C48">
        <w:t xml:space="preserve"> of</w:t>
      </w:r>
      <w:r w:rsidR="000B5318">
        <w:t xml:space="preserve"> the </w:t>
      </w:r>
      <w:r w:rsidR="00126CCC">
        <w:t>service</w:t>
      </w:r>
    </w:p>
    <w:p w14:paraId="2E1E93C5" w14:textId="18F8AB13" w:rsidR="00B773DC" w:rsidRDefault="0050771A" w:rsidP="00331F8A">
      <w:r>
        <w:t xml:space="preserve">Immediately prior to </w:t>
      </w:r>
      <w:r w:rsidR="003E45DB">
        <w:t>RDN, a</w:t>
      </w:r>
      <w:r w:rsidR="008112F7" w:rsidRPr="008112F7">
        <w:t>n aortogram</w:t>
      </w:r>
      <w:r w:rsidR="00F3238D">
        <w:t xml:space="preserve"> and </w:t>
      </w:r>
      <w:r w:rsidR="008112F7" w:rsidRPr="008112F7">
        <w:t xml:space="preserve">selective renal angiogram </w:t>
      </w:r>
      <w:r w:rsidR="00DC0815">
        <w:t xml:space="preserve">is performed </w:t>
      </w:r>
      <w:r w:rsidR="008112F7" w:rsidRPr="008112F7">
        <w:t>to determine patient suitability</w:t>
      </w:r>
      <w:r w:rsidR="008112F7">
        <w:t>.</w:t>
      </w:r>
      <w:r w:rsidR="003E45DB">
        <w:t xml:space="preserve"> </w:t>
      </w:r>
      <w:r w:rsidR="004E0103">
        <w:t>A</w:t>
      </w:r>
      <w:r w:rsidR="003D7DF8">
        <w:t>ccording to the ADAR, a</w:t>
      </w:r>
      <w:r w:rsidR="004E0103">
        <w:t xml:space="preserve">pproximately 5% of cases </w:t>
      </w:r>
      <w:r w:rsidR="003D7DF8">
        <w:t>do</w:t>
      </w:r>
      <w:r w:rsidR="004A4123" w:rsidRPr="004A4123">
        <w:t xml:space="preserve"> not proceed </w:t>
      </w:r>
      <w:r w:rsidR="0050458A">
        <w:t>past this step</w:t>
      </w:r>
      <w:r w:rsidR="004A4123" w:rsidRPr="004A4123">
        <w:t xml:space="preserve"> due to anatomical contraindications</w:t>
      </w:r>
      <w:r w:rsidR="004E0103">
        <w:t xml:space="preserve">. </w:t>
      </w:r>
      <w:r w:rsidR="00956AFB">
        <w:t xml:space="preserve">In patients who are </w:t>
      </w:r>
      <w:r w:rsidR="00667555">
        <w:t>deemed</w:t>
      </w:r>
      <w:r w:rsidR="00EE152C">
        <w:t xml:space="preserve"> </w:t>
      </w:r>
      <w:r w:rsidR="000F339E">
        <w:t>suitable</w:t>
      </w:r>
      <w:r w:rsidR="00EE152C">
        <w:t xml:space="preserve"> for RDN</w:t>
      </w:r>
      <w:r w:rsidR="00E66E11" w:rsidRPr="00E66E11">
        <w:t>, sedation or analgesia is administered</w:t>
      </w:r>
      <w:r w:rsidR="00B9309F">
        <w:t>,</w:t>
      </w:r>
      <w:r w:rsidR="000F339E">
        <w:t xml:space="preserve"> and t</w:t>
      </w:r>
      <w:r w:rsidR="00652F35">
        <w:t>he</w:t>
      </w:r>
      <w:r w:rsidR="008B3AA5">
        <w:t xml:space="preserve"> </w:t>
      </w:r>
      <w:r w:rsidR="006D5C2E">
        <w:t xml:space="preserve">RF </w:t>
      </w:r>
      <w:r w:rsidR="00FB4CA5" w:rsidRPr="00FB4CA5">
        <w:t xml:space="preserve">catheter is percutaneously introduced via the femoral artery </w:t>
      </w:r>
      <w:r w:rsidR="004770A5">
        <w:t xml:space="preserve">and advanced </w:t>
      </w:r>
      <w:r w:rsidR="0068586E">
        <w:t xml:space="preserve">until the distal electrode </w:t>
      </w:r>
      <w:r w:rsidR="0083524A">
        <w:t>reaches</w:t>
      </w:r>
      <w:r w:rsidR="0068586E">
        <w:t xml:space="preserve"> </w:t>
      </w:r>
      <w:r w:rsidR="00362453">
        <w:t xml:space="preserve">the </w:t>
      </w:r>
      <w:r w:rsidR="00D84F46">
        <w:t>renal artery</w:t>
      </w:r>
      <w:r w:rsidR="0089660C">
        <w:t xml:space="preserve"> at the established treatment zone</w:t>
      </w:r>
      <w:r w:rsidR="00FB4CA5">
        <w:t>.</w:t>
      </w:r>
    </w:p>
    <w:p w14:paraId="56DB20D0" w14:textId="66DE08F1" w:rsidR="00331F8A" w:rsidRDefault="00331F8A" w:rsidP="00331F8A">
      <w:r w:rsidRPr="00B83BB5">
        <w:t>Multiple angiographic imaging of the renal arteries is required to guide the RDN procedure and document the position of the catheter. Angiography is also performed at the end of each procedure to confirm the absence of damage to the renal artery.</w:t>
      </w:r>
    </w:p>
    <w:p w14:paraId="41CBBA8E" w14:textId="0BA19047" w:rsidR="004C1368" w:rsidRDefault="005D49F0" w:rsidP="003E5550">
      <w:r w:rsidRPr="00502DF2">
        <w:t>The total procedure, including denervation of both kidneys, is estimated to take approximately 1.5-2 hours to complete.</w:t>
      </w:r>
      <w:r>
        <w:t xml:space="preserve"> </w:t>
      </w:r>
      <w:r w:rsidR="00E52DDB" w:rsidRPr="00E52DDB">
        <w:t xml:space="preserve">The number of ablations per renal artery (and therefore the time taken for the ablation component of the service) is dependent on the </w:t>
      </w:r>
      <w:r w:rsidR="006A3356">
        <w:t xml:space="preserve">number and distribution of the </w:t>
      </w:r>
      <w:r w:rsidR="00D2097A">
        <w:t xml:space="preserve">RF </w:t>
      </w:r>
      <w:r w:rsidR="006A3356">
        <w:t>electrodes</w:t>
      </w:r>
      <w:r w:rsidR="002B38D8">
        <w:t xml:space="preserve">. </w:t>
      </w:r>
      <w:r w:rsidR="00DA550D">
        <w:t xml:space="preserve">The average </w:t>
      </w:r>
      <w:r w:rsidR="00256607">
        <w:t xml:space="preserve">total </w:t>
      </w:r>
      <w:r w:rsidR="00DA550D">
        <w:t>number of ablation</w:t>
      </w:r>
      <w:r w:rsidR="000E2401">
        <w:t xml:space="preserve"> attempt</w:t>
      </w:r>
      <w:r w:rsidR="00DA550D">
        <w:t xml:space="preserve">s </w:t>
      </w:r>
      <w:r w:rsidR="00256607">
        <w:t xml:space="preserve">per procedure in trials of SYMPLICITY Spyral </w:t>
      </w:r>
      <w:r w:rsidR="009A5456">
        <w:t>was 47</w:t>
      </w:r>
      <w:r w:rsidR="000E2401">
        <w:t xml:space="preserve"> (range 16-107)</w:t>
      </w:r>
      <w:r w:rsidR="009A5456">
        <w:t xml:space="preserve">. </w:t>
      </w:r>
      <w:r w:rsidR="0096150D">
        <w:t>T</w:t>
      </w:r>
      <w:r w:rsidR="0096150D" w:rsidRPr="00AD4C9A">
        <w:t>here is no simple and reliable method</w:t>
      </w:r>
      <w:r w:rsidR="004C1368">
        <w:t xml:space="preserve"> currently available</w:t>
      </w:r>
      <w:r w:rsidR="0096150D" w:rsidRPr="00AD4C9A">
        <w:t xml:space="preserve"> to confirm successful RDN intra-procedurally</w:t>
      </w:r>
      <w:r w:rsidR="0096150D">
        <w:t xml:space="preserve">. </w:t>
      </w:r>
    </w:p>
    <w:p w14:paraId="6C561F2C" w14:textId="78251F75" w:rsidR="00E66E11" w:rsidRDefault="00354672" w:rsidP="003E5550">
      <w:r>
        <w:t xml:space="preserve">Vascular closure devices are often used </w:t>
      </w:r>
      <w:r w:rsidR="0095480A">
        <w:t xml:space="preserve">to assist </w:t>
      </w:r>
      <w:r>
        <w:t>haemostasis</w:t>
      </w:r>
      <w:r w:rsidR="00571754">
        <w:t xml:space="preserve"> after RDN</w:t>
      </w:r>
      <w:r w:rsidR="008359EC">
        <w:t>.</w:t>
      </w:r>
      <w:r w:rsidR="00E17B88">
        <w:t xml:space="preserve"> </w:t>
      </w:r>
      <w:r w:rsidR="0095480A">
        <w:t xml:space="preserve">Australian data </w:t>
      </w:r>
      <w:r w:rsidR="00573B8B">
        <w:t>from the G</w:t>
      </w:r>
      <w:r w:rsidR="00B0782E">
        <w:t xml:space="preserve">lobal </w:t>
      </w:r>
      <w:r w:rsidR="00573B8B">
        <w:t>S</w:t>
      </w:r>
      <w:r w:rsidR="00B0782E">
        <w:t xml:space="preserve">YMPLICITY </w:t>
      </w:r>
      <w:r w:rsidR="00573B8B">
        <w:t>R</w:t>
      </w:r>
      <w:r w:rsidR="00B0782E">
        <w:t>egistry</w:t>
      </w:r>
      <w:r w:rsidR="00573B8B">
        <w:t xml:space="preserve"> </w:t>
      </w:r>
      <w:r w:rsidR="0095480A">
        <w:t xml:space="preserve">suggests </w:t>
      </w:r>
      <w:r w:rsidR="00573B8B">
        <w:t xml:space="preserve">closure devices are </w:t>
      </w:r>
      <w:r w:rsidR="00E17B88">
        <w:t xml:space="preserve">used in </w:t>
      </w:r>
      <w:r w:rsidR="008359EC">
        <w:t>69</w:t>
      </w:r>
      <w:r w:rsidR="008F48ED">
        <w:t>% of cases</w:t>
      </w:r>
      <w:r>
        <w:t>.</w:t>
      </w:r>
    </w:p>
    <w:p w14:paraId="7113A52E" w14:textId="24F85BFC" w:rsidR="00F209B3" w:rsidRDefault="00F8746F" w:rsidP="003E5550">
      <w:r>
        <w:t>P</w:t>
      </w:r>
      <w:r w:rsidRPr="00F8746F">
        <w:t>atients are observed for 2 hours post</w:t>
      </w:r>
      <w:r w:rsidR="009D1456">
        <w:t xml:space="preserve"> </w:t>
      </w:r>
      <w:r w:rsidRPr="00F8746F">
        <w:t>procedure.</w:t>
      </w:r>
      <w:r>
        <w:t xml:space="preserve"> </w:t>
      </w:r>
      <w:r w:rsidR="001A2C7C" w:rsidRPr="001A2C7C">
        <w:t>Following th</w:t>
      </w:r>
      <w:r w:rsidR="00424DEC">
        <w:t>e</w:t>
      </w:r>
      <w:r w:rsidR="001A2C7C" w:rsidRPr="001A2C7C">
        <w:t xml:space="preserve"> service, optimal medical management </w:t>
      </w:r>
      <w:r w:rsidR="006243B3">
        <w:t xml:space="preserve">(OMM) </w:t>
      </w:r>
      <w:r w:rsidR="001A2C7C" w:rsidRPr="001A2C7C">
        <w:t>should be continued</w:t>
      </w:r>
      <w:r w:rsidR="00E36A6A">
        <w:t xml:space="preserve"> with monitoring as usual</w:t>
      </w:r>
      <w:r w:rsidR="001408B3">
        <w:t xml:space="preserve"> and medication</w:t>
      </w:r>
      <w:r w:rsidR="00294A74" w:rsidRPr="00294A74">
        <w:t xml:space="preserve"> adjustments made as necessary to maintain optimal BP control and tolerability</w:t>
      </w:r>
      <w:r w:rsidR="001408B3">
        <w:t>.</w:t>
      </w:r>
      <w:r w:rsidR="0096150D">
        <w:t xml:space="preserve"> </w:t>
      </w:r>
    </w:p>
    <w:p w14:paraId="19912577" w14:textId="564B9512" w:rsidR="00E874FD" w:rsidRDefault="00E874FD" w:rsidP="00E874FD">
      <w:pPr>
        <w:pStyle w:val="Heading3"/>
      </w:pPr>
      <w:r>
        <w:t xml:space="preserve">Proposed </w:t>
      </w:r>
      <w:r w:rsidR="00B45998">
        <w:t xml:space="preserve">MBS item </w:t>
      </w:r>
      <w:r>
        <w:t>descriptor</w:t>
      </w:r>
    </w:p>
    <w:p w14:paraId="49F8A4D7" w14:textId="43E95A2E" w:rsidR="00E874FD" w:rsidRDefault="00B0163D" w:rsidP="00E874FD">
      <w:r>
        <w:t xml:space="preserve">The proposed wording for the </w:t>
      </w:r>
      <w:r w:rsidR="002A20BD">
        <w:t xml:space="preserve">proposed MBS item </w:t>
      </w:r>
      <w:r>
        <w:t>descriptor</w:t>
      </w:r>
      <w:r w:rsidR="002A20BD">
        <w:t xml:space="preserve"> is provided in</w:t>
      </w:r>
      <w:r>
        <w:t xml:space="preserve"> </w:t>
      </w:r>
      <w:r w:rsidR="002A20BD">
        <w:fldChar w:fldCharType="begin"/>
      </w:r>
      <w:r w:rsidR="002A20BD">
        <w:instrText xml:space="preserve"> REF _Ref69481033 \h </w:instrText>
      </w:r>
      <w:r w:rsidR="002A20BD">
        <w:fldChar w:fldCharType="separate"/>
      </w:r>
      <w:r w:rsidR="003D5203">
        <w:t>Table </w:t>
      </w:r>
      <w:r w:rsidR="003D5203">
        <w:rPr>
          <w:noProof/>
        </w:rPr>
        <w:t>2</w:t>
      </w:r>
      <w:r w:rsidR="002A20BD">
        <w:fldChar w:fldCharType="end"/>
      </w:r>
      <w:r w:rsidR="002A20BD">
        <w:t>.</w:t>
      </w:r>
      <w:r w:rsidR="00931FA6">
        <w:t xml:space="preserve"> </w:t>
      </w:r>
      <w:r w:rsidR="00E874FD">
        <w:t>The descriptor</w:t>
      </w:r>
      <w:r w:rsidR="00AE7C5F">
        <w:t xml:space="preserve"> </w:t>
      </w:r>
      <w:r w:rsidR="00547F0D">
        <w:t xml:space="preserve">proposed </w:t>
      </w:r>
      <w:r w:rsidR="00AE7C5F">
        <w:t>in the ADAR</w:t>
      </w:r>
      <w:r w:rsidR="00E874FD">
        <w:t xml:space="preserve"> is consistent with </w:t>
      </w:r>
      <w:r w:rsidR="00987AF7">
        <w:t>the descriptor</w:t>
      </w:r>
      <w:r w:rsidR="00E874FD">
        <w:t xml:space="preserve"> in the PICO Confirmation</w:t>
      </w:r>
      <w:r w:rsidR="00AE7C5F">
        <w:t xml:space="preserve">, except </w:t>
      </w:r>
      <w:r w:rsidR="00931FA6">
        <w:t xml:space="preserve">that </w:t>
      </w:r>
      <w:r w:rsidR="00611F20">
        <w:t>the term ‘endovascular’</w:t>
      </w:r>
      <w:r w:rsidR="004A6D7B">
        <w:t xml:space="preserve"> </w:t>
      </w:r>
      <w:r w:rsidR="00FF42E6">
        <w:t xml:space="preserve">has been omitted (the ADAR descriptor refers only to </w:t>
      </w:r>
      <w:r w:rsidR="00547F0D">
        <w:t>radiofrequency ablation</w:t>
      </w:r>
      <w:r w:rsidR="00FF42E6">
        <w:t>)</w:t>
      </w:r>
      <w:r w:rsidR="00547F0D">
        <w:t>.</w:t>
      </w:r>
    </w:p>
    <w:p w14:paraId="14A4AE71" w14:textId="68DBED47" w:rsidR="00FD0DF9" w:rsidRDefault="00AE519F" w:rsidP="00AE519F">
      <w:r>
        <w:t xml:space="preserve">The proposed wording does not specify the type of specialist who is required to confirm </w:t>
      </w:r>
      <w:r w:rsidR="0044024A">
        <w:t>TRHTN</w:t>
      </w:r>
      <w:r>
        <w:t xml:space="preserve">, nor the trained </w:t>
      </w:r>
      <w:r w:rsidR="003746F4">
        <w:t xml:space="preserve">interventionist </w:t>
      </w:r>
      <w:r>
        <w:t>required to perform the procedure</w:t>
      </w:r>
      <w:r w:rsidR="000D1039">
        <w:t xml:space="preserve"> (i.e.</w:t>
      </w:r>
      <w:r w:rsidR="00A475A1">
        <w:t>,</w:t>
      </w:r>
      <w:r w:rsidR="000D1039">
        <w:t xml:space="preserve"> a </w:t>
      </w:r>
      <w:r w:rsidR="000D1039" w:rsidRPr="000D1039">
        <w:t>suitably qualified interventional cardiologist, interventional radiologist, interventional nephrologist</w:t>
      </w:r>
      <w:r w:rsidR="00A24CA0">
        <w:t xml:space="preserve"> or vascular surgeon</w:t>
      </w:r>
      <w:r w:rsidR="000D1039">
        <w:t>)</w:t>
      </w:r>
      <w:r>
        <w:t>, nor the appropriate setting/facility.</w:t>
      </w:r>
    </w:p>
    <w:p w14:paraId="1D4D7065" w14:textId="6185A94A" w:rsidR="00AE519F" w:rsidRDefault="00F429DF" w:rsidP="00AE519F">
      <w:r>
        <w:t xml:space="preserve">According to the </w:t>
      </w:r>
      <w:r w:rsidR="00CD4AA8">
        <w:t xml:space="preserve">clinical </w:t>
      </w:r>
      <w:r w:rsidR="00F94DE0">
        <w:t xml:space="preserve">management </w:t>
      </w:r>
      <w:r w:rsidR="00CD4AA8">
        <w:t xml:space="preserve">algorithms, </w:t>
      </w:r>
      <w:r w:rsidR="0044024A">
        <w:t>HTN</w:t>
      </w:r>
      <w:r w:rsidR="00A06E75">
        <w:t xml:space="preserve"> specialist</w:t>
      </w:r>
      <w:r w:rsidR="004B11FB">
        <w:t>s</w:t>
      </w:r>
      <w:r w:rsidR="00A06E75">
        <w:t xml:space="preserve"> </w:t>
      </w:r>
      <w:r w:rsidR="004B11FB">
        <w:t>and</w:t>
      </w:r>
      <w:r w:rsidR="00A06E75">
        <w:t xml:space="preserve"> general cardiologist</w:t>
      </w:r>
      <w:r w:rsidR="004B11FB">
        <w:t>s</w:t>
      </w:r>
      <w:r w:rsidR="00A06E75">
        <w:t xml:space="preserve"> </w:t>
      </w:r>
      <w:r w:rsidR="004B11FB">
        <w:t>are</w:t>
      </w:r>
      <w:r w:rsidR="00A06E75">
        <w:t xml:space="preserve"> best placed </w:t>
      </w:r>
      <w:r w:rsidR="004B11FB">
        <w:t xml:space="preserve">to </w:t>
      </w:r>
      <w:r w:rsidR="00822DFA">
        <w:t xml:space="preserve">confirm </w:t>
      </w:r>
      <w:r w:rsidR="0044024A">
        <w:t>TRH</w:t>
      </w:r>
      <w:r w:rsidR="00517EDA">
        <w:t>TN</w:t>
      </w:r>
      <w:r w:rsidR="00CC3D80">
        <w:t>.</w:t>
      </w:r>
      <w:r w:rsidR="003641AA">
        <w:t xml:space="preserve"> </w:t>
      </w:r>
      <w:r w:rsidR="004412A9">
        <w:t xml:space="preserve">The ADAR </w:t>
      </w:r>
      <w:r w:rsidR="00655F6E">
        <w:t>note</w:t>
      </w:r>
      <w:r w:rsidR="000619BD">
        <w:t>d</w:t>
      </w:r>
      <w:r w:rsidR="00655F6E">
        <w:t xml:space="preserve"> </w:t>
      </w:r>
      <w:r w:rsidR="009875E7">
        <w:t xml:space="preserve">that </w:t>
      </w:r>
      <w:r w:rsidR="00E27F15">
        <w:t xml:space="preserve">investigation of medication </w:t>
      </w:r>
      <w:r w:rsidR="007D5637" w:rsidRPr="007D5637">
        <w:t>compliance issues</w:t>
      </w:r>
      <w:r w:rsidR="009875E7">
        <w:t xml:space="preserve"> may involve </w:t>
      </w:r>
      <w:r w:rsidR="007D5637" w:rsidRPr="007D5637">
        <w:t xml:space="preserve">a Home Medicines Review (HMR) or a pharmacy-based Medication Use </w:t>
      </w:r>
      <w:r w:rsidR="007D5637" w:rsidRPr="007D5637">
        <w:lastRenderedPageBreak/>
        <w:t>Review (MedsCheck)</w:t>
      </w:r>
      <w:r w:rsidR="009875E7">
        <w:t xml:space="preserve">. </w:t>
      </w:r>
      <w:r w:rsidR="003641AA">
        <w:t xml:space="preserve">PASC considered that a HMR for optimising medication may not be an appropriate </w:t>
      </w:r>
      <w:r w:rsidR="00490F20">
        <w:t>requirement for the service as they are frequently declined by patients</w:t>
      </w:r>
      <w:r>
        <w:t>.</w:t>
      </w:r>
      <w:r w:rsidR="00AE519F">
        <w:t xml:space="preserve"> </w:t>
      </w:r>
    </w:p>
    <w:p w14:paraId="4C8ECCA3" w14:textId="5E54E659" w:rsidR="00AE519F" w:rsidRDefault="00AE519F" w:rsidP="00E874FD">
      <w:r>
        <w:t xml:space="preserve">MSAC </w:t>
      </w:r>
      <w:r w:rsidR="006442D5">
        <w:t xml:space="preserve">may wish to </w:t>
      </w:r>
      <w:r>
        <w:t>consider whether patient selection for RDN should be decided by a multidisciplinary team, as per the advice in recent guidance released by the National Institute for Health and Care Excellence (NICE 2023)</w:t>
      </w:r>
      <w:r w:rsidR="004A6AAB">
        <w:rPr>
          <w:rStyle w:val="FootnoteReference"/>
        </w:rPr>
        <w:footnoteReference w:id="5"/>
      </w:r>
      <w:r>
        <w:t xml:space="preserve"> and the European Society of Cardiology </w:t>
      </w:r>
      <w:r w:rsidRPr="009D1D46">
        <w:t>Council on Hypertension and the European Association of Percutaneous Cardiovascular Interventions (</w:t>
      </w:r>
      <w:r>
        <w:t>ESC/</w:t>
      </w:r>
      <w:r w:rsidRPr="009D1D46">
        <w:t>EAPCI</w:t>
      </w:r>
      <w:r w:rsidR="00452000">
        <w:t>, Barbato</w:t>
      </w:r>
      <w:r>
        <w:t xml:space="preserve"> 2023</w:t>
      </w:r>
      <w:r w:rsidRPr="009D1D46">
        <w:t>)</w:t>
      </w:r>
      <w:r w:rsidR="00A96F55">
        <w:rPr>
          <w:rStyle w:val="FootnoteReference"/>
        </w:rPr>
        <w:footnoteReference w:id="6"/>
      </w:r>
      <w:r>
        <w:t xml:space="preserve">. </w:t>
      </w:r>
    </w:p>
    <w:p w14:paraId="39392CFD" w14:textId="6C7792C4" w:rsidR="003328A9" w:rsidRPr="00CE28E3" w:rsidRDefault="00310C3F" w:rsidP="00310C3F">
      <w:pPr>
        <w:pStyle w:val="Caption"/>
        <w:rPr>
          <w:rFonts w:cs="Arial"/>
        </w:rPr>
      </w:pPr>
      <w:bookmarkStart w:id="6" w:name="_Ref69481033"/>
      <w:r>
        <w:t>Table</w:t>
      </w:r>
      <w:r w:rsidR="004A4FDF">
        <w:t> </w:t>
      </w:r>
      <w:r>
        <w:fldChar w:fldCharType="begin"/>
      </w:r>
      <w:r>
        <w:instrText>SEQ Table \* ARABIC</w:instrText>
      </w:r>
      <w:r>
        <w:fldChar w:fldCharType="separate"/>
      </w:r>
      <w:r w:rsidR="003D5203">
        <w:rPr>
          <w:noProof/>
        </w:rPr>
        <w:t>2</w:t>
      </w:r>
      <w:r>
        <w:fldChar w:fldCharType="end"/>
      </w:r>
      <w:bookmarkEnd w:id="6"/>
      <w:r w:rsidR="003328A9" w:rsidRPr="00CE28E3">
        <w:rPr>
          <w:rFonts w:cs="Arial"/>
        </w:rPr>
        <w:tab/>
      </w:r>
      <w:r w:rsidR="00984447">
        <w:rPr>
          <w:rFonts w:cs="Arial"/>
        </w:rPr>
        <w:t>ADAR</w:t>
      </w:r>
      <w:r w:rsidR="00244ADD">
        <w:rPr>
          <w:rFonts w:cs="Arial"/>
        </w:rPr>
        <w:t>-</w:t>
      </w:r>
      <w:r w:rsidR="00E63A49">
        <w:rPr>
          <w:rFonts w:cs="Arial"/>
        </w:rPr>
        <w:t>p</w:t>
      </w:r>
      <w:r w:rsidR="00B26622" w:rsidRPr="00CE28E3">
        <w:rPr>
          <w:rFonts w:cs="Arial"/>
        </w:rPr>
        <w:t xml:space="preserve">roposed </w:t>
      </w:r>
      <w:r w:rsidR="00C87F8D">
        <w:rPr>
          <w:rFonts w:cs="Arial"/>
        </w:rPr>
        <w:t xml:space="preserve">new </w:t>
      </w:r>
      <w:r w:rsidR="00B26622" w:rsidRPr="00CE28E3">
        <w:rPr>
          <w:rFonts w:cs="Arial"/>
        </w:rPr>
        <w:t>MBS item</w:t>
      </w:r>
      <w:r w:rsidR="003328A9" w:rsidRPr="00CE28E3">
        <w:rPr>
          <w:rFonts w:cs="Arial"/>
        </w:rPr>
        <w:t xml:space="preserve"> </w:t>
      </w:r>
      <w:r w:rsidR="00C87F8D">
        <w:rPr>
          <w:rFonts w:cs="Arial"/>
        </w:rPr>
        <w:t xml:space="preserve">for catheter-based </w:t>
      </w:r>
      <w:r w:rsidR="005E571F">
        <w:rPr>
          <w:rFonts w:cs="Arial"/>
        </w:rPr>
        <w:t xml:space="preserve">radiofrequency </w:t>
      </w:r>
      <w:r w:rsidR="00C87F8D">
        <w:rPr>
          <w:rFonts w:cs="Arial"/>
        </w:rPr>
        <w:t>renal denervation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AR proposed new MBS item for RF RDN"/>
        <w:tblDescription w:val="Proposed descriptor and fees"/>
      </w:tblPr>
      <w:tblGrid>
        <w:gridCol w:w="9016"/>
      </w:tblGrid>
      <w:tr w:rsidR="003328A9" w:rsidRPr="00CE28E3" w14:paraId="7A70B700" w14:textId="77777777" w:rsidTr="7A602C47">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0435500D" w:rsidR="003328A9" w:rsidRPr="00CE28E3" w:rsidRDefault="003328A9" w:rsidP="00E4328B">
            <w:pPr>
              <w:pStyle w:val="TableText"/>
              <w:keepNext/>
              <w:rPr>
                <w:sz w:val="24"/>
              </w:rPr>
            </w:pPr>
            <w:r w:rsidRPr="00CE28E3">
              <w:t xml:space="preserve">Category </w:t>
            </w:r>
            <w:r w:rsidR="00C60D19">
              <w:t>3</w:t>
            </w:r>
            <w:r w:rsidRPr="00CE28E3">
              <w:t xml:space="preserve"> – </w:t>
            </w:r>
            <w:r w:rsidR="00C60D19">
              <w:t>THERAPEUTIC PROCEDURES</w:t>
            </w:r>
          </w:p>
        </w:tc>
      </w:tr>
      <w:tr w:rsidR="003328A9" w:rsidRPr="00CE28E3" w14:paraId="05A9B76F" w14:textId="77777777" w:rsidTr="7A602C4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DD428" w14:textId="0EB8C0BF" w:rsidR="00E3330E" w:rsidRPr="00170D5B" w:rsidRDefault="00E3330E" w:rsidP="00E4328B">
            <w:pPr>
              <w:keepNext/>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387A04D1" w14:textId="023D72E8" w:rsidR="00C60D19" w:rsidRPr="00C60D19" w:rsidRDefault="00C60D19" w:rsidP="00E4328B">
            <w:pPr>
              <w:keepNext/>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Radiofrequency ablation of renal sympathetic nerves under image guidance (angiography) in adults ≥18 years of age with treatment-resistant hypertension confirmed by a specialist, with elevated systolic blood pressure ≥ 150 mm Hg or elevated diastolic blood pressure ≥110 mm Hg despite optimal medical management (using three or more antihypertensive drugs, including a diuretic, at optimal tolerated doses) and one or more of the following conditions:</w:t>
            </w:r>
          </w:p>
          <w:p w14:paraId="39B57BC9"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systolic blood pressure &gt; 180mm Hg</w:t>
            </w:r>
          </w:p>
          <w:p w14:paraId="1AF53691"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previous myocardial infarction</w:t>
            </w:r>
          </w:p>
          <w:p w14:paraId="32498CE2" w14:textId="54343F3B"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 xml:space="preserve">previous stroke or </w:t>
            </w:r>
            <w:r w:rsidR="00F47CF8" w:rsidRPr="00E21369">
              <w:rPr>
                <w:rFonts w:ascii="Arial Narrow" w:hAnsi="Arial Narrow"/>
                <w:sz w:val="20"/>
                <w:szCs w:val="20"/>
                <w:lang w:val="en-US" w:eastAsia="ja-JP"/>
              </w:rPr>
              <w:t>transient ischemic attack (</w:t>
            </w:r>
            <w:r w:rsidRPr="00E21369">
              <w:rPr>
                <w:rFonts w:ascii="Arial Narrow" w:hAnsi="Arial Narrow"/>
                <w:sz w:val="20"/>
                <w:szCs w:val="20"/>
                <w:lang w:val="en-US" w:eastAsia="ja-JP"/>
              </w:rPr>
              <w:t>TIA</w:t>
            </w:r>
            <w:r w:rsidR="00F47CF8" w:rsidRPr="00E21369">
              <w:rPr>
                <w:rFonts w:ascii="Arial Narrow" w:hAnsi="Arial Narrow"/>
                <w:sz w:val="20"/>
                <w:szCs w:val="20"/>
                <w:lang w:val="en-US" w:eastAsia="ja-JP"/>
              </w:rPr>
              <w:t>)</w:t>
            </w:r>
          </w:p>
          <w:p w14:paraId="51FAF4F1"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diabetes</w:t>
            </w:r>
          </w:p>
          <w:p w14:paraId="18F019E6"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chronic kidney disease</w:t>
            </w:r>
          </w:p>
          <w:p w14:paraId="45E0D40E"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atrial fibrillation</w:t>
            </w:r>
          </w:p>
          <w:p w14:paraId="23A52CDE" w14:textId="77777777" w:rsid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heart failure</w:t>
            </w:r>
          </w:p>
          <w:p w14:paraId="04AF747A" w14:textId="61480999" w:rsidR="00C60D19" w:rsidRPr="00C60D19" w:rsidRDefault="00C60D19" w:rsidP="00E4328B">
            <w:pPr>
              <w:pStyle w:val="ListParagraph"/>
              <w:keepNext/>
              <w:numPr>
                <w:ilvl w:val="0"/>
                <w:numId w:val="87"/>
              </w:numPr>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peripheral arterial disease</w:t>
            </w:r>
          </w:p>
          <w:p w14:paraId="3EEC2DE6" w14:textId="5A140E30" w:rsidR="003328A9" w:rsidRPr="00170D5B" w:rsidRDefault="00C60D19" w:rsidP="00E4328B">
            <w:pPr>
              <w:keepNext/>
              <w:spacing w:after="120" w:line="240" w:lineRule="auto"/>
              <w:rPr>
                <w:rFonts w:ascii="Arial Narrow" w:hAnsi="Arial Narrow"/>
                <w:sz w:val="20"/>
                <w:szCs w:val="20"/>
                <w:lang w:val="en-US" w:eastAsia="ja-JP"/>
              </w:rPr>
            </w:pPr>
            <w:r w:rsidRPr="00C60D19">
              <w:rPr>
                <w:rFonts w:ascii="Arial Narrow" w:hAnsi="Arial Narrow"/>
                <w:sz w:val="20"/>
                <w:szCs w:val="20"/>
                <w:lang w:val="en-US" w:eastAsia="ja-JP"/>
              </w:rPr>
              <w:t>Includes angiography. One service only. (Anaes.)</w:t>
            </w:r>
          </w:p>
        </w:tc>
      </w:tr>
      <w:tr w:rsidR="003328A9" w:rsidRPr="00110896" w14:paraId="190EE027" w14:textId="77777777" w:rsidTr="7A602C4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DFDC" w14:textId="6433086B" w:rsidR="003328A9" w:rsidRPr="00110896" w:rsidRDefault="003328A9" w:rsidP="00170D5B">
            <w:pPr>
              <w:pStyle w:val="TableText"/>
              <w:rPr>
                <w:szCs w:val="20"/>
              </w:rPr>
            </w:pPr>
            <w:r w:rsidRPr="00110896">
              <w:rPr>
                <w:szCs w:val="20"/>
              </w:rPr>
              <w:t xml:space="preserve">Fee: </w:t>
            </w:r>
            <w:r w:rsidR="001934FC" w:rsidRPr="00110896">
              <w:rPr>
                <w:szCs w:val="20"/>
              </w:rPr>
              <w:t xml:space="preserve">$2,298.35 </w:t>
            </w:r>
            <w:r w:rsidR="00982F28" w:rsidRPr="00110896">
              <w:rPr>
                <w:szCs w:val="20"/>
              </w:rPr>
              <w:t xml:space="preserve"> </w:t>
            </w:r>
            <w:r w:rsidR="001012BF" w:rsidRPr="00110896">
              <w:rPr>
                <w:szCs w:val="20"/>
              </w:rPr>
              <w:t xml:space="preserve">Benefit: 75% = </w:t>
            </w:r>
            <w:r w:rsidR="00DB1B12" w:rsidRPr="00110896">
              <w:rPr>
                <w:szCs w:val="20"/>
              </w:rPr>
              <w:t>$1,7</w:t>
            </w:r>
            <w:r w:rsidR="00886425" w:rsidRPr="00110896">
              <w:rPr>
                <w:szCs w:val="20"/>
              </w:rPr>
              <w:t>23.80</w:t>
            </w:r>
            <w:r w:rsidR="00982F28" w:rsidRPr="00110896">
              <w:rPr>
                <w:szCs w:val="20"/>
              </w:rPr>
              <w:t xml:space="preserve"> </w:t>
            </w:r>
            <w:r w:rsidR="00DB1B12" w:rsidRPr="00110896">
              <w:rPr>
                <w:szCs w:val="20"/>
              </w:rPr>
              <w:t xml:space="preserve"> </w:t>
            </w:r>
          </w:p>
        </w:tc>
      </w:tr>
    </w:tbl>
    <w:p w14:paraId="3EC55390" w14:textId="0FA4345C" w:rsidR="00401699" w:rsidRPr="00110896" w:rsidRDefault="00A324D9" w:rsidP="009460DF">
      <w:pPr>
        <w:pStyle w:val="Tablenotes0"/>
      </w:pPr>
      <w:r w:rsidRPr="00110896">
        <w:t>Source</w:t>
      </w:r>
      <w:r w:rsidR="002C0BE4" w:rsidRPr="00110896">
        <w:t>: Table 16 of MSAC 16</w:t>
      </w:r>
      <w:r w:rsidR="006D6CDE" w:rsidRPr="00110896">
        <w:t>59 ADAR</w:t>
      </w:r>
      <w:r w:rsidR="00EB0135" w:rsidRPr="00110896">
        <w:t>+i</w:t>
      </w:r>
      <w:r w:rsidR="00E82821" w:rsidRPr="00110896">
        <w:t>n-line commentary,</w:t>
      </w:r>
      <w:r w:rsidR="006D6CDE" w:rsidRPr="00110896">
        <w:t xml:space="preserve"> updated</w:t>
      </w:r>
      <w:r w:rsidR="00275430" w:rsidRPr="00110896">
        <w:t xml:space="preserve"> by the commentary</w:t>
      </w:r>
      <w:r w:rsidR="006D6CDE" w:rsidRPr="00110896">
        <w:t xml:space="preserve"> to reflect the </w:t>
      </w:r>
      <w:r w:rsidR="00CB39FB" w:rsidRPr="00110896">
        <w:t>ADAR-</w:t>
      </w:r>
      <w:r w:rsidR="006D6CDE" w:rsidRPr="00110896">
        <w:t>proposed MBS fee</w:t>
      </w:r>
      <w:r w:rsidR="00CD7168" w:rsidRPr="00110896">
        <w:t xml:space="preserve"> </w:t>
      </w:r>
      <w:r w:rsidR="00355971" w:rsidRPr="00110896">
        <w:t xml:space="preserve">(at July 2023) </w:t>
      </w:r>
      <w:r w:rsidR="00CD7168" w:rsidRPr="00110896">
        <w:t>and 75% Benefit for the inpatient service</w:t>
      </w:r>
      <w:r w:rsidR="00355971" w:rsidRPr="00110896">
        <w:t>.</w:t>
      </w:r>
    </w:p>
    <w:p w14:paraId="17CDD671" w14:textId="00DB06F7" w:rsidR="00D86018" w:rsidRDefault="00D86018" w:rsidP="00D86018">
      <w:r>
        <w:t xml:space="preserve">The indication proposed in the descriptor is consistent with the PICO but is not consistent with patients enrolled in randomised, sham-controlled trials of RDN. Patients with comorbidities or at very high cardiovascular </w:t>
      </w:r>
      <w:r w:rsidR="009A47C9">
        <w:t xml:space="preserve">(CV) </w:t>
      </w:r>
      <w:r>
        <w:t xml:space="preserve">risk were generally excluded from participation in clinical trials. </w:t>
      </w:r>
      <w:bookmarkStart w:id="7" w:name="_Hlk142578662"/>
      <w:r>
        <w:t>However, real world evidence from the G</w:t>
      </w:r>
      <w:r w:rsidR="00B0782E">
        <w:t xml:space="preserve">lobal </w:t>
      </w:r>
      <w:r>
        <w:t>S</w:t>
      </w:r>
      <w:r w:rsidR="00B0782E">
        <w:t xml:space="preserve">YMPLICITY </w:t>
      </w:r>
      <w:r>
        <w:t>R</w:t>
      </w:r>
      <w:r w:rsidR="00B0782E">
        <w:t>egistry</w:t>
      </w:r>
      <w:r>
        <w:t xml:space="preserve"> provides some insights</w:t>
      </w:r>
      <w:r w:rsidR="00A9671C">
        <w:t xml:space="preserve"> (</w:t>
      </w:r>
      <w:r>
        <w:t>with caveats</w:t>
      </w:r>
      <w:r w:rsidR="00A9671C">
        <w:t>)</w:t>
      </w:r>
      <w:r>
        <w:t xml:space="preserve"> into the effectiveness and safety of RDN in high</w:t>
      </w:r>
      <w:r w:rsidR="0076639A">
        <w:t>-</w:t>
      </w:r>
      <w:r>
        <w:t>risk patient</w:t>
      </w:r>
      <w:r w:rsidR="002C6483">
        <w:t xml:space="preserve"> subgroup</w:t>
      </w:r>
      <w:r>
        <w:t>s.</w:t>
      </w:r>
    </w:p>
    <w:bookmarkEnd w:id="7"/>
    <w:p w14:paraId="13318408" w14:textId="282724E3" w:rsidR="000A1694" w:rsidRPr="00AD7799" w:rsidRDefault="00D86018" w:rsidP="0080176D">
      <w:r>
        <w:t xml:space="preserve">The descriptor mentions ‘one service only’. MSAC </w:t>
      </w:r>
      <w:r w:rsidR="00826A5B">
        <w:t xml:space="preserve">may wish to </w:t>
      </w:r>
      <w:r>
        <w:t xml:space="preserve">consider </w:t>
      </w:r>
      <w:r w:rsidR="00681419">
        <w:t xml:space="preserve">amending to </w:t>
      </w:r>
      <w:r w:rsidR="0047653C">
        <w:t>‘</w:t>
      </w:r>
      <w:r w:rsidR="00681419">
        <w:t>applicable only once per lifetime</w:t>
      </w:r>
      <w:r w:rsidR="0047653C">
        <w:t>’</w:t>
      </w:r>
      <w:r w:rsidR="00681419">
        <w:t xml:space="preserve"> </w:t>
      </w:r>
      <w:r>
        <w:t>to ensure that RDN is restricted to one service per lifetime.</w:t>
      </w:r>
    </w:p>
    <w:p w14:paraId="5899D18B" w14:textId="6D4F0F1C" w:rsidR="008E15C4" w:rsidRDefault="008E15C4" w:rsidP="008E15C4">
      <w:pPr>
        <w:pStyle w:val="Heading3"/>
      </w:pPr>
      <w:r>
        <w:t>Proposed fee</w:t>
      </w:r>
      <w:r w:rsidR="00F6346F">
        <w:t xml:space="preserve"> for service</w:t>
      </w:r>
    </w:p>
    <w:p w14:paraId="3C0F6A68" w14:textId="186BF408" w:rsidR="008E15C4" w:rsidRDefault="0068583D" w:rsidP="00401699">
      <w:r w:rsidRPr="0068583D">
        <w:t xml:space="preserve">The </w:t>
      </w:r>
      <w:r>
        <w:t xml:space="preserve">proposed </w:t>
      </w:r>
      <w:r w:rsidRPr="0068583D">
        <w:t xml:space="preserve">fee </w:t>
      </w:r>
      <w:r w:rsidR="00AB5036">
        <w:t xml:space="preserve">is </w:t>
      </w:r>
      <w:r w:rsidR="00986D59">
        <w:t xml:space="preserve">based on </w:t>
      </w:r>
      <w:r w:rsidRPr="0068583D">
        <w:t>MBS item 38287 [ABLATION OF ARRHYTHMIA CIRCUIT OR FOCUS or isolation procedure involving 1 atrial chamber]</w:t>
      </w:r>
      <w:r w:rsidR="00EE5E31">
        <w:t xml:space="preserve"> – Fee </w:t>
      </w:r>
      <w:r w:rsidR="00EE5E31" w:rsidRPr="0068583D">
        <w:t xml:space="preserve">$2,298.35 </w:t>
      </w:r>
      <w:r w:rsidR="00EE5E31">
        <w:t>(</w:t>
      </w:r>
      <w:r w:rsidR="00A475A1">
        <w:t xml:space="preserve">as </w:t>
      </w:r>
      <w:r w:rsidR="00EE5E31" w:rsidRPr="0068583D">
        <w:t>a</w:t>
      </w:r>
      <w:r w:rsidR="004A519C">
        <w:t>t</w:t>
      </w:r>
      <w:r w:rsidR="00EE5E31" w:rsidRPr="0068583D">
        <w:t xml:space="preserve"> 01 July 2023</w:t>
      </w:r>
      <w:r w:rsidR="00EE5E31">
        <w:t>).</w:t>
      </w:r>
      <w:r w:rsidR="00986D59">
        <w:t xml:space="preserve"> </w:t>
      </w:r>
      <w:r w:rsidR="00EE5E31">
        <w:t>T</w:t>
      </w:r>
      <w:r w:rsidR="003B31CC">
        <w:t xml:space="preserve">he </w:t>
      </w:r>
      <w:r w:rsidR="00B03A2A">
        <w:t xml:space="preserve">ADAR </w:t>
      </w:r>
      <w:r w:rsidR="003B31CC">
        <w:t>considers</w:t>
      </w:r>
      <w:r w:rsidR="00986D59">
        <w:t xml:space="preserve"> </w:t>
      </w:r>
      <w:r w:rsidR="00D779C4" w:rsidRPr="0068583D">
        <w:t>MBS item 38287</w:t>
      </w:r>
      <w:r w:rsidR="00D779C4">
        <w:t xml:space="preserve"> </w:t>
      </w:r>
      <w:r w:rsidR="00986D59">
        <w:t xml:space="preserve">to </w:t>
      </w:r>
      <w:r w:rsidR="00C86182">
        <w:t>be</w:t>
      </w:r>
      <w:r w:rsidRPr="0068583D">
        <w:t xml:space="preserve"> a reasonable benchmark for </w:t>
      </w:r>
      <w:r w:rsidR="00970172">
        <w:t xml:space="preserve">the </w:t>
      </w:r>
      <w:r w:rsidRPr="0068583D">
        <w:t xml:space="preserve">procedure type </w:t>
      </w:r>
      <w:r w:rsidRPr="0068583D">
        <w:lastRenderedPageBreak/>
        <w:t>(catheter-based ablation) and time taken</w:t>
      </w:r>
      <w:r w:rsidR="00DA085B">
        <w:t xml:space="preserve">. The </w:t>
      </w:r>
      <w:r w:rsidR="002B195B">
        <w:t>fee/</w:t>
      </w:r>
      <w:r w:rsidR="00DA085B">
        <w:t xml:space="preserve">benchmark </w:t>
      </w:r>
      <w:r w:rsidR="00AD2F63">
        <w:t xml:space="preserve">was </w:t>
      </w:r>
      <w:r w:rsidRPr="0068583D">
        <w:t xml:space="preserve">derived in consultation with </w:t>
      </w:r>
      <w:r w:rsidR="007622A3">
        <w:t>key opinion leaders</w:t>
      </w:r>
      <w:r w:rsidR="003F4FCB">
        <w:t xml:space="preserve"> </w:t>
      </w:r>
      <w:r w:rsidRPr="0068583D">
        <w:t>currently performing the RDN procedure.</w:t>
      </w:r>
    </w:p>
    <w:p w14:paraId="3F5E9DD4" w14:textId="41C5CC9B" w:rsidR="00204C65" w:rsidRDefault="000973A1" w:rsidP="00401699">
      <w:r>
        <w:t xml:space="preserve">The </w:t>
      </w:r>
      <w:r w:rsidR="009E4044">
        <w:t xml:space="preserve">Department </w:t>
      </w:r>
      <w:r>
        <w:t>advised</w:t>
      </w:r>
      <w:r w:rsidR="009E4044">
        <w:t xml:space="preserve"> that comparison with </w:t>
      </w:r>
      <w:r w:rsidR="00436B6B">
        <w:t xml:space="preserve">MBS item 38287 (atrial chamber ablation) is inappropriate and that comparison </w:t>
      </w:r>
      <w:r w:rsidR="002A07DF">
        <w:t>with bilateral renal endarterectomy (MBS item 33527) is more suitab</w:t>
      </w:r>
      <w:r w:rsidR="00443A86">
        <w:t>le – Fee $2,067.05 (</w:t>
      </w:r>
      <w:r w:rsidR="00802588">
        <w:t>75% Benefit $1,550.30)</w:t>
      </w:r>
      <w:r w:rsidR="00443A86">
        <w:t>.</w:t>
      </w:r>
      <w:r w:rsidR="009A7410">
        <w:t xml:space="preserve"> </w:t>
      </w:r>
      <w:r w:rsidR="008470B4">
        <w:t>T</w:t>
      </w:r>
      <w:r w:rsidR="00E9643A">
        <w:t xml:space="preserve">he </w:t>
      </w:r>
      <w:r w:rsidR="00994DA4">
        <w:t>commentary</w:t>
      </w:r>
      <w:r w:rsidR="00512EC5">
        <w:t xml:space="preserve"> </w:t>
      </w:r>
      <w:r w:rsidR="00201941">
        <w:t>present</w:t>
      </w:r>
      <w:r w:rsidR="00244130">
        <w:t>ed</w:t>
      </w:r>
      <w:r w:rsidR="00CA490C">
        <w:t xml:space="preserve"> </w:t>
      </w:r>
      <w:r w:rsidR="00212D25">
        <w:t xml:space="preserve">the </w:t>
      </w:r>
      <w:r w:rsidR="00F6226B">
        <w:t xml:space="preserve">financial impact to the MBS using the </w:t>
      </w:r>
      <w:r w:rsidR="00981620">
        <w:t>ADAR-</w:t>
      </w:r>
      <w:r w:rsidR="00F6226B">
        <w:t>proposed fee and the alternate fee</w:t>
      </w:r>
      <w:r w:rsidR="00A940B6">
        <w:t xml:space="preserve"> as per advice from the Department</w:t>
      </w:r>
      <w:r w:rsidR="001C0AD6">
        <w:t xml:space="preserve">. </w:t>
      </w:r>
      <w:r w:rsidR="00A940B6">
        <w:t xml:space="preserve">The alternate fee </w:t>
      </w:r>
      <w:r w:rsidR="00892008">
        <w:t>has no material impact on cost effectiveness</w:t>
      </w:r>
      <w:r w:rsidR="00A940B6">
        <w:t>.</w:t>
      </w:r>
    </w:p>
    <w:p w14:paraId="21AF7B6B" w14:textId="5C6D76C3" w:rsidR="00D70435" w:rsidRDefault="0029175D" w:rsidP="00401699">
      <w:r>
        <w:t>Of note, t</w:t>
      </w:r>
      <w:r w:rsidR="00C9442C">
        <w:t xml:space="preserve">he service relating to </w:t>
      </w:r>
      <w:r w:rsidR="006912E7">
        <w:t xml:space="preserve">MBS item </w:t>
      </w:r>
      <w:r w:rsidR="008E6328">
        <w:t xml:space="preserve">38287 </w:t>
      </w:r>
      <w:r w:rsidR="009B6ECF">
        <w:t>(</w:t>
      </w:r>
      <w:r w:rsidR="00CD78EC">
        <w:t xml:space="preserve">the benchmark </w:t>
      </w:r>
      <w:r w:rsidR="00B0532F">
        <w:t xml:space="preserve">service </w:t>
      </w:r>
      <w:r w:rsidR="00CD78EC">
        <w:t xml:space="preserve">proposed </w:t>
      </w:r>
      <w:r w:rsidR="009B6ECF">
        <w:t xml:space="preserve">in the ADAR) </w:t>
      </w:r>
      <w:r w:rsidR="008E6328">
        <w:t xml:space="preserve">does not </w:t>
      </w:r>
      <w:r w:rsidR="00550791">
        <w:t>extend to</w:t>
      </w:r>
      <w:r w:rsidR="008E6328">
        <w:t xml:space="preserve"> intraoperative imaging </w:t>
      </w:r>
      <w:r w:rsidR="00505AEA">
        <w:t>during the cardiac ablation procedure</w:t>
      </w:r>
      <w:r>
        <w:t xml:space="preserve"> (additional MBS items can be claimed</w:t>
      </w:r>
      <w:r w:rsidR="00181552">
        <w:t xml:space="preserve"> for imaging</w:t>
      </w:r>
      <w:r>
        <w:t>)</w:t>
      </w:r>
      <w:r w:rsidR="00550791">
        <w:t xml:space="preserve">. </w:t>
      </w:r>
      <w:r>
        <w:t xml:space="preserve">In contrast, </w:t>
      </w:r>
      <w:r w:rsidR="009A4AC7">
        <w:t xml:space="preserve">the proposed </w:t>
      </w:r>
      <w:r w:rsidR="004401B7">
        <w:t>item</w:t>
      </w:r>
      <w:r w:rsidR="00B34B17">
        <w:t xml:space="preserve"> fo</w:t>
      </w:r>
      <w:r w:rsidR="009A4AC7">
        <w:t xml:space="preserve">r </w:t>
      </w:r>
      <w:r w:rsidR="00F56CDC">
        <w:t>RDN include</w:t>
      </w:r>
      <w:r w:rsidR="004401B7">
        <w:t>s</w:t>
      </w:r>
      <w:r w:rsidR="00F56CDC">
        <w:t xml:space="preserve"> </w:t>
      </w:r>
      <w:r w:rsidR="00585AF5">
        <w:t>angiography</w:t>
      </w:r>
      <w:r w:rsidR="004401B7">
        <w:t xml:space="preserve"> at no additional fee</w:t>
      </w:r>
      <w:r w:rsidR="00C739E9">
        <w:t>.</w:t>
      </w:r>
    </w:p>
    <w:p w14:paraId="206B0CE5" w14:textId="32D5AEE0" w:rsidR="004D049B" w:rsidRDefault="004D049B" w:rsidP="004D049B">
      <w:r>
        <w:t xml:space="preserve">It is unclear whether assessment of suitability for RDN using aortogram and selective renal angiogram is also intended to be captured in the proposed fee. This becomes relevant in cases where RDN does not proceed due to unsuitable renal anatomy. According to the PICO Confirmation, the MBS services associated with pre-RDN angiography include item 60027 and item 60075. </w:t>
      </w:r>
      <w:r w:rsidR="00B113AA">
        <w:t xml:space="preserve">These MBS costs would still apply if RDN does not proceed. </w:t>
      </w:r>
      <w:r>
        <w:t>The</w:t>
      </w:r>
      <w:r w:rsidR="00E472B8">
        <w:t xml:space="preserve"> costs for these</w:t>
      </w:r>
      <w:r>
        <w:t xml:space="preserve"> MBS </w:t>
      </w:r>
      <w:r w:rsidR="00E472B8">
        <w:t>services</w:t>
      </w:r>
      <w:r>
        <w:t xml:space="preserve"> </w:t>
      </w:r>
      <w:r w:rsidR="00344AAD">
        <w:t xml:space="preserve">are not included in the </w:t>
      </w:r>
      <w:r w:rsidR="00400DEB">
        <w:t xml:space="preserve">ADAR economic evaluation </w:t>
      </w:r>
      <w:r w:rsidR="009E7E53">
        <w:t>or financial analysis</w:t>
      </w:r>
      <w:r>
        <w:t>.</w:t>
      </w:r>
    </w:p>
    <w:p w14:paraId="4AA29DEB" w14:textId="1AC22BCF" w:rsidR="00E62A5F" w:rsidRDefault="00E62A5F" w:rsidP="4042795E">
      <w:pPr>
        <w:rPr>
          <w:rStyle w:val="eop"/>
        </w:rPr>
      </w:pPr>
      <w:r w:rsidRPr="4042795E">
        <w:rPr>
          <w:rStyle w:val="normaltextrun"/>
          <w:rFonts w:cs="Segoe UI"/>
          <w:shd w:val="clear" w:color="auto" w:fill="FFFFFF"/>
        </w:rPr>
        <w:t>In the pre-ESC response, the applicant noted that the costs of angiography required throughout the procedure (including immediately prior to the procedure) are included as part of the proposed fee. The applicant further clarified that patients deemed unsuitable for RDN after angiography will incur the MBS fee for angiography rather than that of RDN.</w:t>
      </w:r>
      <w:r w:rsidRPr="4042795E">
        <w:rPr>
          <w:rStyle w:val="eop"/>
          <w:shd w:val="clear" w:color="auto" w:fill="FFFFFF"/>
        </w:rPr>
        <w:t> </w:t>
      </w:r>
    </w:p>
    <w:p w14:paraId="241E3315" w14:textId="5B88EC00" w:rsidR="00260FA1" w:rsidRDefault="00B45998" w:rsidP="00401699">
      <w:r>
        <w:t>A</w:t>
      </w:r>
      <w:r w:rsidR="00345EC0">
        <w:t xml:space="preserve">ny </w:t>
      </w:r>
      <w:r w:rsidR="002D78AC">
        <w:t>activities</w:t>
      </w:r>
      <w:r w:rsidR="00773458">
        <w:t xml:space="preserve"> relat</w:t>
      </w:r>
      <w:r w:rsidR="00EA1B1E">
        <w:t>ing</w:t>
      </w:r>
      <w:r w:rsidR="00773458">
        <w:t xml:space="preserve"> to </w:t>
      </w:r>
      <w:r w:rsidR="002D78AC">
        <w:t xml:space="preserve">the use of </w:t>
      </w:r>
      <w:r w:rsidR="002E60D4">
        <w:t xml:space="preserve">vascular closure devices </w:t>
      </w:r>
      <w:r w:rsidR="002D78AC">
        <w:t xml:space="preserve">during the RDN </w:t>
      </w:r>
      <w:r w:rsidR="00EA1B1E">
        <w:t xml:space="preserve">procedure would </w:t>
      </w:r>
      <w:r>
        <w:t xml:space="preserve">presumably </w:t>
      </w:r>
      <w:r w:rsidR="00EA1B1E">
        <w:t xml:space="preserve">be included </w:t>
      </w:r>
      <w:r w:rsidR="00345EC0">
        <w:t xml:space="preserve">within </w:t>
      </w:r>
      <w:r w:rsidR="00D350F5">
        <w:t xml:space="preserve">the proposed </w:t>
      </w:r>
      <w:r w:rsidR="0030668A">
        <w:t>medical service</w:t>
      </w:r>
      <w:r w:rsidR="00903124">
        <w:t xml:space="preserve"> (the time taken for vascular closure would </w:t>
      </w:r>
      <w:r w:rsidR="00E1011A">
        <w:t>not warrant the use of a separate MBS item)</w:t>
      </w:r>
      <w:r w:rsidR="0030668A">
        <w:t>.</w:t>
      </w:r>
    </w:p>
    <w:p w14:paraId="35559572" w14:textId="211B8E1C" w:rsidR="00C62949" w:rsidRDefault="009549EB" w:rsidP="00401699">
      <w:r>
        <w:t>T</w:t>
      </w:r>
      <w:r w:rsidRPr="009549EB">
        <w:t xml:space="preserve">he </w:t>
      </w:r>
      <w:r w:rsidR="0086345C">
        <w:t xml:space="preserve">ADAR </w:t>
      </w:r>
      <w:r w:rsidR="00DE6324">
        <w:t xml:space="preserve">states that the </w:t>
      </w:r>
      <w:r w:rsidR="00E45978">
        <w:t>RDN</w:t>
      </w:r>
      <w:r w:rsidRPr="009549EB">
        <w:t xml:space="preserve"> service is to be undertaken in specialist centres with the patient being admitted as an inpatient in hospital. </w:t>
      </w:r>
      <w:r w:rsidR="00585AC1">
        <w:t>As such,</w:t>
      </w:r>
      <w:r w:rsidR="002F4982">
        <w:t xml:space="preserve"> </w:t>
      </w:r>
      <w:r w:rsidR="00DB5C4C">
        <w:t>only the 75% Benefit is relevant.</w:t>
      </w:r>
    </w:p>
    <w:p w14:paraId="34E0B08F" w14:textId="0ED8935E" w:rsidR="00772829" w:rsidRDefault="006E6BB4" w:rsidP="002A18BE">
      <w:pPr>
        <w:pStyle w:val="Heading2"/>
        <w:numPr>
          <w:ilvl w:val="0"/>
          <w:numId w:val="0"/>
        </w:numPr>
      </w:pPr>
      <w:bookmarkStart w:id="8" w:name="_Toc69491419"/>
      <w:r>
        <w:t>7</w:t>
      </w:r>
      <w:r w:rsidR="00C36633">
        <w:t>.</w:t>
      </w:r>
      <w:r w:rsidR="00C36633">
        <w:tab/>
      </w:r>
      <w:r w:rsidR="00772829" w:rsidRPr="00CE28E3">
        <w:t>Population</w:t>
      </w:r>
      <w:bookmarkEnd w:id="8"/>
    </w:p>
    <w:p w14:paraId="31CF970B" w14:textId="4DFAD9F4" w:rsidR="00C85AC0" w:rsidRDefault="008F5CBF" w:rsidP="00C85AC0">
      <w:r w:rsidRPr="00FB28E8">
        <w:t>Th</w:t>
      </w:r>
      <w:r w:rsidR="00301C1A" w:rsidRPr="00FB28E8">
        <w:t>e</w:t>
      </w:r>
      <w:r w:rsidR="009F4E1A" w:rsidRPr="00FB28E8">
        <w:t xml:space="preserve"> </w:t>
      </w:r>
      <w:r w:rsidR="0057300C" w:rsidRPr="00FB28E8">
        <w:t>population</w:t>
      </w:r>
      <w:r w:rsidR="009F4E1A" w:rsidRPr="00FB28E8">
        <w:t xml:space="preserve"> specified in the PICO Confirmation and the ADAR are patients</w:t>
      </w:r>
      <w:r w:rsidR="0057300C" w:rsidRPr="00FB28E8">
        <w:t xml:space="preserve"> </w:t>
      </w:r>
      <w:r w:rsidR="00DE1205" w:rsidRPr="00FB28E8">
        <w:t>with</w:t>
      </w:r>
      <w:r w:rsidR="009B6FCC" w:rsidRPr="00FB28E8">
        <w:t xml:space="preserve"> </w:t>
      </w:r>
      <w:r w:rsidRPr="00FB28E8">
        <w:t xml:space="preserve">confirmed TRHTN (having tried </w:t>
      </w:r>
      <w:r w:rsidR="006243B3">
        <w:t>OMM</w:t>
      </w:r>
      <w:r w:rsidRPr="00FB28E8">
        <w:t xml:space="preserve"> using three or more antihypertensive </w:t>
      </w:r>
      <w:r w:rsidR="00A64459">
        <w:t>drug</w:t>
      </w:r>
      <w:r w:rsidR="0037372E">
        <w:t>s</w:t>
      </w:r>
      <w:r w:rsidRPr="00FB28E8">
        <w:t>, including a diuretic, at optimal tolerated doses)</w:t>
      </w:r>
      <w:r w:rsidR="0051033E">
        <w:t>,</w:t>
      </w:r>
      <w:r w:rsidRPr="00FB28E8">
        <w:t xml:space="preserve"> at greatest risk of </w:t>
      </w:r>
      <w:r w:rsidR="00397B64">
        <w:t>cardiovascular disease (</w:t>
      </w:r>
      <w:r w:rsidRPr="00FB28E8">
        <w:t>CVD</w:t>
      </w:r>
      <w:r w:rsidR="00397B64">
        <w:t>)</w:t>
      </w:r>
      <w:r w:rsidR="00C912D6" w:rsidRPr="00FB28E8">
        <w:t xml:space="preserve"> – </w:t>
      </w:r>
      <w:r w:rsidRPr="00FB28E8">
        <w:t>meeting higher thresholds for elevated BP (</w:t>
      </w:r>
      <w:r w:rsidR="00221F2F">
        <w:t>systolic BP [</w:t>
      </w:r>
      <w:r w:rsidRPr="00FB28E8">
        <w:t>SBP</w:t>
      </w:r>
      <w:r w:rsidR="00221F2F">
        <w:t>]</w:t>
      </w:r>
      <w:r w:rsidRPr="00FB28E8">
        <w:t xml:space="preserve"> ≥150 mmHg and/or </w:t>
      </w:r>
      <w:r w:rsidR="00221F2F">
        <w:t>diastolic BP [</w:t>
      </w:r>
      <w:r w:rsidRPr="00FB28E8">
        <w:t>DBP</w:t>
      </w:r>
      <w:r w:rsidR="00221F2F">
        <w:t>]</w:t>
      </w:r>
      <w:r w:rsidRPr="00FB28E8">
        <w:t xml:space="preserve"> ≥110 mmHg) and having one or more additional specified CVD risk factor</w:t>
      </w:r>
      <w:r w:rsidR="0003771B">
        <w:t>s</w:t>
      </w:r>
      <w:r w:rsidR="002F0329">
        <w:t>:</w:t>
      </w:r>
      <w:r w:rsidRPr="00FB28E8">
        <w:t xml:space="preserve"> </w:t>
      </w:r>
      <w:r w:rsidR="00B33DAD">
        <w:t>SBP</w:t>
      </w:r>
      <w:r w:rsidRPr="00FB28E8">
        <w:t xml:space="preserve"> &gt;180 mmHg, previous myocardial infarction</w:t>
      </w:r>
      <w:r w:rsidR="007E1723">
        <w:t xml:space="preserve"> (MI)</w:t>
      </w:r>
      <w:r w:rsidRPr="00FB28E8">
        <w:t>, previous transient ischaemic attack</w:t>
      </w:r>
      <w:r w:rsidR="007E1723">
        <w:t xml:space="preserve"> (TIA)</w:t>
      </w:r>
      <w:r w:rsidR="006243B3">
        <w:t xml:space="preserve"> or stroke</w:t>
      </w:r>
      <w:r w:rsidRPr="00FB28E8">
        <w:t>, diabetes mellitus, chronic kidney disease</w:t>
      </w:r>
      <w:r w:rsidR="001812A2">
        <w:t xml:space="preserve"> (CKD)</w:t>
      </w:r>
      <w:r w:rsidRPr="00FB28E8">
        <w:t>, atrial fibrillation</w:t>
      </w:r>
      <w:r w:rsidR="007E1723">
        <w:t xml:space="preserve"> (AF)</w:t>
      </w:r>
      <w:r w:rsidRPr="00FB28E8">
        <w:t>, heart failure</w:t>
      </w:r>
      <w:r w:rsidR="007E1723">
        <w:t xml:space="preserve"> (HF</w:t>
      </w:r>
      <w:r w:rsidR="002F0329">
        <w:t>)</w:t>
      </w:r>
      <w:r w:rsidRPr="00FB28E8">
        <w:t>, peripheral arterial disease</w:t>
      </w:r>
      <w:r w:rsidR="006C3A40">
        <w:t>.</w:t>
      </w:r>
    </w:p>
    <w:p w14:paraId="6962BCAB" w14:textId="6FDC5BA0" w:rsidR="005F579D" w:rsidRDefault="00F13087" w:rsidP="00C85AC0">
      <w:r w:rsidRPr="00B83BB5">
        <w:rPr>
          <w:snapToGrid w:val="0"/>
        </w:rPr>
        <w:t xml:space="preserve">The diagnosis and onward management of patients with HTN mainly takes place in the primary health care setting. </w:t>
      </w:r>
      <w:r w:rsidR="00FC0D3D">
        <w:t>Current Australian guidelines (NHFA 2016)</w:t>
      </w:r>
      <w:r w:rsidR="00060863">
        <w:rPr>
          <w:rStyle w:val="FootnoteReference"/>
        </w:rPr>
        <w:footnoteReference w:id="7"/>
      </w:r>
      <w:r w:rsidR="00FC0D3D">
        <w:t xml:space="preserve"> recommend </w:t>
      </w:r>
      <w:r w:rsidR="005F546B">
        <w:t xml:space="preserve">that patients whose BP remains elevated above target </w:t>
      </w:r>
      <w:r w:rsidR="00B27969">
        <w:t xml:space="preserve">on three antihypertensive </w:t>
      </w:r>
      <w:r w:rsidR="00A5151E">
        <w:t xml:space="preserve">drugs </w:t>
      </w:r>
      <w:r w:rsidR="000A5505">
        <w:t xml:space="preserve">should be considered for referral </w:t>
      </w:r>
      <w:r w:rsidR="00420F49">
        <w:t xml:space="preserve">to </w:t>
      </w:r>
      <w:r w:rsidR="00420F49" w:rsidRPr="00420F49">
        <w:t>a</w:t>
      </w:r>
      <w:r w:rsidR="00B51B08">
        <w:t>n</w:t>
      </w:r>
      <w:r w:rsidR="00420F49" w:rsidRPr="00420F49">
        <w:t xml:space="preserve"> </w:t>
      </w:r>
      <w:r w:rsidR="00517EDA">
        <w:t>HTN</w:t>
      </w:r>
      <w:r w:rsidR="00517EDA" w:rsidRPr="00420F49">
        <w:t xml:space="preserve"> </w:t>
      </w:r>
      <w:r w:rsidR="00420F49" w:rsidRPr="00420F49">
        <w:t>specialist or general cardiologist</w:t>
      </w:r>
      <w:r w:rsidR="00C75899">
        <w:t>.</w:t>
      </w:r>
      <w:r w:rsidR="00643134">
        <w:t xml:space="preserve"> </w:t>
      </w:r>
      <w:r w:rsidR="00D54102">
        <w:t>A</w:t>
      </w:r>
      <w:r w:rsidR="00CF0369" w:rsidRPr="00B83BB5">
        <w:t>ppropriate investigations</w:t>
      </w:r>
      <w:r w:rsidR="00D54102">
        <w:t xml:space="preserve"> should be </w:t>
      </w:r>
      <w:r w:rsidR="00D54102">
        <w:lastRenderedPageBreak/>
        <w:t>undertaken</w:t>
      </w:r>
      <w:r w:rsidR="00CF0369" w:rsidRPr="00B83BB5">
        <w:t xml:space="preserve"> to identify </w:t>
      </w:r>
      <w:r w:rsidR="003F73DF" w:rsidRPr="00B83BB5">
        <w:rPr>
          <w:snapToGrid w:val="0"/>
        </w:rPr>
        <w:t xml:space="preserve">white coat </w:t>
      </w:r>
      <w:r w:rsidR="312F2F6C" w:rsidRPr="006D5A7E">
        <w:t>HTN</w:t>
      </w:r>
      <w:r w:rsidR="005F4775">
        <w:t xml:space="preserve"> </w:t>
      </w:r>
      <w:r w:rsidR="003F73DF" w:rsidRPr="00B83BB5">
        <w:rPr>
          <w:snapToGrid w:val="0"/>
        </w:rPr>
        <w:t>and secondary causes of HTN, including poor compliance to medication, and instigate</w:t>
      </w:r>
      <w:r w:rsidR="003F73DF" w:rsidRPr="00B83BB5">
        <w:rPr>
          <w:b/>
          <w:bCs/>
          <w:snapToGrid w:val="0"/>
        </w:rPr>
        <w:t xml:space="preserve"> </w:t>
      </w:r>
      <w:r w:rsidR="006243B3">
        <w:rPr>
          <w:snapToGrid w:val="0"/>
        </w:rPr>
        <w:t>OMM</w:t>
      </w:r>
      <w:r w:rsidR="003F73DF" w:rsidRPr="00B83BB5">
        <w:rPr>
          <w:snapToGrid w:val="0"/>
        </w:rPr>
        <w:t xml:space="preserve"> of the patient.</w:t>
      </w:r>
      <w:r w:rsidR="00146E0E">
        <w:rPr>
          <w:rStyle w:val="FootnoteReference"/>
          <w:snapToGrid w:val="0"/>
        </w:rPr>
        <w:footnoteReference w:id="8"/>
      </w:r>
      <w:r w:rsidR="00DD6633">
        <w:rPr>
          <w:snapToGrid w:val="0"/>
        </w:rPr>
        <w:t xml:space="preserve"> </w:t>
      </w:r>
    </w:p>
    <w:p w14:paraId="7FC64FC5" w14:textId="7D122542" w:rsidR="00584CC6" w:rsidRPr="00FB28E8" w:rsidRDefault="009C0CE3" w:rsidP="00C85AC0">
      <w:r w:rsidRPr="00B83BB5">
        <w:t>If the patient remained hypertensive</w:t>
      </w:r>
      <w:r w:rsidR="00F76A32">
        <w:t xml:space="preserve"> </w:t>
      </w:r>
      <w:r w:rsidR="00F76A32" w:rsidRPr="00B83BB5">
        <w:t>after ruling out and/or addressing other possible causes of HTN</w:t>
      </w:r>
      <w:r w:rsidRPr="00B83BB5">
        <w:t>, they may then be considered to have TRHTN.</w:t>
      </w:r>
      <w:r w:rsidR="005F579D">
        <w:t xml:space="preserve"> S</w:t>
      </w:r>
      <w:r w:rsidR="00A32F8E">
        <w:t xml:space="preserve">pecialist </w:t>
      </w:r>
      <w:r w:rsidR="0018326D">
        <w:t>confirmation of TRHTN is a prerequisite for accessing the proposed service.</w:t>
      </w:r>
    </w:p>
    <w:p w14:paraId="66BDFCC1" w14:textId="260EE9E5" w:rsidR="00772829" w:rsidRDefault="006E6BB4" w:rsidP="002A18BE">
      <w:pPr>
        <w:pStyle w:val="Heading2"/>
        <w:numPr>
          <w:ilvl w:val="0"/>
          <w:numId w:val="0"/>
        </w:numPr>
      </w:pPr>
      <w:bookmarkStart w:id="9" w:name="_Toc69491420"/>
      <w:r>
        <w:t>8</w:t>
      </w:r>
      <w:r w:rsidR="00C36633">
        <w:t>.</w:t>
      </w:r>
      <w:r w:rsidR="00C36633">
        <w:tab/>
      </w:r>
      <w:r w:rsidR="00772829" w:rsidRPr="00CE28E3">
        <w:t>Comparator</w:t>
      </w:r>
      <w:bookmarkEnd w:id="9"/>
    </w:p>
    <w:p w14:paraId="4F753187" w14:textId="089E81D0" w:rsidR="00B76298" w:rsidRDefault="00B76298" w:rsidP="00B76298">
      <w:r w:rsidRPr="007245C7">
        <w:t xml:space="preserve">Currently, continued </w:t>
      </w:r>
      <w:r w:rsidR="006243B3">
        <w:t>OMM</w:t>
      </w:r>
      <w:r w:rsidRPr="007245C7">
        <w:t>, with a focus on treatment adherence, usually involving care advice of a specialist, remains the only option for patients with TRHTN.</w:t>
      </w:r>
      <w:r>
        <w:t xml:space="preserve"> </w:t>
      </w:r>
    </w:p>
    <w:p w14:paraId="69B9329D" w14:textId="1831C8F9" w:rsidR="00022A0D" w:rsidRDefault="00232803" w:rsidP="00022A0D">
      <w:r w:rsidRPr="00232803">
        <w:t xml:space="preserve">The nominated comparator is </w:t>
      </w:r>
      <w:r w:rsidR="00B76298">
        <w:t xml:space="preserve">therefore </w:t>
      </w:r>
      <w:r w:rsidR="006243B3">
        <w:t>OMM</w:t>
      </w:r>
      <w:r w:rsidRPr="00232803">
        <w:t xml:space="preserve"> without RDN (or with sham or no procedure in the clinical trial setting).</w:t>
      </w:r>
      <w:r w:rsidR="00460286">
        <w:t xml:space="preserve"> This is consistent with the PICO Confirmation.</w:t>
      </w:r>
    </w:p>
    <w:p w14:paraId="1E5BAFBE" w14:textId="12543A7F" w:rsidR="00E57D51" w:rsidRDefault="0020253D" w:rsidP="00022A0D">
      <w:r>
        <w:t xml:space="preserve">RDN is intended as a one-time treatment adjunct for patients with TRHTN, to be used in addition to </w:t>
      </w:r>
      <w:r w:rsidR="006243B3">
        <w:t>OMM</w:t>
      </w:r>
      <w:r w:rsidR="000D4F27">
        <w:t xml:space="preserve">, defined as </w:t>
      </w:r>
      <w:r w:rsidR="00C307AC">
        <w:t xml:space="preserve">at least three antihypertensive </w:t>
      </w:r>
      <w:r w:rsidR="00AC4B62">
        <w:t>medication</w:t>
      </w:r>
      <w:r w:rsidR="00C307AC">
        <w:t xml:space="preserve">s, including a </w:t>
      </w:r>
      <w:r w:rsidR="001105F3">
        <w:t>diuretic, at optimal tolerated doses</w:t>
      </w:r>
      <w:r>
        <w:t xml:space="preserve">. </w:t>
      </w:r>
      <w:r w:rsidR="006400A9">
        <w:t xml:space="preserve">RDN </w:t>
      </w:r>
      <w:r>
        <w:t xml:space="preserve">is not intended to replace or substitute current practice. </w:t>
      </w:r>
    </w:p>
    <w:p w14:paraId="3D88C932" w14:textId="727BAA28" w:rsidR="00B331E1" w:rsidRDefault="002D1BB6" w:rsidP="00F71956">
      <w:r>
        <w:rPr>
          <w:snapToGrid w:val="0"/>
        </w:rPr>
        <w:t xml:space="preserve">Australian and international guidelines recommend that </w:t>
      </w:r>
      <w:r w:rsidRPr="00B83BB5">
        <w:rPr>
          <w:snapToGrid w:val="0"/>
        </w:rPr>
        <w:t>spironolactone</w:t>
      </w:r>
      <w:r>
        <w:rPr>
          <w:snapToGrid w:val="0"/>
        </w:rPr>
        <w:t xml:space="preserve"> </w:t>
      </w:r>
      <w:r w:rsidRPr="00B83BB5">
        <w:rPr>
          <w:snapToGrid w:val="0"/>
        </w:rPr>
        <w:t xml:space="preserve">may be used as an add-on </w:t>
      </w:r>
      <w:r>
        <w:rPr>
          <w:snapToGrid w:val="0"/>
        </w:rPr>
        <w:t xml:space="preserve">(fourth) </w:t>
      </w:r>
      <w:r w:rsidRPr="00B83BB5">
        <w:rPr>
          <w:snapToGrid w:val="0"/>
        </w:rPr>
        <w:t>drug in some patients</w:t>
      </w:r>
      <w:r>
        <w:rPr>
          <w:snapToGrid w:val="0"/>
        </w:rPr>
        <w:t xml:space="preserve"> with TRHTN, u</w:t>
      </w:r>
      <w:r w:rsidRPr="00B83BB5">
        <w:rPr>
          <w:snapToGrid w:val="0"/>
        </w:rPr>
        <w:t>nder specialist advice</w:t>
      </w:r>
      <w:r>
        <w:rPr>
          <w:snapToGrid w:val="0"/>
        </w:rPr>
        <w:t>.</w:t>
      </w:r>
      <w:r w:rsidR="003661B3">
        <w:rPr>
          <w:snapToGrid w:val="0"/>
        </w:rPr>
        <w:t xml:space="preserve"> </w:t>
      </w:r>
      <w:r w:rsidR="00B331E1">
        <w:t>Although not consistent with the PICO, MSAC may wish to consider:</w:t>
      </w:r>
    </w:p>
    <w:p w14:paraId="5174D3E3" w14:textId="1643060D" w:rsidR="003106C6" w:rsidRPr="003106C6" w:rsidRDefault="00B331E1" w:rsidP="00B331E1">
      <w:pPr>
        <w:pStyle w:val="Bullet"/>
      </w:pPr>
      <w:r>
        <w:t xml:space="preserve">whether spironolactone could be considered the main comparator for the assessment; there are at least two published open-label </w:t>
      </w:r>
      <w:r w:rsidR="0066724C">
        <w:t>randomised trial</w:t>
      </w:r>
      <w:r>
        <w:t>s directly comparing RDN (as add-on therapy) versus spironolactone (as add-on therapy) in patients with resistant HTN</w:t>
      </w:r>
      <w:r w:rsidRPr="00F43B78">
        <w:rPr>
          <w:rStyle w:val="FootnoteReference"/>
          <w:iCs/>
        </w:rPr>
        <w:t xml:space="preserve"> </w:t>
      </w:r>
    </w:p>
    <w:p w14:paraId="77AC0D5A" w14:textId="5C1B66E1" w:rsidR="000C6AEF" w:rsidRPr="000C6AEF" w:rsidRDefault="00E77FBE" w:rsidP="003106C6">
      <w:pPr>
        <w:pStyle w:val="Bullet"/>
        <w:numPr>
          <w:ilvl w:val="1"/>
          <w:numId w:val="5"/>
        </w:numPr>
        <w:rPr>
          <w:rStyle w:val="Commentarytextitalics-AGvoiceChar"/>
          <w:rFonts w:eastAsiaTheme="minorHAnsi" w:cstheme="minorBidi"/>
          <w:i w:val="0"/>
          <w:snapToGrid/>
          <w:color w:val="auto"/>
          <w:szCs w:val="22"/>
          <w:lang w:eastAsia="en-US"/>
        </w:rPr>
      </w:pPr>
      <w:r w:rsidRPr="00920205">
        <w:rPr>
          <w:rStyle w:val="Commentarytextitalics-AGvoiceChar"/>
          <w:i w:val="0"/>
          <w:iCs/>
          <w:color w:val="auto"/>
        </w:rPr>
        <w:t>DENERVHTA and PRAGUE-15 were excluded from the assessment</w:t>
      </w:r>
      <w:r w:rsidR="00AC5A96">
        <w:rPr>
          <w:rStyle w:val="Commentarytextitalics-AGvoiceChar"/>
          <w:i w:val="0"/>
          <w:iCs/>
          <w:color w:val="auto"/>
        </w:rPr>
        <w:t xml:space="preserve"> but b</w:t>
      </w:r>
      <w:r w:rsidRPr="00920205">
        <w:rPr>
          <w:rStyle w:val="Commentarytextitalics-AGvoiceChar"/>
          <w:i w:val="0"/>
          <w:iCs/>
          <w:color w:val="auto"/>
        </w:rPr>
        <w:t xml:space="preserve">oth </w:t>
      </w:r>
      <w:r>
        <w:rPr>
          <w:rStyle w:val="Commentarytextitalics-AGvoiceChar"/>
          <w:i w:val="0"/>
          <w:iCs/>
          <w:color w:val="auto"/>
        </w:rPr>
        <w:t>trials found</w:t>
      </w:r>
      <w:r w:rsidRPr="00920205">
        <w:rPr>
          <w:rStyle w:val="Commentarytextitalics-AGvoiceChar"/>
          <w:i w:val="0"/>
          <w:iCs/>
          <w:color w:val="auto"/>
        </w:rPr>
        <w:t xml:space="preserve"> spironolactone </w:t>
      </w:r>
      <w:r>
        <w:rPr>
          <w:rStyle w:val="Commentarytextitalics-AGvoiceChar"/>
          <w:i w:val="0"/>
          <w:iCs/>
          <w:color w:val="auto"/>
        </w:rPr>
        <w:t>to be</w:t>
      </w:r>
      <w:r w:rsidRPr="00920205">
        <w:rPr>
          <w:rStyle w:val="Commentarytextitalics-AGvoiceChar"/>
          <w:i w:val="0"/>
          <w:iCs/>
          <w:color w:val="auto"/>
        </w:rPr>
        <w:t xml:space="preserve"> more effective than RDN to reduce 24-hour</w:t>
      </w:r>
      <w:r w:rsidR="008A2FC0">
        <w:rPr>
          <w:rStyle w:val="Commentarytextitalics-AGvoiceChar"/>
          <w:i w:val="0"/>
          <w:iCs/>
          <w:color w:val="auto"/>
        </w:rPr>
        <w:t xml:space="preserve"> ambulatory</w:t>
      </w:r>
      <w:r w:rsidRPr="00920205">
        <w:rPr>
          <w:rStyle w:val="Commentarytextitalics-AGvoiceChar"/>
          <w:i w:val="0"/>
          <w:iCs/>
          <w:color w:val="auto"/>
        </w:rPr>
        <w:t xml:space="preserve"> SBP</w:t>
      </w:r>
    </w:p>
    <w:p w14:paraId="439B5D74" w14:textId="7F446CAB" w:rsidR="00B331E1" w:rsidRDefault="00BD03B0" w:rsidP="003106C6">
      <w:pPr>
        <w:pStyle w:val="Bullet"/>
        <w:numPr>
          <w:ilvl w:val="1"/>
          <w:numId w:val="5"/>
        </w:numPr>
      </w:pPr>
      <w:r>
        <w:rPr>
          <w:rStyle w:val="Commentarytextitalics-AGvoiceChar"/>
          <w:i w:val="0"/>
          <w:iCs/>
          <w:color w:val="auto"/>
        </w:rPr>
        <w:t>t</w:t>
      </w:r>
      <w:r w:rsidR="00E77FBE" w:rsidRPr="00920205">
        <w:rPr>
          <w:rStyle w:val="Commentarytextitalics-AGvoiceChar"/>
          <w:i w:val="0"/>
          <w:iCs/>
          <w:color w:val="auto"/>
        </w:rPr>
        <w:t xml:space="preserve">he authors </w:t>
      </w:r>
      <w:r w:rsidR="000C6AEF">
        <w:rPr>
          <w:rStyle w:val="Commentarytextitalics-AGvoiceChar"/>
          <w:i w:val="0"/>
          <w:iCs/>
          <w:color w:val="auto"/>
        </w:rPr>
        <w:t xml:space="preserve">of these excluded studies </w:t>
      </w:r>
      <w:r w:rsidR="00E77FBE" w:rsidRPr="00920205">
        <w:rPr>
          <w:rStyle w:val="Commentarytextitalics-AGvoiceChar"/>
          <w:i w:val="0"/>
          <w:iCs/>
          <w:color w:val="auto"/>
        </w:rPr>
        <w:t xml:space="preserve">recommended that, if deemed well tolerated, spironolactone should be the fourth antihypertensive drug to prescribe in all patients with resistant </w:t>
      </w:r>
      <w:r w:rsidR="00E77FBE">
        <w:rPr>
          <w:rStyle w:val="Commentarytextitalics-AGvoiceChar"/>
          <w:i w:val="0"/>
          <w:iCs/>
          <w:color w:val="auto"/>
        </w:rPr>
        <w:t>HTN</w:t>
      </w:r>
      <w:r w:rsidR="00E77FBE" w:rsidRPr="00920205">
        <w:rPr>
          <w:rStyle w:val="Commentarytextitalics-AGvoiceChar"/>
          <w:i w:val="0"/>
          <w:iCs/>
          <w:color w:val="auto"/>
        </w:rPr>
        <w:t xml:space="preserve"> before considering RDN</w:t>
      </w:r>
    </w:p>
    <w:p w14:paraId="3A5D0043" w14:textId="1A6C18DA" w:rsidR="00B331E1" w:rsidRDefault="00B331E1" w:rsidP="00B331E1">
      <w:pPr>
        <w:pStyle w:val="Bullet"/>
      </w:pPr>
      <w:r>
        <w:t>if spironolactone is not a suitable comparator, whether the eligibility criteria for RDN should</w:t>
      </w:r>
      <w:r w:rsidR="00377058">
        <w:t xml:space="preserve"> be</w:t>
      </w:r>
      <w:r>
        <w:t xml:space="preserve"> expanded to include previous failure or intolerance of, or contraindication to, mineralocorticoid receptor antagonists (i.e. aldosterone antagonists or potassium-sparing diuretics</w:t>
      </w:r>
      <w:r w:rsidR="009F3E62">
        <w:t>, such as spironolactone</w:t>
      </w:r>
      <w:r>
        <w:t>).</w:t>
      </w:r>
    </w:p>
    <w:p w14:paraId="47BC3A84" w14:textId="348F08A0" w:rsidR="00772829" w:rsidRDefault="006E6BB4" w:rsidP="002A18BE">
      <w:pPr>
        <w:pStyle w:val="Heading2"/>
        <w:numPr>
          <w:ilvl w:val="0"/>
          <w:numId w:val="0"/>
        </w:numPr>
      </w:pPr>
      <w:bookmarkStart w:id="10" w:name="_Toc69491421"/>
      <w:r>
        <w:t>9</w:t>
      </w:r>
      <w:r w:rsidR="00C36633">
        <w:t>.</w:t>
      </w:r>
      <w:r w:rsidR="00C36633">
        <w:tab/>
      </w:r>
      <w:r w:rsidR="00772829" w:rsidRPr="00CE28E3">
        <w:t xml:space="preserve">Summary of public consultation </w:t>
      </w:r>
      <w:r w:rsidR="0052575D">
        <w:t>input</w:t>
      </w:r>
      <w:bookmarkEnd w:id="10"/>
    </w:p>
    <w:p w14:paraId="6B821A9B" w14:textId="77777777" w:rsidR="00A3265C" w:rsidRPr="00601516" w:rsidRDefault="00A3265C" w:rsidP="00A3265C">
      <w:bookmarkStart w:id="11" w:name="_Toc69491422"/>
      <w:r>
        <w:t xml:space="preserve">Consultation feedback was received from one consumer organisation, six health professional organisations and one individual (specialist). </w:t>
      </w:r>
      <w:r w:rsidRPr="00601516">
        <w:t>The</w:t>
      </w:r>
      <w:r>
        <w:t xml:space="preserve"> seven</w:t>
      </w:r>
      <w:r w:rsidRPr="00601516">
        <w:t xml:space="preserve"> organisation</w:t>
      </w:r>
      <w:r>
        <w:t>s</w:t>
      </w:r>
      <w:r w:rsidRPr="00601516">
        <w:t xml:space="preserve"> that submitted input w</w:t>
      </w:r>
      <w:r>
        <w:t>ere</w:t>
      </w:r>
      <w:r w:rsidRPr="00601516">
        <w:t xml:space="preserve">: </w:t>
      </w:r>
    </w:p>
    <w:p w14:paraId="794391D5" w14:textId="77777777" w:rsidR="00A3265C" w:rsidRDefault="00A3265C" w:rsidP="00A3265C">
      <w:pPr>
        <w:pStyle w:val="ListParagraph"/>
        <w:numPr>
          <w:ilvl w:val="0"/>
          <w:numId w:val="99"/>
        </w:numPr>
        <w:spacing w:before="0" w:after="120" w:line="240" w:lineRule="auto"/>
        <w:contextualSpacing w:val="0"/>
      </w:pPr>
      <w:r>
        <w:t>Hearts4heart</w:t>
      </w:r>
    </w:p>
    <w:p w14:paraId="303E9D61" w14:textId="77777777" w:rsidR="00A3265C" w:rsidRDefault="00A3265C" w:rsidP="00A3265C">
      <w:pPr>
        <w:pStyle w:val="ListParagraph"/>
        <w:numPr>
          <w:ilvl w:val="0"/>
          <w:numId w:val="99"/>
        </w:numPr>
        <w:spacing w:before="0" w:after="120" w:line="240" w:lineRule="auto"/>
        <w:contextualSpacing w:val="0"/>
      </w:pPr>
      <w:r w:rsidRPr="00AD213A">
        <w:t>Australia and New Zealand Society of Nephrology – Committee of Interventional Nephrology</w:t>
      </w:r>
      <w:r>
        <w:t xml:space="preserve"> (ANZSN CIN)</w:t>
      </w:r>
    </w:p>
    <w:p w14:paraId="6D285599" w14:textId="77777777" w:rsidR="00A3265C" w:rsidRDefault="00A3265C" w:rsidP="00A3265C">
      <w:pPr>
        <w:pStyle w:val="ListParagraph"/>
        <w:numPr>
          <w:ilvl w:val="0"/>
          <w:numId w:val="99"/>
        </w:numPr>
        <w:spacing w:before="0" w:after="120" w:line="240" w:lineRule="auto"/>
        <w:contextualSpacing w:val="0"/>
      </w:pPr>
      <w:r>
        <w:t xml:space="preserve">Baker IDI Heart and Diabetes Institute </w:t>
      </w:r>
    </w:p>
    <w:p w14:paraId="3F68B3BC" w14:textId="77777777" w:rsidR="00A3265C" w:rsidRDefault="00A3265C" w:rsidP="00A3265C">
      <w:pPr>
        <w:pStyle w:val="ListParagraph"/>
        <w:numPr>
          <w:ilvl w:val="0"/>
          <w:numId w:val="99"/>
        </w:numPr>
        <w:spacing w:before="0" w:after="120" w:line="240" w:lineRule="auto"/>
        <w:contextualSpacing w:val="0"/>
      </w:pPr>
      <w:r w:rsidRPr="00531CC4">
        <w:lastRenderedPageBreak/>
        <w:t>Dobney Hypertension Centre</w:t>
      </w:r>
      <w:r>
        <w:t xml:space="preserve"> </w:t>
      </w:r>
    </w:p>
    <w:p w14:paraId="2EC41587" w14:textId="77777777" w:rsidR="00A3265C" w:rsidRPr="007A25E1" w:rsidRDefault="00A3265C" w:rsidP="00A3265C">
      <w:pPr>
        <w:pStyle w:val="ListParagraph"/>
        <w:numPr>
          <w:ilvl w:val="0"/>
          <w:numId w:val="99"/>
        </w:numPr>
        <w:spacing w:before="0" w:after="120" w:line="240" w:lineRule="auto"/>
        <w:contextualSpacing w:val="0"/>
      </w:pPr>
      <w:r>
        <w:t>Hypertension Australia</w:t>
      </w:r>
    </w:p>
    <w:p w14:paraId="337ABAE7" w14:textId="77777777" w:rsidR="00A3265C" w:rsidRPr="00601516" w:rsidRDefault="00A3265C" w:rsidP="00A3265C">
      <w:pPr>
        <w:pStyle w:val="ListParagraph"/>
        <w:numPr>
          <w:ilvl w:val="0"/>
          <w:numId w:val="99"/>
        </w:numPr>
        <w:spacing w:before="0" w:after="120" w:line="240" w:lineRule="auto"/>
        <w:contextualSpacing w:val="0"/>
      </w:pPr>
      <w:r w:rsidRPr="007A25E1">
        <w:t>Interventional Radiology Society of Australasia</w:t>
      </w:r>
      <w:r>
        <w:t xml:space="preserve"> (IRSA)</w:t>
      </w:r>
    </w:p>
    <w:p w14:paraId="5380EBFE" w14:textId="410D8C4C" w:rsidR="00A3265C" w:rsidRPr="00531CC4" w:rsidRDefault="00A3265C" w:rsidP="00A3265C">
      <w:pPr>
        <w:pStyle w:val="ListParagraph"/>
        <w:numPr>
          <w:ilvl w:val="0"/>
          <w:numId w:val="99"/>
        </w:numPr>
        <w:spacing w:before="0" w:after="120" w:line="240" w:lineRule="auto"/>
        <w:contextualSpacing w:val="0"/>
      </w:pPr>
      <w:r>
        <w:t>Royal Australian and New Zealand College of Radiologists (RANZCR)</w:t>
      </w:r>
    </w:p>
    <w:p w14:paraId="200917EE" w14:textId="1E121CDA" w:rsidR="00A3265C" w:rsidRPr="00A3265C" w:rsidRDefault="00A3265C" w:rsidP="00A3265C">
      <w:r w:rsidRPr="00A3265C">
        <w:t>Of the eight consultation comments received, overall feedback from six were supportive of the proposal, while RANZCR was not supportive and IRSA offered provisional support, contingent on the 36 month follow-up data [of SPYRAL HTN-ON MED] being comparable to the long term follow up results of the [SPYRAL HTN-ON MED] pilot study.</w:t>
      </w:r>
    </w:p>
    <w:p w14:paraId="17E7D1F7" w14:textId="77777777" w:rsidR="00A3265C" w:rsidRDefault="00A3265C" w:rsidP="00263BE7">
      <w:pPr>
        <w:spacing w:before="240" w:after="120"/>
        <w:rPr>
          <w:b/>
          <w:bCs/>
        </w:rPr>
      </w:pPr>
      <w:r>
        <w:rPr>
          <w:b/>
          <w:bCs/>
        </w:rPr>
        <w:t xml:space="preserve">Benefits </w:t>
      </w:r>
    </w:p>
    <w:p w14:paraId="336EB5AA" w14:textId="77777777" w:rsidR="00A3265C" w:rsidRPr="00A14CD6" w:rsidRDefault="00A3265C" w:rsidP="00A3265C">
      <w:pPr>
        <w:spacing w:after="120"/>
      </w:pPr>
      <w:r>
        <w:t>The feedback indicated the main benefits for RDN included</w:t>
      </w:r>
      <w:r w:rsidRPr="00A14CD6">
        <w:t xml:space="preserve">: </w:t>
      </w:r>
    </w:p>
    <w:p w14:paraId="393C18CB" w14:textId="77777777" w:rsidR="00A3265C" w:rsidRDefault="00A3265C" w:rsidP="00A3265C">
      <w:pPr>
        <w:pStyle w:val="ListParagraph"/>
        <w:numPr>
          <w:ilvl w:val="0"/>
          <w:numId w:val="99"/>
        </w:numPr>
        <w:spacing w:before="0" w:after="120" w:line="240" w:lineRule="auto"/>
        <w:contextualSpacing w:val="0"/>
      </w:pPr>
      <w:r>
        <w:t xml:space="preserve">RDN provides an additional treatment option to help </w:t>
      </w:r>
      <w:r w:rsidRPr="00015631">
        <w:t>address</w:t>
      </w:r>
      <w:r>
        <w:t xml:space="preserve"> </w:t>
      </w:r>
      <w:r w:rsidRPr="00015631">
        <w:t>an</w:t>
      </w:r>
      <w:r>
        <w:t xml:space="preserve"> u</w:t>
      </w:r>
      <w:r w:rsidRPr="00531CC4">
        <w:t xml:space="preserve">nmet </w:t>
      </w:r>
      <w:r>
        <w:t>c</w:t>
      </w:r>
      <w:r w:rsidRPr="00531CC4">
        <w:t xml:space="preserve">linical </w:t>
      </w:r>
      <w:r>
        <w:t>n</w:t>
      </w:r>
      <w:r w:rsidRPr="00531CC4">
        <w:t xml:space="preserve">eed </w:t>
      </w:r>
      <w:r w:rsidRPr="00015631">
        <w:t xml:space="preserve">for patients with </w:t>
      </w:r>
      <w:r>
        <w:t>u</w:t>
      </w:r>
      <w:r w:rsidRPr="00531CC4">
        <w:t xml:space="preserve">ncontrolled and </w:t>
      </w:r>
      <w:r>
        <w:t>d</w:t>
      </w:r>
      <w:r w:rsidRPr="00531CC4">
        <w:t>rug-</w:t>
      </w:r>
      <w:r>
        <w:t>r</w:t>
      </w:r>
      <w:r w:rsidRPr="00531CC4">
        <w:t xml:space="preserve">esistant </w:t>
      </w:r>
      <w:r>
        <w:t>h</w:t>
      </w:r>
      <w:r w:rsidRPr="00531CC4">
        <w:t xml:space="preserve">ypertension, </w:t>
      </w:r>
      <w:r>
        <w:t xml:space="preserve">who </w:t>
      </w:r>
      <w:r w:rsidRPr="00531CC4">
        <w:t xml:space="preserve">currently </w:t>
      </w:r>
      <w:r>
        <w:t xml:space="preserve">have </w:t>
      </w:r>
      <w:r w:rsidRPr="00531CC4">
        <w:t>no proven therapy</w:t>
      </w:r>
      <w:r>
        <w:t xml:space="preserve"> options</w:t>
      </w:r>
      <w:r w:rsidRPr="00531CC4">
        <w:t xml:space="preserve"> beyond</w:t>
      </w:r>
      <w:r>
        <w:t xml:space="preserve"> further attempts to optimize lifestyle and </w:t>
      </w:r>
      <w:r w:rsidRPr="00531CC4">
        <w:t>pharmacotherapy</w:t>
      </w:r>
      <w:r>
        <w:t>.</w:t>
      </w:r>
    </w:p>
    <w:p w14:paraId="518FFC03" w14:textId="77777777" w:rsidR="00A3265C" w:rsidRDefault="00A3265C" w:rsidP="00A3265C">
      <w:pPr>
        <w:pStyle w:val="ListParagraph"/>
        <w:numPr>
          <w:ilvl w:val="0"/>
          <w:numId w:val="99"/>
        </w:numPr>
        <w:spacing w:before="0" w:after="120" w:line="240" w:lineRule="auto"/>
        <w:contextualSpacing w:val="0"/>
      </w:pPr>
      <w:r>
        <w:t xml:space="preserve">The potential to </w:t>
      </w:r>
      <w:r w:rsidRPr="0039326A">
        <w:t xml:space="preserve">lower CV risk by lowering BP and </w:t>
      </w:r>
      <w:r>
        <w:t>reduce medication burden, subsequently lowering the risk of medication induced side effects and enhancing overall quality of life.</w:t>
      </w:r>
    </w:p>
    <w:p w14:paraId="1BC3D7E2" w14:textId="77777777" w:rsidR="00A3265C" w:rsidRPr="00A14CD6" w:rsidRDefault="00A3265C" w:rsidP="00A3265C">
      <w:pPr>
        <w:pStyle w:val="ListParagraph"/>
        <w:numPr>
          <w:ilvl w:val="0"/>
          <w:numId w:val="99"/>
        </w:numPr>
        <w:spacing w:before="0" w:after="120" w:line="240" w:lineRule="auto"/>
        <w:contextualSpacing w:val="0"/>
      </w:pPr>
      <w:r>
        <w:t>The Dobney Hypertension Centre noted</w:t>
      </w:r>
      <w:r w:rsidRPr="00A14CD6">
        <w:t xml:space="preserve"> the European Society of Hypertension</w:t>
      </w:r>
      <w:r>
        <w:t>, a globally recognised peak body in hypertension management and treatment,</w:t>
      </w:r>
      <w:r w:rsidRPr="00A14CD6">
        <w:t xml:space="preserve"> recommend </w:t>
      </w:r>
      <w:r>
        <w:t>RDN</w:t>
      </w:r>
      <w:r w:rsidRPr="00A14CD6">
        <w:t xml:space="preserve"> as a treatment option for </w:t>
      </w:r>
      <w:r w:rsidRPr="00277925">
        <w:t>uncontrolled BP despite the use of antihypertensive drug combination therapy</w:t>
      </w:r>
      <w:r>
        <w:t>.</w:t>
      </w:r>
    </w:p>
    <w:p w14:paraId="433DB5F2" w14:textId="3BB88A95" w:rsidR="00A3265C" w:rsidRDefault="00A3265C" w:rsidP="00A3265C">
      <w:pPr>
        <w:pStyle w:val="ListParagraph"/>
        <w:numPr>
          <w:ilvl w:val="0"/>
          <w:numId w:val="99"/>
        </w:numPr>
        <w:spacing w:before="0" w:after="120" w:line="240" w:lineRule="auto"/>
        <w:contextualSpacing w:val="0"/>
      </w:pPr>
      <w:r>
        <w:t xml:space="preserve">The individual specialist stated that the procedure has a very </w:t>
      </w:r>
      <w:r w:rsidRPr="00A14CD6">
        <w:t>low complication rate</w:t>
      </w:r>
      <w:r>
        <w:t xml:space="preserve"> based on published literature. </w:t>
      </w:r>
    </w:p>
    <w:p w14:paraId="3179CB46" w14:textId="77777777" w:rsidR="00A3265C" w:rsidRDefault="00A3265C" w:rsidP="00A3265C">
      <w:pPr>
        <w:pStyle w:val="ListParagraph"/>
        <w:numPr>
          <w:ilvl w:val="0"/>
          <w:numId w:val="99"/>
        </w:numPr>
        <w:spacing w:before="0" w:after="120" w:line="240" w:lineRule="auto"/>
        <w:contextualSpacing w:val="0"/>
      </w:pPr>
      <w:r>
        <w:t xml:space="preserve">Feedback from the Dobney Hypertension Centre reported that patient feedback </w:t>
      </w:r>
      <w:r w:rsidRPr="005E29EA">
        <w:t>has been overwhelmingly positive</w:t>
      </w:r>
      <w:r>
        <w:t xml:space="preserve"> </w:t>
      </w:r>
      <w:r w:rsidRPr="005E29EA">
        <w:t>with significant improvements in BP in most patients and frequent additional benefits in regard to physical and mental well-being</w:t>
      </w:r>
      <w:r>
        <w:t>.</w:t>
      </w:r>
    </w:p>
    <w:p w14:paraId="1F7463D7" w14:textId="77777777" w:rsidR="00A3265C" w:rsidRDefault="00A3265C" w:rsidP="00263BE7">
      <w:pPr>
        <w:spacing w:before="240" w:after="120"/>
        <w:rPr>
          <w:b/>
          <w:bCs/>
        </w:rPr>
      </w:pPr>
      <w:r>
        <w:rPr>
          <w:b/>
          <w:bCs/>
        </w:rPr>
        <w:t>Disadvantages/Implementation Issues</w:t>
      </w:r>
    </w:p>
    <w:p w14:paraId="4F26E8A6" w14:textId="77777777" w:rsidR="00A3265C" w:rsidRDefault="00A3265C" w:rsidP="00A3265C">
      <w:pPr>
        <w:pStyle w:val="ListParagraph"/>
        <w:numPr>
          <w:ilvl w:val="0"/>
          <w:numId w:val="100"/>
        </w:numPr>
        <w:spacing w:before="0" w:after="240" w:line="240" w:lineRule="auto"/>
        <w:contextualSpacing w:val="0"/>
      </w:pPr>
      <w:r w:rsidRPr="00D43BA4">
        <w:t>ANZSN CIN</w:t>
      </w:r>
      <w:r>
        <w:t xml:space="preserve"> and IRSA considered the selection of TRHTN patients as a critical factor in realising potential benefits from the proposed intervention, and equally importantly in preventing potential harm. The feedback raised concerns that the treatment may be provided to a large group of patients inappropriately with no perceivable benefit.</w:t>
      </w:r>
    </w:p>
    <w:p w14:paraId="22B81554" w14:textId="77777777" w:rsidR="00A3265C" w:rsidRDefault="00A3265C" w:rsidP="00A3265C">
      <w:pPr>
        <w:pStyle w:val="ListParagraph"/>
        <w:numPr>
          <w:ilvl w:val="0"/>
          <w:numId w:val="100"/>
        </w:numPr>
        <w:spacing w:before="0" w:after="240" w:line="240" w:lineRule="auto"/>
        <w:contextualSpacing w:val="0"/>
      </w:pPr>
      <w:r>
        <w:t>Both ANZSN CIN and IRSA considered that all patients should be reviewed by a specialist/service dedicated to the treatment of resistant HTN to ensure medications, lifestyle and other factors are optimised, and have 24-hour a</w:t>
      </w:r>
      <w:r w:rsidRPr="00A27343">
        <w:t xml:space="preserve">mbulatory </w:t>
      </w:r>
      <w:r>
        <w:t>BP</w:t>
      </w:r>
      <w:r w:rsidRPr="00A27343">
        <w:t xml:space="preserve"> </w:t>
      </w:r>
      <w:r>
        <w:t>m</w:t>
      </w:r>
      <w:r w:rsidRPr="00A27343">
        <w:t>onitoring</w:t>
      </w:r>
      <w:r w:rsidRPr="00B20CFB">
        <w:t xml:space="preserve"> </w:t>
      </w:r>
      <w:r>
        <w:t>(ABPM) to exclude the ‘white coat effect’, which may contribute to 1/3 of apparent TRHTN. Similarly, the individual specialist emphasised that the proposed intervention be conducted exclusively after a multi-disciplinary consultation.</w:t>
      </w:r>
    </w:p>
    <w:p w14:paraId="0B16F602" w14:textId="77777777" w:rsidR="00A3265C" w:rsidRDefault="00A3265C" w:rsidP="00A3265C">
      <w:pPr>
        <w:pStyle w:val="ListParagraph"/>
        <w:numPr>
          <w:ilvl w:val="0"/>
          <w:numId w:val="100"/>
        </w:numPr>
        <w:spacing w:before="0" w:after="240" w:line="240" w:lineRule="auto"/>
        <w:contextualSpacing w:val="0"/>
      </w:pPr>
      <w:r>
        <w:t>IRSA considered that the procedure should be performed by an interventional specialist, which could include interventional cardiologists if suitably trained for renal interventions and able to perform renal angioplasty/stenting.</w:t>
      </w:r>
    </w:p>
    <w:p w14:paraId="0AE870F0" w14:textId="77777777" w:rsidR="00A3265C" w:rsidRDefault="00A3265C" w:rsidP="00A3265C">
      <w:pPr>
        <w:pStyle w:val="ListParagraph"/>
        <w:numPr>
          <w:ilvl w:val="0"/>
          <w:numId w:val="100"/>
        </w:numPr>
        <w:spacing w:before="0" w:after="240" w:line="240" w:lineRule="auto"/>
        <w:contextualSpacing w:val="0"/>
      </w:pPr>
      <w:r>
        <w:t>ANZSN CIN noted that the efficacy of each individual treatment is difficult to measure as there is no tool to measure the success or otherwise of the procedure.</w:t>
      </w:r>
    </w:p>
    <w:p w14:paraId="1241623C" w14:textId="77777777" w:rsidR="00A3265C" w:rsidRDefault="00A3265C" w:rsidP="00A3265C">
      <w:pPr>
        <w:pStyle w:val="ListParagraph"/>
        <w:numPr>
          <w:ilvl w:val="0"/>
          <w:numId w:val="100"/>
        </w:numPr>
        <w:spacing w:before="0" w:after="240" w:line="240" w:lineRule="auto"/>
        <w:contextualSpacing w:val="0"/>
      </w:pPr>
      <w:r>
        <w:t xml:space="preserve">ANZSN CIN considered that the proposed intervention might be less effective in patients with isolated systolic hypertension. ANZSN CIN noted that the intervention’s efficacy in </w:t>
      </w:r>
      <w:r>
        <w:lastRenderedPageBreak/>
        <w:t>the proposed treatment-resistant patient population with high cardiovascular risk is still under investigation, given that the SPYRAL HTN-ON MED trial is currently ongoing. ANZSN CIN considered the long-term efficacy of RDN for TRHTN is uncertain.</w:t>
      </w:r>
    </w:p>
    <w:p w14:paraId="7162505D" w14:textId="77777777" w:rsidR="00A3265C" w:rsidRPr="00560891" w:rsidRDefault="00A3265C" w:rsidP="00A3265C">
      <w:pPr>
        <w:pStyle w:val="ListParagraph"/>
        <w:numPr>
          <w:ilvl w:val="0"/>
          <w:numId w:val="100"/>
        </w:numPr>
        <w:spacing w:before="0" w:after="120" w:line="240" w:lineRule="auto"/>
        <w:contextualSpacing w:val="0"/>
        <w:rPr>
          <w:b/>
          <w:bCs/>
        </w:rPr>
      </w:pPr>
      <w:r w:rsidRPr="00560891">
        <w:t xml:space="preserve">RANZCR </w:t>
      </w:r>
      <w:r>
        <w:t>considered</w:t>
      </w:r>
      <w:r w:rsidRPr="00560891">
        <w:t xml:space="preserve"> that the trials for RDN do not demonstrate a clinical benefit in terms of a reduction of adverse CV outcomes, which has been the standard for other therapeutic trials in HTN that have shaped current clinical practice guidelines. </w:t>
      </w:r>
    </w:p>
    <w:p w14:paraId="63B2054E" w14:textId="77777777" w:rsidR="00A3265C" w:rsidRPr="00560891" w:rsidRDefault="00A3265C" w:rsidP="00A3265C">
      <w:pPr>
        <w:pStyle w:val="ListParagraph"/>
        <w:numPr>
          <w:ilvl w:val="0"/>
          <w:numId w:val="100"/>
        </w:numPr>
        <w:spacing w:before="0" w:after="120" w:line="240" w:lineRule="auto"/>
        <w:contextualSpacing w:val="0"/>
        <w:rPr>
          <w:b/>
          <w:bCs/>
        </w:rPr>
      </w:pPr>
      <w:r w:rsidRPr="00560891">
        <w:t xml:space="preserve">RANZCR also noted that </w:t>
      </w:r>
      <w:r>
        <w:t xml:space="preserve">while the RDN trials and registries indicate a modest ambulatory blood pressure reduction between 1-6 mmHg with RDN, the clinical significance of this has not been demonstrated </w:t>
      </w:r>
      <w:r w:rsidRPr="00560891">
        <w:t xml:space="preserve">(e.g. </w:t>
      </w:r>
      <w:r>
        <w:t>impact on myocardial infarction</w:t>
      </w:r>
      <w:r w:rsidRPr="00560891">
        <w:t>, strokes</w:t>
      </w:r>
      <w:r>
        <w:t>)</w:t>
      </w:r>
      <w:r w:rsidRPr="00560891">
        <w:t>.</w:t>
      </w:r>
    </w:p>
    <w:p w14:paraId="03C7A1F1" w14:textId="7AADF71B" w:rsidR="00772829" w:rsidRDefault="006E6BB4" w:rsidP="002A18BE">
      <w:pPr>
        <w:pStyle w:val="Heading2"/>
        <w:numPr>
          <w:ilvl w:val="0"/>
          <w:numId w:val="0"/>
        </w:numPr>
      </w:pPr>
      <w:r>
        <w:t>10</w:t>
      </w:r>
      <w:r w:rsidR="00C36633">
        <w:t>.</w:t>
      </w:r>
      <w:r w:rsidR="00C36633">
        <w:tab/>
      </w:r>
      <w:r w:rsidR="00772829" w:rsidRPr="00CE28E3">
        <w:t>Characteristics of the evidence base</w:t>
      </w:r>
      <w:bookmarkEnd w:id="11"/>
    </w:p>
    <w:p w14:paraId="1E313B42" w14:textId="0F75DAAD" w:rsidR="00EA5D0D" w:rsidRDefault="00FB26AB" w:rsidP="00FA1472">
      <w:r>
        <w:t xml:space="preserve">The </w:t>
      </w:r>
      <w:r w:rsidR="00A219E5">
        <w:t xml:space="preserve">ADAR </w:t>
      </w:r>
      <w:r w:rsidR="00EA5D0D">
        <w:t>restricted</w:t>
      </w:r>
      <w:r w:rsidR="00437593">
        <w:t xml:space="preserve"> the clinical evidence base</w:t>
      </w:r>
      <w:r w:rsidR="00EA5D0D">
        <w:t xml:space="preserve"> to </w:t>
      </w:r>
      <w:r w:rsidR="00421760">
        <w:t>randomised controlled trials (</w:t>
      </w:r>
      <w:r w:rsidR="00EA5D0D">
        <w:t>RCTs</w:t>
      </w:r>
      <w:r w:rsidR="00421760">
        <w:t>)</w:t>
      </w:r>
      <w:r w:rsidR="00EA5D0D">
        <w:t xml:space="preserve"> of </w:t>
      </w:r>
      <w:r w:rsidR="0063531D">
        <w:t>SYMPLICITY</w:t>
      </w:r>
      <w:r w:rsidR="00EA5D0D">
        <w:t xml:space="preserve"> </w:t>
      </w:r>
      <w:r w:rsidR="008247EE">
        <w:t>RDN devices</w:t>
      </w:r>
      <w:r w:rsidR="00EB7F7E">
        <w:t xml:space="preserve">. </w:t>
      </w:r>
      <w:r w:rsidR="005E19B1">
        <w:t xml:space="preserve">This </w:t>
      </w:r>
      <w:r w:rsidR="000B5144">
        <w:t>is contrary to the advice provided by PASC in the PICO Confirmation</w:t>
      </w:r>
      <w:r w:rsidR="00AA2277">
        <w:t xml:space="preserve"> that </w:t>
      </w:r>
      <w:r w:rsidR="002C1ABD">
        <w:t>the evidence base should not be restricted to a device</w:t>
      </w:r>
      <w:r w:rsidR="00AA2277">
        <w:t xml:space="preserve"> from </w:t>
      </w:r>
      <w:r w:rsidR="002C1ABD">
        <w:t>on</w:t>
      </w:r>
      <w:r w:rsidR="009B78BE">
        <w:t>e</w:t>
      </w:r>
      <w:r w:rsidR="002C1ABD">
        <w:t xml:space="preserve"> manufacturer only</w:t>
      </w:r>
      <w:r w:rsidR="009B78BE">
        <w:t xml:space="preserve">. </w:t>
      </w:r>
      <w:r w:rsidR="00675F3A">
        <w:t>The</w:t>
      </w:r>
      <w:r w:rsidR="00576F4B">
        <w:t xml:space="preserve"> commentary </w:t>
      </w:r>
      <w:r w:rsidR="007D4DDB">
        <w:t>noted the</w:t>
      </w:r>
      <w:r w:rsidR="00675F3A">
        <w:t xml:space="preserve">re </w:t>
      </w:r>
      <w:r w:rsidR="0003459B">
        <w:t xml:space="preserve">are </w:t>
      </w:r>
      <w:r w:rsidR="00E0555E">
        <w:t xml:space="preserve">relevant RCTs of </w:t>
      </w:r>
      <w:r w:rsidR="009A71DC">
        <w:t xml:space="preserve">RDN systems </w:t>
      </w:r>
      <w:r w:rsidR="006F666B">
        <w:t xml:space="preserve">from other manufacturers </w:t>
      </w:r>
      <w:r w:rsidR="006D7956">
        <w:t>(</w:t>
      </w:r>
      <w:r w:rsidR="005D5247">
        <w:t xml:space="preserve">such as </w:t>
      </w:r>
      <w:r w:rsidR="006D7956">
        <w:t xml:space="preserve">the EnligHTN system) </w:t>
      </w:r>
      <w:r w:rsidR="00E0555E">
        <w:t>that</w:t>
      </w:r>
      <w:r w:rsidR="0037357C">
        <w:t xml:space="preserve"> </w:t>
      </w:r>
      <w:r w:rsidR="001C3FF8">
        <w:t>are not included in the ADAR.</w:t>
      </w:r>
      <w:r w:rsidR="005A5E73">
        <w:t xml:space="preserve"> </w:t>
      </w:r>
      <w:r w:rsidR="004D2BB7">
        <w:t>As the</w:t>
      </w:r>
      <w:r w:rsidR="00F300AD">
        <w:t>se trials</w:t>
      </w:r>
      <w:r w:rsidR="004D2BB7">
        <w:t xml:space="preserve"> have not been assessed</w:t>
      </w:r>
      <w:r w:rsidR="009B78BE">
        <w:t xml:space="preserve"> in the ADAR</w:t>
      </w:r>
      <w:r w:rsidR="004D2BB7">
        <w:t xml:space="preserve">, it </w:t>
      </w:r>
      <w:r w:rsidR="00962484">
        <w:t xml:space="preserve">is unknown </w:t>
      </w:r>
      <w:r w:rsidR="00312885">
        <w:t xml:space="preserve">whether </w:t>
      </w:r>
      <w:r w:rsidR="006B6253">
        <w:t>the</w:t>
      </w:r>
      <w:r w:rsidR="00F300AD">
        <w:t>y</w:t>
      </w:r>
      <w:r w:rsidR="00DD49C1">
        <w:t xml:space="preserve"> </w:t>
      </w:r>
      <w:r w:rsidR="006B6253">
        <w:t>would be</w:t>
      </w:r>
      <w:r w:rsidR="00AF2BE8">
        <w:t xml:space="preserve"> material </w:t>
      </w:r>
      <w:r w:rsidR="00B15932">
        <w:t>for</w:t>
      </w:r>
      <w:r w:rsidR="00AF2BE8">
        <w:t xml:space="preserve"> decision</w:t>
      </w:r>
      <w:r w:rsidR="005C0AAA">
        <w:t xml:space="preserve"> </w:t>
      </w:r>
      <w:r w:rsidR="00AF2BE8">
        <w:t>making.</w:t>
      </w:r>
      <w:r w:rsidR="0097584E">
        <w:t xml:space="preserve"> </w:t>
      </w:r>
    </w:p>
    <w:p w14:paraId="7243C373" w14:textId="4FAFD9FE" w:rsidR="00D44099" w:rsidRDefault="00867B36" w:rsidP="00FA1472">
      <w:r>
        <w:t>Note</w:t>
      </w:r>
      <w:r w:rsidR="00C36CAD">
        <w:t>: b</w:t>
      </w:r>
      <w:r w:rsidR="00D44099" w:rsidRPr="00D44099">
        <w:t xml:space="preserve">eyond HTN, there are </w:t>
      </w:r>
      <w:r>
        <w:t xml:space="preserve">registered </w:t>
      </w:r>
      <w:r w:rsidR="00D44099" w:rsidRPr="00D44099">
        <w:t xml:space="preserve">clinical trials of RDN for other morbidities characterised by sympathetic overactivity, including treatment of </w:t>
      </w:r>
      <w:r w:rsidR="00847650">
        <w:t>HF</w:t>
      </w:r>
      <w:r w:rsidR="00D44099" w:rsidRPr="00D44099">
        <w:t xml:space="preserve">, </w:t>
      </w:r>
      <w:r w:rsidR="00847650">
        <w:t>CKD</w:t>
      </w:r>
      <w:r w:rsidR="00433182">
        <w:t xml:space="preserve"> </w:t>
      </w:r>
      <w:r w:rsidR="00D44099" w:rsidRPr="00D44099">
        <w:t>and</w:t>
      </w:r>
      <w:r w:rsidR="00CC16A8">
        <w:t xml:space="preserve"> </w:t>
      </w:r>
      <w:r w:rsidR="00847650">
        <w:t>AF</w:t>
      </w:r>
      <w:r w:rsidR="00D44099" w:rsidRPr="00D44099">
        <w:t>.</w:t>
      </w:r>
    </w:p>
    <w:p w14:paraId="6EB03CD5" w14:textId="2AF888E0" w:rsidR="00076EF9" w:rsidRDefault="004C7188" w:rsidP="00FA1472">
      <w:r>
        <w:t xml:space="preserve">The </w:t>
      </w:r>
      <w:r w:rsidR="00FA082E">
        <w:t>ADAR</w:t>
      </w:r>
      <w:r>
        <w:t xml:space="preserve"> </w:t>
      </w:r>
      <w:r w:rsidR="00FB26AB">
        <w:t xml:space="preserve">identified </w:t>
      </w:r>
      <w:r w:rsidR="005D4F6F">
        <w:t>eight</w:t>
      </w:r>
      <w:r w:rsidR="00236696">
        <w:t xml:space="preserve"> </w:t>
      </w:r>
      <w:r w:rsidR="00E425CF">
        <w:t>randomised trials</w:t>
      </w:r>
      <w:r w:rsidR="005478F3">
        <w:t xml:space="preserve"> in patients with uncontrolled HTN</w:t>
      </w:r>
      <w:r w:rsidR="008F6CE1">
        <w:t>:</w:t>
      </w:r>
      <w:r w:rsidR="00EB0948">
        <w:t xml:space="preserve"> four were </w:t>
      </w:r>
      <w:r w:rsidR="009D02F7">
        <w:t>sham-controlled (</w:t>
      </w:r>
      <w:r w:rsidR="00BE1D08">
        <w:t xml:space="preserve">SYMPLICITY </w:t>
      </w:r>
      <w:r w:rsidR="009D02F7">
        <w:t>HTN-</w:t>
      </w:r>
      <w:r w:rsidR="00C73109">
        <w:t xml:space="preserve">3, ReSET, </w:t>
      </w:r>
      <w:r w:rsidR="00423503">
        <w:t>SPYRAL HTN-ON MED</w:t>
      </w:r>
      <w:r w:rsidR="000B3B7A">
        <w:t xml:space="preserve">, </w:t>
      </w:r>
      <w:r w:rsidR="00423503">
        <w:t>SPYRAL HTN-OFF MED</w:t>
      </w:r>
      <w:r w:rsidR="0020145B">
        <w:t>) and four were open</w:t>
      </w:r>
      <w:r w:rsidR="00016958">
        <w:t xml:space="preserve"> label</w:t>
      </w:r>
      <w:r w:rsidR="00B6053A">
        <w:t xml:space="preserve"> </w:t>
      </w:r>
      <w:r w:rsidR="00F91042">
        <w:t>(</w:t>
      </w:r>
      <w:r w:rsidR="001A4671">
        <w:t xml:space="preserve">SYMPLICITY </w:t>
      </w:r>
      <w:r w:rsidR="00A8130D">
        <w:t xml:space="preserve">HTN-2, </w:t>
      </w:r>
      <w:r w:rsidR="00BE1D08">
        <w:t xml:space="preserve">SYMPLICITY </w:t>
      </w:r>
      <w:r w:rsidR="002C682D">
        <w:t>HTN-</w:t>
      </w:r>
      <w:r w:rsidR="00BE1D08">
        <w:t xml:space="preserve">Japan, </w:t>
      </w:r>
      <w:r w:rsidR="00234665">
        <w:t>RDN OSA, DENER-HTN).</w:t>
      </w:r>
      <w:r w:rsidR="00162201">
        <w:t xml:space="preserve"> </w:t>
      </w:r>
      <w:r w:rsidR="002D1766">
        <w:t xml:space="preserve">The second generation </w:t>
      </w:r>
      <w:r w:rsidR="0063531D">
        <w:t>SYMPLICITY</w:t>
      </w:r>
      <w:r w:rsidR="00633E72">
        <w:t xml:space="preserve"> Spyral </w:t>
      </w:r>
      <w:r w:rsidR="00AD293D">
        <w:t xml:space="preserve">device </w:t>
      </w:r>
      <w:r w:rsidR="002D1766">
        <w:t>w</w:t>
      </w:r>
      <w:r w:rsidR="00633E72">
        <w:t>as used in t</w:t>
      </w:r>
      <w:r w:rsidR="00D51B42">
        <w:t>wo trials (</w:t>
      </w:r>
      <w:r w:rsidR="00423503">
        <w:t>SPYRAL HTN-</w:t>
      </w:r>
      <w:r w:rsidR="0080787C">
        <w:t xml:space="preserve">ON </w:t>
      </w:r>
      <w:r w:rsidR="00423503">
        <w:t>MED</w:t>
      </w:r>
      <w:r w:rsidR="00D51B42">
        <w:t xml:space="preserve"> and </w:t>
      </w:r>
      <w:r w:rsidR="00423503">
        <w:t>SPYRAL HTN-</w:t>
      </w:r>
      <w:r w:rsidR="0080787C">
        <w:t xml:space="preserve">OFF </w:t>
      </w:r>
      <w:r w:rsidR="00423503">
        <w:t>MED</w:t>
      </w:r>
      <w:r w:rsidR="00D51B42">
        <w:t>)</w:t>
      </w:r>
      <w:r w:rsidR="00633E72">
        <w:t xml:space="preserve">; </w:t>
      </w:r>
      <w:r w:rsidR="00B96FAC">
        <w:t xml:space="preserve">the other </w:t>
      </w:r>
      <w:r w:rsidR="008E7E46">
        <w:t xml:space="preserve">six trials </w:t>
      </w:r>
      <w:r w:rsidR="00A53EF1">
        <w:t xml:space="preserve">used </w:t>
      </w:r>
      <w:r w:rsidR="0063531D">
        <w:t>SYMPLICITY</w:t>
      </w:r>
      <w:r w:rsidR="00A53EF1">
        <w:t xml:space="preserve"> Flex</w:t>
      </w:r>
      <w:r w:rsidR="00F24C36">
        <w:t xml:space="preserve"> (the predicate</w:t>
      </w:r>
      <w:r w:rsidR="002D1766">
        <w:t xml:space="preserve"> device</w:t>
      </w:r>
      <w:r w:rsidR="00F24C36">
        <w:t>)</w:t>
      </w:r>
      <w:r w:rsidR="00A53EF1">
        <w:t>.</w:t>
      </w:r>
      <w:r w:rsidR="008E7E46">
        <w:t xml:space="preserve"> </w:t>
      </w:r>
    </w:p>
    <w:p w14:paraId="1891BFDE" w14:textId="056248ED" w:rsidR="00FA1472" w:rsidRDefault="002949A2" w:rsidP="00841716">
      <w:r>
        <w:t xml:space="preserve">Knowledge </w:t>
      </w:r>
      <w:r w:rsidR="00CE11CE">
        <w:t>of treatment allocation</w:t>
      </w:r>
      <w:r w:rsidR="009A0A8B">
        <w:t xml:space="preserve"> is particularly </w:t>
      </w:r>
      <w:r w:rsidR="00372B34">
        <w:t xml:space="preserve">confounding </w:t>
      </w:r>
      <w:r w:rsidR="009A0A8B">
        <w:t>in therapeutic area</w:t>
      </w:r>
      <w:r w:rsidR="00372B34">
        <w:t xml:space="preserve">s </w:t>
      </w:r>
      <w:r w:rsidR="00B91450">
        <w:t>like</w:t>
      </w:r>
      <w:r w:rsidR="007D3FFD">
        <w:t xml:space="preserve"> </w:t>
      </w:r>
      <w:r w:rsidR="00517EDA">
        <w:t xml:space="preserve">HTN </w:t>
      </w:r>
      <w:r w:rsidR="005401DB">
        <w:t>control</w:t>
      </w:r>
      <w:r w:rsidR="00F86EBF">
        <w:t>, which</w:t>
      </w:r>
      <w:r w:rsidR="008B2803">
        <w:t xml:space="preserve"> </w:t>
      </w:r>
      <w:r w:rsidR="001A1216">
        <w:t xml:space="preserve">are </w:t>
      </w:r>
      <w:r w:rsidR="00ED6CFE">
        <w:t xml:space="preserve">highly </w:t>
      </w:r>
      <w:r w:rsidR="001A1216">
        <w:t>influenced by</w:t>
      </w:r>
      <w:r w:rsidR="00694FD0">
        <w:t xml:space="preserve"> </w:t>
      </w:r>
      <w:r w:rsidR="007630CC">
        <w:t xml:space="preserve">patient behaviour </w:t>
      </w:r>
      <w:r w:rsidR="00AF7EE1">
        <w:t>such as</w:t>
      </w:r>
      <w:r w:rsidR="002F7680">
        <w:t xml:space="preserve"> </w:t>
      </w:r>
      <w:r w:rsidR="00F822A2">
        <w:t xml:space="preserve">adherence to burdensome </w:t>
      </w:r>
      <w:r w:rsidR="007D3FFD">
        <w:t>multi-</w:t>
      </w:r>
      <w:r w:rsidR="00694FD0">
        <w:t xml:space="preserve">pharmaceutical </w:t>
      </w:r>
      <w:r w:rsidR="00A12C9E">
        <w:t xml:space="preserve">management </w:t>
      </w:r>
      <w:r w:rsidR="004A6A9A">
        <w:t>regimens</w:t>
      </w:r>
      <w:r w:rsidR="007D3FFD">
        <w:t xml:space="preserve"> </w:t>
      </w:r>
      <w:r w:rsidR="00694FD0">
        <w:t xml:space="preserve">and </w:t>
      </w:r>
      <w:r w:rsidR="00D11BE1">
        <w:t xml:space="preserve">the </w:t>
      </w:r>
      <w:r w:rsidR="00A12C9E">
        <w:t>adoption</w:t>
      </w:r>
      <w:r w:rsidR="00D11BE1">
        <w:t xml:space="preserve"> of</w:t>
      </w:r>
      <w:r w:rsidR="00694FD0">
        <w:t xml:space="preserve"> lifestyle factors</w:t>
      </w:r>
      <w:r w:rsidR="003D3892">
        <w:t xml:space="preserve"> (</w:t>
      </w:r>
      <w:r w:rsidR="003D3892">
        <w:fldChar w:fldCharType="begin"/>
      </w:r>
      <w:r w:rsidR="003D3892">
        <w:instrText xml:space="preserve"> REF _Ref141873796 \h </w:instrText>
      </w:r>
      <w:r w:rsidR="003D3892">
        <w:fldChar w:fldCharType="separate"/>
      </w:r>
      <w:r w:rsidR="003D5203">
        <w:t xml:space="preserve">Figure </w:t>
      </w:r>
      <w:r w:rsidR="003D5203">
        <w:rPr>
          <w:noProof/>
        </w:rPr>
        <w:t>1</w:t>
      </w:r>
      <w:r w:rsidR="003D3892">
        <w:fldChar w:fldCharType="end"/>
      </w:r>
      <w:r w:rsidR="003D3892">
        <w:t xml:space="preserve"> and </w:t>
      </w:r>
      <w:r w:rsidR="003D3892">
        <w:fldChar w:fldCharType="begin"/>
      </w:r>
      <w:r w:rsidR="003D3892">
        <w:instrText xml:space="preserve"> REF _Ref141876873 \h </w:instrText>
      </w:r>
      <w:r w:rsidR="003D3892">
        <w:fldChar w:fldCharType="separate"/>
      </w:r>
      <w:r w:rsidR="003D5203">
        <w:t xml:space="preserve">Figure </w:t>
      </w:r>
      <w:r w:rsidR="003D5203">
        <w:rPr>
          <w:noProof/>
        </w:rPr>
        <w:t>2</w:t>
      </w:r>
      <w:r w:rsidR="003D3892">
        <w:fldChar w:fldCharType="end"/>
      </w:r>
      <w:r w:rsidR="00EB4C39">
        <w:t xml:space="preserve"> </w:t>
      </w:r>
      <w:r w:rsidR="00C15E7B">
        <w:t xml:space="preserve">illustrate </w:t>
      </w:r>
      <w:r w:rsidR="00396397">
        <w:t xml:space="preserve">this concern, showing </w:t>
      </w:r>
      <w:r w:rsidR="007F0ECD">
        <w:t xml:space="preserve">larger </w:t>
      </w:r>
      <w:r w:rsidR="007E600F">
        <w:t>treatment effect</w:t>
      </w:r>
      <w:r w:rsidR="00396397">
        <w:t>s</w:t>
      </w:r>
      <w:r w:rsidR="007E600F">
        <w:t xml:space="preserve"> and </w:t>
      </w:r>
      <w:r w:rsidR="007F0ECD">
        <w:t xml:space="preserve">wider </w:t>
      </w:r>
      <w:r w:rsidR="007E600F">
        <w:t>confidence intervals</w:t>
      </w:r>
      <w:r w:rsidR="007F0ECD">
        <w:t xml:space="preserve"> in </w:t>
      </w:r>
      <w:r w:rsidR="00095763">
        <w:t xml:space="preserve">the </w:t>
      </w:r>
      <w:r w:rsidR="007F0ECD">
        <w:t xml:space="preserve">open </w:t>
      </w:r>
      <w:r w:rsidR="00095763">
        <w:t>label trials than</w:t>
      </w:r>
      <w:r w:rsidR="007F0ECD">
        <w:t xml:space="preserve"> </w:t>
      </w:r>
      <w:r w:rsidR="00095763">
        <w:t xml:space="preserve">the </w:t>
      </w:r>
      <w:r w:rsidR="00CA78F0">
        <w:t xml:space="preserve">sham-controlled </w:t>
      </w:r>
      <w:r w:rsidR="007F0ECD">
        <w:t>trials</w:t>
      </w:r>
      <w:r w:rsidR="00E71D00">
        <w:t>)</w:t>
      </w:r>
      <w:r w:rsidR="00A12C9E">
        <w:t xml:space="preserve">. </w:t>
      </w:r>
      <w:r w:rsidR="000E3658">
        <w:t>T</w:t>
      </w:r>
      <w:r w:rsidR="00A12C9E">
        <w:t>h</w:t>
      </w:r>
      <w:r w:rsidR="00137240">
        <w:t>e</w:t>
      </w:r>
      <w:r w:rsidR="00A12C9E">
        <w:t xml:space="preserve"> commentary consider</w:t>
      </w:r>
      <w:r w:rsidR="00137240">
        <w:t>ed</w:t>
      </w:r>
      <w:r w:rsidR="00A12C9E">
        <w:t xml:space="preserve"> t</w:t>
      </w:r>
      <w:r w:rsidR="002C3C0F">
        <w:t xml:space="preserve">he </w:t>
      </w:r>
      <w:r w:rsidR="00035EE0">
        <w:t xml:space="preserve">four </w:t>
      </w:r>
      <w:r w:rsidR="00EB34BC">
        <w:t xml:space="preserve">open trials </w:t>
      </w:r>
      <w:r w:rsidR="00774EB9">
        <w:t>to be</w:t>
      </w:r>
      <w:r w:rsidR="007E32CC">
        <w:t xml:space="preserve"> </w:t>
      </w:r>
      <w:r w:rsidR="007D7485" w:rsidRPr="00271B05">
        <w:t>supportive evidence only</w:t>
      </w:r>
      <w:r w:rsidR="007D7485">
        <w:t>.</w:t>
      </w:r>
      <w:r w:rsidR="000E3658">
        <w:t xml:space="preserve"> </w:t>
      </w:r>
      <w:r w:rsidR="009E6BE3">
        <w:t>The results from open trials were presented in the ADAR clinical evaluation; however, the ADAR overall clinical conclusions (summarised in GRADE tables) included evidence from the sham-controlled trials only.</w:t>
      </w:r>
    </w:p>
    <w:p w14:paraId="248486A5" w14:textId="3B7BED5E" w:rsidR="00FB0EE3" w:rsidRDefault="00EF17A2" w:rsidP="00FA1472">
      <w:r>
        <w:t xml:space="preserve">Of </w:t>
      </w:r>
      <w:r w:rsidR="001C3CFC">
        <w:t>the four</w:t>
      </w:r>
      <w:r>
        <w:t xml:space="preserve"> sham-controlled trials, </w:t>
      </w:r>
      <w:r w:rsidR="003712DA">
        <w:t xml:space="preserve">SYMPLICITY HTN-3 </w:t>
      </w:r>
      <w:r w:rsidR="00D42C37">
        <w:t xml:space="preserve">enrolled patients </w:t>
      </w:r>
      <w:r w:rsidR="007D220E">
        <w:t xml:space="preserve">most </w:t>
      </w:r>
      <w:r w:rsidR="00D42C37" w:rsidRPr="00453DE5">
        <w:t>closely resemble the proposed MBS population</w:t>
      </w:r>
      <w:r w:rsidR="00D42C37">
        <w:t xml:space="preserve"> (severe TRHTN despite full tolerated, stable doses of at least three antihypertensive drugs of different classes, including a diuretic</w:t>
      </w:r>
      <w:r w:rsidR="007D220E">
        <w:t xml:space="preserve">). </w:t>
      </w:r>
      <w:r w:rsidR="0091689E">
        <w:t>T</w:t>
      </w:r>
      <w:r w:rsidR="000B6A20">
        <w:t xml:space="preserve">he ADAR </w:t>
      </w:r>
      <w:r w:rsidR="00B131F9">
        <w:t>assert</w:t>
      </w:r>
      <w:r w:rsidR="00F84683">
        <w:t>ed</w:t>
      </w:r>
      <w:r w:rsidR="00B131F9">
        <w:t xml:space="preserve"> that </w:t>
      </w:r>
      <w:r w:rsidR="00F84683">
        <w:t xml:space="preserve">SYMPLICITY HTN-3 </w:t>
      </w:r>
      <w:r w:rsidR="003A183A">
        <w:t>contain</w:t>
      </w:r>
      <w:r w:rsidR="00AB4C50">
        <w:t>ed</w:t>
      </w:r>
      <w:r w:rsidR="003A183A">
        <w:t xml:space="preserve"> a number of important confounding factors that </w:t>
      </w:r>
      <w:r w:rsidR="00334489">
        <w:t xml:space="preserve">may </w:t>
      </w:r>
      <w:r w:rsidR="003A183A">
        <w:t xml:space="preserve">have contributed to the </w:t>
      </w:r>
      <w:r w:rsidR="00334489" w:rsidRPr="00334489">
        <w:t>lower</w:t>
      </w:r>
      <w:r w:rsidR="00C01A90">
        <w:t>-</w:t>
      </w:r>
      <w:r w:rsidR="00334489" w:rsidRPr="00334489">
        <w:t>than</w:t>
      </w:r>
      <w:r w:rsidR="00C01A90">
        <w:t>-</w:t>
      </w:r>
      <w:r w:rsidR="00334489" w:rsidRPr="00334489">
        <w:t xml:space="preserve">expected response in the RDN </w:t>
      </w:r>
      <w:r w:rsidR="00EF095A">
        <w:t>arm</w:t>
      </w:r>
      <w:r w:rsidR="00EF095A" w:rsidRPr="00334489">
        <w:t xml:space="preserve"> </w:t>
      </w:r>
      <w:r w:rsidR="00334489" w:rsidRPr="00334489">
        <w:t xml:space="preserve">and more pronounced response in the </w:t>
      </w:r>
      <w:r w:rsidR="00334489">
        <w:t>s</w:t>
      </w:r>
      <w:r w:rsidR="00334489" w:rsidRPr="00334489">
        <w:t xml:space="preserve">ham </w:t>
      </w:r>
      <w:r w:rsidR="00334489">
        <w:t xml:space="preserve">control </w:t>
      </w:r>
      <w:r w:rsidR="00EF095A">
        <w:t>arm</w:t>
      </w:r>
      <w:r w:rsidR="00334489">
        <w:t xml:space="preserve">, leading to </w:t>
      </w:r>
      <w:r w:rsidR="007E6921">
        <w:t xml:space="preserve">a </w:t>
      </w:r>
      <w:r w:rsidR="00D11206">
        <w:t xml:space="preserve">treatment effect that was not </w:t>
      </w:r>
      <w:r w:rsidR="006F6FC8">
        <w:t xml:space="preserve">statistically significant </w:t>
      </w:r>
      <w:r w:rsidR="00D11206">
        <w:t xml:space="preserve">(refer to Section 10 of this Executive Summary for </w:t>
      </w:r>
      <w:r w:rsidR="00461F10">
        <w:t>effectiveness results)</w:t>
      </w:r>
      <w:r w:rsidR="002B2D3C">
        <w:t>.</w:t>
      </w:r>
      <w:r w:rsidR="001B5D39">
        <w:t xml:space="preserve"> </w:t>
      </w:r>
      <w:r w:rsidR="00770E35">
        <w:t xml:space="preserve">The main factors </w:t>
      </w:r>
      <w:r w:rsidR="00320FEA">
        <w:t>highlighted in the ADAR were</w:t>
      </w:r>
      <w:r w:rsidR="00CF14D4">
        <w:t xml:space="preserve"> </w:t>
      </w:r>
      <w:r w:rsidR="00D35943" w:rsidRPr="00D35943">
        <w:t>a lack of uniformity in the completeness and the pattern of denervation achieved with the first generation RDN device</w:t>
      </w:r>
      <w:r w:rsidR="002D19BE">
        <w:t>,</w:t>
      </w:r>
      <w:r w:rsidR="00D35943" w:rsidRPr="00D35943">
        <w:t xml:space="preserve"> operator inexperience, and variable patient and prescriber drug adherence behaviour.</w:t>
      </w:r>
      <w:r w:rsidR="004B4D8B">
        <w:t xml:space="preserve"> </w:t>
      </w:r>
      <w:r w:rsidR="007959FD">
        <w:t>Nonetheless</w:t>
      </w:r>
      <w:r w:rsidR="00A1382F">
        <w:t xml:space="preserve">, </w:t>
      </w:r>
      <w:r w:rsidR="0042128A">
        <w:t xml:space="preserve">the ADAR judged </w:t>
      </w:r>
      <w:r w:rsidR="00193FE8">
        <w:t>SYMPLICITY HTN-3</w:t>
      </w:r>
      <w:r w:rsidR="0091689E">
        <w:t xml:space="preserve"> to be at low risk of bias</w:t>
      </w:r>
      <w:r w:rsidR="00787BD2">
        <w:t xml:space="preserve"> and the commentary </w:t>
      </w:r>
      <w:r w:rsidR="009769BB">
        <w:t>considered it the best available evidence</w:t>
      </w:r>
      <w:r w:rsidR="003459AC">
        <w:t xml:space="preserve"> to address the PICO</w:t>
      </w:r>
      <w:r w:rsidR="005073A7">
        <w:t>.</w:t>
      </w:r>
    </w:p>
    <w:p w14:paraId="4B64D882" w14:textId="051138A5" w:rsidR="0070739A" w:rsidRDefault="000F48C2" w:rsidP="00E735E3">
      <w:r>
        <w:t>The ADAR place</w:t>
      </w:r>
      <w:r w:rsidR="00232A0E">
        <w:t>d</w:t>
      </w:r>
      <w:r>
        <w:t xml:space="preserve"> </w:t>
      </w:r>
      <w:r w:rsidR="004062EF">
        <w:t xml:space="preserve">greater </w:t>
      </w:r>
      <w:r w:rsidR="0026573F">
        <w:t xml:space="preserve">weight </w:t>
      </w:r>
      <w:r w:rsidR="00FB0EE3">
        <w:t xml:space="preserve">on the </w:t>
      </w:r>
      <w:r w:rsidR="00216323">
        <w:t>two</w:t>
      </w:r>
      <w:r w:rsidR="0047033A">
        <w:t xml:space="preserve"> second generation </w:t>
      </w:r>
      <w:r w:rsidR="00182ADD">
        <w:t xml:space="preserve">‘proof-of-concept’ </w:t>
      </w:r>
      <w:r w:rsidR="00216323">
        <w:t>trials</w:t>
      </w:r>
      <w:r w:rsidR="00815482">
        <w:t xml:space="preserve"> – SPYRAL HTN-O</w:t>
      </w:r>
      <w:r w:rsidR="002A1447">
        <w:t>N</w:t>
      </w:r>
      <w:r w:rsidR="00815482">
        <w:t xml:space="preserve"> MED</w:t>
      </w:r>
      <w:r w:rsidR="00815482" w:rsidRPr="00846EE5">
        <w:t xml:space="preserve"> and </w:t>
      </w:r>
      <w:r w:rsidR="00DD43A9">
        <w:t xml:space="preserve">SPYRAL </w:t>
      </w:r>
      <w:r w:rsidR="00815482">
        <w:t>HTN-O</w:t>
      </w:r>
      <w:r w:rsidR="002A1447">
        <w:t>FF</w:t>
      </w:r>
      <w:r w:rsidR="00815482">
        <w:t xml:space="preserve"> MED</w:t>
      </w:r>
      <w:r w:rsidR="00815482" w:rsidRPr="00846EE5">
        <w:t xml:space="preserve"> </w:t>
      </w:r>
      <w:r w:rsidR="00815482">
        <w:t xml:space="preserve">– </w:t>
      </w:r>
      <w:r w:rsidR="005715CB">
        <w:t xml:space="preserve">despite </w:t>
      </w:r>
      <w:r w:rsidR="00F2062D">
        <w:t xml:space="preserve">these trials </w:t>
      </w:r>
      <w:r w:rsidR="00605258">
        <w:t>enrolli</w:t>
      </w:r>
      <w:r w:rsidR="00F2062D">
        <w:t xml:space="preserve">ng patients </w:t>
      </w:r>
      <w:r w:rsidR="003E7D27">
        <w:t xml:space="preserve">with </w:t>
      </w:r>
      <w:r w:rsidR="00D97657">
        <w:t xml:space="preserve">mild to </w:t>
      </w:r>
      <w:r w:rsidR="00846EE5" w:rsidRPr="00846EE5">
        <w:lastRenderedPageBreak/>
        <w:t xml:space="preserve">moderate uncontrolled </w:t>
      </w:r>
      <w:r w:rsidR="004B3C30">
        <w:t>HTN</w:t>
      </w:r>
      <w:r w:rsidR="00A65C39">
        <w:t xml:space="preserve">, who are at </w:t>
      </w:r>
      <w:r w:rsidR="00A65C39" w:rsidRPr="00846EE5">
        <w:t xml:space="preserve">lower risk of </w:t>
      </w:r>
      <w:r w:rsidR="00A65C39">
        <w:t>CVD</w:t>
      </w:r>
      <w:r w:rsidR="00075DE9">
        <w:t>, and therefore less a</w:t>
      </w:r>
      <w:r w:rsidR="00703D1F">
        <w:t>ligned</w:t>
      </w:r>
      <w:r w:rsidR="00075DE9">
        <w:t xml:space="preserve"> </w:t>
      </w:r>
      <w:r w:rsidR="00A66D4F">
        <w:t xml:space="preserve">with </w:t>
      </w:r>
      <w:r w:rsidR="005B4EEB">
        <w:t xml:space="preserve">the </w:t>
      </w:r>
      <w:r w:rsidR="00CE2A33">
        <w:t>PICO and proposed MBS populations</w:t>
      </w:r>
      <w:r w:rsidR="00846EE5" w:rsidRPr="00846EE5">
        <w:t xml:space="preserve">. </w:t>
      </w:r>
      <w:r w:rsidR="00AA52D0">
        <w:t xml:space="preserve">The </w:t>
      </w:r>
      <w:r w:rsidR="00423503">
        <w:t xml:space="preserve">SPYRAL </w:t>
      </w:r>
      <w:r w:rsidR="000233E0">
        <w:t>trials</w:t>
      </w:r>
      <w:r w:rsidR="00C96ED1" w:rsidRPr="00846EE5">
        <w:t xml:space="preserve"> </w:t>
      </w:r>
      <w:r w:rsidR="00F35ECD">
        <w:t xml:space="preserve">were </w:t>
      </w:r>
      <w:r w:rsidR="00C96ED1">
        <w:t>designed to overcome the perceived shortcomings of SYMPLICITY HTN-3</w:t>
      </w:r>
      <w:r w:rsidR="0062648A">
        <w:t>.</w:t>
      </w:r>
      <w:r w:rsidR="002732C8">
        <w:t xml:space="preserve"> </w:t>
      </w:r>
      <w:r w:rsidR="00D245ED">
        <w:t xml:space="preserve">SPYRAL HTN-ON MED incorporated objective monitoring of adherence to prescribed antihypertensive medications. </w:t>
      </w:r>
      <w:r w:rsidR="00CB0348">
        <w:t>In both SPYRAL trials</w:t>
      </w:r>
      <w:r w:rsidR="00113FCD">
        <w:t>,</w:t>
      </w:r>
      <w:r w:rsidR="00CB0348">
        <w:t xml:space="preserve"> </w:t>
      </w:r>
      <w:r w:rsidR="0037543A">
        <w:t xml:space="preserve">RDN was performed </w:t>
      </w:r>
      <w:r w:rsidR="002732C8">
        <w:t xml:space="preserve">by highly experienced operators </w:t>
      </w:r>
      <w:r w:rsidR="00947E20">
        <w:t xml:space="preserve">using the </w:t>
      </w:r>
      <w:r w:rsidR="00113FCD">
        <w:t xml:space="preserve">second generation </w:t>
      </w:r>
      <w:r w:rsidR="00947E20">
        <w:t xml:space="preserve">4-electrode array catheter and a </w:t>
      </w:r>
      <w:r w:rsidR="009D3021">
        <w:t xml:space="preserve">revised </w:t>
      </w:r>
      <w:r w:rsidR="00BA6A9A">
        <w:t>procedural technique</w:t>
      </w:r>
      <w:r w:rsidR="009D3021">
        <w:t xml:space="preserve"> </w:t>
      </w:r>
      <w:r w:rsidR="00E93DBA">
        <w:t>that included the main renal artery and branches</w:t>
      </w:r>
      <w:r w:rsidR="00AC5EAF">
        <w:t>.</w:t>
      </w:r>
      <w:r w:rsidR="00E93DBA">
        <w:t xml:space="preserve"> </w:t>
      </w:r>
      <w:r w:rsidR="00606E89">
        <w:t>P</w:t>
      </w:r>
      <w:r w:rsidR="00F35ECD">
        <w:t>a</w:t>
      </w:r>
      <w:r w:rsidR="00D25D24">
        <w:t>rticipants</w:t>
      </w:r>
      <w:r w:rsidR="00605258">
        <w:t xml:space="preserve"> </w:t>
      </w:r>
      <w:r w:rsidR="00B31E4F">
        <w:t xml:space="preserve">in </w:t>
      </w:r>
      <w:r w:rsidR="00E62A5F" w:rsidRPr="7D4AB64E">
        <w:rPr>
          <w:rStyle w:val="normaltextrun"/>
        </w:rPr>
        <w:t>SPYRAL</w:t>
      </w:r>
      <w:r w:rsidR="00E62A5F">
        <w:rPr>
          <w:rStyle w:val="normaltextrun"/>
          <w:color w:val="498205"/>
          <w:bdr w:val="none" w:sz="0" w:space="0" w:color="auto" w:frame="1"/>
        </w:rPr>
        <w:t xml:space="preserve"> </w:t>
      </w:r>
      <w:r w:rsidR="00B31E4F">
        <w:t>HTN-O</w:t>
      </w:r>
      <w:r w:rsidR="008E2E63">
        <w:t>N</w:t>
      </w:r>
      <w:r w:rsidR="00B31E4F">
        <w:t xml:space="preserve"> MED and </w:t>
      </w:r>
      <w:r w:rsidR="00E62A5F" w:rsidRPr="7D4AB64E">
        <w:rPr>
          <w:rStyle w:val="normaltextrun"/>
        </w:rPr>
        <w:t>SPYRAL</w:t>
      </w:r>
      <w:r w:rsidR="00E62A5F">
        <w:rPr>
          <w:rStyle w:val="normaltextrun"/>
          <w:color w:val="498205"/>
          <w:bdr w:val="none" w:sz="0" w:space="0" w:color="auto" w:frame="1"/>
        </w:rPr>
        <w:t xml:space="preserve"> </w:t>
      </w:r>
      <w:r w:rsidR="00B31E4F">
        <w:t>HTN-O</w:t>
      </w:r>
      <w:r w:rsidR="008E2E63">
        <w:t>FF</w:t>
      </w:r>
      <w:r w:rsidR="00B31E4F">
        <w:t xml:space="preserve"> MED </w:t>
      </w:r>
      <w:r w:rsidR="00846EE5" w:rsidRPr="00846EE5">
        <w:t xml:space="preserve">were highly selected to reduce heterogeneity and </w:t>
      </w:r>
      <w:r w:rsidR="00C56222">
        <w:t xml:space="preserve">more readily demonstrate </w:t>
      </w:r>
      <w:r w:rsidR="00846EE5" w:rsidRPr="00846EE5">
        <w:t>a response to RDN</w:t>
      </w:r>
      <w:r w:rsidR="00064666">
        <w:t>.</w:t>
      </w:r>
      <w:r w:rsidR="00904355">
        <w:t xml:space="preserve"> </w:t>
      </w:r>
      <w:r w:rsidR="00C821F3">
        <w:t>Treatment resistance was not required for study entry and p</w:t>
      </w:r>
      <w:r w:rsidR="00904355">
        <w:t>atients with isolated systolic HTN</w:t>
      </w:r>
      <w:r w:rsidR="00DD6379">
        <w:t xml:space="preserve"> or </w:t>
      </w:r>
      <w:r w:rsidR="005E32C1">
        <w:t xml:space="preserve">very severe </w:t>
      </w:r>
      <w:r w:rsidR="00A32067">
        <w:t xml:space="preserve">systolic HTN </w:t>
      </w:r>
      <w:r w:rsidR="009F1386">
        <w:t>were excluded</w:t>
      </w:r>
      <w:r w:rsidR="00904355">
        <w:t>.</w:t>
      </w:r>
      <w:r w:rsidR="00E735E3">
        <w:t xml:space="preserve"> </w:t>
      </w:r>
    </w:p>
    <w:p w14:paraId="2B9DC3E5" w14:textId="361F7EBD" w:rsidR="009C7469" w:rsidRDefault="009C7469" w:rsidP="009C7469">
      <w:r>
        <w:t>The SPYRAL HTN-OFF MED trial</w:t>
      </w:r>
      <w:r w:rsidRPr="00467874">
        <w:t xml:space="preserve"> </w:t>
      </w:r>
      <w:r>
        <w:t xml:space="preserve">investigated RDN as an alternative to, rather than an add-on to, pharmacological therapy. </w:t>
      </w:r>
      <w:r w:rsidR="00EF22E1">
        <w:t xml:space="preserve">Subjects were </w:t>
      </w:r>
      <w:r w:rsidR="00E30AC2">
        <w:t>either naïve to antihypertensive medication or had HTN after medication washout.</w:t>
      </w:r>
      <w:r w:rsidR="00BA4488">
        <w:t xml:space="preserve"> </w:t>
      </w:r>
      <w:r w:rsidR="00B27874">
        <w:t xml:space="preserve">Follow up was </w:t>
      </w:r>
      <w:r w:rsidR="00FD7186">
        <w:t xml:space="preserve">restricted to 3 months because it would not have been ethical to allow subjects with treatable uncontrolled </w:t>
      </w:r>
      <w:r w:rsidR="00666EAF">
        <w:t>HTN</w:t>
      </w:r>
      <w:r w:rsidR="00FD7186">
        <w:t xml:space="preserve"> to remain untreated for a more protracted period. </w:t>
      </w:r>
      <w:bookmarkStart w:id="12" w:name="_Hlk152753802"/>
      <w:r>
        <w:t>SPYRAL HTN-OFF MED was not aligned with the PICO in terms of the population, intervention nor comparator</w:t>
      </w:r>
      <w:r w:rsidR="00187EF3">
        <w:t xml:space="preserve">; as such, </w:t>
      </w:r>
      <w:r w:rsidR="00FD1C6E">
        <w:t xml:space="preserve">it </w:t>
      </w:r>
      <w:r w:rsidR="00542887">
        <w:t xml:space="preserve">was </w:t>
      </w:r>
      <w:r w:rsidR="001616C0">
        <w:t xml:space="preserve">considered by the commentary to be </w:t>
      </w:r>
      <w:r w:rsidR="00F94C0D" w:rsidRPr="00271B05">
        <w:t xml:space="preserve">supplementary </w:t>
      </w:r>
      <w:r w:rsidR="001616C0" w:rsidRPr="00271B05">
        <w:t>evidence only</w:t>
      </w:r>
      <w:r w:rsidR="00542887" w:rsidRPr="00271B05">
        <w:t>.</w:t>
      </w:r>
      <w:r w:rsidR="001616C0">
        <w:t xml:space="preserve"> </w:t>
      </w:r>
    </w:p>
    <w:bookmarkEnd w:id="12"/>
    <w:p w14:paraId="112968AF" w14:textId="17F886FC" w:rsidR="00C4320D" w:rsidRDefault="005F604F" w:rsidP="001E0E3C">
      <w:r>
        <w:t xml:space="preserve">The characteristics of the three sham-controlled trials </w:t>
      </w:r>
      <w:r w:rsidR="002C4FDC">
        <w:t>that the commentary consider</w:t>
      </w:r>
      <w:r w:rsidR="007F505D">
        <w:t>ed</w:t>
      </w:r>
      <w:r w:rsidR="002C4FDC">
        <w:t xml:space="preserve"> to be the key evidence base</w:t>
      </w:r>
      <w:r w:rsidR="00BE6A8E">
        <w:t xml:space="preserve"> </w:t>
      </w:r>
      <w:r w:rsidR="00664FCB">
        <w:t xml:space="preserve">for RDN </w:t>
      </w:r>
      <w:r w:rsidR="00BE6A8E">
        <w:t xml:space="preserve">(SYMPLICITY HTN-3, </w:t>
      </w:r>
      <w:r w:rsidR="00664FCB">
        <w:t>ReSET and SPYRAL HTN-ON MED)</w:t>
      </w:r>
      <w:r w:rsidR="002C4FDC">
        <w:t xml:space="preserve"> </w:t>
      </w:r>
      <w:r>
        <w:t xml:space="preserve">are summarised in </w:t>
      </w:r>
      <w:r>
        <w:fldChar w:fldCharType="begin"/>
      </w:r>
      <w:r>
        <w:instrText xml:space="preserve"> REF _Ref69725651 \h </w:instrText>
      </w:r>
      <w:r>
        <w:fldChar w:fldCharType="separate"/>
      </w:r>
      <w:r w:rsidR="003D5203" w:rsidRPr="00CE28E3">
        <w:t>Table</w:t>
      </w:r>
      <w:r w:rsidR="003D5203">
        <w:t> </w:t>
      </w:r>
      <w:r w:rsidR="003D5203">
        <w:rPr>
          <w:noProof/>
        </w:rPr>
        <w:t>3</w:t>
      </w:r>
      <w:r>
        <w:fldChar w:fldCharType="end"/>
      </w:r>
      <w:r>
        <w:t xml:space="preserve">. </w:t>
      </w:r>
      <w:r w:rsidR="00CE621F">
        <w:t>T</w:t>
      </w:r>
      <w:r w:rsidR="00CE621F" w:rsidRPr="00E61CC3">
        <w:t xml:space="preserve">he sham procedure </w:t>
      </w:r>
      <w:r w:rsidR="00CE621F">
        <w:t xml:space="preserve">in all three trials </w:t>
      </w:r>
      <w:r w:rsidR="00CE621F" w:rsidRPr="00E61CC3">
        <w:t>involved a renal angiogram without advancement of the RDN device into the artery.</w:t>
      </w:r>
      <w:r w:rsidR="00CE621F">
        <w:t xml:space="preserve"> </w:t>
      </w:r>
      <w:r w:rsidR="00733AA1">
        <w:t>Additional steps were taken t</w:t>
      </w:r>
      <w:r w:rsidR="00AC1A0F">
        <w:t>o further ensure blinding</w:t>
      </w:r>
      <w:r w:rsidR="00E825E1">
        <w:t xml:space="preserve"> </w:t>
      </w:r>
      <w:r w:rsidR="00E26440">
        <w:t xml:space="preserve">of the </w:t>
      </w:r>
      <w:r w:rsidR="00631707">
        <w:t xml:space="preserve">sedated </w:t>
      </w:r>
      <w:r w:rsidR="00E26440">
        <w:t xml:space="preserve">patient </w:t>
      </w:r>
      <w:r w:rsidR="00733AA1">
        <w:t>(</w:t>
      </w:r>
      <w:r w:rsidR="00BD237B">
        <w:t xml:space="preserve">for example, </w:t>
      </w:r>
      <w:r w:rsidR="00D262F9">
        <w:t>delay in removal of the introducer sheath</w:t>
      </w:r>
      <w:r w:rsidR="00733AA1">
        <w:t xml:space="preserve"> </w:t>
      </w:r>
      <w:r w:rsidR="00D262F9">
        <w:t xml:space="preserve">and a </w:t>
      </w:r>
      <w:r w:rsidR="00AC1A0F">
        <w:t xml:space="preserve">script to mimic a potential </w:t>
      </w:r>
      <w:r w:rsidR="003D533E">
        <w:t>RDN</w:t>
      </w:r>
      <w:r w:rsidR="00AC1A0F">
        <w:t xml:space="preserve"> procedure</w:t>
      </w:r>
      <w:r w:rsidR="005431A4">
        <w:t xml:space="preserve"> [SYMPLICITY HTN-3 and ReSET]</w:t>
      </w:r>
      <w:r w:rsidR="00D262F9">
        <w:t xml:space="preserve">; </w:t>
      </w:r>
      <w:r w:rsidR="00B15893" w:rsidRPr="00B15893">
        <w:t xml:space="preserve">sensory isolation </w:t>
      </w:r>
      <w:r w:rsidR="00BD237B">
        <w:t xml:space="preserve">using </w:t>
      </w:r>
      <w:r w:rsidR="00B15893" w:rsidRPr="00B15893">
        <w:t>blindfold and music</w:t>
      </w:r>
      <w:r w:rsidR="00BD237B">
        <w:t xml:space="preserve"> </w:t>
      </w:r>
      <w:r w:rsidR="00B15893" w:rsidRPr="00B15893">
        <w:t xml:space="preserve">and </w:t>
      </w:r>
      <w:r w:rsidR="00026984">
        <w:t xml:space="preserve">a </w:t>
      </w:r>
      <w:r w:rsidR="003444C7">
        <w:t>lack of familiarity to the procedure and duration</w:t>
      </w:r>
      <w:r w:rsidR="005431A4">
        <w:t xml:space="preserve"> [SYMPLICITY HTN-3 and SPYRAL HTN-ON MED]</w:t>
      </w:r>
      <w:r w:rsidR="00026984">
        <w:t>)</w:t>
      </w:r>
      <w:r w:rsidR="00B15893" w:rsidRPr="00B15893">
        <w:t xml:space="preserve">. </w:t>
      </w:r>
      <w:r w:rsidR="006F344A">
        <w:t xml:space="preserve">Patients in the sham control </w:t>
      </w:r>
      <w:r w:rsidR="007F3071">
        <w:t>arm</w:t>
      </w:r>
      <w:r w:rsidR="00F334B4">
        <w:t>s</w:t>
      </w:r>
      <w:r w:rsidR="006F344A">
        <w:t xml:space="preserve"> of SYMPLICITY HTN-3 and </w:t>
      </w:r>
      <w:r w:rsidR="006F58E0">
        <w:t xml:space="preserve">the </w:t>
      </w:r>
      <w:r w:rsidR="006F344A">
        <w:t xml:space="preserve">SPYRAL HTN-ON MED </w:t>
      </w:r>
      <w:r w:rsidR="006F58E0">
        <w:t xml:space="preserve">Pilot cohort </w:t>
      </w:r>
      <w:r w:rsidR="00531319">
        <w:t xml:space="preserve">(N=80) </w:t>
      </w:r>
      <w:r w:rsidR="006F344A">
        <w:t xml:space="preserve">were permitted to crossover to RDN after 6 months, with </w:t>
      </w:r>
      <w:r w:rsidR="006F58E0">
        <w:t xml:space="preserve">extended </w:t>
      </w:r>
      <w:r w:rsidR="006F344A">
        <w:t xml:space="preserve">follow up to </w:t>
      </w:r>
      <w:r w:rsidR="0037630E">
        <w:t xml:space="preserve">at least </w:t>
      </w:r>
      <w:r w:rsidR="006F344A">
        <w:t>36 months.</w:t>
      </w:r>
    </w:p>
    <w:p w14:paraId="72DD3EB6" w14:textId="0BC6745C" w:rsidR="00934104" w:rsidRDefault="001930FB" w:rsidP="00FA1472">
      <w:r>
        <w:t xml:space="preserve">Enrolment in </w:t>
      </w:r>
      <w:r w:rsidR="00E66796">
        <w:t xml:space="preserve">SYMPLICITY HTN-3 and ReSET </w:t>
      </w:r>
      <w:r>
        <w:t xml:space="preserve">was based on </w:t>
      </w:r>
      <w:r w:rsidR="00CD57CA">
        <w:t xml:space="preserve">elevated </w:t>
      </w:r>
      <w:r>
        <w:t>SBP</w:t>
      </w:r>
      <w:r w:rsidR="00E236AD">
        <w:t xml:space="preserve"> whereas </w:t>
      </w:r>
      <w:r w:rsidR="00FE4C07">
        <w:t xml:space="preserve">enrolment in </w:t>
      </w:r>
      <w:r w:rsidR="00423503">
        <w:t>SPYRAL HTN-ON MED</w:t>
      </w:r>
      <w:r w:rsidR="00E236AD">
        <w:t xml:space="preserve"> </w:t>
      </w:r>
      <w:r w:rsidR="00FE4C07">
        <w:t xml:space="preserve">was based on </w:t>
      </w:r>
      <w:r w:rsidR="00DE7C6A">
        <w:t xml:space="preserve">elevated </w:t>
      </w:r>
      <w:r w:rsidR="00E236AD">
        <w:t>systolic</w:t>
      </w:r>
      <w:r w:rsidR="00946B3F">
        <w:t xml:space="preserve"> and </w:t>
      </w:r>
      <w:r w:rsidR="00E236AD">
        <w:t xml:space="preserve">diastolic </w:t>
      </w:r>
      <w:r w:rsidR="00F66073">
        <w:t>BP</w:t>
      </w:r>
      <w:r w:rsidR="00B01B91">
        <w:t>.</w:t>
      </w:r>
      <w:r w:rsidR="003D316B">
        <w:t xml:space="preserve"> </w:t>
      </w:r>
      <w:r w:rsidR="00163572">
        <w:t>While m</w:t>
      </w:r>
      <w:r w:rsidR="00820A96">
        <w:t xml:space="preserve">ore than 99% of </w:t>
      </w:r>
      <w:r w:rsidR="00A3309B">
        <w:t>patients</w:t>
      </w:r>
      <w:r w:rsidR="003D316B">
        <w:t xml:space="preserve"> </w:t>
      </w:r>
      <w:r w:rsidR="00820A96">
        <w:t xml:space="preserve">in </w:t>
      </w:r>
      <w:r w:rsidR="00093026">
        <w:t xml:space="preserve">SYMPLICITY </w:t>
      </w:r>
      <w:r w:rsidR="00820A96">
        <w:t xml:space="preserve">HTN-3 </w:t>
      </w:r>
      <w:r w:rsidR="003D316B">
        <w:t>were taking a diuretic</w:t>
      </w:r>
      <w:r w:rsidR="00491601">
        <w:t xml:space="preserve"> </w:t>
      </w:r>
      <w:r w:rsidR="000873CF">
        <w:t>at baseline</w:t>
      </w:r>
      <w:r w:rsidR="00163572">
        <w:t>,</w:t>
      </w:r>
      <w:r w:rsidR="00485648">
        <w:t xml:space="preserve"> </w:t>
      </w:r>
      <w:r w:rsidR="00BE0F73">
        <w:t xml:space="preserve">enrolment </w:t>
      </w:r>
      <w:r w:rsidR="00163572">
        <w:t xml:space="preserve">in ReSET </w:t>
      </w:r>
      <w:r w:rsidR="005134D8">
        <w:t>was extended to</w:t>
      </w:r>
      <w:r w:rsidR="00BE0F73">
        <w:t xml:space="preserve"> </w:t>
      </w:r>
      <w:r w:rsidR="00820A96">
        <w:t>patien</w:t>
      </w:r>
      <w:r w:rsidR="00BE0F73">
        <w:t>t</w:t>
      </w:r>
      <w:r w:rsidR="00820A96">
        <w:t xml:space="preserve">s </w:t>
      </w:r>
      <w:r w:rsidR="00042B3D">
        <w:t xml:space="preserve">who were intolerant </w:t>
      </w:r>
      <w:r w:rsidR="00BE0F73">
        <w:t>of</w:t>
      </w:r>
      <w:r w:rsidR="00042B3D">
        <w:t xml:space="preserve"> diuretics (</w:t>
      </w:r>
      <w:r w:rsidR="00784C56">
        <w:t>1</w:t>
      </w:r>
      <w:r w:rsidR="00491601">
        <w:t xml:space="preserve">5% </w:t>
      </w:r>
      <w:r w:rsidR="00784C56">
        <w:t>of the trial population</w:t>
      </w:r>
      <w:r w:rsidR="002C7682">
        <w:t xml:space="preserve">). </w:t>
      </w:r>
      <w:r w:rsidR="00DB55C6">
        <w:t xml:space="preserve">In </w:t>
      </w:r>
      <w:r w:rsidR="00423503">
        <w:t>SPYRAL HTN-ON MED</w:t>
      </w:r>
      <w:r w:rsidR="00DB55C6">
        <w:t xml:space="preserve">, </w:t>
      </w:r>
      <w:r w:rsidR="00730F55">
        <w:t>t</w:t>
      </w:r>
      <w:r w:rsidR="00100346">
        <w:t xml:space="preserve">he </w:t>
      </w:r>
      <w:r w:rsidR="00DB55C6">
        <w:t>mean</w:t>
      </w:r>
      <w:r w:rsidR="00100346">
        <w:t xml:space="preserve"> number of medication </w:t>
      </w:r>
      <w:r w:rsidR="00DB55C6">
        <w:t xml:space="preserve">classes taken at baseline </w:t>
      </w:r>
      <w:r w:rsidR="00730F55">
        <w:t>was</w:t>
      </w:r>
      <w:r w:rsidR="000873CF">
        <w:t xml:space="preserve"> </w:t>
      </w:r>
      <w:r w:rsidR="00730F55">
        <w:t xml:space="preserve">1.9 and only </w:t>
      </w:r>
      <w:r w:rsidR="000873CF">
        <w:t>43% of patients were taking a diuretic</w:t>
      </w:r>
      <w:r w:rsidR="00730F55">
        <w:t>.</w:t>
      </w:r>
      <w:r w:rsidR="00784C56">
        <w:t xml:space="preserve"> </w:t>
      </w:r>
    </w:p>
    <w:p w14:paraId="17DA8B9C" w14:textId="77777777" w:rsidR="00AC1F2D" w:rsidRDefault="00AC1F2D" w:rsidP="00FA1472">
      <w:r>
        <w:t>In terms of applicability to the Australian setting, the proportion of white/Caucasian participants was notably lower in SPYRAL HTN-ON MED (35% of study participants) compared with SYMPLICITY HTN-3 (72%) and ReSET (97%). The potential implications of this (if any) are not discussed in the ADAR.</w:t>
      </w:r>
    </w:p>
    <w:p w14:paraId="7BC33C14" w14:textId="325A95D4" w:rsidR="003B22C4" w:rsidRDefault="00A67DC8" w:rsidP="00FA1472">
      <w:r>
        <w:t xml:space="preserve">Although the </w:t>
      </w:r>
      <w:r w:rsidR="00423503">
        <w:t>SPYRAL HTN-ON MED</w:t>
      </w:r>
      <w:r>
        <w:t xml:space="preserve"> trial population is least representative of the PICO and proposed MBS population, none of the trials are entirely aligned. All three trials excluded patients with specific comorbidities </w:t>
      </w:r>
      <w:r w:rsidR="001B7180">
        <w:t>th</w:t>
      </w:r>
      <w:r w:rsidR="002C259C">
        <w:t>at would put them at higher CV</w:t>
      </w:r>
      <w:r w:rsidR="00804936">
        <w:t>D</w:t>
      </w:r>
      <w:r w:rsidR="002C259C">
        <w:t xml:space="preserve"> risk</w:t>
      </w:r>
      <w:r w:rsidR="00203DA1">
        <w:t>.</w:t>
      </w:r>
      <w:r>
        <w:t xml:space="preserve"> </w:t>
      </w:r>
      <w:r w:rsidR="00423503">
        <w:t>SPYRAL HTN-ON MED</w:t>
      </w:r>
      <w:r>
        <w:t xml:space="preserve"> also excluded patients with an </w:t>
      </w:r>
      <w:r w:rsidR="007765C0">
        <w:t xml:space="preserve">office </w:t>
      </w:r>
      <w:r w:rsidR="00E0031E">
        <w:t>SBP</w:t>
      </w:r>
      <w:r w:rsidR="007765C0">
        <w:t xml:space="preserve"> (</w:t>
      </w:r>
      <w:r>
        <w:t>OSBP</w:t>
      </w:r>
      <w:r w:rsidR="007765C0">
        <w:t>)</w:t>
      </w:r>
      <w:r>
        <w:t xml:space="preserve"> of 180 mmHg or higher. </w:t>
      </w:r>
    </w:p>
    <w:p w14:paraId="6B0BDA9F" w14:textId="01AF4F29" w:rsidR="00573E2F" w:rsidRDefault="00291F39" w:rsidP="00FA1472">
      <w:r>
        <w:t>In recognition of the</w:t>
      </w:r>
      <w:r w:rsidR="00D31DF6">
        <w:t xml:space="preserve"> applicability issues with the SPYRAL HTN-ON </w:t>
      </w:r>
      <w:r>
        <w:t>MED trial, t</w:t>
      </w:r>
      <w:r w:rsidR="00E071F5">
        <w:t>he</w:t>
      </w:r>
      <w:r w:rsidR="001206C6">
        <w:t xml:space="preserve"> ADAR </w:t>
      </w:r>
      <w:r w:rsidR="00EB0DDC">
        <w:t xml:space="preserve">identified </w:t>
      </w:r>
      <w:r w:rsidR="00792089">
        <w:t xml:space="preserve">a subgroup </w:t>
      </w:r>
      <w:r w:rsidR="001B13FC">
        <w:t xml:space="preserve">of patients </w:t>
      </w:r>
      <w:r w:rsidR="00E0031E">
        <w:t xml:space="preserve">in this trial </w:t>
      </w:r>
      <w:r w:rsidR="00CD5557">
        <w:t>who</w:t>
      </w:r>
      <w:r w:rsidR="002D05F0">
        <w:t xml:space="preserve"> </w:t>
      </w:r>
      <w:r w:rsidR="00914E3A">
        <w:t xml:space="preserve">received at least </w:t>
      </w:r>
      <w:r w:rsidR="00CE3CB8">
        <w:t>three antihypertensive medications at baseline, including a diuretic (</w:t>
      </w:r>
      <w:r w:rsidR="0073082E">
        <w:t>see</w:t>
      </w:r>
      <w:r w:rsidR="00CE3CB8">
        <w:t xml:space="preserve"> </w:t>
      </w:r>
      <w:r w:rsidR="00CE3CB8">
        <w:fldChar w:fldCharType="begin"/>
      </w:r>
      <w:r w:rsidR="00CE3CB8">
        <w:instrText xml:space="preserve"> REF _Ref69725651 \h </w:instrText>
      </w:r>
      <w:r w:rsidR="00CE3CB8">
        <w:fldChar w:fldCharType="separate"/>
      </w:r>
      <w:r w:rsidR="003D5203" w:rsidRPr="00CE28E3">
        <w:t>Table</w:t>
      </w:r>
      <w:r w:rsidR="003D5203">
        <w:t> </w:t>
      </w:r>
      <w:r w:rsidR="003D5203">
        <w:rPr>
          <w:noProof/>
        </w:rPr>
        <w:t>3</w:t>
      </w:r>
      <w:r w:rsidR="00CE3CB8">
        <w:fldChar w:fldCharType="end"/>
      </w:r>
      <w:r w:rsidR="00CE3CB8">
        <w:t xml:space="preserve">). </w:t>
      </w:r>
      <w:r w:rsidR="0073082E">
        <w:t>Efficacy d</w:t>
      </w:r>
      <w:r w:rsidR="00EB0DDC">
        <w:t>ata from t</w:t>
      </w:r>
      <w:r w:rsidR="00E059BC">
        <w:t xml:space="preserve">his subgroup </w:t>
      </w:r>
      <w:r w:rsidR="0073082E">
        <w:t xml:space="preserve">are </w:t>
      </w:r>
      <w:r w:rsidR="00EB0DDC">
        <w:t>used</w:t>
      </w:r>
      <w:r w:rsidR="0066530A">
        <w:t xml:space="preserve"> exclusively</w:t>
      </w:r>
      <w:r w:rsidR="00EB0DDC">
        <w:t xml:space="preserve"> in the ADAR base case economic model. </w:t>
      </w:r>
      <w:r w:rsidR="00087255">
        <w:t>Despite greater alignment with the PICO population, t</w:t>
      </w:r>
      <w:r w:rsidR="006D5345">
        <w:t xml:space="preserve">he commentary </w:t>
      </w:r>
      <w:r w:rsidR="003B07DA">
        <w:t xml:space="preserve">raises </w:t>
      </w:r>
      <w:r w:rsidR="006D5345">
        <w:t xml:space="preserve">concerns </w:t>
      </w:r>
      <w:r w:rsidR="003B07DA">
        <w:t>about</w:t>
      </w:r>
      <w:r w:rsidR="006D5345">
        <w:t xml:space="preserve"> this </w:t>
      </w:r>
      <w:r w:rsidR="00C64688">
        <w:t>subgroup</w:t>
      </w:r>
      <w:r w:rsidR="007D5ADD">
        <w:t>:</w:t>
      </w:r>
      <w:r w:rsidR="007723C6">
        <w:t xml:space="preserve"> </w:t>
      </w:r>
      <w:r w:rsidR="007D5ADD">
        <w:t>(i) i</w:t>
      </w:r>
      <w:r w:rsidR="009D1EE2">
        <w:t>t is not known whether subjects were truly treatment-resistant (patients were not required to receive maximal tolerated doses of antihypertensive medications at baseline)</w:t>
      </w:r>
      <w:r w:rsidR="007D5ADD">
        <w:t xml:space="preserve">; </w:t>
      </w:r>
      <w:r w:rsidR="000F7A8F">
        <w:t xml:space="preserve">(ii) </w:t>
      </w:r>
      <w:r w:rsidR="0000419A">
        <w:t xml:space="preserve">patients with systolic HTN or </w:t>
      </w:r>
      <w:r w:rsidR="00257231">
        <w:t>O</w:t>
      </w:r>
      <w:r w:rsidR="0000419A">
        <w:t>SBP ≥180 mmHg were excluded</w:t>
      </w:r>
      <w:r w:rsidR="00FE6CD3">
        <w:t xml:space="preserve"> from participation; </w:t>
      </w:r>
      <w:r w:rsidR="007D5ADD">
        <w:t>and (ii</w:t>
      </w:r>
      <w:r w:rsidR="00FE6CD3">
        <w:t>i</w:t>
      </w:r>
      <w:r w:rsidR="007D5ADD">
        <w:t>)</w:t>
      </w:r>
      <w:r w:rsidR="009D1EE2">
        <w:t xml:space="preserve"> </w:t>
      </w:r>
      <w:r w:rsidR="007723C6" w:rsidRPr="0066530A">
        <w:t xml:space="preserve">the </w:t>
      </w:r>
      <w:r w:rsidR="007723C6">
        <w:t>RDN and sham control</w:t>
      </w:r>
      <w:r w:rsidR="007723C6" w:rsidRPr="0066530A">
        <w:t xml:space="preserve"> </w:t>
      </w:r>
      <w:r w:rsidR="007F3071">
        <w:t>arm</w:t>
      </w:r>
      <w:r w:rsidR="007723C6" w:rsidRPr="0066530A">
        <w:t>s in this subgroup analysis are not necessarily balanced for baseline characteristics, placing this subgroup at high risk of bias</w:t>
      </w:r>
      <w:r w:rsidR="007D5ADD">
        <w:t>.</w:t>
      </w:r>
    </w:p>
    <w:p w14:paraId="692BCA4B" w14:textId="5832BB0F" w:rsidR="00956ACE" w:rsidRPr="003B7E4B" w:rsidRDefault="00956ACE" w:rsidP="00263BE7">
      <w:pPr>
        <w:pStyle w:val="Caption"/>
        <w:spacing w:before="0"/>
      </w:pPr>
      <w:bookmarkStart w:id="13" w:name="_Ref69725651"/>
      <w:r w:rsidRPr="00CE28E3">
        <w:t>Table</w:t>
      </w:r>
      <w:r w:rsidR="004A4FDF">
        <w:t> </w:t>
      </w:r>
      <w:r>
        <w:fldChar w:fldCharType="begin"/>
      </w:r>
      <w:r>
        <w:instrText>SEQ Table \* ARABIC</w:instrText>
      </w:r>
      <w:r>
        <w:fldChar w:fldCharType="separate"/>
      </w:r>
      <w:r w:rsidR="003D5203">
        <w:rPr>
          <w:noProof/>
        </w:rPr>
        <w:t>3</w:t>
      </w:r>
      <w:r>
        <w:fldChar w:fldCharType="end"/>
      </w:r>
      <w:bookmarkEnd w:id="13"/>
      <w:r w:rsidRPr="00CE28E3">
        <w:tab/>
      </w:r>
      <w:r w:rsidR="005F3F4D">
        <w:t>F</w:t>
      </w:r>
      <w:r w:rsidRPr="00CE28E3">
        <w:t xml:space="preserve">eatures of the </w:t>
      </w:r>
      <w:r w:rsidR="005F3F4D">
        <w:t xml:space="preserve">key </w:t>
      </w:r>
      <w:r w:rsidR="00A67DC8">
        <w:t>sham-controlled trials</w:t>
      </w:r>
      <w:r w:rsidRPr="003B7E4B">
        <w:t xml:space="preserve"> </w:t>
      </w:r>
      <w:r w:rsidR="00A67DC8">
        <w:t>of</w:t>
      </w:r>
      <w:r w:rsidR="003B7E4B" w:rsidRPr="003B7E4B">
        <w:t xml:space="preserve"> </w:t>
      </w:r>
      <w:r w:rsidR="00D302D7" w:rsidRPr="00D302D7">
        <w:t>catheter-based</w:t>
      </w:r>
      <w:r w:rsidR="00355683">
        <w:t>, radiofrequency</w:t>
      </w:r>
      <w:r w:rsidR="00D302D7" w:rsidRPr="00D302D7">
        <w:t xml:space="preserve"> renal denervation</w:t>
      </w:r>
      <w:r w:rsidR="00DA3B77">
        <w:t xml:space="preserve"> </w:t>
      </w:r>
      <w:r w:rsidR="000B5828">
        <w:t>(key trial</w:t>
      </w:r>
      <w:r w:rsidR="00162744">
        <w:t xml:space="preserve"> statu</w:t>
      </w:r>
      <w:r w:rsidR="000B5828">
        <w:t xml:space="preserve">s </w:t>
      </w:r>
      <w:r w:rsidR="00162744">
        <w:t xml:space="preserve">as </w:t>
      </w:r>
      <w:r w:rsidR="00DA3B77">
        <w:t>determined in the commentary</w:t>
      </w:r>
      <w:r w:rsidR="000B582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Features of key sham-controlled trials of RF RDN"/>
        <w:tblDescription w:val="Summarises characteristics of SYMPLICITY HTN-3, ReSET and SPYRAL HTN-ON MED"/>
      </w:tblPr>
      <w:tblGrid>
        <w:gridCol w:w="1169"/>
        <w:gridCol w:w="900"/>
        <w:gridCol w:w="1078"/>
        <w:gridCol w:w="1168"/>
        <w:gridCol w:w="1709"/>
        <w:gridCol w:w="1892"/>
        <w:gridCol w:w="1100"/>
      </w:tblGrid>
      <w:tr w:rsidR="00E72A60" w:rsidRPr="00CE28E3" w14:paraId="475D8C60" w14:textId="6FA3E505" w:rsidTr="009C21A1">
        <w:trPr>
          <w:cantSplit/>
          <w:tblHeader/>
        </w:trPr>
        <w:tc>
          <w:tcPr>
            <w:tcW w:w="648" w:type="pct"/>
            <w:shd w:val="clear" w:color="auto" w:fill="auto"/>
          </w:tcPr>
          <w:p w14:paraId="6691730C" w14:textId="77777777" w:rsidR="00E14690" w:rsidRDefault="005D7F1A" w:rsidP="00263BE7">
            <w:pPr>
              <w:pStyle w:val="TableHeading0"/>
              <w:spacing w:before="0" w:after="0"/>
            </w:pPr>
            <w:bookmarkStart w:id="14" w:name="ColumnTitle_Table3"/>
            <w:bookmarkStart w:id="15" w:name="_Hlk68276112"/>
            <w:bookmarkEnd w:id="14"/>
            <w:r>
              <w:t>Trial ID</w:t>
            </w:r>
          </w:p>
          <w:p w14:paraId="4FFC981B" w14:textId="79705C4A" w:rsidR="005D7F1A" w:rsidRPr="00CE28E3" w:rsidRDefault="005D7F1A" w:rsidP="00263BE7">
            <w:pPr>
              <w:pStyle w:val="TableHeading0"/>
              <w:spacing w:before="0" w:after="0"/>
            </w:pPr>
            <w:r>
              <w:t>Funding</w:t>
            </w:r>
          </w:p>
        </w:tc>
        <w:tc>
          <w:tcPr>
            <w:tcW w:w="499" w:type="pct"/>
            <w:shd w:val="clear" w:color="auto" w:fill="auto"/>
          </w:tcPr>
          <w:p w14:paraId="28641D20" w14:textId="77777777" w:rsidR="00684B72" w:rsidRPr="00CE28E3" w:rsidRDefault="00684B72" w:rsidP="00263BE7">
            <w:pPr>
              <w:pStyle w:val="TableHeading0"/>
              <w:spacing w:before="0" w:after="0"/>
            </w:pPr>
            <w:r w:rsidRPr="00CE28E3">
              <w:t>N</w:t>
            </w:r>
          </w:p>
        </w:tc>
        <w:tc>
          <w:tcPr>
            <w:tcW w:w="598" w:type="pct"/>
            <w:shd w:val="clear" w:color="auto" w:fill="auto"/>
          </w:tcPr>
          <w:p w14:paraId="23BE1BE2" w14:textId="36D6309B" w:rsidR="00684B72" w:rsidRPr="00CE28E3" w:rsidRDefault="00684B72" w:rsidP="00263BE7">
            <w:pPr>
              <w:pStyle w:val="TableHeading0"/>
              <w:spacing w:before="0" w:after="0"/>
            </w:pPr>
            <w:r w:rsidRPr="00CE28E3">
              <w:t>Design/</w:t>
            </w:r>
            <w:r w:rsidR="00FA35C3">
              <w:t xml:space="preserve"> </w:t>
            </w:r>
            <w:r w:rsidRPr="00CE28E3">
              <w:t>duration</w:t>
            </w:r>
          </w:p>
        </w:tc>
        <w:tc>
          <w:tcPr>
            <w:tcW w:w="648" w:type="pct"/>
            <w:shd w:val="clear" w:color="auto" w:fill="auto"/>
          </w:tcPr>
          <w:p w14:paraId="4F407CF9" w14:textId="77777777" w:rsidR="00684B72" w:rsidRPr="00CE28E3" w:rsidRDefault="00684B72" w:rsidP="00263BE7">
            <w:pPr>
              <w:pStyle w:val="TableHeading0"/>
              <w:spacing w:before="0" w:after="0"/>
            </w:pPr>
            <w:r w:rsidRPr="00CE28E3">
              <w:t>Risk of bias</w:t>
            </w:r>
          </w:p>
        </w:tc>
        <w:tc>
          <w:tcPr>
            <w:tcW w:w="948" w:type="pct"/>
            <w:shd w:val="clear" w:color="auto" w:fill="auto"/>
          </w:tcPr>
          <w:p w14:paraId="78074E6B" w14:textId="77777777" w:rsidR="00684B72" w:rsidRPr="00CE28E3" w:rsidRDefault="00684B72" w:rsidP="00263BE7">
            <w:pPr>
              <w:pStyle w:val="TableHeading0"/>
              <w:spacing w:before="0" w:after="0"/>
            </w:pPr>
            <w:r w:rsidRPr="00CE28E3">
              <w:t>Patient population</w:t>
            </w:r>
          </w:p>
        </w:tc>
        <w:tc>
          <w:tcPr>
            <w:tcW w:w="1049" w:type="pct"/>
            <w:shd w:val="clear" w:color="auto" w:fill="auto"/>
          </w:tcPr>
          <w:p w14:paraId="4B5869A3" w14:textId="5DD6E1A8" w:rsidR="00684B72" w:rsidRPr="00CE28E3" w:rsidRDefault="008A27E2" w:rsidP="00263BE7">
            <w:pPr>
              <w:pStyle w:val="TableHeading0"/>
              <w:spacing w:before="0" w:after="0"/>
            </w:pPr>
            <w:r>
              <w:t>PICO o</w:t>
            </w:r>
            <w:r w:rsidR="00684B72" w:rsidRPr="00CE28E3">
              <w:t>utcome(s)</w:t>
            </w:r>
          </w:p>
        </w:tc>
        <w:tc>
          <w:tcPr>
            <w:tcW w:w="610" w:type="pct"/>
            <w:shd w:val="clear" w:color="auto" w:fill="auto"/>
          </w:tcPr>
          <w:p w14:paraId="19D97B58" w14:textId="36A0DFC2" w:rsidR="00684B72" w:rsidRPr="00CE28E3" w:rsidRDefault="00684B72" w:rsidP="00263BE7">
            <w:pPr>
              <w:pStyle w:val="TableHeading0"/>
              <w:spacing w:before="0" w:after="0"/>
            </w:pPr>
            <w:r w:rsidRPr="00CE28E3">
              <w:t>Use in modelled evaluation</w:t>
            </w:r>
          </w:p>
        </w:tc>
      </w:tr>
      <w:tr w:rsidR="000874F7" w:rsidRPr="00CE28E3" w14:paraId="7C5D6F2C" w14:textId="77777777" w:rsidTr="009C21A1">
        <w:trPr>
          <w:cantSplit/>
        </w:trPr>
        <w:tc>
          <w:tcPr>
            <w:tcW w:w="648" w:type="pct"/>
            <w:shd w:val="clear" w:color="auto" w:fill="auto"/>
          </w:tcPr>
          <w:p w14:paraId="6D18C552" w14:textId="77777777" w:rsidR="000874F7" w:rsidRDefault="000874F7" w:rsidP="00263BE7">
            <w:pPr>
              <w:pStyle w:val="TableText"/>
              <w:spacing w:before="0" w:after="0"/>
              <w:rPr>
                <w:lang w:val="en-US"/>
              </w:rPr>
            </w:pPr>
            <w:r>
              <w:rPr>
                <w:lang w:val="en-US"/>
              </w:rPr>
              <w:t xml:space="preserve">SYMPLICITY </w:t>
            </w:r>
            <w:r w:rsidRPr="00DB14D0">
              <w:rPr>
                <w:lang w:val="en-US"/>
              </w:rPr>
              <w:t>HTN-3</w:t>
            </w:r>
          </w:p>
          <w:p w14:paraId="6A56C33D" w14:textId="77777777" w:rsidR="000874F7" w:rsidRDefault="000874F7" w:rsidP="00263BE7">
            <w:pPr>
              <w:pStyle w:val="TableText"/>
              <w:spacing w:before="0" w:after="0"/>
            </w:pPr>
          </w:p>
          <w:p w14:paraId="1D8CDD18" w14:textId="77777777" w:rsidR="000874F7" w:rsidRPr="00DB14D0" w:rsidRDefault="000874F7" w:rsidP="00263BE7">
            <w:pPr>
              <w:pStyle w:val="TableText"/>
              <w:spacing w:before="0" w:after="0"/>
              <w:rPr>
                <w:lang w:val="en-US"/>
              </w:rPr>
            </w:pPr>
            <w:r w:rsidRPr="005D7F1A">
              <w:t>Sponsored by Medtronic</w:t>
            </w:r>
          </w:p>
        </w:tc>
        <w:tc>
          <w:tcPr>
            <w:tcW w:w="499" w:type="pct"/>
            <w:shd w:val="clear" w:color="auto" w:fill="auto"/>
          </w:tcPr>
          <w:p w14:paraId="400AA4B4" w14:textId="75E21EB0" w:rsidR="000874F7" w:rsidRPr="00CE28E3" w:rsidRDefault="000874F7" w:rsidP="00263BE7">
            <w:pPr>
              <w:pStyle w:val="TableText"/>
              <w:spacing w:before="0" w:after="0"/>
              <w:rPr>
                <w:lang w:val="en-US"/>
              </w:rPr>
            </w:pPr>
            <w:r w:rsidRPr="00FE5546">
              <w:rPr>
                <w:lang w:val="en-US"/>
              </w:rPr>
              <w:t>535</w:t>
            </w:r>
            <w:r w:rsidR="0042680E">
              <w:rPr>
                <w:lang w:val="en-US"/>
              </w:rPr>
              <w:br/>
              <w:t xml:space="preserve">(364 RDN + 171 </w:t>
            </w:r>
            <w:r w:rsidR="005B69AA">
              <w:rPr>
                <w:lang w:val="en-US"/>
              </w:rPr>
              <w:t xml:space="preserve">sham </w:t>
            </w:r>
            <w:r w:rsidR="0042680E">
              <w:rPr>
                <w:lang w:val="en-US"/>
              </w:rPr>
              <w:t>control)</w:t>
            </w:r>
          </w:p>
        </w:tc>
        <w:tc>
          <w:tcPr>
            <w:tcW w:w="598" w:type="pct"/>
            <w:shd w:val="clear" w:color="auto" w:fill="auto"/>
          </w:tcPr>
          <w:p w14:paraId="735D7610" w14:textId="5DA35E71" w:rsidR="000874F7" w:rsidRPr="002152A4" w:rsidRDefault="000874F7" w:rsidP="00263BE7">
            <w:pPr>
              <w:pStyle w:val="TableText"/>
              <w:spacing w:before="0" w:after="0"/>
            </w:pPr>
            <w:r w:rsidRPr="002152A4">
              <w:t>R (2:1 [treatment vs control]), MC, SB, sham-controlled</w:t>
            </w:r>
          </w:p>
          <w:p w14:paraId="63873A7F" w14:textId="64B2F018" w:rsidR="000874F7" w:rsidRPr="002152A4" w:rsidRDefault="000874F7" w:rsidP="00263BE7">
            <w:pPr>
              <w:pStyle w:val="TableText"/>
              <w:spacing w:before="0" w:after="0"/>
              <w:rPr>
                <w:lang w:val="es-ES"/>
              </w:rPr>
            </w:pPr>
            <w:r w:rsidRPr="002152A4">
              <w:rPr>
                <w:lang w:val="es-ES"/>
              </w:rPr>
              <w:t>6 mo</w:t>
            </w:r>
            <w:r w:rsidRPr="002152A4">
              <w:rPr>
                <w:lang w:val="es-ES"/>
              </w:rPr>
              <w:br/>
            </w:r>
            <w:r w:rsidR="006D6DA9" w:rsidRPr="002152A4">
              <w:rPr>
                <w:lang w:val="es-ES"/>
              </w:rPr>
              <w:t>(</w:t>
            </w:r>
            <w:r w:rsidRPr="002152A4">
              <w:rPr>
                <w:lang w:val="es-ES"/>
              </w:rPr>
              <w:t>60 mo extended F/U)</w:t>
            </w:r>
          </w:p>
        </w:tc>
        <w:tc>
          <w:tcPr>
            <w:tcW w:w="648" w:type="pct"/>
            <w:shd w:val="clear" w:color="auto" w:fill="auto"/>
          </w:tcPr>
          <w:p w14:paraId="55DC0F8C" w14:textId="77777777" w:rsidR="000874F7" w:rsidRDefault="000874F7" w:rsidP="00263BE7">
            <w:pPr>
              <w:pStyle w:val="TableText"/>
              <w:spacing w:before="0" w:after="0"/>
              <w:rPr>
                <w:iCs/>
                <w:lang w:val="en-US"/>
              </w:rPr>
            </w:pPr>
            <w:r>
              <w:rPr>
                <w:iCs/>
                <w:lang w:val="en-US"/>
              </w:rPr>
              <w:t xml:space="preserve">ADAR: </w:t>
            </w:r>
            <w:r w:rsidRPr="000874F7">
              <w:rPr>
                <w:iCs/>
                <w:lang w:val="en-US"/>
              </w:rPr>
              <w:t>Low</w:t>
            </w:r>
          </w:p>
          <w:p w14:paraId="764D5FE6" w14:textId="77777777" w:rsidR="000874F7" w:rsidRDefault="000874F7" w:rsidP="00263BE7">
            <w:pPr>
              <w:pStyle w:val="TableText"/>
              <w:spacing w:before="0" w:after="0"/>
              <w:rPr>
                <w:iCs/>
                <w:lang w:val="en-US"/>
              </w:rPr>
            </w:pPr>
            <w:r>
              <w:rPr>
                <w:iCs/>
                <w:lang w:val="en-US"/>
              </w:rPr>
              <w:t xml:space="preserve">Commentary: </w:t>
            </w:r>
          </w:p>
          <w:p w14:paraId="1164E5EE" w14:textId="772C0DD8" w:rsidR="000874F7" w:rsidRPr="00C91436" w:rsidRDefault="004713B2" w:rsidP="00263BE7">
            <w:pPr>
              <w:pStyle w:val="TableText"/>
              <w:spacing w:before="0" w:after="0"/>
              <w:rPr>
                <w:iCs/>
                <w:lang w:val="en-US"/>
              </w:rPr>
            </w:pPr>
            <w:r>
              <w:rPr>
                <w:iCs/>
                <w:lang w:val="en-US"/>
              </w:rPr>
              <w:t>Unclear (s</w:t>
            </w:r>
            <w:r w:rsidR="000874F7" w:rsidRPr="000874F7">
              <w:rPr>
                <w:iCs/>
                <w:lang w:val="en-US"/>
              </w:rPr>
              <w:t>ome concerns</w:t>
            </w:r>
            <w:r>
              <w:rPr>
                <w:iCs/>
                <w:lang w:val="en-US"/>
              </w:rPr>
              <w:t>)</w:t>
            </w:r>
          </w:p>
        </w:tc>
        <w:tc>
          <w:tcPr>
            <w:tcW w:w="948" w:type="pct"/>
            <w:shd w:val="clear" w:color="auto" w:fill="auto"/>
          </w:tcPr>
          <w:p w14:paraId="66D59A2D" w14:textId="57FE2959" w:rsidR="000874F7" w:rsidRDefault="000874F7" w:rsidP="00263BE7">
            <w:pPr>
              <w:pStyle w:val="TableText"/>
              <w:spacing w:before="0" w:after="0"/>
              <w:rPr>
                <w:lang w:val="en-US"/>
              </w:rPr>
            </w:pPr>
            <w:r w:rsidRPr="00C44E8D">
              <w:rPr>
                <w:lang w:val="en-US"/>
              </w:rPr>
              <w:t>Adults</w:t>
            </w:r>
            <w:r w:rsidR="00085245">
              <w:rPr>
                <w:lang w:val="en-US"/>
              </w:rPr>
              <w:t xml:space="preserve"> </w:t>
            </w:r>
            <w:r w:rsidR="00BC3D4C">
              <w:rPr>
                <w:lang w:val="en-US"/>
              </w:rPr>
              <w:t xml:space="preserve">(aged 18-80 y) </w:t>
            </w:r>
            <w:r>
              <w:rPr>
                <w:lang w:val="en-US"/>
              </w:rPr>
              <w:t>with TR</w:t>
            </w:r>
            <w:r w:rsidRPr="00C44E8D">
              <w:rPr>
                <w:lang w:val="en-US"/>
              </w:rPr>
              <w:t>HTN</w:t>
            </w:r>
            <w:r>
              <w:rPr>
                <w:lang w:val="en-US"/>
              </w:rPr>
              <w:t xml:space="preserve"> despite </w:t>
            </w:r>
            <w:r w:rsidRPr="00C44E8D">
              <w:rPr>
                <w:lang w:val="en-US"/>
              </w:rPr>
              <w:t xml:space="preserve">≥3 </w:t>
            </w:r>
            <w:r w:rsidRPr="00C24D01">
              <w:rPr>
                <w:lang w:val="en-US"/>
              </w:rPr>
              <w:t>anti-HT med</w:t>
            </w:r>
            <w:r w:rsidR="0032141F">
              <w:rPr>
                <w:lang w:val="en-US"/>
              </w:rPr>
              <w:t xml:space="preserve"> classe</w:t>
            </w:r>
            <w:r w:rsidRPr="00C24D01">
              <w:rPr>
                <w:lang w:val="en-US"/>
              </w:rPr>
              <w:t>s</w:t>
            </w:r>
            <w:r>
              <w:rPr>
                <w:lang w:val="en-US"/>
              </w:rPr>
              <w:t xml:space="preserve">, including a diuretic, at </w:t>
            </w:r>
            <w:r w:rsidR="00810DC5">
              <w:rPr>
                <w:lang w:val="en-US"/>
              </w:rPr>
              <w:t>MTD</w:t>
            </w:r>
          </w:p>
          <w:p w14:paraId="2B888B76" w14:textId="076028A3" w:rsidR="00FA25DF" w:rsidRPr="00CE28E3" w:rsidRDefault="000874F7" w:rsidP="00263BE7">
            <w:pPr>
              <w:pStyle w:val="TableText"/>
              <w:spacing w:before="0" w:after="0"/>
              <w:rPr>
                <w:lang w:val="en-US"/>
              </w:rPr>
            </w:pPr>
            <w:r w:rsidRPr="00C44E8D">
              <w:rPr>
                <w:lang w:val="en-US"/>
              </w:rPr>
              <w:t>OSBP ≥160</w:t>
            </w:r>
            <w:r>
              <w:rPr>
                <w:lang w:val="en-US"/>
              </w:rPr>
              <w:t xml:space="preserve"> </w:t>
            </w:r>
            <w:r w:rsidRPr="00C44E8D">
              <w:rPr>
                <w:lang w:val="en-US"/>
              </w:rPr>
              <w:t>mmHg</w:t>
            </w:r>
          </w:p>
        </w:tc>
        <w:tc>
          <w:tcPr>
            <w:tcW w:w="1049" w:type="pct"/>
            <w:shd w:val="clear" w:color="auto" w:fill="auto"/>
          </w:tcPr>
          <w:p w14:paraId="305B02E9" w14:textId="540C9562" w:rsidR="000874F7" w:rsidRPr="00C5233A" w:rsidRDefault="000874F7" w:rsidP="00263BE7">
            <w:pPr>
              <w:pStyle w:val="TableText"/>
              <w:spacing w:before="0" w:after="0"/>
              <w:rPr>
                <w:lang w:val="en-US"/>
              </w:rPr>
            </w:pPr>
            <w:r>
              <w:rPr>
                <w:lang w:val="en-US"/>
              </w:rPr>
              <w:t>C</w:t>
            </w:r>
            <w:r w:rsidRPr="00C5233A">
              <w:rPr>
                <w:lang w:val="en-US"/>
              </w:rPr>
              <w:t xml:space="preserve">hange from baseline in </w:t>
            </w:r>
            <w:r w:rsidRPr="0032617B">
              <w:rPr>
                <w:b/>
                <w:bCs/>
                <w:lang w:val="en-US"/>
              </w:rPr>
              <w:t>OSBP</w:t>
            </w:r>
            <w:r>
              <w:rPr>
                <w:b/>
                <w:bCs/>
                <w:lang w:val="en-US"/>
              </w:rPr>
              <w:t xml:space="preserve"> (6 mo)</w:t>
            </w:r>
            <w:r w:rsidRPr="00C5233A">
              <w:rPr>
                <w:lang w:val="en-US"/>
              </w:rPr>
              <w:t xml:space="preserve">, ODBP, </w:t>
            </w:r>
            <w:r w:rsidR="00CA6AAF" w:rsidRPr="004E0EDB">
              <w:rPr>
                <w:b/>
                <w:bCs/>
                <w:lang w:val="en-US"/>
              </w:rPr>
              <w:t xml:space="preserve">24-h </w:t>
            </w:r>
            <w:r w:rsidRPr="004E0EDB">
              <w:rPr>
                <w:b/>
                <w:bCs/>
                <w:lang w:val="en-US"/>
              </w:rPr>
              <w:t>ASBP</w:t>
            </w:r>
            <w:r w:rsidR="00854BCB">
              <w:rPr>
                <w:b/>
                <w:bCs/>
                <w:lang w:val="en-US"/>
              </w:rPr>
              <w:t xml:space="preserve"> (6 mo)</w:t>
            </w:r>
            <w:r w:rsidRPr="00C5233A">
              <w:rPr>
                <w:lang w:val="en-US"/>
              </w:rPr>
              <w:t xml:space="preserve">, </w:t>
            </w:r>
            <w:r w:rsidR="00CA6AAF">
              <w:rPr>
                <w:lang w:val="en-US"/>
              </w:rPr>
              <w:t>24</w:t>
            </w:r>
            <w:r w:rsidR="004E0EDB">
              <w:rPr>
                <w:lang w:val="en-US"/>
              </w:rPr>
              <w:t xml:space="preserve">-h </w:t>
            </w:r>
            <w:r w:rsidRPr="00C5233A">
              <w:rPr>
                <w:lang w:val="en-US"/>
              </w:rPr>
              <w:t>ADBP</w:t>
            </w:r>
          </w:p>
          <w:p w14:paraId="2E8B84B4" w14:textId="3EAC9642" w:rsidR="000874F7" w:rsidRPr="00C5233A" w:rsidRDefault="000874F7" w:rsidP="00263BE7">
            <w:pPr>
              <w:pStyle w:val="TableText"/>
              <w:spacing w:before="0" w:after="0"/>
              <w:rPr>
                <w:lang w:val="en-US"/>
              </w:rPr>
            </w:pPr>
            <w:r>
              <w:rPr>
                <w:lang w:val="en-US"/>
              </w:rPr>
              <w:t>A</w:t>
            </w:r>
            <w:r w:rsidRPr="00C5233A">
              <w:rPr>
                <w:lang w:val="en-US"/>
              </w:rPr>
              <w:t xml:space="preserve">chievement of target </w:t>
            </w:r>
            <w:r>
              <w:rPr>
                <w:lang w:val="en-US"/>
              </w:rPr>
              <w:t>O</w:t>
            </w:r>
            <w:r w:rsidRPr="00C5233A">
              <w:rPr>
                <w:lang w:val="en-US"/>
              </w:rPr>
              <w:t>SBP</w:t>
            </w:r>
            <w:r w:rsidR="00CD7B5F">
              <w:rPr>
                <w:lang w:val="en-US"/>
              </w:rPr>
              <w:t xml:space="preserve"> (&lt;</w:t>
            </w:r>
            <w:r w:rsidR="00D43E9F">
              <w:rPr>
                <w:lang w:val="en-US"/>
              </w:rPr>
              <w:t xml:space="preserve">140 </w:t>
            </w:r>
            <w:r w:rsidR="002D49DA">
              <w:rPr>
                <w:lang w:val="en-US"/>
              </w:rPr>
              <w:t>mmHg)</w:t>
            </w:r>
          </w:p>
          <w:p w14:paraId="396EC1FC" w14:textId="77777777" w:rsidR="000874F7" w:rsidRPr="00C5233A" w:rsidRDefault="000874F7" w:rsidP="00263BE7">
            <w:pPr>
              <w:pStyle w:val="TableText"/>
              <w:spacing w:before="0" w:after="0"/>
              <w:rPr>
                <w:lang w:val="en-US"/>
              </w:rPr>
            </w:pPr>
            <w:r w:rsidRPr="00182E2D">
              <w:rPr>
                <w:b/>
                <w:bCs/>
                <w:lang w:val="en-US"/>
              </w:rPr>
              <w:t>MAE (</w:t>
            </w:r>
            <w:r>
              <w:rPr>
                <w:b/>
                <w:bCs/>
                <w:lang w:val="en-US"/>
              </w:rPr>
              <w:t>6 mo</w:t>
            </w:r>
            <w:r w:rsidRPr="00182E2D">
              <w:rPr>
                <w:b/>
                <w:bCs/>
                <w:lang w:val="en-US"/>
              </w:rPr>
              <w:t>)</w:t>
            </w:r>
            <w:r w:rsidRPr="00C5233A">
              <w:rPr>
                <w:lang w:val="en-US"/>
              </w:rPr>
              <w:t xml:space="preserve"> </w:t>
            </w:r>
            <w:r>
              <w:rPr>
                <w:lang w:val="en-US"/>
              </w:rPr>
              <w:t>and individual</w:t>
            </w:r>
            <w:r w:rsidRPr="00C5233A">
              <w:rPr>
                <w:lang w:val="en-US"/>
              </w:rPr>
              <w:t xml:space="preserve"> components</w:t>
            </w:r>
          </w:p>
          <w:p w14:paraId="6914BD28" w14:textId="7CDB7C65" w:rsidR="000874F7" w:rsidRPr="00CE28E3" w:rsidRDefault="00E3016E" w:rsidP="00263BE7">
            <w:pPr>
              <w:pStyle w:val="TableText"/>
              <w:spacing w:before="0" w:after="0"/>
              <w:rPr>
                <w:lang w:val="en-US"/>
              </w:rPr>
            </w:pPr>
            <w:r>
              <w:rPr>
                <w:lang w:val="en-US"/>
              </w:rPr>
              <w:t xml:space="preserve">CV death, </w:t>
            </w:r>
            <w:r w:rsidR="000D2750">
              <w:rPr>
                <w:lang w:val="en-US"/>
              </w:rPr>
              <w:t>stroke</w:t>
            </w:r>
            <w:r w:rsidR="001B0959">
              <w:rPr>
                <w:lang w:val="en-US"/>
              </w:rPr>
              <w:t xml:space="preserve">, </w:t>
            </w:r>
            <w:r w:rsidR="00AB54C4">
              <w:rPr>
                <w:lang w:val="en-US"/>
              </w:rPr>
              <w:t xml:space="preserve">MI, </w:t>
            </w:r>
            <w:r w:rsidR="001B0959" w:rsidRPr="00C5233A">
              <w:rPr>
                <w:lang w:val="en-US"/>
              </w:rPr>
              <w:t xml:space="preserve">ESRD, </w:t>
            </w:r>
            <w:r w:rsidR="000874F7">
              <w:rPr>
                <w:lang w:val="en-US"/>
              </w:rPr>
              <w:t>hospitalisation for AF or HF</w:t>
            </w:r>
            <w:r>
              <w:rPr>
                <w:lang w:val="en-US"/>
              </w:rPr>
              <w:t xml:space="preserve"> (as chronic safety outcomes)</w:t>
            </w:r>
          </w:p>
        </w:tc>
        <w:tc>
          <w:tcPr>
            <w:tcW w:w="610" w:type="pct"/>
            <w:shd w:val="clear" w:color="auto" w:fill="auto"/>
          </w:tcPr>
          <w:p w14:paraId="52D2CF09" w14:textId="671C65D2" w:rsidR="000874F7" w:rsidRPr="000874F7" w:rsidRDefault="005723E3" w:rsidP="00263BE7">
            <w:pPr>
              <w:pStyle w:val="TableText"/>
              <w:spacing w:before="0" w:after="0"/>
              <w:rPr>
                <w:lang w:val="en-US"/>
              </w:rPr>
            </w:pPr>
            <w:r>
              <w:rPr>
                <w:lang w:val="en-US"/>
              </w:rPr>
              <w:t xml:space="preserve">ADAR </w:t>
            </w:r>
            <w:r w:rsidR="000874F7">
              <w:rPr>
                <w:lang w:val="en-US"/>
              </w:rPr>
              <w:t>SA</w:t>
            </w:r>
            <w:r>
              <w:rPr>
                <w:lang w:val="en-US"/>
              </w:rPr>
              <w:t xml:space="preserve"> (</w:t>
            </w:r>
            <w:r w:rsidR="000874F7">
              <w:rPr>
                <w:lang w:val="en-US"/>
              </w:rPr>
              <w:t>as part of MA of all trials</w:t>
            </w:r>
            <w:r>
              <w:rPr>
                <w:lang w:val="en-US"/>
              </w:rPr>
              <w:t xml:space="preserve"> </w:t>
            </w:r>
            <w:r w:rsidR="000874F7">
              <w:rPr>
                <w:lang w:val="en-US"/>
              </w:rPr>
              <w:t>including open)</w:t>
            </w:r>
            <w:r w:rsidR="00E22CDC">
              <w:rPr>
                <w:lang w:val="en-US"/>
              </w:rPr>
              <w:t xml:space="preserve"> </w:t>
            </w:r>
            <w:r w:rsidR="000874F7" w:rsidRPr="000874F7">
              <w:rPr>
                <w:lang w:val="en-US"/>
              </w:rPr>
              <w:t xml:space="preserve">and as part of MA for </w:t>
            </w:r>
            <w:r w:rsidR="00D73A67">
              <w:rPr>
                <w:lang w:val="en-US"/>
              </w:rPr>
              <w:t>c</w:t>
            </w:r>
            <w:r w:rsidR="000874F7" w:rsidRPr="000874F7">
              <w:rPr>
                <w:lang w:val="en-US"/>
              </w:rPr>
              <w:t xml:space="preserve">ommentary </w:t>
            </w:r>
            <w:r w:rsidR="0088029D">
              <w:rPr>
                <w:lang w:val="en-US"/>
              </w:rPr>
              <w:t>revised</w:t>
            </w:r>
            <w:r w:rsidR="0088029D" w:rsidRPr="000874F7">
              <w:rPr>
                <w:lang w:val="en-US"/>
              </w:rPr>
              <w:t xml:space="preserve"> </w:t>
            </w:r>
            <w:r w:rsidR="000874F7" w:rsidRPr="000874F7">
              <w:rPr>
                <w:lang w:val="en-US"/>
              </w:rPr>
              <w:t>base case</w:t>
            </w:r>
          </w:p>
        </w:tc>
      </w:tr>
      <w:tr w:rsidR="000874F7" w:rsidRPr="00CE28E3" w14:paraId="6BCCEB21" w14:textId="77777777" w:rsidTr="009C21A1">
        <w:trPr>
          <w:cantSplit/>
        </w:trPr>
        <w:tc>
          <w:tcPr>
            <w:tcW w:w="648" w:type="pct"/>
            <w:tcBorders>
              <w:bottom w:val="single" w:sz="4" w:space="0" w:color="auto"/>
            </w:tcBorders>
            <w:shd w:val="clear" w:color="auto" w:fill="auto"/>
          </w:tcPr>
          <w:p w14:paraId="52A2E1AC" w14:textId="77777777" w:rsidR="000874F7" w:rsidRDefault="000874F7" w:rsidP="00263BE7">
            <w:pPr>
              <w:pStyle w:val="TableText"/>
              <w:spacing w:before="0" w:after="0"/>
              <w:rPr>
                <w:lang w:val="en-US"/>
              </w:rPr>
            </w:pPr>
            <w:r w:rsidRPr="00DB14D0">
              <w:rPr>
                <w:lang w:val="en-US"/>
              </w:rPr>
              <w:t>ReSET</w:t>
            </w:r>
          </w:p>
          <w:p w14:paraId="4DB85ED2" w14:textId="77777777" w:rsidR="000874F7" w:rsidRDefault="000874F7" w:rsidP="00263BE7">
            <w:pPr>
              <w:pStyle w:val="TableText"/>
              <w:spacing w:before="0" w:after="0"/>
              <w:rPr>
                <w:lang w:val="en-US"/>
              </w:rPr>
            </w:pPr>
          </w:p>
          <w:p w14:paraId="351A883D" w14:textId="77777777" w:rsidR="000874F7" w:rsidRPr="00DB14D0" w:rsidRDefault="000874F7" w:rsidP="00263BE7">
            <w:pPr>
              <w:pStyle w:val="TableText"/>
              <w:spacing w:before="0" w:after="0"/>
              <w:rPr>
                <w:lang w:val="en-US"/>
              </w:rPr>
            </w:pPr>
            <w:r>
              <w:rPr>
                <w:lang w:val="en-US"/>
              </w:rPr>
              <w:t>Independent study – Danish Heart Foundation</w:t>
            </w:r>
          </w:p>
        </w:tc>
        <w:tc>
          <w:tcPr>
            <w:tcW w:w="499" w:type="pct"/>
            <w:tcBorders>
              <w:bottom w:val="single" w:sz="4" w:space="0" w:color="auto"/>
            </w:tcBorders>
            <w:shd w:val="clear" w:color="auto" w:fill="auto"/>
          </w:tcPr>
          <w:p w14:paraId="55E95FDB" w14:textId="5F38F656" w:rsidR="000874F7" w:rsidRPr="00CE28E3" w:rsidRDefault="000874F7" w:rsidP="00263BE7">
            <w:pPr>
              <w:pStyle w:val="TableText"/>
              <w:spacing w:before="0" w:after="0"/>
              <w:rPr>
                <w:lang w:val="en-US"/>
              </w:rPr>
            </w:pPr>
            <w:r>
              <w:rPr>
                <w:lang w:val="en-US"/>
              </w:rPr>
              <w:t>69</w:t>
            </w:r>
            <w:r w:rsidR="00F72BE3">
              <w:rPr>
                <w:lang w:val="en-US"/>
              </w:rPr>
              <w:br/>
            </w:r>
            <w:r w:rsidR="00731111">
              <w:rPr>
                <w:lang w:val="en-US"/>
              </w:rPr>
              <w:t xml:space="preserve">(36 RDN + 33 </w:t>
            </w:r>
            <w:r w:rsidR="005B69AA">
              <w:rPr>
                <w:lang w:val="en-US"/>
              </w:rPr>
              <w:t xml:space="preserve">sham </w:t>
            </w:r>
            <w:r w:rsidR="00731111">
              <w:rPr>
                <w:lang w:val="en-US"/>
              </w:rPr>
              <w:t>control)</w:t>
            </w:r>
          </w:p>
        </w:tc>
        <w:tc>
          <w:tcPr>
            <w:tcW w:w="598" w:type="pct"/>
            <w:tcBorders>
              <w:bottom w:val="single" w:sz="4" w:space="0" w:color="auto"/>
            </w:tcBorders>
            <w:shd w:val="clear" w:color="auto" w:fill="auto"/>
          </w:tcPr>
          <w:p w14:paraId="750F2A46" w14:textId="77777777" w:rsidR="000874F7" w:rsidRDefault="000874F7" w:rsidP="00263BE7">
            <w:pPr>
              <w:pStyle w:val="TableText"/>
              <w:spacing w:before="0" w:after="0"/>
            </w:pPr>
            <w:r w:rsidRPr="00FF0214">
              <w:t>R</w:t>
            </w:r>
            <w:r>
              <w:t xml:space="preserve"> (1:1)</w:t>
            </w:r>
            <w:r w:rsidRPr="00FF0214">
              <w:t xml:space="preserve">, DB, </w:t>
            </w:r>
            <w:r>
              <w:t>S</w:t>
            </w:r>
            <w:r w:rsidRPr="00FF0214">
              <w:t>C, sham-controlled</w:t>
            </w:r>
          </w:p>
          <w:p w14:paraId="61D5B7D6" w14:textId="77777777" w:rsidR="000874F7" w:rsidRPr="00CE28E3" w:rsidRDefault="000874F7" w:rsidP="00263BE7">
            <w:pPr>
              <w:pStyle w:val="TableText"/>
              <w:spacing w:before="0" w:after="0"/>
              <w:rPr>
                <w:lang w:val="en-US"/>
              </w:rPr>
            </w:pPr>
            <w:r>
              <w:rPr>
                <w:lang w:val="en-US"/>
              </w:rPr>
              <w:t>6 mo</w:t>
            </w:r>
          </w:p>
        </w:tc>
        <w:tc>
          <w:tcPr>
            <w:tcW w:w="648" w:type="pct"/>
            <w:tcBorders>
              <w:bottom w:val="single" w:sz="4" w:space="0" w:color="auto"/>
            </w:tcBorders>
            <w:shd w:val="clear" w:color="auto" w:fill="auto"/>
          </w:tcPr>
          <w:p w14:paraId="5EFA890C" w14:textId="77777777" w:rsidR="000874F7" w:rsidRDefault="000874F7" w:rsidP="00263BE7">
            <w:pPr>
              <w:pStyle w:val="TableText"/>
              <w:spacing w:before="0" w:after="0"/>
              <w:rPr>
                <w:iCs/>
                <w:lang w:val="en-US"/>
              </w:rPr>
            </w:pPr>
            <w:r>
              <w:rPr>
                <w:iCs/>
                <w:lang w:val="en-US"/>
              </w:rPr>
              <w:t xml:space="preserve">ADAR: </w:t>
            </w:r>
            <w:r w:rsidRPr="000874F7">
              <w:rPr>
                <w:iCs/>
                <w:lang w:val="en-US"/>
              </w:rPr>
              <w:t>Low</w:t>
            </w:r>
          </w:p>
          <w:p w14:paraId="4C68784F" w14:textId="77777777" w:rsidR="000874F7" w:rsidRDefault="000874F7" w:rsidP="00263BE7">
            <w:pPr>
              <w:pStyle w:val="TableText"/>
              <w:spacing w:before="0" w:after="0"/>
              <w:rPr>
                <w:iCs/>
                <w:lang w:val="en-US"/>
              </w:rPr>
            </w:pPr>
            <w:r>
              <w:rPr>
                <w:iCs/>
                <w:lang w:val="en-US"/>
              </w:rPr>
              <w:t xml:space="preserve">Commentary: </w:t>
            </w:r>
          </w:p>
          <w:p w14:paraId="5EDC5E91" w14:textId="640C22E0" w:rsidR="000874F7" w:rsidRPr="00AF69E9" w:rsidRDefault="004713B2" w:rsidP="00263BE7">
            <w:pPr>
              <w:pStyle w:val="TableText"/>
              <w:spacing w:before="0" w:after="0"/>
              <w:rPr>
                <w:iCs/>
                <w:lang w:val="en-US"/>
              </w:rPr>
            </w:pPr>
            <w:r>
              <w:rPr>
                <w:iCs/>
                <w:lang w:val="en-US"/>
              </w:rPr>
              <w:t>Unclear (s</w:t>
            </w:r>
            <w:r w:rsidRPr="000874F7">
              <w:rPr>
                <w:iCs/>
                <w:lang w:val="en-US"/>
              </w:rPr>
              <w:t>ome concerns</w:t>
            </w:r>
            <w:r>
              <w:rPr>
                <w:iCs/>
                <w:lang w:val="en-US"/>
              </w:rPr>
              <w:t>)</w:t>
            </w:r>
          </w:p>
        </w:tc>
        <w:tc>
          <w:tcPr>
            <w:tcW w:w="948" w:type="pct"/>
            <w:tcBorders>
              <w:bottom w:val="single" w:sz="4" w:space="0" w:color="auto"/>
            </w:tcBorders>
            <w:shd w:val="clear" w:color="auto" w:fill="auto"/>
          </w:tcPr>
          <w:p w14:paraId="4724C1C8" w14:textId="52BECC75" w:rsidR="000874F7" w:rsidRDefault="000874F7" w:rsidP="00263BE7">
            <w:pPr>
              <w:pStyle w:val="TableText"/>
              <w:spacing w:before="0" w:after="0"/>
            </w:pPr>
            <w:r>
              <w:t xml:space="preserve">Adults </w:t>
            </w:r>
            <w:r w:rsidR="00430127">
              <w:rPr>
                <w:lang w:val="en-US"/>
              </w:rPr>
              <w:t xml:space="preserve">(aged 30-70 y) </w:t>
            </w:r>
            <w:r>
              <w:t>with TRHTN despite</w:t>
            </w:r>
            <w:r w:rsidRPr="00FF0214">
              <w:t xml:space="preserve"> </w:t>
            </w:r>
            <w:r w:rsidRPr="00C44E8D">
              <w:rPr>
                <w:lang w:val="en-US"/>
              </w:rPr>
              <w:t xml:space="preserve">≥3 </w:t>
            </w:r>
            <w:r w:rsidRPr="00C24D01">
              <w:rPr>
                <w:lang w:val="en-US"/>
              </w:rPr>
              <w:t>anti-HT meds</w:t>
            </w:r>
            <w:r>
              <w:rPr>
                <w:lang w:val="en-US"/>
              </w:rPr>
              <w:t>, including a diuretic (if not intolerant)</w:t>
            </w:r>
          </w:p>
          <w:p w14:paraId="682AFF14" w14:textId="011931E6" w:rsidR="00CF1DEE" w:rsidRPr="00DD0BC5" w:rsidRDefault="000874F7" w:rsidP="00263BE7">
            <w:pPr>
              <w:pStyle w:val="TableText"/>
              <w:spacing w:before="0" w:after="0"/>
            </w:pPr>
            <w:r>
              <w:t>D</w:t>
            </w:r>
            <w:r w:rsidRPr="00220CCB">
              <w:t>aytime ASBP ≥145</w:t>
            </w:r>
            <w:r>
              <w:t> </w:t>
            </w:r>
            <w:r w:rsidRPr="00220CCB">
              <w:t>mmHg</w:t>
            </w:r>
          </w:p>
        </w:tc>
        <w:tc>
          <w:tcPr>
            <w:tcW w:w="1049" w:type="pct"/>
            <w:tcBorders>
              <w:bottom w:val="single" w:sz="4" w:space="0" w:color="auto"/>
            </w:tcBorders>
            <w:shd w:val="clear" w:color="auto" w:fill="auto"/>
          </w:tcPr>
          <w:p w14:paraId="548891E8" w14:textId="26D213B9" w:rsidR="000874F7" w:rsidRPr="00C5233A" w:rsidRDefault="000874F7" w:rsidP="00263BE7">
            <w:pPr>
              <w:pStyle w:val="TableText"/>
              <w:spacing w:before="0" w:after="0"/>
              <w:rPr>
                <w:lang w:val="en-US"/>
              </w:rPr>
            </w:pPr>
            <w:r>
              <w:rPr>
                <w:lang w:val="en-US"/>
              </w:rPr>
              <w:t>C</w:t>
            </w:r>
            <w:r w:rsidRPr="00C5233A">
              <w:rPr>
                <w:lang w:val="en-US"/>
              </w:rPr>
              <w:t>hange from baseline in</w:t>
            </w:r>
            <w:r w:rsidR="00805CDA">
              <w:rPr>
                <w:lang w:val="en-US"/>
              </w:rPr>
              <w:t xml:space="preserve"> </w:t>
            </w:r>
            <w:r w:rsidR="00D84893">
              <w:rPr>
                <w:lang w:val="en-US"/>
              </w:rPr>
              <w:t xml:space="preserve">24-hr ASBP, 24-h </w:t>
            </w:r>
            <w:r w:rsidRPr="00C5233A">
              <w:rPr>
                <w:lang w:val="en-US"/>
              </w:rPr>
              <w:t>ADBP</w:t>
            </w:r>
          </w:p>
          <w:p w14:paraId="165263D9" w14:textId="77777777" w:rsidR="000874F7" w:rsidRPr="00CE28E3" w:rsidRDefault="000874F7" w:rsidP="00263BE7">
            <w:pPr>
              <w:pStyle w:val="TableText"/>
              <w:spacing w:before="0" w:after="0"/>
              <w:rPr>
                <w:lang w:val="en-US"/>
              </w:rPr>
            </w:pPr>
            <w:r w:rsidRPr="00C5233A">
              <w:rPr>
                <w:lang w:val="en-US"/>
              </w:rPr>
              <w:t>AE</w:t>
            </w:r>
            <w:r>
              <w:rPr>
                <w:lang w:val="en-US"/>
              </w:rPr>
              <w:t>s and complications, including death</w:t>
            </w:r>
            <w:r w:rsidRPr="00C5233A">
              <w:rPr>
                <w:lang w:val="en-US"/>
              </w:rPr>
              <w:t>, MI, stroke</w:t>
            </w:r>
          </w:p>
        </w:tc>
        <w:tc>
          <w:tcPr>
            <w:tcW w:w="610" w:type="pct"/>
            <w:tcBorders>
              <w:bottom w:val="single" w:sz="4" w:space="0" w:color="auto"/>
            </w:tcBorders>
            <w:shd w:val="clear" w:color="auto" w:fill="auto"/>
          </w:tcPr>
          <w:p w14:paraId="71CD4B41" w14:textId="755902E7" w:rsidR="000874F7" w:rsidRPr="00CE28E3" w:rsidRDefault="00DD71A7" w:rsidP="00263BE7">
            <w:pPr>
              <w:pStyle w:val="TableText"/>
              <w:spacing w:before="0" w:after="0"/>
              <w:rPr>
                <w:lang w:val="en-US"/>
              </w:rPr>
            </w:pPr>
            <w:r>
              <w:rPr>
                <w:lang w:val="en-US"/>
              </w:rPr>
              <w:t xml:space="preserve">ADAR </w:t>
            </w:r>
            <w:r w:rsidR="000874F7">
              <w:rPr>
                <w:lang w:val="en-US"/>
              </w:rPr>
              <w:t xml:space="preserve">SA </w:t>
            </w:r>
            <w:r>
              <w:rPr>
                <w:lang w:val="en-US"/>
              </w:rPr>
              <w:t>(</w:t>
            </w:r>
            <w:r w:rsidR="000874F7">
              <w:rPr>
                <w:lang w:val="en-US"/>
              </w:rPr>
              <w:t>as part of MA of all trials including open)</w:t>
            </w:r>
          </w:p>
        </w:tc>
      </w:tr>
      <w:tr w:rsidR="00E72A60" w:rsidRPr="00CE28E3" w14:paraId="7E776818" w14:textId="16C11C6D" w:rsidTr="009C21A1">
        <w:trPr>
          <w:cantSplit/>
        </w:trPr>
        <w:tc>
          <w:tcPr>
            <w:tcW w:w="648" w:type="pct"/>
            <w:tcBorders>
              <w:bottom w:val="dotted" w:sz="4" w:space="0" w:color="auto"/>
            </w:tcBorders>
            <w:shd w:val="clear" w:color="auto" w:fill="auto"/>
          </w:tcPr>
          <w:p w14:paraId="54D3CE94" w14:textId="3B915C66" w:rsidR="00684B72" w:rsidRPr="005D7F1A" w:rsidRDefault="00423503" w:rsidP="00263BE7">
            <w:pPr>
              <w:pStyle w:val="TableText"/>
              <w:spacing w:before="0" w:after="0"/>
            </w:pPr>
            <w:r>
              <w:t>SPYRAL HTN-ON MED</w:t>
            </w:r>
          </w:p>
          <w:p w14:paraId="2737B253" w14:textId="77777777" w:rsidR="00E14690" w:rsidRDefault="00E14690" w:rsidP="00263BE7">
            <w:pPr>
              <w:pStyle w:val="TableText"/>
              <w:spacing w:before="0" w:after="0"/>
            </w:pPr>
          </w:p>
          <w:p w14:paraId="563AC767" w14:textId="4C53001A" w:rsidR="005D7F1A" w:rsidRPr="00DB14D0" w:rsidRDefault="005D7F1A" w:rsidP="00263BE7">
            <w:pPr>
              <w:pStyle w:val="TableText"/>
              <w:spacing w:before="0" w:after="0"/>
            </w:pPr>
            <w:r w:rsidRPr="005D7F1A">
              <w:t>Sponsored by Medtronic</w:t>
            </w:r>
          </w:p>
        </w:tc>
        <w:tc>
          <w:tcPr>
            <w:tcW w:w="499" w:type="pct"/>
            <w:tcBorders>
              <w:bottom w:val="dotted" w:sz="4" w:space="0" w:color="auto"/>
            </w:tcBorders>
            <w:shd w:val="clear" w:color="auto" w:fill="auto"/>
          </w:tcPr>
          <w:p w14:paraId="25C14685" w14:textId="01E2DBDF" w:rsidR="00684B72" w:rsidRPr="000B55D3" w:rsidRDefault="00684B72" w:rsidP="00263BE7">
            <w:pPr>
              <w:pStyle w:val="TableText"/>
              <w:spacing w:before="0" w:after="0"/>
              <w:rPr>
                <w:lang w:val="en-US"/>
              </w:rPr>
            </w:pPr>
            <w:r w:rsidRPr="000B55D3">
              <w:rPr>
                <w:lang w:val="en-US"/>
              </w:rPr>
              <w:t>337</w:t>
            </w:r>
            <w:r w:rsidR="002E24E6">
              <w:rPr>
                <w:lang w:val="en-US"/>
              </w:rPr>
              <w:br/>
              <w:t xml:space="preserve">(206 RDN + 131 </w:t>
            </w:r>
            <w:r w:rsidR="005B69AA">
              <w:rPr>
                <w:lang w:val="en-US"/>
              </w:rPr>
              <w:t xml:space="preserve">sham </w:t>
            </w:r>
            <w:r w:rsidR="002E24E6">
              <w:rPr>
                <w:lang w:val="en-US"/>
              </w:rPr>
              <w:t>control)</w:t>
            </w:r>
          </w:p>
          <w:p w14:paraId="280096E2" w14:textId="20D22DCC" w:rsidR="00CA05EE" w:rsidRPr="00CE28E3" w:rsidRDefault="00684B72" w:rsidP="00263BE7">
            <w:pPr>
              <w:pStyle w:val="TableText"/>
              <w:spacing w:before="0" w:after="0"/>
              <w:rPr>
                <w:lang w:val="en-US"/>
              </w:rPr>
            </w:pPr>
            <w:r w:rsidRPr="000B55D3">
              <w:rPr>
                <w:lang w:val="en-US"/>
              </w:rPr>
              <w:t xml:space="preserve">80 Pilot </w:t>
            </w:r>
            <w:r w:rsidR="00FE4A27">
              <w:rPr>
                <w:lang w:val="en-US"/>
              </w:rPr>
              <w:t xml:space="preserve">cohort </w:t>
            </w:r>
            <w:r w:rsidRPr="000B55D3">
              <w:rPr>
                <w:lang w:val="en-US"/>
              </w:rPr>
              <w:t>+ 257 Expansion</w:t>
            </w:r>
            <w:r w:rsidR="00FE4A27">
              <w:rPr>
                <w:lang w:val="en-US"/>
              </w:rPr>
              <w:t xml:space="preserve"> cohort</w:t>
            </w:r>
          </w:p>
        </w:tc>
        <w:tc>
          <w:tcPr>
            <w:tcW w:w="598" w:type="pct"/>
            <w:tcBorders>
              <w:bottom w:val="dotted" w:sz="4" w:space="0" w:color="auto"/>
            </w:tcBorders>
            <w:shd w:val="clear" w:color="auto" w:fill="auto"/>
          </w:tcPr>
          <w:p w14:paraId="6B683CD3" w14:textId="69132DDB" w:rsidR="00684B72" w:rsidRPr="002152A4" w:rsidRDefault="00684B72" w:rsidP="00263BE7">
            <w:pPr>
              <w:pStyle w:val="TableText"/>
              <w:spacing w:before="0" w:after="0"/>
            </w:pPr>
            <w:r w:rsidRPr="002152A4">
              <w:t>R</w:t>
            </w:r>
            <w:r w:rsidR="00895FD1" w:rsidRPr="002152A4">
              <w:t xml:space="preserve"> (2:1 [treatment vs control]; </w:t>
            </w:r>
            <w:r w:rsidR="00D57C5C" w:rsidRPr="002152A4">
              <w:t xml:space="preserve">1:1 </w:t>
            </w:r>
            <w:r w:rsidR="00895FD1" w:rsidRPr="002152A4">
              <w:t xml:space="preserve">first 106 </w:t>
            </w:r>
            <w:r w:rsidR="00186642" w:rsidRPr="002152A4">
              <w:t>patients</w:t>
            </w:r>
            <w:r w:rsidR="00895FD1" w:rsidRPr="002152A4">
              <w:t>)</w:t>
            </w:r>
            <w:r w:rsidRPr="002152A4">
              <w:t>, MC, MN, SB, sham-controlled</w:t>
            </w:r>
          </w:p>
          <w:p w14:paraId="39A9151F" w14:textId="62815156" w:rsidR="00684B72" w:rsidRPr="00CE28E3" w:rsidRDefault="00684B72" w:rsidP="00263BE7">
            <w:pPr>
              <w:pStyle w:val="TableText"/>
              <w:spacing w:before="0" w:after="0"/>
              <w:rPr>
                <w:lang w:val="en-US"/>
              </w:rPr>
            </w:pPr>
            <w:r>
              <w:rPr>
                <w:lang w:val="en-US"/>
              </w:rPr>
              <w:t>6 mo</w:t>
            </w:r>
            <w:r w:rsidR="002872BC">
              <w:rPr>
                <w:lang w:val="en-US"/>
              </w:rPr>
              <w:br/>
            </w:r>
            <w:r w:rsidR="006D6DA9">
              <w:rPr>
                <w:lang w:val="en-US"/>
              </w:rPr>
              <w:t>(</w:t>
            </w:r>
            <w:r w:rsidR="002872BC">
              <w:rPr>
                <w:lang w:val="en-US"/>
              </w:rPr>
              <w:t xml:space="preserve">36 mo </w:t>
            </w:r>
            <w:r w:rsidR="00251BE6">
              <w:rPr>
                <w:lang w:val="en-US"/>
              </w:rPr>
              <w:t>extended F/U of Pilot</w:t>
            </w:r>
            <w:r w:rsidR="006D6DA9">
              <w:rPr>
                <w:lang w:val="en-US"/>
              </w:rPr>
              <w:t xml:space="preserve"> cohort</w:t>
            </w:r>
            <w:r w:rsidR="00251BE6">
              <w:rPr>
                <w:lang w:val="en-US"/>
              </w:rPr>
              <w:t>)</w:t>
            </w:r>
          </w:p>
        </w:tc>
        <w:tc>
          <w:tcPr>
            <w:tcW w:w="648" w:type="pct"/>
            <w:tcBorders>
              <w:bottom w:val="dotted" w:sz="4" w:space="0" w:color="auto"/>
            </w:tcBorders>
            <w:shd w:val="clear" w:color="auto" w:fill="auto"/>
          </w:tcPr>
          <w:p w14:paraId="386D642F" w14:textId="77777777" w:rsidR="00CC5A66" w:rsidRDefault="00CC5A66" w:rsidP="00263BE7">
            <w:pPr>
              <w:pStyle w:val="TableText"/>
              <w:spacing w:before="0" w:after="0"/>
              <w:rPr>
                <w:iCs/>
                <w:lang w:val="en-US"/>
              </w:rPr>
            </w:pPr>
            <w:r>
              <w:rPr>
                <w:iCs/>
                <w:lang w:val="en-US"/>
              </w:rPr>
              <w:t xml:space="preserve">ADAR: </w:t>
            </w:r>
            <w:r w:rsidR="00FA35C3" w:rsidRPr="000874F7">
              <w:rPr>
                <w:iCs/>
                <w:lang w:val="en-US"/>
              </w:rPr>
              <w:t>Low</w:t>
            </w:r>
          </w:p>
          <w:p w14:paraId="3046CEA8" w14:textId="3B940415" w:rsidR="00CC5A66" w:rsidRDefault="00CC5A66" w:rsidP="00263BE7">
            <w:pPr>
              <w:pStyle w:val="TableText"/>
              <w:spacing w:before="0" w:after="0"/>
              <w:rPr>
                <w:iCs/>
                <w:lang w:val="en-US"/>
              </w:rPr>
            </w:pPr>
            <w:r>
              <w:rPr>
                <w:iCs/>
                <w:lang w:val="en-US"/>
              </w:rPr>
              <w:t xml:space="preserve">Commentary: </w:t>
            </w:r>
          </w:p>
          <w:p w14:paraId="269C28DF" w14:textId="7FE63A2D" w:rsidR="00684B72" w:rsidRPr="000874F7" w:rsidRDefault="004713B2" w:rsidP="00263BE7">
            <w:pPr>
              <w:pStyle w:val="TableText"/>
              <w:spacing w:before="0" w:after="0"/>
              <w:rPr>
                <w:iCs/>
                <w:lang w:val="en-US"/>
              </w:rPr>
            </w:pPr>
            <w:r>
              <w:rPr>
                <w:iCs/>
                <w:lang w:val="en-US"/>
              </w:rPr>
              <w:t>Unclear (s</w:t>
            </w:r>
            <w:r w:rsidRPr="000874F7">
              <w:rPr>
                <w:iCs/>
                <w:lang w:val="en-US"/>
              </w:rPr>
              <w:t>ome concerns</w:t>
            </w:r>
            <w:r>
              <w:rPr>
                <w:iCs/>
                <w:lang w:val="en-US"/>
              </w:rPr>
              <w:t>)</w:t>
            </w:r>
          </w:p>
        </w:tc>
        <w:tc>
          <w:tcPr>
            <w:tcW w:w="948" w:type="pct"/>
            <w:tcBorders>
              <w:bottom w:val="dotted" w:sz="4" w:space="0" w:color="auto"/>
            </w:tcBorders>
            <w:shd w:val="clear" w:color="auto" w:fill="auto"/>
          </w:tcPr>
          <w:p w14:paraId="3A2C03E4" w14:textId="0B565B5C" w:rsidR="00684B72" w:rsidRPr="00C24D01" w:rsidRDefault="00684B72" w:rsidP="00263BE7">
            <w:pPr>
              <w:pStyle w:val="TableText"/>
              <w:spacing w:before="0" w:after="0"/>
              <w:rPr>
                <w:lang w:val="en-US"/>
              </w:rPr>
            </w:pPr>
            <w:r w:rsidRPr="00C24D01">
              <w:rPr>
                <w:lang w:val="en-US"/>
              </w:rPr>
              <w:t>Adults</w:t>
            </w:r>
            <w:r w:rsidR="00DC5D46">
              <w:rPr>
                <w:lang w:val="en-US"/>
              </w:rPr>
              <w:t xml:space="preserve"> </w:t>
            </w:r>
            <w:r w:rsidR="00BC3D4C">
              <w:rPr>
                <w:lang w:val="en-US"/>
              </w:rPr>
              <w:t xml:space="preserve">(aged 20-80 y) </w:t>
            </w:r>
            <w:r w:rsidR="00DC5D46">
              <w:rPr>
                <w:lang w:val="en-US"/>
              </w:rPr>
              <w:t>with u</w:t>
            </w:r>
            <w:r w:rsidRPr="00C24D01">
              <w:rPr>
                <w:lang w:val="en-US"/>
              </w:rPr>
              <w:t>ncontrolled HTN</w:t>
            </w:r>
            <w:r w:rsidR="00530001">
              <w:rPr>
                <w:lang w:val="en-US"/>
              </w:rPr>
              <w:t xml:space="preserve"> despite </w:t>
            </w:r>
            <w:r w:rsidRPr="00C24D01">
              <w:rPr>
                <w:lang w:val="en-US"/>
              </w:rPr>
              <w:t>1-3 anti-HT med</w:t>
            </w:r>
            <w:r w:rsidR="009C4F60">
              <w:rPr>
                <w:lang w:val="en-US"/>
              </w:rPr>
              <w:t xml:space="preserve"> classe</w:t>
            </w:r>
            <w:r w:rsidRPr="00C24D01">
              <w:rPr>
                <w:lang w:val="en-US"/>
              </w:rPr>
              <w:t>s</w:t>
            </w:r>
            <w:r w:rsidR="00162F3C">
              <w:rPr>
                <w:lang w:val="en-US"/>
              </w:rPr>
              <w:t xml:space="preserve">, </w:t>
            </w:r>
            <w:r w:rsidRPr="00C24D01">
              <w:rPr>
                <w:lang w:val="en-US"/>
              </w:rPr>
              <w:t xml:space="preserve">at ≥50% </w:t>
            </w:r>
            <w:r w:rsidR="00715145">
              <w:rPr>
                <w:lang w:val="en-US"/>
              </w:rPr>
              <w:t xml:space="preserve">recommended </w:t>
            </w:r>
            <w:r w:rsidRPr="00C24D01">
              <w:rPr>
                <w:lang w:val="en-US"/>
              </w:rPr>
              <w:t>dosage</w:t>
            </w:r>
            <w:r w:rsidR="00210431" w:rsidRPr="00210431">
              <w:rPr>
                <w:vertAlign w:val="superscript"/>
                <w:lang w:val="en-US"/>
              </w:rPr>
              <w:t>a</w:t>
            </w:r>
          </w:p>
          <w:p w14:paraId="21B8950F" w14:textId="4E68E792" w:rsidR="00684B72" w:rsidRDefault="00684B72" w:rsidP="00263BE7">
            <w:pPr>
              <w:pStyle w:val="TableText"/>
              <w:spacing w:before="0" w:after="0"/>
              <w:rPr>
                <w:lang w:val="en-US"/>
              </w:rPr>
            </w:pPr>
            <w:r w:rsidRPr="00C24D01">
              <w:rPr>
                <w:lang w:val="en-US"/>
              </w:rPr>
              <w:t>OSBP ≥150 and &lt;180</w:t>
            </w:r>
            <w:r w:rsidR="00AA7A6A">
              <w:rPr>
                <w:lang w:val="en-US"/>
              </w:rPr>
              <w:t> </w:t>
            </w:r>
            <w:r w:rsidRPr="00C24D01">
              <w:rPr>
                <w:lang w:val="en-US"/>
              </w:rPr>
              <w:t>mmHg</w:t>
            </w:r>
            <w:r w:rsidR="00403789">
              <w:rPr>
                <w:lang w:val="en-US"/>
              </w:rPr>
              <w:t xml:space="preserve">, </w:t>
            </w:r>
            <w:r w:rsidRPr="00C24D01">
              <w:rPr>
                <w:lang w:val="en-US"/>
              </w:rPr>
              <w:t>and ODBP ≥90</w:t>
            </w:r>
            <w:r w:rsidR="00AA7A6A">
              <w:rPr>
                <w:lang w:val="en-US"/>
              </w:rPr>
              <w:t> </w:t>
            </w:r>
            <w:r w:rsidRPr="00C24D01">
              <w:rPr>
                <w:lang w:val="en-US"/>
              </w:rPr>
              <w:t>mmHg</w:t>
            </w:r>
          </w:p>
          <w:p w14:paraId="4FD8A7FC" w14:textId="045EE411" w:rsidR="00392E73" w:rsidRPr="00CE28E3" w:rsidRDefault="00684B72" w:rsidP="00263BE7">
            <w:pPr>
              <w:pStyle w:val="TableText"/>
              <w:spacing w:before="0" w:after="0"/>
              <w:rPr>
                <w:lang w:val="en-US"/>
              </w:rPr>
            </w:pPr>
            <w:r w:rsidRPr="00C24D01">
              <w:rPr>
                <w:lang w:val="en-US"/>
              </w:rPr>
              <w:t>and mean 24-h ASBP ≥140 and &lt;170</w:t>
            </w:r>
            <w:r w:rsidR="00AA7A6A">
              <w:rPr>
                <w:lang w:val="en-US"/>
              </w:rPr>
              <w:t> </w:t>
            </w:r>
            <w:r w:rsidRPr="00C24D01">
              <w:rPr>
                <w:lang w:val="en-US"/>
              </w:rPr>
              <w:t>mmHg</w:t>
            </w:r>
          </w:p>
        </w:tc>
        <w:tc>
          <w:tcPr>
            <w:tcW w:w="1049" w:type="pct"/>
            <w:tcBorders>
              <w:bottom w:val="dotted" w:sz="4" w:space="0" w:color="auto"/>
            </w:tcBorders>
            <w:shd w:val="clear" w:color="auto" w:fill="auto"/>
          </w:tcPr>
          <w:p w14:paraId="64449E11" w14:textId="709191A0" w:rsidR="00C5233A" w:rsidRPr="00C5233A" w:rsidRDefault="0024608D" w:rsidP="00263BE7">
            <w:pPr>
              <w:pStyle w:val="TableText"/>
              <w:spacing w:before="0" w:after="0"/>
              <w:rPr>
                <w:lang w:val="en-US"/>
              </w:rPr>
            </w:pPr>
            <w:r>
              <w:rPr>
                <w:lang w:val="en-US"/>
              </w:rPr>
              <w:t>C</w:t>
            </w:r>
            <w:r w:rsidR="00C5233A" w:rsidRPr="00C5233A">
              <w:rPr>
                <w:lang w:val="en-US"/>
              </w:rPr>
              <w:t xml:space="preserve">hange from baseline in </w:t>
            </w:r>
            <w:r w:rsidR="001519F6" w:rsidRPr="004F5627">
              <w:rPr>
                <w:b/>
                <w:bCs/>
                <w:lang w:val="en-US"/>
              </w:rPr>
              <w:t>24-h</w:t>
            </w:r>
            <w:r w:rsidR="001519F6">
              <w:rPr>
                <w:lang w:val="en-US"/>
              </w:rPr>
              <w:t xml:space="preserve"> </w:t>
            </w:r>
            <w:r w:rsidR="00C5233A" w:rsidRPr="000C40FD">
              <w:rPr>
                <w:b/>
                <w:bCs/>
                <w:lang w:val="en-US"/>
              </w:rPr>
              <w:t>ASBP</w:t>
            </w:r>
            <w:r w:rsidR="00095CE5">
              <w:rPr>
                <w:b/>
                <w:bCs/>
                <w:lang w:val="en-US"/>
              </w:rPr>
              <w:t xml:space="preserve"> (</w:t>
            </w:r>
            <w:r w:rsidR="001A2D03">
              <w:rPr>
                <w:b/>
                <w:bCs/>
                <w:lang w:val="en-US"/>
              </w:rPr>
              <w:t>6</w:t>
            </w:r>
            <w:r w:rsidR="00095CE5">
              <w:rPr>
                <w:b/>
                <w:bCs/>
                <w:lang w:val="en-US"/>
              </w:rPr>
              <w:t xml:space="preserve"> mo)</w:t>
            </w:r>
            <w:r w:rsidR="004F5627" w:rsidRPr="004F5627">
              <w:rPr>
                <w:lang w:val="en-US"/>
              </w:rPr>
              <w:t xml:space="preserve">, 24-h </w:t>
            </w:r>
            <w:r w:rsidR="00C5233A" w:rsidRPr="00C5233A">
              <w:rPr>
                <w:lang w:val="en-US"/>
              </w:rPr>
              <w:t>ADBP</w:t>
            </w:r>
            <w:r w:rsidR="009B43FC">
              <w:rPr>
                <w:lang w:val="en-US"/>
              </w:rPr>
              <w:t xml:space="preserve">, </w:t>
            </w:r>
            <w:r w:rsidR="009B43FC" w:rsidRPr="00C5233A">
              <w:rPr>
                <w:lang w:val="en-US"/>
              </w:rPr>
              <w:t>OSBP</w:t>
            </w:r>
            <w:r w:rsidR="009B43FC">
              <w:rPr>
                <w:lang w:val="en-US"/>
              </w:rPr>
              <w:t xml:space="preserve">, </w:t>
            </w:r>
            <w:r w:rsidR="009B43FC" w:rsidRPr="00C5233A">
              <w:rPr>
                <w:lang w:val="en-US"/>
              </w:rPr>
              <w:t>ODBP</w:t>
            </w:r>
          </w:p>
          <w:p w14:paraId="7F18928F" w14:textId="4C7C0031" w:rsidR="00C5233A" w:rsidRPr="00C5233A" w:rsidRDefault="0024608D" w:rsidP="00263BE7">
            <w:pPr>
              <w:pStyle w:val="TableText"/>
              <w:spacing w:before="0" w:after="0"/>
              <w:rPr>
                <w:lang w:val="en-US"/>
              </w:rPr>
            </w:pPr>
            <w:r>
              <w:rPr>
                <w:lang w:val="en-US"/>
              </w:rPr>
              <w:t>A</w:t>
            </w:r>
            <w:r w:rsidR="00C5233A" w:rsidRPr="00C5233A">
              <w:rPr>
                <w:lang w:val="en-US"/>
              </w:rPr>
              <w:t xml:space="preserve">chievement of target </w:t>
            </w:r>
            <w:r w:rsidR="002C027B">
              <w:rPr>
                <w:lang w:val="en-US"/>
              </w:rPr>
              <w:t>O</w:t>
            </w:r>
            <w:r w:rsidR="00C5233A" w:rsidRPr="00C5233A">
              <w:rPr>
                <w:lang w:val="en-US"/>
              </w:rPr>
              <w:t>SBP</w:t>
            </w:r>
            <w:r w:rsidR="002D49DA">
              <w:rPr>
                <w:lang w:val="en-US"/>
              </w:rPr>
              <w:t xml:space="preserve"> (&lt;140 mmHg)</w:t>
            </w:r>
          </w:p>
          <w:p w14:paraId="6E7627EA" w14:textId="74001C73" w:rsidR="00C5233A" w:rsidRPr="00C5233A" w:rsidRDefault="001D5ED9" w:rsidP="00263BE7">
            <w:pPr>
              <w:pStyle w:val="TableText"/>
              <w:spacing w:before="0" w:after="0"/>
              <w:rPr>
                <w:lang w:val="en-US"/>
              </w:rPr>
            </w:pPr>
            <w:r>
              <w:rPr>
                <w:lang w:val="en-US"/>
              </w:rPr>
              <w:t>HRQoL</w:t>
            </w:r>
          </w:p>
          <w:p w14:paraId="2CDA32C7" w14:textId="25D8B58A" w:rsidR="00C5233A" w:rsidRPr="00C5233A" w:rsidRDefault="00C5233A" w:rsidP="00263BE7">
            <w:pPr>
              <w:pStyle w:val="TableText"/>
              <w:spacing w:before="0" w:after="0"/>
              <w:rPr>
                <w:lang w:val="en-US"/>
              </w:rPr>
            </w:pPr>
            <w:r w:rsidRPr="00182E2D">
              <w:rPr>
                <w:b/>
                <w:bCs/>
                <w:lang w:val="en-US"/>
              </w:rPr>
              <w:t xml:space="preserve">MAE </w:t>
            </w:r>
            <w:r w:rsidR="00182E2D" w:rsidRPr="00182E2D">
              <w:rPr>
                <w:b/>
                <w:bCs/>
                <w:lang w:val="en-US"/>
              </w:rPr>
              <w:t>(</w:t>
            </w:r>
            <w:r w:rsidR="00CB4586">
              <w:rPr>
                <w:b/>
                <w:bCs/>
                <w:lang w:val="en-US"/>
              </w:rPr>
              <w:t>1</w:t>
            </w:r>
            <w:r w:rsidR="005431D6">
              <w:rPr>
                <w:b/>
                <w:bCs/>
                <w:lang w:val="en-US"/>
              </w:rPr>
              <w:t xml:space="preserve"> mo</w:t>
            </w:r>
            <w:r w:rsidR="00182E2D" w:rsidRPr="00182E2D">
              <w:rPr>
                <w:b/>
                <w:bCs/>
                <w:lang w:val="en-US"/>
              </w:rPr>
              <w:t>)</w:t>
            </w:r>
            <w:r w:rsidRPr="00C5233A">
              <w:rPr>
                <w:lang w:val="en-US"/>
              </w:rPr>
              <w:t xml:space="preserve"> </w:t>
            </w:r>
            <w:r w:rsidR="005431D6">
              <w:rPr>
                <w:lang w:val="en-US"/>
              </w:rPr>
              <w:t>and</w:t>
            </w:r>
            <w:r w:rsidRPr="00C5233A">
              <w:rPr>
                <w:lang w:val="en-US"/>
              </w:rPr>
              <w:t xml:space="preserve"> </w:t>
            </w:r>
            <w:r w:rsidR="005431D6">
              <w:rPr>
                <w:lang w:val="en-US"/>
              </w:rPr>
              <w:t xml:space="preserve">individual </w:t>
            </w:r>
            <w:r w:rsidRPr="00C5233A">
              <w:rPr>
                <w:lang w:val="en-US"/>
              </w:rPr>
              <w:t>components</w:t>
            </w:r>
          </w:p>
          <w:p w14:paraId="45B1587F" w14:textId="41449150" w:rsidR="006A02BD" w:rsidRPr="00CE28E3" w:rsidRDefault="0024608D" w:rsidP="00263BE7">
            <w:pPr>
              <w:pStyle w:val="TableText"/>
              <w:spacing w:before="0" w:after="0"/>
              <w:rPr>
                <w:lang w:val="en-US"/>
              </w:rPr>
            </w:pPr>
            <w:r>
              <w:rPr>
                <w:lang w:val="en-US"/>
              </w:rPr>
              <w:t>M</w:t>
            </w:r>
            <w:r w:rsidR="00C5233A" w:rsidRPr="00C5233A">
              <w:rPr>
                <w:lang w:val="en-US"/>
              </w:rPr>
              <w:t>ortality, ESRD, MI, stroke (as chronic safety outcomes)</w:t>
            </w:r>
          </w:p>
        </w:tc>
        <w:tc>
          <w:tcPr>
            <w:tcW w:w="610" w:type="pct"/>
            <w:tcBorders>
              <w:bottom w:val="dotted" w:sz="4" w:space="0" w:color="auto"/>
            </w:tcBorders>
            <w:shd w:val="clear" w:color="auto" w:fill="auto"/>
          </w:tcPr>
          <w:p w14:paraId="3F9CD3D5" w14:textId="08AB83CB" w:rsidR="00684B72" w:rsidRPr="00CE28E3" w:rsidRDefault="00DD71A7" w:rsidP="00263BE7">
            <w:pPr>
              <w:pStyle w:val="TableText"/>
              <w:spacing w:before="0" w:after="0"/>
              <w:rPr>
                <w:lang w:val="en-US"/>
              </w:rPr>
            </w:pPr>
            <w:r>
              <w:rPr>
                <w:lang w:val="en-US"/>
              </w:rPr>
              <w:t xml:space="preserve">ADAR </w:t>
            </w:r>
            <w:r w:rsidR="00684B72">
              <w:rPr>
                <w:lang w:val="en-US"/>
              </w:rPr>
              <w:t>SA</w:t>
            </w:r>
            <w:r>
              <w:rPr>
                <w:lang w:val="en-US"/>
              </w:rPr>
              <w:t xml:space="preserve"> (</w:t>
            </w:r>
            <w:r w:rsidR="00684B72">
              <w:rPr>
                <w:lang w:val="en-US"/>
              </w:rPr>
              <w:t xml:space="preserve">as part of MA of </w:t>
            </w:r>
            <w:r w:rsidR="00EB2E41">
              <w:rPr>
                <w:lang w:val="en-US"/>
              </w:rPr>
              <w:t>all trials including open)</w:t>
            </w:r>
          </w:p>
        </w:tc>
      </w:tr>
      <w:tr w:rsidR="00791872" w:rsidRPr="00CE28E3" w14:paraId="134C7C67" w14:textId="77777777" w:rsidTr="009C21A1">
        <w:trPr>
          <w:cantSplit/>
        </w:trPr>
        <w:tc>
          <w:tcPr>
            <w:tcW w:w="648" w:type="pct"/>
            <w:tcBorders>
              <w:top w:val="dotted" w:sz="4" w:space="0" w:color="auto"/>
            </w:tcBorders>
            <w:shd w:val="clear" w:color="auto" w:fill="auto"/>
          </w:tcPr>
          <w:p w14:paraId="3DFA174E" w14:textId="0C1A4B75" w:rsidR="001D6CE3" w:rsidRPr="001D6CE3" w:rsidRDefault="00791872" w:rsidP="00263BE7">
            <w:pPr>
              <w:pStyle w:val="TableText"/>
              <w:spacing w:before="0" w:after="0"/>
            </w:pPr>
            <w:bookmarkStart w:id="16" w:name="_Hlk68276176"/>
            <w:bookmarkEnd w:id="15"/>
            <w:r>
              <w:t>SPYRAL HTN-ON MED</w:t>
            </w:r>
            <w:r w:rsidR="00802BB3">
              <w:t xml:space="preserve"> </w:t>
            </w:r>
            <w:r>
              <w:t>subgroup</w:t>
            </w:r>
            <w:r w:rsidR="0071236A">
              <w:rPr>
                <w:vertAlign w:val="superscript"/>
              </w:rPr>
              <w:t>b</w:t>
            </w:r>
          </w:p>
        </w:tc>
        <w:tc>
          <w:tcPr>
            <w:tcW w:w="499" w:type="pct"/>
            <w:tcBorders>
              <w:top w:val="dotted" w:sz="4" w:space="0" w:color="auto"/>
            </w:tcBorders>
            <w:shd w:val="clear" w:color="auto" w:fill="auto"/>
          </w:tcPr>
          <w:p w14:paraId="3E5CE45A" w14:textId="173C3E60" w:rsidR="00791872" w:rsidRPr="000B55D3" w:rsidRDefault="00791872" w:rsidP="00263BE7">
            <w:pPr>
              <w:pStyle w:val="TableText"/>
              <w:spacing w:before="0" w:after="0"/>
              <w:rPr>
                <w:lang w:val="en-US"/>
              </w:rPr>
            </w:pPr>
            <w:r>
              <w:rPr>
                <w:lang w:val="en-US"/>
              </w:rPr>
              <w:t>80</w:t>
            </w:r>
            <w:r>
              <w:rPr>
                <w:lang w:val="en-US"/>
              </w:rPr>
              <w:br/>
              <w:t xml:space="preserve">(47 RDN + 33 </w:t>
            </w:r>
            <w:r w:rsidR="005B69AA">
              <w:rPr>
                <w:lang w:val="en-US"/>
              </w:rPr>
              <w:t xml:space="preserve">sham </w:t>
            </w:r>
            <w:r>
              <w:rPr>
                <w:lang w:val="en-US"/>
              </w:rPr>
              <w:t>control)</w:t>
            </w:r>
          </w:p>
        </w:tc>
        <w:tc>
          <w:tcPr>
            <w:tcW w:w="598" w:type="pct"/>
            <w:tcBorders>
              <w:top w:val="dotted" w:sz="4" w:space="0" w:color="auto"/>
            </w:tcBorders>
            <w:shd w:val="clear" w:color="auto" w:fill="auto"/>
          </w:tcPr>
          <w:p w14:paraId="0CB12272" w14:textId="77777777" w:rsidR="00791872" w:rsidRDefault="00791872" w:rsidP="00263BE7">
            <w:pPr>
              <w:pStyle w:val="TableText"/>
              <w:spacing w:before="0" w:after="0"/>
              <w:rPr>
                <w:lang w:val="pt-BR"/>
              </w:rPr>
            </w:pPr>
            <w:r>
              <w:rPr>
                <w:lang w:val="pt-BR"/>
              </w:rPr>
              <w:t>Post hoc subgroup</w:t>
            </w:r>
          </w:p>
          <w:p w14:paraId="0283296A" w14:textId="77777777" w:rsidR="00791872" w:rsidRPr="00F45046" w:rsidRDefault="00791872" w:rsidP="00263BE7">
            <w:pPr>
              <w:pStyle w:val="TableText"/>
              <w:spacing w:before="0" w:after="0"/>
              <w:rPr>
                <w:lang w:val="pt-BR"/>
              </w:rPr>
            </w:pPr>
            <w:r w:rsidRPr="00BF3024">
              <w:rPr>
                <w:lang w:val="en-US"/>
              </w:rPr>
              <w:t>6 mo</w:t>
            </w:r>
          </w:p>
        </w:tc>
        <w:tc>
          <w:tcPr>
            <w:tcW w:w="648" w:type="pct"/>
            <w:tcBorders>
              <w:top w:val="dotted" w:sz="4" w:space="0" w:color="auto"/>
            </w:tcBorders>
            <w:shd w:val="clear" w:color="auto" w:fill="auto"/>
          </w:tcPr>
          <w:p w14:paraId="7CD86B3F" w14:textId="51F8C627" w:rsidR="00791872" w:rsidRDefault="00791872" w:rsidP="00263BE7">
            <w:pPr>
              <w:pStyle w:val="TableText"/>
              <w:spacing w:before="0" w:after="0"/>
              <w:rPr>
                <w:iCs/>
                <w:lang w:val="en-US"/>
              </w:rPr>
            </w:pPr>
            <w:r>
              <w:rPr>
                <w:iCs/>
                <w:lang w:val="en-US"/>
              </w:rPr>
              <w:t xml:space="preserve">ADAR: </w:t>
            </w:r>
            <w:r w:rsidR="00E41125">
              <w:rPr>
                <w:iCs/>
                <w:lang w:val="en-US"/>
              </w:rPr>
              <w:t>not assessed</w:t>
            </w:r>
          </w:p>
          <w:p w14:paraId="15974262" w14:textId="4831CDBC" w:rsidR="00791872" w:rsidRDefault="00791872" w:rsidP="00263BE7">
            <w:pPr>
              <w:pStyle w:val="TableText"/>
              <w:spacing w:before="0" w:after="0"/>
              <w:rPr>
                <w:iCs/>
                <w:lang w:val="en-US"/>
              </w:rPr>
            </w:pPr>
            <w:r>
              <w:rPr>
                <w:iCs/>
                <w:lang w:val="en-US"/>
              </w:rPr>
              <w:t xml:space="preserve">Commentary: </w:t>
            </w:r>
            <w:r w:rsidR="00AD7381">
              <w:rPr>
                <w:iCs/>
                <w:lang w:val="en-US"/>
              </w:rPr>
              <w:t>High</w:t>
            </w:r>
          </w:p>
        </w:tc>
        <w:tc>
          <w:tcPr>
            <w:tcW w:w="948" w:type="pct"/>
            <w:tcBorders>
              <w:top w:val="dotted" w:sz="4" w:space="0" w:color="auto"/>
            </w:tcBorders>
            <w:shd w:val="clear" w:color="auto" w:fill="auto"/>
          </w:tcPr>
          <w:p w14:paraId="66DA62C5" w14:textId="1E8A82C5" w:rsidR="00791872" w:rsidRPr="00C24D01" w:rsidRDefault="00791872" w:rsidP="00263BE7">
            <w:pPr>
              <w:pStyle w:val="TableText"/>
              <w:spacing w:before="0" w:after="0"/>
              <w:rPr>
                <w:lang w:val="en-US"/>
              </w:rPr>
            </w:pPr>
            <w:r>
              <w:rPr>
                <w:lang w:val="en-US"/>
              </w:rPr>
              <w:t>Adults with u</w:t>
            </w:r>
            <w:r w:rsidRPr="00C24D01">
              <w:rPr>
                <w:lang w:val="en-US"/>
              </w:rPr>
              <w:t>ncontrolled HTN</w:t>
            </w:r>
            <w:r>
              <w:rPr>
                <w:lang w:val="en-US"/>
              </w:rPr>
              <w:t xml:space="preserve"> despite </w:t>
            </w:r>
            <w:r w:rsidRPr="00C44E8D">
              <w:rPr>
                <w:lang w:val="en-US"/>
              </w:rPr>
              <w:t>≥</w:t>
            </w:r>
            <w:r w:rsidRPr="00C24D01">
              <w:rPr>
                <w:lang w:val="en-US"/>
              </w:rPr>
              <w:t>3 anti-HT med</w:t>
            </w:r>
            <w:r w:rsidR="005601E5">
              <w:rPr>
                <w:lang w:val="en-US"/>
              </w:rPr>
              <w:t xml:space="preserve"> classe</w:t>
            </w:r>
            <w:r w:rsidRPr="00C24D01">
              <w:rPr>
                <w:lang w:val="en-US"/>
              </w:rPr>
              <w:t>s</w:t>
            </w:r>
            <w:r>
              <w:rPr>
                <w:lang w:val="en-US"/>
              </w:rPr>
              <w:t xml:space="preserve">, including a diuretic, </w:t>
            </w:r>
            <w:r w:rsidRPr="00C24D01">
              <w:rPr>
                <w:lang w:val="en-US"/>
              </w:rPr>
              <w:t xml:space="preserve">at ≥50% </w:t>
            </w:r>
            <w:r>
              <w:rPr>
                <w:lang w:val="en-US"/>
              </w:rPr>
              <w:t xml:space="preserve">recommended </w:t>
            </w:r>
            <w:r w:rsidRPr="00C24D01">
              <w:rPr>
                <w:lang w:val="en-US"/>
              </w:rPr>
              <w:t>dosage</w:t>
            </w:r>
            <w:r w:rsidR="0071236A" w:rsidRPr="00210431">
              <w:rPr>
                <w:vertAlign w:val="superscript"/>
                <w:lang w:val="en-US"/>
              </w:rPr>
              <w:t>a</w:t>
            </w:r>
          </w:p>
        </w:tc>
        <w:tc>
          <w:tcPr>
            <w:tcW w:w="1049" w:type="pct"/>
            <w:tcBorders>
              <w:top w:val="dotted" w:sz="4" w:space="0" w:color="auto"/>
            </w:tcBorders>
            <w:shd w:val="clear" w:color="auto" w:fill="auto"/>
          </w:tcPr>
          <w:p w14:paraId="630C101B" w14:textId="2DAF592F" w:rsidR="00791872" w:rsidRDefault="0085300E" w:rsidP="00263BE7">
            <w:pPr>
              <w:pStyle w:val="TableText"/>
              <w:spacing w:before="0" w:after="0"/>
              <w:rPr>
                <w:lang w:val="en-US"/>
              </w:rPr>
            </w:pPr>
            <w:r>
              <w:rPr>
                <w:lang w:val="en-US"/>
              </w:rPr>
              <w:t xml:space="preserve">Change from baseline in </w:t>
            </w:r>
            <w:r w:rsidR="00791872">
              <w:rPr>
                <w:lang w:val="en-US"/>
              </w:rPr>
              <w:t>24-h ASBP, OSBP</w:t>
            </w:r>
          </w:p>
        </w:tc>
        <w:tc>
          <w:tcPr>
            <w:tcW w:w="610" w:type="pct"/>
            <w:tcBorders>
              <w:top w:val="dotted" w:sz="4" w:space="0" w:color="auto"/>
            </w:tcBorders>
            <w:shd w:val="clear" w:color="auto" w:fill="auto"/>
          </w:tcPr>
          <w:p w14:paraId="60D2D544" w14:textId="559E35E0" w:rsidR="00791872" w:rsidRDefault="00791872" w:rsidP="00263BE7">
            <w:pPr>
              <w:pStyle w:val="TableText"/>
              <w:spacing w:before="0" w:after="0"/>
              <w:rPr>
                <w:lang w:val="en-US"/>
              </w:rPr>
            </w:pPr>
            <w:r>
              <w:rPr>
                <w:lang w:val="en-US"/>
              </w:rPr>
              <w:t>ADAR b</w:t>
            </w:r>
            <w:r w:rsidRPr="00E43A1B">
              <w:rPr>
                <w:lang w:val="en-US"/>
              </w:rPr>
              <w:t>ase case</w:t>
            </w:r>
            <w:r>
              <w:rPr>
                <w:lang w:val="en-US"/>
              </w:rPr>
              <w:t xml:space="preserve"> </w:t>
            </w:r>
            <w:r w:rsidRPr="000874F7">
              <w:rPr>
                <w:lang w:val="en-US"/>
              </w:rPr>
              <w:t xml:space="preserve">and as part of MA for </w:t>
            </w:r>
            <w:r w:rsidR="00D73A67">
              <w:rPr>
                <w:lang w:val="en-US"/>
              </w:rPr>
              <w:t>c</w:t>
            </w:r>
            <w:r w:rsidRPr="000874F7">
              <w:rPr>
                <w:lang w:val="en-US"/>
              </w:rPr>
              <w:t xml:space="preserve">ommentary </w:t>
            </w:r>
            <w:r w:rsidR="0088029D">
              <w:rPr>
                <w:lang w:val="en-US"/>
              </w:rPr>
              <w:t>revised</w:t>
            </w:r>
            <w:r w:rsidR="0088029D" w:rsidRPr="000874F7">
              <w:rPr>
                <w:lang w:val="en-US"/>
              </w:rPr>
              <w:t xml:space="preserve"> </w:t>
            </w:r>
            <w:r w:rsidRPr="000874F7">
              <w:rPr>
                <w:lang w:val="en-US"/>
              </w:rPr>
              <w:t>base case</w:t>
            </w:r>
          </w:p>
        </w:tc>
      </w:tr>
    </w:tbl>
    <w:p w14:paraId="77F184CE" w14:textId="2BD60C92" w:rsidR="00956ACE" w:rsidRPr="00263BE7" w:rsidRDefault="009361F6" w:rsidP="00263BE7">
      <w:pPr>
        <w:pStyle w:val="TableFigureFooter"/>
        <w:spacing w:before="0" w:after="0"/>
        <w:rPr>
          <w:sz w:val="16"/>
          <w:szCs w:val="16"/>
        </w:rPr>
      </w:pPr>
      <w:r w:rsidRPr="00263BE7">
        <w:rPr>
          <w:sz w:val="16"/>
          <w:szCs w:val="16"/>
        </w:rPr>
        <w:t xml:space="preserve">ADAR = Applicant Developed Assessment Report; </w:t>
      </w:r>
      <w:r w:rsidR="00066E8F" w:rsidRPr="00263BE7">
        <w:rPr>
          <w:sz w:val="16"/>
          <w:szCs w:val="16"/>
        </w:rPr>
        <w:t>ADBP = ambulatory di</w:t>
      </w:r>
      <w:r w:rsidR="003C7049" w:rsidRPr="00263BE7">
        <w:rPr>
          <w:sz w:val="16"/>
          <w:szCs w:val="16"/>
        </w:rPr>
        <w:t>a</w:t>
      </w:r>
      <w:r w:rsidR="00066E8F" w:rsidRPr="00263BE7">
        <w:rPr>
          <w:sz w:val="16"/>
          <w:szCs w:val="16"/>
        </w:rPr>
        <w:t xml:space="preserve">stolic blood pressure; </w:t>
      </w:r>
      <w:r w:rsidR="00A658D4" w:rsidRPr="00263BE7">
        <w:rPr>
          <w:sz w:val="16"/>
          <w:szCs w:val="16"/>
        </w:rPr>
        <w:t xml:space="preserve">AE, adverse event; </w:t>
      </w:r>
      <w:r w:rsidR="00066E8F" w:rsidRPr="00263BE7">
        <w:rPr>
          <w:sz w:val="16"/>
          <w:szCs w:val="16"/>
        </w:rPr>
        <w:t xml:space="preserve">AF = atrial fibrillation; </w:t>
      </w:r>
      <w:r w:rsidR="008E1655" w:rsidRPr="00263BE7">
        <w:rPr>
          <w:sz w:val="16"/>
          <w:szCs w:val="16"/>
        </w:rPr>
        <w:t>anti-HT</w:t>
      </w:r>
      <w:r w:rsidR="00E12872" w:rsidRPr="00263BE7">
        <w:rPr>
          <w:sz w:val="16"/>
          <w:szCs w:val="16"/>
        </w:rPr>
        <w:t xml:space="preserve"> = antihypertensive; </w:t>
      </w:r>
      <w:r w:rsidR="00066E8F" w:rsidRPr="00263BE7">
        <w:rPr>
          <w:sz w:val="16"/>
          <w:szCs w:val="16"/>
        </w:rPr>
        <w:t xml:space="preserve">ASBP = ambulatory systolic blood pressure; CV = cardiovascular; DB = double blind; ESRD = end stage renal disease; </w:t>
      </w:r>
      <w:r w:rsidR="00B62485" w:rsidRPr="00263BE7">
        <w:rPr>
          <w:sz w:val="16"/>
          <w:szCs w:val="16"/>
        </w:rPr>
        <w:t xml:space="preserve">F/U = follow up; </w:t>
      </w:r>
      <w:r w:rsidR="00066E8F" w:rsidRPr="00263BE7">
        <w:rPr>
          <w:sz w:val="16"/>
          <w:szCs w:val="16"/>
        </w:rPr>
        <w:t xml:space="preserve">HF = heart failure; </w:t>
      </w:r>
      <w:r w:rsidR="00784668" w:rsidRPr="00263BE7">
        <w:rPr>
          <w:sz w:val="16"/>
          <w:szCs w:val="16"/>
        </w:rPr>
        <w:t xml:space="preserve">HRQoL = health-related quality of life; </w:t>
      </w:r>
      <w:r w:rsidR="00BB3707" w:rsidRPr="00263BE7">
        <w:rPr>
          <w:sz w:val="16"/>
          <w:szCs w:val="16"/>
        </w:rPr>
        <w:t xml:space="preserve">HTN = hypertension; </w:t>
      </w:r>
      <w:r w:rsidR="00066E8F" w:rsidRPr="00263BE7">
        <w:rPr>
          <w:sz w:val="16"/>
          <w:szCs w:val="16"/>
        </w:rPr>
        <w:t xml:space="preserve">MA = meta-analysis; MAE = major adverse events; MC = multicentre; </w:t>
      </w:r>
      <w:r w:rsidR="00762929" w:rsidRPr="00263BE7">
        <w:rPr>
          <w:sz w:val="16"/>
          <w:szCs w:val="16"/>
        </w:rPr>
        <w:t xml:space="preserve">med(s) = medication(s); </w:t>
      </w:r>
      <w:r w:rsidR="00066E8F" w:rsidRPr="00263BE7">
        <w:rPr>
          <w:sz w:val="16"/>
          <w:szCs w:val="16"/>
        </w:rPr>
        <w:t>MI = myocardial infarction; mmH</w:t>
      </w:r>
      <w:r w:rsidR="00432E09" w:rsidRPr="00263BE7">
        <w:rPr>
          <w:sz w:val="16"/>
          <w:szCs w:val="16"/>
        </w:rPr>
        <w:t>g</w:t>
      </w:r>
      <w:r w:rsidR="00066E8F" w:rsidRPr="00263BE7">
        <w:rPr>
          <w:sz w:val="16"/>
          <w:szCs w:val="16"/>
        </w:rPr>
        <w:t xml:space="preserve"> = millimetres of mercury; MN = multi-national; mo = month(s); </w:t>
      </w:r>
      <w:r w:rsidR="00C051C0" w:rsidRPr="00263BE7">
        <w:rPr>
          <w:sz w:val="16"/>
          <w:szCs w:val="16"/>
        </w:rPr>
        <w:t xml:space="preserve">MTD = </w:t>
      </w:r>
      <w:r w:rsidR="00C051C0" w:rsidRPr="00263BE7">
        <w:rPr>
          <w:sz w:val="16"/>
          <w:szCs w:val="16"/>
          <w:lang w:val="en-US"/>
        </w:rPr>
        <w:t>maximum tolerated dose</w:t>
      </w:r>
      <w:r w:rsidR="00C051C0" w:rsidRPr="00263BE7">
        <w:rPr>
          <w:sz w:val="16"/>
          <w:szCs w:val="16"/>
        </w:rPr>
        <w:t xml:space="preserve">; </w:t>
      </w:r>
      <w:r w:rsidR="00066E8F" w:rsidRPr="00263BE7">
        <w:rPr>
          <w:sz w:val="16"/>
          <w:szCs w:val="16"/>
        </w:rPr>
        <w:t xml:space="preserve">ODBP = office diastolic blood pressure; OSBP = office systolic blood pressure; R = randomised; </w:t>
      </w:r>
      <w:r w:rsidRPr="00263BE7">
        <w:rPr>
          <w:sz w:val="16"/>
          <w:szCs w:val="16"/>
        </w:rPr>
        <w:t xml:space="preserve">RDN = renal denervation; </w:t>
      </w:r>
      <w:r w:rsidR="00066E8F" w:rsidRPr="00263BE7">
        <w:rPr>
          <w:sz w:val="16"/>
          <w:szCs w:val="16"/>
        </w:rPr>
        <w:t xml:space="preserve">SA = sensitivity analysis; SB = single blind; SC = single centre; </w:t>
      </w:r>
      <w:r w:rsidR="007D0CC1" w:rsidRPr="00263BE7">
        <w:rPr>
          <w:sz w:val="16"/>
          <w:szCs w:val="16"/>
        </w:rPr>
        <w:t>TRHTN = treatment-resistant hypertension</w:t>
      </w:r>
      <w:r w:rsidR="001D4978" w:rsidRPr="00263BE7">
        <w:rPr>
          <w:sz w:val="16"/>
          <w:szCs w:val="16"/>
        </w:rPr>
        <w:t>; y = year(s)</w:t>
      </w:r>
      <w:r w:rsidR="00066E8F" w:rsidRPr="00263BE7">
        <w:rPr>
          <w:sz w:val="16"/>
          <w:szCs w:val="16"/>
        </w:rPr>
        <w:t>.</w:t>
      </w:r>
    </w:p>
    <w:p w14:paraId="31A31DA0" w14:textId="66E51F69" w:rsidR="0071236A" w:rsidRDefault="002C027B" w:rsidP="00263BE7">
      <w:pPr>
        <w:pStyle w:val="TableFigureFooter"/>
        <w:spacing w:before="40" w:after="0"/>
        <w:rPr>
          <w:szCs w:val="18"/>
        </w:rPr>
      </w:pPr>
      <w:r w:rsidRPr="00702CF8">
        <w:rPr>
          <w:szCs w:val="18"/>
        </w:rPr>
        <w:t>a</w:t>
      </w:r>
      <w:r w:rsidRPr="00B85808">
        <w:rPr>
          <w:szCs w:val="18"/>
        </w:rPr>
        <w:t xml:space="preserve"> </w:t>
      </w:r>
      <w:r w:rsidR="00312073" w:rsidRPr="00B85808">
        <w:rPr>
          <w:szCs w:val="18"/>
        </w:rPr>
        <w:t xml:space="preserve">&lt;50% for thiazide-type diuretics in </w:t>
      </w:r>
      <w:r w:rsidR="00EA7FF8" w:rsidRPr="00B85808">
        <w:rPr>
          <w:szCs w:val="18"/>
        </w:rPr>
        <w:t xml:space="preserve">study sites in </w:t>
      </w:r>
      <w:r w:rsidR="00312073" w:rsidRPr="00B85808">
        <w:rPr>
          <w:szCs w:val="18"/>
        </w:rPr>
        <w:t>Japan</w:t>
      </w:r>
      <w:r w:rsidR="00EA7FF8" w:rsidRPr="00B85808">
        <w:rPr>
          <w:szCs w:val="18"/>
        </w:rPr>
        <w:t>,</w:t>
      </w:r>
      <w:r w:rsidR="00312073" w:rsidRPr="00B85808">
        <w:rPr>
          <w:szCs w:val="18"/>
        </w:rPr>
        <w:t xml:space="preserve"> per standard of care</w:t>
      </w:r>
    </w:p>
    <w:p w14:paraId="14BFA10C" w14:textId="3185ACBD" w:rsidR="002C027B" w:rsidRPr="003925A2" w:rsidRDefault="0071236A" w:rsidP="00263BE7">
      <w:pPr>
        <w:pStyle w:val="TableFigureFooter"/>
        <w:spacing w:before="40" w:after="0"/>
        <w:rPr>
          <w:szCs w:val="18"/>
        </w:rPr>
      </w:pPr>
      <w:r w:rsidRPr="00702CF8">
        <w:rPr>
          <w:szCs w:val="18"/>
        </w:rPr>
        <w:t>b</w:t>
      </w:r>
      <w:r>
        <w:rPr>
          <w:szCs w:val="18"/>
        </w:rPr>
        <w:t xml:space="preserve"> </w:t>
      </w:r>
      <w:r w:rsidR="00BD1723" w:rsidRPr="003925A2">
        <w:rPr>
          <w:szCs w:val="18"/>
        </w:rPr>
        <w:t>Post hoc s</w:t>
      </w:r>
      <w:r w:rsidR="005E0682" w:rsidRPr="003925A2">
        <w:rPr>
          <w:szCs w:val="18"/>
        </w:rPr>
        <w:t xml:space="preserve">ubgroup analysis of </w:t>
      </w:r>
      <w:r w:rsidR="00423503" w:rsidRPr="003925A2">
        <w:rPr>
          <w:szCs w:val="18"/>
        </w:rPr>
        <w:t>SPYRAL HTN-ON MED</w:t>
      </w:r>
      <w:r w:rsidR="005E0682" w:rsidRPr="003925A2">
        <w:rPr>
          <w:szCs w:val="18"/>
        </w:rPr>
        <w:t xml:space="preserve"> with ≥3 antihypertensive medication</w:t>
      </w:r>
      <w:r w:rsidR="00224B7B" w:rsidRPr="003925A2">
        <w:rPr>
          <w:szCs w:val="18"/>
        </w:rPr>
        <w:t xml:space="preserve"> classes, including a diuretic</w:t>
      </w:r>
      <w:r w:rsidR="00D9376F" w:rsidRPr="003925A2">
        <w:rPr>
          <w:szCs w:val="18"/>
        </w:rPr>
        <w:t xml:space="preserve">. </w:t>
      </w:r>
      <w:r w:rsidR="0085300E" w:rsidRPr="003925A2">
        <w:rPr>
          <w:szCs w:val="18"/>
        </w:rPr>
        <w:t>T</w:t>
      </w:r>
      <w:r w:rsidR="00D9376F" w:rsidRPr="003925A2">
        <w:rPr>
          <w:szCs w:val="18"/>
        </w:rPr>
        <w:t>he ADAR base case economic analysis</w:t>
      </w:r>
      <w:r w:rsidR="0085300E" w:rsidRPr="003925A2">
        <w:rPr>
          <w:szCs w:val="18"/>
        </w:rPr>
        <w:t xml:space="preserve"> used data from this subgroup alone</w:t>
      </w:r>
      <w:r w:rsidR="001C2DAE" w:rsidRPr="003925A2">
        <w:rPr>
          <w:szCs w:val="18"/>
        </w:rPr>
        <w:t>.</w:t>
      </w:r>
      <w:r w:rsidR="007A246B" w:rsidRPr="003925A2">
        <w:rPr>
          <w:szCs w:val="18"/>
        </w:rPr>
        <w:t xml:space="preserve"> T</w:t>
      </w:r>
      <w:r w:rsidR="001C2DAE" w:rsidRPr="003925A2">
        <w:rPr>
          <w:szCs w:val="18"/>
        </w:rPr>
        <w:t xml:space="preserve">he commentary </w:t>
      </w:r>
      <w:r w:rsidR="0088029D">
        <w:rPr>
          <w:szCs w:val="18"/>
        </w:rPr>
        <w:t>revised</w:t>
      </w:r>
      <w:r w:rsidR="0088029D" w:rsidRPr="003925A2">
        <w:rPr>
          <w:szCs w:val="18"/>
        </w:rPr>
        <w:t xml:space="preserve"> </w:t>
      </w:r>
      <w:r w:rsidR="00D9376F" w:rsidRPr="003925A2">
        <w:rPr>
          <w:szCs w:val="18"/>
        </w:rPr>
        <w:t>base case</w:t>
      </w:r>
      <w:r w:rsidR="007A246B" w:rsidRPr="003925A2">
        <w:rPr>
          <w:szCs w:val="18"/>
        </w:rPr>
        <w:t xml:space="preserve"> used </w:t>
      </w:r>
      <w:r w:rsidR="0030707D" w:rsidRPr="003925A2">
        <w:rPr>
          <w:szCs w:val="18"/>
        </w:rPr>
        <w:t xml:space="preserve">data from a meta-analysis of SYMPLICITY HTN-3 (all patients) and </w:t>
      </w:r>
      <w:r w:rsidR="00020B02" w:rsidRPr="003925A2">
        <w:rPr>
          <w:szCs w:val="18"/>
        </w:rPr>
        <w:t>the</w:t>
      </w:r>
      <w:r w:rsidR="0030707D" w:rsidRPr="003925A2">
        <w:rPr>
          <w:szCs w:val="18"/>
        </w:rPr>
        <w:t xml:space="preserve"> SPYRAL HTN-ON MED</w:t>
      </w:r>
      <w:r w:rsidR="00020B02" w:rsidRPr="003925A2">
        <w:rPr>
          <w:szCs w:val="18"/>
        </w:rPr>
        <w:t xml:space="preserve"> subgroup</w:t>
      </w:r>
      <w:r w:rsidR="00030B55" w:rsidRPr="003925A2">
        <w:rPr>
          <w:szCs w:val="18"/>
        </w:rPr>
        <w:t>.</w:t>
      </w:r>
    </w:p>
    <w:p w14:paraId="000ABFC6" w14:textId="14433E71" w:rsidR="003D2641" w:rsidRPr="003925A2" w:rsidRDefault="003D2641" w:rsidP="00263BE7">
      <w:pPr>
        <w:pStyle w:val="TableFigureFooter"/>
        <w:spacing w:before="40" w:after="0"/>
        <w:rPr>
          <w:szCs w:val="18"/>
        </w:rPr>
      </w:pPr>
      <w:r w:rsidRPr="003925A2">
        <w:rPr>
          <w:szCs w:val="18"/>
        </w:rPr>
        <w:t xml:space="preserve">Note: Primary powered endpoints are shown in bold text. </w:t>
      </w:r>
    </w:p>
    <w:p w14:paraId="47D258B6" w14:textId="2E135198" w:rsidR="006D153A" w:rsidRDefault="006D153A" w:rsidP="00263BE7">
      <w:pPr>
        <w:pStyle w:val="Tablenotes0"/>
        <w:spacing w:before="40" w:after="360" w:line="240" w:lineRule="auto"/>
        <w:rPr>
          <w:szCs w:val="18"/>
        </w:rPr>
      </w:pPr>
      <w:r w:rsidRPr="003925A2">
        <w:rPr>
          <w:szCs w:val="18"/>
        </w:rPr>
        <w:t xml:space="preserve">Source: </w:t>
      </w:r>
      <w:r w:rsidR="00FF62AD">
        <w:rPr>
          <w:szCs w:val="18"/>
        </w:rPr>
        <w:t xml:space="preserve">Compiled for the commentary </w:t>
      </w:r>
      <w:r w:rsidRPr="003925A2">
        <w:rPr>
          <w:szCs w:val="18"/>
        </w:rPr>
        <w:t>from Table</w:t>
      </w:r>
      <w:r w:rsidR="00A81CB3">
        <w:rPr>
          <w:szCs w:val="18"/>
        </w:rPr>
        <w:t>s</w:t>
      </w:r>
      <w:r w:rsidRPr="003925A2">
        <w:rPr>
          <w:szCs w:val="18"/>
        </w:rPr>
        <w:t xml:space="preserve"> 19</w:t>
      </w:r>
      <w:r w:rsidR="00975291">
        <w:rPr>
          <w:szCs w:val="18"/>
        </w:rPr>
        <w:t xml:space="preserve">, </w:t>
      </w:r>
      <w:r w:rsidR="0059517E">
        <w:rPr>
          <w:szCs w:val="18"/>
        </w:rPr>
        <w:t xml:space="preserve">73, </w:t>
      </w:r>
      <w:r w:rsidRPr="003925A2">
        <w:rPr>
          <w:szCs w:val="18"/>
        </w:rPr>
        <w:t>147</w:t>
      </w:r>
      <w:r w:rsidR="00603295">
        <w:rPr>
          <w:szCs w:val="18"/>
        </w:rPr>
        <w:t xml:space="preserve">, </w:t>
      </w:r>
      <w:r w:rsidR="00E162C5">
        <w:rPr>
          <w:szCs w:val="18"/>
        </w:rPr>
        <w:t xml:space="preserve">148, </w:t>
      </w:r>
      <w:r w:rsidR="00E1487D">
        <w:rPr>
          <w:szCs w:val="18"/>
        </w:rPr>
        <w:t>149,</w:t>
      </w:r>
      <w:r w:rsidR="00A81CB3">
        <w:rPr>
          <w:szCs w:val="18"/>
        </w:rPr>
        <w:t xml:space="preserve"> </w:t>
      </w:r>
      <w:r w:rsidR="00603295">
        <w:rPr>
          <w:szCs w:val="18"/>
        </w:rPr>
        <w:t>156</w:t>
      </w:r>
      <w:r w:rsidRPr="003925A2">
        <w:rPr>
          <w:szCs w:val="18"/>
        </w:rPr>
        <w:t xml:space="preserve"> </w:t>
      </w:r>
      <w:r w:rsidR="00975291">
        <w:rPr>
          <w:szCs w:val="18"/>
        </w:rPr>
        <w:t xml:space="preserve">and 157 </w:t>
      </w:r>
      <w:r w:rsidRPr="003925A2">
        <w:rPr>
          <w:szCs w:val="18"/>
        </w:rPr>
        <w:t>in MSAC 1659 ADAR+in-line commentary</w:t>
      </w:r>
      <w:r w:rsidR="00BF0A75">
        <w:rPr>
          <w:szCs w:val="18"/>
        </w:rPr>
        <w:t>.</w:t>
      </w:r>
    </w:p>
    <w:p w14:paraId="212613CB" w14:textId="674B2AB8" w:rsidR="001A2538" w:rsidRPr="00ED1E17" w:rsidRDefault="00007C4D" w:rsidP="001A2538">
      <w:r>
        <w:fldChar w:fldCharType="begin"/>
      </w:r>
      <w:r>
        <w:instrText xml:space="preserve"> REF _Ref143767120 \h  \* MERGEFORMAT </w:instrText>
      </w:r>
      <w:r>
        <w:fldChar w:fldCharType="separate"/>
      </w:r>
      <w:r w:rsidR="003D5203">
        <w:t>Table 4</w:t>
      </w:r>
      <w:r>
        <w:fldChar w:fldCharType="end"/>
      </w:r>
      <w:r>
        <w:t xml:space="preserve"> summarises the characteristics of the</w:t>
      </w:r>
      <w:r w:rsidR="00BB2961">
        <w:t xml:space="preserve"> </w:t>
      </w:r>
      <w:r w:rsidR="00026C6A">
        <w:t>additional evidence</w:t>
      </w:r>
      <w:r>
        <w:t xml:space="preserve"> </w:t>
      </w:r>
      <w:r w:rsidR="00A81CEC">
        <w:t xml:space="preserve">(randomised trials and observational studies) that </w:t>
      </w:r>
      <w:r w:rsidR="0005616F">
        <w:t>was</w:t>
      </w:r>
      <w:r w:rsidR="00A81CEC">
        <w:t xml:space="preserve"> included in the </w:t>
      </w:r>
      <w:r w:rsidR="00026C6A">
        <w:t>ADAR</w:t>
      </w:r>
      <w:r w:rsidR="00A81CEC">
        <w:t xml:space="preserve"> to support the safety and effectiveness of RDN</w:t>
      </w:r>
      <w:r>
        <w:t xml:space="preserve">. </w:t>
      </w:r>
      <w:r w:rsidR="00E85C6E">
        <w:t>T</w:t>
      </w:r>
      <w:r w:rsidR="001A2538">
        <w:t xml:space="preserve">he ADAR included </w:t>
      </w:r>
      <w:r w:rsidR="00E74A85">
        <w:t xml:space="preserve">real world </w:t>
      </w:r>
      <w:r w:rsidR="001A2538">
        <w:t xml:space="preserve">evidence from </w:t>
      </w:r>
      <w:r w:rsidR="00663396">
        <w:t xml:space="preserve">an ongoing, </w:t>
      </w:r>
      <w:r w:rsidR="001A2538">
        <w:t xml:space="preserve">open label, single-arm </w:t>
      </w:r>
      <w:r w:rsidR="008B0671">
        <w:t>registry (</w:t>
      </w:r>
      <w:r w:rsidR="001A2538">
        <w:t>G</w:t>
      </w:r>
      <w:r w:rsidR="00B0782E">
        <w:t xml:space="preserve">lobal </w:t>
      </w:r>
      <w:r w:rsidR="001A2538">
        <w:t>S</w:t>
      </w:r>
      <w:r w:rsidR="00B0782E">
        <w:t xml:space="preserve">YMPLICITY </w:t>
      </w:r>
      <w:r w:rsidR="001A2538">
        <w:t>R</w:t>
      </w:r>
      <w:r w:rsidR="00B0782E">
        <w:t>egistry</w:t>
      </w:r>
      <w:r w:rsidR="008B0671">
        <w:t>)</w:t>
      </w:r>
      <w:r w:rsidR="001A2538">
        <w:t xml:space="preserve">, </w:t>
      </w:r>
      <w:r w:rsidR="001A2538" w:rsidRPr="4042795E">
        <w:rPr>
          <w:rFonts w:eastAsia="Calibri" w:cs="Times New Roman"/>
        </w:rPr>
        <w:t xml:space="preserve">which is funded by Medtronic and enrols patients with uncontrolled HTN and/or conditions associated with sympathetic nervous system activation. </w:t>
      </w:r>
      <w:r w:rsidR="001A2538">
        <w:t xml:space="preserve">Subgroup analyses of the </w:t>
      </w:r>
      <w:r w:rsidR="00B0782E">
        <w:t xml:space="preserve">registry </w:t>
      </w:r>
      <w:r w:rsidR="001A2538">
        <w:t xml:space="preserve">were </w:t>
      </w:r>
      <w:r w:rsidR="000D7D17">
        <w:t>used</w:t>
      </w:r>
      <w:r w:rsidR="002726D2">
        <w:t xml:space="preserve"> </w:t>
      </w:r>
      <w:r w:rsidR="001A2538">
        <w:t xml:space="preserve">to compare the two SYMPLICITY catheters and prove non-inferiority of the second generation Spyral catheter. Subgroup analyses were also conducted to interrogate patients within the </w:t>
      </w:r>
      <w:r w:rsidR="00B0782E">
        <w:t xml:space="preserve">registry </w:t>
      </w:r>
      <w:r w:rsidR="001A2538">
        <w:t>from Australian sites.</w:t>
      </w:r>
    </w:p>
    <w:p w14:paraId="4BB4D184" w14:textId="147DF182" w:rsidR="001A2538" w:rsidRPr="00ED1E17" w:rsidRDefault="001A2538" w:rsidP="001A2538">
      <w:pPr>
        <w:rPr>
          <w:szCs w:val="18"/>
        </w:rPr>
      </w:pPr>
      <w:r w:rsidRPr="00ED1E17">
        <w:rPr>
          <w:rFonts w:eastAsia="Calibri" w:cs="Times New Roman"/>
        </w:rPr>
        <w:t xml:space="preserve">Additional supplementary evidence for the long-term safety and/or effectiveness of RDN beyond 3 years was provided by several other </w:t>
      </w:r>
      <w:r w:rsidR="00B51B4A">
        <w:rPr>
          <w:rFonts w:eastAsia="Calibri" w:cs="Times New Roman"/>
        </w:rPr>
        <w:t xml:space="preserve">published </w:t>
      </w:r>
      <w:r w:rsidRPr="00ED1E17">
        <w:rPr>
          <w:rFonts w:eastAsia="Calibri" w:cs="Times New Roman"/>
        </w:rPr>
        <w:t>single-arm studies (</w:t>
      </w:r>
      <w:r w:rsidR="0013556D">
        <w:rPr>
          <w:rFonts w:eastAsia="Calibri" w:cs="Times New Roman"/>
        </w:rPr>
        <w:t>Sesa-Ashton</w:t>
      </w:r>
      <w:r w:rsidR="00F52E86">
        <w:rPr>
          <w:rFonts w:eastAsia="Calibri" w:cs="Times New Roman"/>
        </w:rPr>
        <w:t xml:space="preserve"> 2023; </w:t>
      </w:r>
      <w:r w:rsidRPr="00ED1E17">
        <w:rPr>
          <w:rFonts w:eastAsia="Calibri" w:cs="Times New Roman"/>
        </w:rPr>
        <w:t>Al Ghorani 2023; Zeijen 2022). Published meta-analyses were included to support renal safety of RDN (Townsend 2020; Sanders 2017). No formal literature search was undertaken to identify these data sources; as such, the selection of studies may be at risk of bias.</w:t>
      </w:r>
    </w:p>
    <w:p w14:paraId="662242BF" w14:textId="720B39C3" w:rsidR="009F256F" w:rsidRDefault="009F256F" w:rsidP="009F256F">
      <w:pPr>
        <w:pStyle w:val="Caption"/>
      </w:pPr>
      <w:bookmarkStart w:id="17" w:name="_Ref143767120"/>
      <w:r w:rsidRPr="00ED1E17">
        <w:t>Table </w:t>
      </w:r>
      <w:r>
        <w:fldChar w:fldCharType="begin"/>
      </w:r>
      <w:r>
        <w:instrText>SEQ Table \* ARABIC</w:instrText>
      </w:r>
      <w:r>
        <w:fldChar w:fldCharType="separate"/>
      </w:r>
      <w:r w:rsidR="003D5203">
        <w:rPr>
          <w:noProof/>
        </w:rPr>
        <w:t>4</w:t>
      </w:r>
      <w:r>
        <w:fldChar w:fldCharType="end"/>
      </w:r>
      <w:bookmarkEnd w:id="17"/>
      <w:r w:rsidRPr="00ED1E17">
        <w:tab/>
        <w:t xml:space="preserve">Features of </w:t>
      </w:r>
      <w:r w:rsidR="00C86AB0" w:rsidRPr="00ED1E17">
        <w:t>additional</w:t>
      </w:r>
      <w:r w:rsidRPr="00ED1E17">
        <w:t xml:space="preserve"> </w:t>
      </w:r>
      <w:r w:rsidR="00E05D54" w:rsidRPr="00ED1E17">
        <w:t>primary studies</w:t>
      </w:r>
      <w:r w:rsidR="000521AC" w:rsidRPr="00ED1E17">
        <w:t xml:space="preserve"> provided for</w:t>
      </w:r>
      <w:r w:rsidRPr="00ED1E17">
        <w:t xml:space="preserve"> catheter</w:t>
      </w:r>
      <w:r w:rsidRPr="00D302D7">
        <w:t>-based</w:t>
      </w:r>
      <w:r>
        <w:t>, radiofrequency</w:t>
      </w:r>
      <w:r w:rsidRPr="00D302D7">
        <w:t xml:space="preserve"> renal denervation</w:t>
      </w:r>
      <w:r w:rsidR="00162744">
        <w:t xml:space="preserve"> (supplementary </w:t>
      </w:r>
      <w:r w:rsidR="005706D0">
        <w:t xml:space="preserve">or supportive </w:t>
      </w:r>
      <w:r w:rsidR="00162744">
        <w:t>status as determined in the commentary)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Features of additional primary studies provided for RF RDN"/>
        <w:tblDescription w:val="Summarises characteristics of SPYRAL HTN-OFF MED, open label trials and observational studies"/>
      </w:tblPr>
      <w:tblGrid>
        <w:gridCol w:w="1433"/>
        <w:gridCol w:w="994"/>
        <w:gridCol w:w="900"/>
        <w:gridCol w:w="1170"/>
        <w:gridCol w:w="2018"/>
        <w:gridCol w:w="1277"/>
        <w:gridCol w:w="1224"/>
      </w:tblGrid>
      <w:tr w:rsidR="00950F05" w:rsidRPr="00CE28E3" w14:paraId="0E075D16" w14:textId="77777777" w:rsidTr="002734F7">
        <w:trPr>
          <w:cantSplit/>
          <w:tblHeader/>
        </w:trPr>
        <w:tc>
          <w:tcPr>
            <w:tcW w:w="795" w:type="pct"/>
            <w:tcBorders>
              <w:bottom w:val="single" w:sz="4" w:space="0" w:color="auto"/>
            </w:tcBorders>
            <w:shd w:val="clear" w:color="auto" w:fill="auto"/>
          </w:tcPr>
          <w:p w14:paraId="70A47EBE" w14:textId="77777777" w:rsidR="009F256F" w:rsidRDefault="009F256F">
            <w:pPr>
              <w:pStyle w:val="TableHeading0"/>
            </w:pPr>
            <w:r>
              <w:t>Trial ID</w:t>
            </w:r>
          </w:p>
          <w:p w14:paraId="719F24EC" w14:textId="77777777" w:rsidR="009F256F" w:rsidRPr="00CE28E3" w:rsidRDefault="009F256F">
            <w:pPr>
              <w:pStyle w:val="TableHeading0"/>
            </w:pPr>
            <w:r>
              <w:t>Funding</w:t>
            </w:r>
          </w:p>
        </w:tc>
        <w:tc>
          <w:tcPr>
            <w:tcW w:w="551" w:type="pct"/>
            <w:tcBorders>
              <w:bottom w:val="single" w:sz="4" w:space="0" w:color="auto"/>
            </w:tcBorders>
            <w:shd w:val="clear" w:color="auto" w:fill="auto"/>
          </w:tcPr>
          <w:p w14:paraId="01587324" w14:textId="77777777" w:rsidR="009F256F" w:rsidRPr="00CE28E3" w:rsidRDefault="009F256F">
            <w:pPr>
              <w:pStyle w:val="TableHeading0"/>
            </w:pPr>
            <w:r w:rsidRPr="00CE28E3">
              <w:t>N</w:t>
            </w:r>
          </w:p>
        </w:tc>
        <w:tc>
          <w:tcPr>
            <w:tcW w:w="499" w:type="pct"/>
            <w:tcBorders>
              <w:bottom w:val="single" w:sz="4" w:space="0" w:color="auto"/>
            </w:tcBorders>
            <w:shd w:val="clear" w:color="auto" w:fill="auto"/>
          </w:tcPr>
          <w:p w14:paraId="3945D3DE" w14:textId="77777777" w:rsidR="009F256F" w:rsidRPr="00CE28E3" w:rsidRDefault="009F256F">
            <w:pPr>
              <w:pStyle w:val="TableHeading0"/>
            </w:pPr>
            <w:r w:rsidRPr="00CE28E3">
              <w:t>Design/</w:t>
            </w:r>
            <w:r>
              <w:t xml:space="preserve"> </w:t>
            </w:r>
            <w:r w:rsidRPr="00CE28E3">
              <w:t>duration</w:t>
            </w:r>
          </w:p>
        </w:tc>
        <w:tc>
          <w:tcPr>
            <w:tcW w:w="649" w:type="pct"/>
            <w:tcBorders>
              <w:bottom w:val="single" w:sz="4" w:space="0" w:color="auto"/>
            </w:tcBorders>
            <w:shd w:val="clear" w:color="auto" w:fill="auto"/>
          </w:tcPr>
          <w:p w14:paraId="46DDB06F" w14:textId="77777777" w:rsidR="009F256F" w:rsidRPr="00CE28E3" w:rsidRDefault="009F256F">
            <w:pPr>
              <w:pStyle w:val="TableHeading0"/>
            </w:pPr>
            <w:r w:rsidRPr="00CE28E3">
              <w:t>Risk of bias</w:t>
            </w:r>
          </w:p>
        </w:tc>
        <w:tc>
          <w:tcPr>
            <w:tcW w:w="1119" w:type="pct"/>
            <w:tcBorders>
              <w:bottom w:val="single" w:sz="4" w:space="0" w:color="auto"/>
            </w:tcBorders>
            <w:shd w:val="clear" w:color="auto" w:fill="auto"/>
          </w:tcPr>
          <w:p w14:paraId="41C66DE3" w14:textId="77777777" w:rsidR="009F256F" w:rsidRPr="00CE28E3" w:rsidRDefault="009F256F">
            <w:pPr>
              <w:pStyle w:val="TableHeading0"/>
            </w:pPr>
            <w:r w:rsidRPr="00CE28E3">
              <w:t>Patient population</w:t>
            </w:r>
          </w:p>
        </w:tc>
        <w:tc>
          <w:tcPr>
            <w:tcW w:w="708" w:type="pct"/>
            <w:tcBorders>
              <w:bottom w:val="single" w:sz="4" w:space="0" w:color="auto"/>
            </w:tcBorders>
            <w:shd w:val="clear" w:color="auto" w:fill="auto"/>
          </w:tcPr>
          <w:p w14:paraId="747275F4" w14:textId="3C4E0CDC" w:rsidR="009F256F" w:rsidRPr="00CE28E3" w:rsidRDefault="009F256F">
            <w:pPr>
              <w:pStyle w:val="TableHeading0"/>
            </w:pPr>
            <w:r>
              <w:t>PICO o</w:t>
            </w:r>
            <w:r w:rsidRPr="00CE28E3">
              <w:t>utcome(s)</w:t>
            </w:r>
          </w:p>
        </w:tc>
        <w:tc>
          <w:tcPr>
            <w:tcW w:w="679" w:type="pct"/>
            <w:shd w:val="clear" w:color="auto" w:fill="auto"/>
          </w:tcPr>
          <w:p w14:paraId="6623FF55" w14:textId="77777777" w:rsidR="009F256F" w:rsidRPr="00CE28E3" w:rsidRDefault="009F256F">
            <w:pPr>
              <w:pStyle w:val="TableHeading0"/>
            </w:pPr>
            <w:r w:rsidRPr="00CE28E3">
              <w:t>Use in modelled evaluation</w:t>
            </w:r>
          </w:p>
        </w:tc>
      </w:tr>
      <w:tr w:rsidR="00950F05" w:rsidRPr="00CE28E3" w14:paraId="4D603535" w14:textId="77777777" w:rsidTr="002734F7">
        <w:trPr>
          <w:cantSplit/>
        </w:trPr>
        <w:tc>
          <w:tcPr>
            <w:tcW w:w="795" w:type="pct"/>
            <w:tcBorders>
              <w:right w:val="nil"/>
            </w:tcBorders>
            <w:shd w:val="clear" w:color="auto" w:fill="auto"/>
          </w:tcPr>
          <w:p w14:paraId="3877FE1F" w14:textId="3B872020" w:rsidR="003077B1" w:rsidRPr="003077B1" w:rsidRDefault="0020740B" w:rsidP="002D7084">
            <w:pPr>
              <w:pStyle w:val="TableText"/>
              <w:keepNext/>
              <w:rPr>
                <w:b/>
                <w:bCs/>
                <w:lang w:val="en-US"/>
              </w:rPr>
            </w:pPr>
            <w:r>
              <w:rPr>
                <w:b/>
                <w:bCs/>
                <w:lang w:val="en-US"/>
              </w:rPr>
              <w:t>Randomised, s</w:t>
            </w:r>
            <w:r w:rsidR="003077B1" w:rsidRPr="003077B1">
              <w:rPr>
                <w:b/>
                <w:bCs/>
                <w:lang w:val="en-US"/>
              </w:rPr>
              <w:t>ham-controlled</w:t>
            </w:r>
          </w:p>
        </w:tc>
        <w:tc>
          <w:tcPr>
            <w:tcW w:w="551" w:type="pct"/>
            <w:tcBorders>
              <w:left w:val="nil"/>
              <w:right w:val="nil"/>
            </w:tcBorders>
            <w:shd w:val="clear" w:color="auto" w:fill="auto"/>
          </w:tcPr>
          <w:p w14:paraId="6E5CC3C0" w14:textId="77777777" w:rsidR="003077B1" w:rsidRPr="003077B1" w:rsidRDefault="003077B1" w:rsidP="00A32548">
            <w:pPr>
              <w:pStyle w:val="TableText"/>
              <w:keepNext/>
              <w:rPr>
                <w:b/>
                <w:bCs/>
                <w:lang w:val="en-US"/>
              </w:rPr>
            </w:pPr>
          </w:p>
        </w:tc>
        <w:tc>
          <w:tcPr>
            <w:tcW w:w="499" w:type="pct"/>
            <w:tcBorders>
              <w:left w:val="nil"/>
              <w:right w:val="nil"/>
            </w:tcBorders>
            <w:shd w:val="clear" w:color="auto" w:fill="auto"/>
          </w:tcPr>
          <w:p w14:paraId="77CE8A71" w14:textId="77777777" w:rsidR="003077B1" w:rsidRPr="003077B1" w:rsidRDefault="003077B1" w:rsidP="00E966F8">
            <w:pPr>
              <w:pStyle w:val="TableText"/>
              <w:keepNext/>
              <w:rPr>
                <w:b/>
                <w:bCs/>
                <w:lang w:val="en-US"/>
              </w:rPr>
            </w:pPr>
          </w:p>
        </w:tc>
        <w:tc>
          <w:tcPr>
            <w:tcW w:w="649" w:type="pct"/>
            <w:tcBorders>
              <w:left w:val="nil"/>
              <w:right w:val="nil"/>
            </w:tcBorders>
            <w:shd w:val="clear" w:color="auto" w:fill="auto"/>
          </w:tcPr>
          <w:p w14:paraId="49A20E41" w14:textId="77777777" w:rsidR="003077B1" w:rsidRPr="003077B1" w:rsidRDefault="003077B1" w:rsidP="00A32548">
            <w:pPr>
              <w:pStyle w:val="TableText"/>
              <w:keepNext/>
              <w:rPr>
                <w:b/>
                <w:bCs/>
                <w:iCs/>
                <w:lang w:val="en-US"/>
              </w:rPr>
            </w:pPr>
          </w:p>
        </w:tc>
        <w:tc>
          <w:tcPr>
            <w:tcW w:w="1119" w:type="pct"/>
            <w:tcBorders>
              <w:left w:val="nil"/>
              <w:right w:val="nil"/>
            </w:tcBorders>
            <w:shd w:val="clear" w:color="auto" w:fill="auto"/>
          </w:tcPr>
          <w:p w14:paraId="6909C188" w14:textId="77777777" w:rsidR="003077B1" w:rsidRPr="003077B1" w:rsidRDefault="003077B1" w:rsidP="00A32548">
            <w:pPr>
              <w:pStyle w:val="TableText"/>
              <w:keepNext/>
              <w:rPr>
                <w:b/>
                <w:bCs/>
                <w:lang w:val="en-US"/>
              </w:rPr>
            </w:pPr>
          </w:p>
        </w:tc>
        <w:tc>
          <w:tcPr>
            <w:tcW w:w="708" w:type="pct"/>
            <w:tcBorders>
              <w:left w:val="nil"/>
              <w:right w:val="nil"/>
            </w:tcBorders>
            <w:shd w:val="clear" w:color="auto" w:fill="auto"/>
          </w:tcPr>
          <w:p w14:paraId="36526A27" w14:textId="77777777" w:rsidR="003077B1" w:rsidRPr="003077B1" w:rsidRDefault="003077B1" w:rsidP="00A32548">
            <w:pPr>
              <w:pStyle w:val="TableText"/>
              <w:keepNext/>
              <w:rPr>
                <w:b/>
                <w:bCs/>
                <w:lang w:val="en-US"/>
              </w:rPr>
            </w:pPr>
          </w:p>
        </w:tc>
        <w:tc>
          <w:tcPr>
            <w:tcW w:w="679" w:type="pct"/>
            <w:tcBorders>
              <w:left w:val="nil"/>
            </w:tcBorders>
            <w:shd w:val="clear" w:color="auto" w:fill="auto"/>
          </w:tcPr>
          <w:p w14:paraId="12BF3BA7" w14:textId="77777777" w:rsidR="003077B1" w:rsidRPr="003077B1" w:rsidRDefault="003077B1" w:rsidP="00A32548">
            <w:pPr>
              <w:pStyle w:val="TableText"/>
              <w:keepNext/>
              <w:rPr>
                <w:b/>
                <w:bCs/>
                <w:lang w:val="en-US"/>
              </w:rPr>
            </w:pPr>
          </w:p>
        </w:tc>
      </w:tr>
      <w:tr w:rsidR="00953E9C" w:rsidRPr="00CE28E3" w14:paraId="4FE48ECA" w14:textId="77777777" w:rsidTr="002734F7">
        <w:trPr>
          <w:cantSplit/>
        </w:trPr>
        <w:tc>
          <w:tcPr>
            <w:tcW w:w="795" w:type="pct"/>
            <w:tcBorders>
              <w:bottom w:val="single" w:sz="4" w:space="0" w:color="auto"/>
            </w:tcBorders>
            <w:shd w:val="clear" w:color="auto" w:fill="auto"/>
          </w:tcPr>
          <w:p w14:paraId="77CEF9E6" w14:textId="77777777" w:rsidR="00953E9C" w:rsidRDefault="00953E9C" w:rsidP="00953E9C">
            <w:pPr>
              <w:pStyle w:val="TableText"/>
              <w:rPr>
                <w:lang w:val="en-US"/>
              </w:rPr>
            </w:pPr>
            <w:r>
              <w:rPr>
                <w:lang w:val="en-US"/>
              </w:rPr>
              <w:t>SPYRAL HTN-OFF MED</w:t>
            </w:r>
          </w:p>
          <w:p w14:paraId="66A93BB4" w14:textId="77777777" w:rsidR="00953E9C" w:rsidRDefault="00953E9C" w:rsidP="00953E9C">
            <w:pPr>
              <w:pStyle w:val="TableText"/>
            </w:pPr>
          </w:p>
          <w:p w14:paraId="31017CC1" w14:textId="056450FF" w:rsidR="00953E9C" w:rsidRPr="00DB14D0" w:rsidRDefault="00953E9C" w:rsidP="00953E9C">
            <w:pPr>
              <w:pStyle w:val="TableText"/>
              <w:rPr>
                <w:lang w:val="en-US"/>
              </w:rPr>
            </w:pPr>
            <w:r w:rsidRPr="005D7F1A">
              <w:t>Sponsored by Medtronic</w:t>
            </w:r>
          </w:p>
        </w:tc>
        <w:tc>
          <w:tcPr>
            <w:tcW w:w="551" w:type="pct"/>
            <w:tcBorders>
              <w:bottom w:val="single" w:sz="4" w:space="0" w:color="auto"/>
            </w:tcBorders>
            <w:shd w:val="clear" w:color="auto" w:fill="auto"/>
          </w:tcPr>
          <w:p w14:paraId="7CCCBB21" w14:textId="0E613EE3" w:rsidR="00953E9C" w:rsidRDefault="00953E9C" w:rsidP="00953E9C">
            <w:pPr>
              <w:pStyle w:val="TableText"/>
              <w:rPr>
                <w:lang w:val="en-US"/>
              </w:rPr>
            </w:pPr>
            <w:r>
              <w:rPr>
                <w:lang w:val="en-US"/>
              </w:rPr>
              <w:t>331</w:t>
            </w:r>
            <w:r>
              <w:rPr>
                <w:lang w:val="en-US"/>
              </w:rPr>
              <w:br/>
              <w:t xml:space="preserve">(166 RDN + 165 </w:t>
            </w:r>
            <w:r w:rsidR="005B69AA">
              <w:rPr>
                <w:lang w:val="en-US"/>
              </w:rPr>
              <w:t xml:space="preserve">sham </w:t>
            </w:r>
            <w:r>
              <w:rPr>
                <w:lang w:val="en-US"/>
              </w:rPr>
              <w:t>control)</w:t>
            </w:r>
          </w:p>
          <w:p w14:paraId="211BD4BA" w14:textId="0D5D3308" w:rsidR="00953E9C" w:rsidRPr="00CE28E3" w:rsidRDefault="00953E9C" w:rsidP="00953E9C">
            <w:pPr>
              <w:pStyle w:val="TableText"/>
              <w:rPr>
                <w:lang w:val="en-US"/>
              </w:rPr>
            </w:pPr>
            <w:r>
              <w:rPr>
                <w:lang w:val="en-US"/>
              </w:rPr>
              <w:t>80 Pilot cohort + 251 Pivotal study cohort</w:t>
            </w:r>
          </w:p>
        </w:tc>
        <w:tc>
          <w:tcPr>
            <w:tcW w:w="499" w:type="pct"/>
            <w:tcBorders>
              <w:bottom w:val="single" w:sz="4" w:space="0" w:color="auto"/>
            </w:tcBorders>
            <w:shd w:val="clear" w:color="auto" w:fill="auto"/>
          </w:tcPr>
          <w:p w14:paraId="4322E34A" w14:textId="23927DF1" w:rsidR="00953E9C" w:rsidRPr="002152A4" w:rsidRDefault="00953E9C" w:rsidP="00953E9C">
            <w:pPr>
              <w:pStyle w:val="TableText"/>
            </w:pPr>
            <w:r w:rsidRPr="002152A4">
              <w:t>R (1:1), MC, MN, SB, sham-controlled, proof-of-concept trial</w:t>
            </w:r>
          </w:p>
          <w:p w14:paraId="43BCAA87" w14:textId="08AD03CF" w:rsidR="00953E9C" w:rsidRPr="00CE28E3" w:rsidRDefault="00953E9C" w:rsidP="00953E9C">
            <w:pPr>
              <w:pStyle w:val="TableText"/>
              <w:spacing w:before="120"/>
              <w:rPr>
                <w:lang w:val="en-US"/>
              </w:rPr>
            </w:pPr>
            <w:r>
              <w:rPr>
                <w:lang w:val="en-US"/>
              </w:rPr>
              <w:t>3 mo</w:t>
            </w:r>
          </w:p>
        </w:tc>
        <w:tc>
          <w:tcPr>
            <w:tcW w:w="649" w:type="pct"/>
            <w:tcBorders>
              <w:bottom w:val="single" w:sz="4" w:space="0" w:color="auto"/>
            </w:tcBorders>
            <w:shd w:val="clear" w:color="auto" w:fill="auto"/>
          </w:tcPr>
          <w:p w14:paraId="39915F37" w14:textId="77777777" w:rsidR="00953E9C" w:rsidRDefault="00953E9C" w:rsidP="00953E9C">
            <w:pPr>
              <w:pStyle w:val="TableText"/>
              <w:rPr>
                <w:iCs/>
                <w:lang w:val="en-US"/>
              </w:rPr>
            </w:pPr>
            <w:r>
              <w:rPr>
                <w:iCs/>
                <w:lang w:val="en-US"/>
              </w:rPr>
              <w:t xml:space="preserve">ADAR: </w:t>
            </w:r>
            <w:r w:rsidRPr="000874F7">
              <w:rPr>
                <w:iCs/>
                <w:lang w:val="en-US"/>
              </w:rPr>
              <w:t>Low</w:t>
            </w:r>
          </w:p>
          <w:p w14:paraId="18FE9115" w14:textId="77777777" w:rsidR="00953E9C" w:rsidRDefault="00953E9C" w:rsidP="00953E9C">
            <w:pPr>
              <w:pStyle w:val="TableText"/>
              <w:rPr>
                <w:iCs/>
                <w:lang w:val="en-US"/>
              </w:rPr>
            </w:pPr>
            <w:r>
              <w:rPr>
                <w:iCs/>
                <w:lang w:val="en-US"/>
              </w:rPr>
              <w:t xml:space="preserve">Commentary: </w:t>
            </w:r>
          </w:p>
          <w:p w14:paraId="37E6D768" w14:textId="162DA2DA" w:rsidR="00953E9C" w:rsidRPr="00C91436" w:rsidRDefault="00953E9C" w:rsidP="00953E9C">
            <w:pPr>
              <w:pStyle w:val="TableText"/>
              <w:rPr>
                <w:iCs/>
                <w:lang w:val="en-US"/>
              </w:rPr>
            </w:pPr>
            <w:r>
              <w:rPr>
                <w:iCs/>
                <w:lang w:val="en-US"/>
              </w:rPr>
              <w:t>Unclear (some concerns)</w:t>
            </w:r>
          </w:p>
        </w:tc>
        <w:tc>
          <w:tcPr>
            <w:tcW w:w="1119" w:type="pct"/>
            <w:tcBorders>
              <w:bottom w:val="single" w:sz="4" w:space="0" w:color="auto"/>
            </w:tcBorders>
            <w:shd w:val="clear" w:color="auto" w:fill="auto"/>
          </w:tcPr>
          <w:p w14:paraId="035EBBEB" w14:textId="3EC098E2" w:rsidR="00953E9C" w:rsidRPr="00C24D01" w:rsidRDefault="00953E9C" w:rsidP="00953E9C">
            <w:pPr>
              <w:pStyle w:val="TableText"/>
              <w:rPr>
                <w:lang w:val="en-US"/>
              </w:rPr>
            </w:pPr>
            <w:r w:rsidRPr="00C24D01">
              <w:rPr>
                <w:lang w:val="en-US"/>
              </w:rPr>
              <w:t>Adults</w:t>
            </w:r>
            <w:r>
              <w:rPr>
                <w:lang w:val="en-US"/>
              </w:rPr>
              <w:t xml:space="preserve"> </w:t>
            </w:r>
            <w:r w:rsidR="00BC3D4C">
              <w:rPr>
                <w:lang w:val="en-US"/>
              </w:rPr>
              <w:t xml:space="preserve">(aged 20-80 y) </w:t>
            </w:r>
            <w:r>
              <w:rPr>
                <w:lang w:val="en-US"/>
              </w:rPr>
              <w:t>with u</w:t>
            </w:r>
            <w:r w:rsidRPr="00C24D01">
              <w:rPr>
                <w:lang w:val="en-US"/>
              </w:rPr>
              <w:t>ncontrolled HTN</w:t>
            </w:r>
            <w:r w:rsidR="009C044B">
              <w:rPr>
                <w:lang w:val="en-US"/>
              </w:rPr>
              <w:t xml:space="preserve"> in absence </w:t>
            </w:r>
            <w:r w:rsidR="009943F8">
              <w:rPr>
                <w:lang w:val="en-US"/>
              </w:rPr>
              <w:t xml:space="preserve">of </w:t>
            </w:r>
            <w:r w:rsidR="009943F8" w:rsidRPr="00C24D01">
              <w:rPr>
                <w:lang w:val="en-US"/>
              </w:rPr>
              <w:t>anti-HT meds</w:t>
            </w:r>
          </w:p>
          <w:p w14:paraId="319638F4" w14:textId="584FF1E7" w:rsidR="00953E9C" w:rsidRDefault="00953E9C" w:rsidP="00953E9C">
            <w:pPr>
              <w:pStyle w:val="TableText"/>
              <w:rPr>
                <w:lang w:val="en-US"/>
              </w:rPr>
            </w:pPr>
            <w:r w:rsidRPr="00C24D01">
              <w:rPr>
                <w:lang w:val="en-US"/>
              </w:rPr>
              <w:t>OSBP ≥150 and &lt;180</w:t>
            </w:r>
            <w:r>
              <w:rPr>
                <w:lang w:val="en-US"/>
              </w:rPr>
              <w:t> </w:t>
            </w:r>
            <w:r w:rsidRPr="00C24D01">
              <w:rPr>
                <w:lang w:val="en-US"/>
              </w:rPr>
              <w:t>mmHg</w:t>
            </w:r>
            <w:r w:rsidR="00BA78EB">
              <w:rPr>
                <w:lang w:val="en-US"/>
              </w:rPr>
              <w:t xml:space="preserve">, </w:t>
            </w:r>
            <w:r w:rsidRPr="00C24D01">
              <w:rPr>
                <w:lang w:val="en-US"/>
              </w:rPr>
              <w:t>and ODBP ≥90</w:t>
            </w:r>
            <w:r>
              <w:rPr>
                <w:lang w:val="en-US"/>
              </w:rPr>
              <w:t> </w:t>
            </w:r>
            <w:r w:rsidRPr="00C24D01">
              <w:rPr>
                <w:lang w:val="en-US"/>
              </w:rPr>
              <w:t>mmHg</w:t>
            </w:r>
          </w:p>
          <w:p w14:paraId="2DE28CDF" w14:textId="67BE6CAA" w:rsidR="00DA34E7" w:rsidRPr="00CE28E3" w:rsidRDefault="00953E9C" w:rsidP="00953E9C">
            <w:pPr>
              <w:pStyle w:val="TableText"/>
              <w:rPr>
                <w:lang w:val="en-US"/>
              </w:rPr>
            </w:pPr>
            <w:r w:rsidRPr="00C24D01">
              <w:rPr>
                <w:lang w:val="en-US"/>
              </w:rPr>
              <w:t>and mean 24-h ASBP ≥140 and &lt;170</w:t>
            </w:r>
            <w:r>
              <w:rPr>
                <w:lang w:val="en-US"/>
              </w:rPr>
              <w:t> </w:t>
            </w:r>
            <w:r w:rsidRPr="00C24D01">
              <w:rPr>
                <w:lang w:val="en-US"/>
              </w:rPr>
              <w:t>mmHg</w:t>
            </w:r>
          </w:p>
        </w:tc>
        <w:tc>
          <w:tcPr>
            <w:tcW w:w="708" w:type="pct"/>
            <w:tcBorders>
              <w:bottom w:val="single" w:sz="4" w:space="0" w:color="auto"/>
            </w:tcBorders>
            <w:shd w:val="clear" w:color="auto" w:fill="auto"/>
          </w:tcPr>
          <w:p w14:paraId="71046FBF" w14:textId="77777777" w:rsidR="00953E9C" w:rsidRPr="00C5233A" w:rsidRDefault="00953E9C" w:rsidP="00953E9C">
            <w:pPr>
              <w:pStyle w:val="TableText"/>
              <w:rPr>
                <w:lang w:val="en-US"/>
              </w:rPr>
            </w:pPr>
            <w:r>
              <w:rPr>
                <w:lang w:val="en-US"/>
              </w:rPr>
              <w:t>C</w:t>
            </w:r>
            <w:r w:rsidRPr="00C5233A">
              <w:rPr>
                <w:lang w:val="en-US"/>
              </w:rPr>
              <w:t xml:space="preserve">hange from baseline in </w:t>
            </w:r>
            <w:r w:rsidRPr="004F5627">
              <w:rPr>
                <w:b/>
                <w:bCs/>
                <w:lang w:val="en-US"/>
              </w:rPr>
              <w:t>24-h</w:t>
            </w:r>
            <w:r>
              <w:rPr>
                <w:lang w:val="en-US"/>
              </w:rPr>
              <w:t xml:space="preserve"> </w:t>
            </w:r>
            <w:r w:rsidRPr="000C40FD">
              <w:rPr>
                <w:b/>
                <w:bCs/>
                <w:lang w:val="en-US"/>
              </w:rPr>
              <w:t>ASBP</w:t>
            </w:r>
            <w:r>
              <w:rPr>
                <w:b/>
                <w:bCs/>
                <w:lang w:val="en-US"/>
              </w:rPr>
              <w:t xml:space="preserve"> (3 mo)</w:t>
            </w:r>
            <w:r w:rsidRPr="004F5627">
              <w:rPr>
                <w:lang w:val="en-US"/>
              </w:rPr>
              <w:t xml:space="preserve">, 24-h </w:t>
            </w:r>
            <w:r w:rsidRPr="00C5233A">
              <w:rPr>
                <w:lang w:val="en-US"/>
              </w:rPr>
              <w:t>ADBP</w:t>
            </w:r>
            <w:r>
              <w:rPr>
                <w:lang w:val="en-US"/>
              </w:rPr>
              <w:t xml:space="preserve">, </w:t>
            </w:r>
            <w:r w:rsidRPr="00C5233A">
              <w:rPr>
                <w:lang w:val="en-US"/>
              </w:rPr>
              <w:t>OSBP</w:t>
            </w:r>
            <w:r>
              <w:rPr>
                <w:lang w:val="en-US"/>
              </w:rPr>
              <w:t xml:space="preserve">, </w:t>
            </w:r>
            <w:r w:rsidRPr="00C5233A">
              <w:rPr>
                <w:lang w:val="en-US"/>
              </w:rPr>
              <w:t>ODBP</w:t>
            </w:r>
          </w:p>
          <w:p w14:paraId="523FF97B" w14:textId="77777777" w:rsidR="00953E9C" w:rsidRPr="00C5233A" w:rsidRDefault="00953E9C" w:rsidP="00953E9C">
            <w:pPr>
              <w:pStyle w:val="TableText"/>
              <w:rPr>
                <w:lang w:val="en-US"/>
              </w:rPr>
            </w:pPr>
            <w:r>
              <w:rPr>
                <w:lang w:val="en-US"/>
              </w:rPr>
              <w:t>A</w:t>
            </w:r>
            <w:r w:rsidRPr="00C5233A">
              <w:rPr>
                <w:lang w:val="en-US"/>
              </w:rPr>
              <w:t xml:space="preserve">chievement of target </w:t>
            </w:r>
            <w:r>
              <w:rPr>
                <w:lang w:val="en-US"/>
              </w:rPr>
              <w:t>O</w:t>
            </w:r>
            <w:r w:rsidRPr="00C5233A">
              <w:rPr>
                <w:lang w:val="en-US"/>
              </w:rPr>
              <w:t>SBP</w:t>
            </w:r>
          </w:p>
          <w:p w14:paraId="7B52D0B3" w14:textId="77777777" w:rsidR="00953E9C" w:rsidRPr="00C5233A" w:rsidRDefault="00953E9C" w:rsidP="00953E9C">
            <w:pPr>
              <w:pStyle w:val="TableText"/>
              <w:rPr>
                <w:lang w:val="en-US"/>
              </w:rPr>
            </w:pPr>
            <w:r w:rsidRPr="00C5233A">
              <w:rPr>
                <w:lang w:val="en-US"/>
              </w:rPr>
              <w:t>HRQoL</w:t>
            </w:r>
          </w:p>
          <w:p w14:paraId="6743038D" w14:textId="308CD4A1" w:rsidR="00953E9C" w:rsidRPr="00CE28E3" w:rsidRDefault="00953E9C" w:rsidP="00953E9C">
            <w:pPr>
              <w:pStyle w:val="TableText"/>
              <w:rPr>
                <w:lang w:val="en-US"/>
              </w:rPr>
            </w:pPr>
            <w:r w:rsidRPr="00182E2D">
              <w:rPr>
                <w:b/>
                <w:bCs/>
                <w:lang w:val="en-US"/>
              </w:rPr>
              <w:t>MAE (</w:t>
            </w:r>
            <w:r w:rsidR="00DA21C5">
              <w:rPr>
                <w:b/>
                <w:bCs/>
                <w:lang w:val="en-US"/>
              </w:rPr>
              <w:t>1</w:t>
            </w:r>
            <w:r>
              <w:rPr>
                <w:b/>
                <w:bCs/>
                <w:lang w:val="en-US"/>
              </w:rPr>
              <w:t xml:space="preserve"> mo</w:t>
            </w:r>
            <w:r w:rsidRPr="00182E2D">
              <w:rPr>
                <w:b/>
                <w:bCs/>
                <w:lang w:val="en-US"/>
              </w:rPr>
              <w:t>)</w:t>
            </w:r>
            <w:r w:rsidRPr="00C5233A">
              <w:rPr>
                <w:lang w:val="en-US"/>
              </w:rPr>
              <w:t xml:space="preserve"> </w:t>
            </w:r>
            <w:r>
              <w:rPr>
                <w:lang w:val="en-US"/>
              </w:rPr>
              <w:t>and</w:t>
            </w:r>
            <w:r w:rsidRPr="00C5233A">
              <w:rPr>
                <w:lang w:val="en-US"/>
              </w:rPr>
              <w:t xml:space="preserve"> </w:t>
            </w:r>
            <w:r>
              <w:rPr>
                <w:lang w:val="en-US"/>
              </w:rPr>
              <w:t xml:space="preserve">individual </w:t>
            </w:r>
            <w:r w:rsidRPr="00C5233A">
              <w:rPr>
                <w:lang w:val="en-US"/>
              </w:rPr>
              <w:t>components</w:t>
            </w:r>
          </w:p>
        </w:tc>
        <w:tc>
          <w:tcPr>
            <w:tcW w:w="679" w:type="pct"/>
            <w:shd w:val="clear" w:color="auto" w:fill="auto"/>
          </w:tcPr>
          <w:p w14:paraId="10EC2F70" w14:textId="1A462558" w:rsidR="00953E9C" w:rsidRPr="000874F7" w:rsidRDefault="00953E9C" w:rsidP="00953E9C">
            <w:pPr>
              <w:pStyle w:val="TableText"/>
              <w:rPr>
                <w:lang w:val="en-US"/>
              </w:rPr>
            </w:pPr>
            <w:r>
              <w:rPr>
                <w:lang w:val="en-US"/>
              </w:rPr>
              <w:t>ADAR SA (as part of MA of all trials including open)</w:t>
            </w:r>
          </w:p>
        </w:tc>
      </w:tr>
      <w:tr w:rsidR="00950F05" w:rsidRPr="00CE28E3" w14:paraId="7D307A21" w14:textId="77777777" w:rsidTr="002734F7">
        <w:trPr>
          <w:cantSplit/>
        </w:trPr>
        <w:tc>
          <w:tcPr>
            <w:tcW w:w="795" w:type="pct"/>
            <w:tcBorders>
              <w:right w:val="nil"/>
            </w:tcBorders>
            <w:shd w:val="clear" w:color="auto" w:fill="auto"/>
          </w:tcPr>
          <w:p w14:paraId="6561C3DB" w14:textId="43785423" w:rsidR="000521AC" w:rsidRPr="00FC2A72" w:rsidRDefault="0020740B" w:rsidP="00F71956">
            <w:pPr>
              <w:pStyle w:val="TableText"/>
              <w:keepNext/>
              <w:rPr>
                <w:b/>
                <w:bCs/>
                <w:lang w:val="en-US"/>
              </w:rPr>
            </w:pPr>
            <w:r>
              <w:rPr>
                <w:b/>
                <w:bCs/>
                <w:lang w:val="en-US"/>
              </w:rPr>
              <w:t>Randomised, open</w:t>
            </w:r>
            <w:r w:rsidR="000111AD">
              <w:rPr>
                <w:b/>
                <w:bCs/>
                <w:lang w:val="en-US"/>
              </w:rPr>
              <w:t xml:space="preserve"> label</w:t>
            </w:r>
          </w:p>
        </w:tc>
        <w:tc>
          <w:tcPr>
            <w:tcW w:w="551" w:type="pct"/>
            <w:tcBorders>
              <w:left w:val="nil"/>
              <w:right w:val="nil"/>
            </w:tcBorders>
            <w:shd w:val="clear" w:color="auto" w:fill="auto"/>
          </w:tcPr>
          <w:p w14:paraId="72A3A0BE" w14:textId="77777777" w:rsidR="000521AC" w:rsidRPr="00FC2A72" w:rsidRDefault="000521AC">
            <w:pPr>
              <w:pStyle w:val="TableText"/>
              <w:rPr>
                <w:b/>
                <w:bCs/>
                <w:lang w:val="en-US"/>
              </w:rPr>
            </w:pPr>
          </w:p>
        </w:tc>
        <w:tc>
          <w:tcPr>
            <w:tcW w:w="499" w:type="pct"/>
            <w:tcBorders>
              <w:left w:val="nil"/>
              <w:right w:val="nil"/>
            </w:tcBorders>
            <w:shd w:val="clear" w:color="auto" w:fill="auto"/>
          </w:tcPr>
          <w:p w14:paraId="0A5A805A" w14:textId="77777777" w:rsidR="000521AC" w:rsidRPr="00FC2A72" w:rsidRDefault="000521AC" w:rsidP="00E966F8">
            <w:pPr>
              <w:pStyle w:val="TableText"/>
              <w:rPr>
                <w:b/>
                <w:bCs/>
                <w:lang w:val="en-US"/>
              </w:rPr>
            </w:pPr>
          </w:p>
        </w:tc>
        <w:tc>
          <w:tcPr>
            <w:tcW w:w="649" w:type="pct"/>
            <w:tcBorders>
              <w:left w:val="nil"/>
              <w:right w:val="nil"/>
            </w:tcBorders>
            <w:shd w:val="clear" w:color="auto" w:fill="auto"/>
          </w:tcPr>
          <w:p w14:paraId="4CFAC2C1" w14:textId="77777777" w:rsidR="000521AC" w:rsidRPr="00FC2A72" w:rsidRDefault="000521AC">
            <w:pPr>
              <w:pStyle w:val="TableText"/>
              <w:rPr>
                <w:b/>
                <w:bCs/>
                <w:iCs/>
                <w:lang w:val="en-US"/>
              </w:rPr>
            </w:pPr>
          </w:p>
        </w:tc>
        <w:tc>
          <w:tcPr>
            <w:tcW w:w="1119" w:type="pct"/>
            <w:tcBorders>
              <w:left w:val="nil"/>
              <w:right w:val="nil"/>
            </w:tcBorders>
            <w:shd w:val="clear" w:color="auto" w:fill="auto"/>
          </w:tcPr>
          <w:p w14:paraId="4B0E3995" w14:textId="77777777" w:rsidR="000521AC" w:rsidRPr="00FC2A72" w:rsidRDefault="000521AC">
            <w:pPr>
              <w:pStyle w:val="TableText"/>
              <w:rPr>
                <w:b/>
                <w:bCs/>
                <w:lang w:val="en-US"/>
              </w:rPr>
            </w:pPr>
          </w:p>
        </w:tc>
        <w:tc>
          <w:tcPr>
            <w:tcW w:w="708" w:type="pct"/>
            <w:tcBorders>
              <w:left w:val="nil"/>
              <w:right w:val="nil"/>
            </w:tcBorders>
            <w:shd w:val="clear" w:color="auto" w:fill="auto"/>
          </w:tcPr>
          <w:p w14:paraId="7BC3F04D" w14:textId="77777777" w:rsidR="000521AC" w:rsidRPr="00FC2A72" w:rsidRDefault="000521AC">
            <w:pPr>
              <w:pStyle w:val="TableText"/>
              <w:rPr>
                <w:b/>
                <w:bCs/>
                <w:lang w:val="en-US"/>
              </w:rPr>
            </w:pPr>
          </w:p>
        </w:tc>
        <w:tc>
          <w:tcPr>
            <w:tcW w:w="679" w:type="pct"/>
            <w:tcBorders>
              <w:left w:val="nil"/>
            </w:tcBorders>
            <w:shd w:val="clear" w:color="auto" w:fill="auto"/>
          </w:tcPr>
          <w:p w14:paraId="26E6BEBF" w14:textId="199A9CD9" w:rsidR="000521AC" w:rsidRPr="00FC2A72" w:rsidRDefault="000521AC">
            <w:pPr>
              <w:pStyle w:val="TableText"/>
              <w:rPr>
                <w:b/>
                <w:bCs/>
                <w:lang w:val="en-US"/>
              </w:rPr>
            </w:pPr>
          </w:p>
        </w:tc>
      </w:tr>
      <w:tr w:rsidR="000521AC" w:rsidRPr="00CE28E3" w14:paraId="538A2E1B" w14:textId="77777777" w:rsidTr="002734F7">
        <w:trPr>
          <w:cantSplit/>
        </w:trPr>
        <w:tc>
          <w:tcPr>
            <w:tcW w:w="795" w:type="pct"/>
            <w:shd w:val="clear" w:color="auto" w:fill="auto"/>
          </w:tcPr>
          <w:p w14:paraId="6DBAC98E" w14:textId="77777777" w:rsidR="000521AC" w:rsidRDefault="00CF3141">
            <w:pPr>
              <w:pStyle w:val="TableText"/>
              <w:rPr>
                <w:lang w:val="en-US"/>
              </w:rPr>
            </w:pPr>
            <w:r>
              <w:rPr>
                <w:lang w:val="en-US"/>
              </w:rPr>
              <w:t>SYMPLICITY HTN-2</w:t>
            </w:r>
          </w:p>
          <w:p w14:paraId="6FA58B36" w14:textId="77777777" w:rsidR="00CF3141" w:rsidRDefault="00CF3141" w:rsidP="00CF3141">
            <w:pPr>
              <w:pStyle w:val="TableText"/>
            </w:pPr>
          </w:p>
          <w:p w14:paraId="47CA2E89" w14:textId="233CB4CD" w:rsidR="00CF3141" w:rsidRPr="00DB14D0" w:rsidRDefault="00CF3141" w:rsidP="00CF3141">
            <w:pPr>
              <w:pStyle w:val="TableText"/>
              <w:rPr>
                <w:lang w:val="en-US"/>
              </w:rPr>
            </w:pPr>
            <w:r w:rsidRPr="005D7F1A">
              <w:t xml:space="preserve">Sponsored by </w:t>
            </w:r>
            <w:r>
              <w:t>Ardian</w:t>
            </w:r>
          </w:p>
        </w:tc>
        <w:tc>
          <w:tcPr>
            <w:tcW w:w="551" w:type="pct"/>
            <w:shd w:val="clear" w:color="auto" w:fill="auto"/>
          </w:tcPr>
          <w:p w14:paraId="32682300" w14:textId="73110734" w:rsidR="000521AC" w:rsidRPr="00CE28E3" w:rsidRDefault="00A54FE3">
            <w:pPr>
              <w:pStyle w:val="TableText"/>
              <w:rPr>
                <w:lang w:val="en-US"/>
              </w:rPr>
            </w:pPr>
            <w:r>
              <w:rPr>
                <w:lang w:val="en-US"/>
              </w:rPr>
              <w:t>106</w:t>
            </w:r>
            <w:r>
              <w:rPr>
                <w:lang w:val="en-US"/>
              </w:rPr>
              <w:br/>
              <w:t>(</w:t>
            </w:r>
            <w:r w:rsidR="005B69AA">
              <w:rPr>
                <w:lang w:val="en-US"/>
              </w:rPr>
              <w:t>52 RDN + 54 control)</w:t>
            </w:r>
          </w:p>
        </w:tc>
        <w:tc>
          <w:tcPr>
            <w:tcW w:w="499" w:type="pct"/>
            <w:shd w:val="clear" w:color="auto" w:fill="auto"/>
          </w:tcPr>
          <w:p w14:paraId="0AAC10D3" w14:textId="10612ACB" w:rsidR="00FA2685" w:rsidRDefault="00FA2685" w:rsidP="00C55F89">
            <w:pPr>
              <w:pStyle w:val="TableText"/>
              <w:rPr>
                <w:lang w:val="en-US"/>
              </w:rPr>
            </w:pPr>
            <w:r w:rsidRPr="00C55F89">
              <w:rPr>
                <w:iCs/>
                <w:lang w:val="en-US"/>
              </w:rPr>
              <w:t>R</w:t>
            </w:r>
            <w:r w:rsidR="006C048A" w:rsidRPr="00C55F89">
              <w:rPr>
                <w:iCs/>
                <w:lang w:val="en-US"/>
              </w:rPr>
              <w:t xml:space="preserve"> (1:1)</w:t>
            </w:r>
            <w:r w:rsidRPr="00C55F89">
              <w:rPr>
                <w:iCs/>
                <w:lang w:val="en-US"/>
              </w:rPr>
              <w:t xml:space="preserve">, </w:t>
            </w:r>
            <w:r w:rsidR="004C7082">
              <w:rPr>
                <w:lang w:val="en-US"/>
              </w:rPr>
              <w:t>MC, MN, OL</w:t>
            </w:r>
          </w:p>
          <w:p w14:paraId="601379AF" w14:textId="5ED8F1B9" w:rsidR="00B10257" w:rsidRPr="00CE28E3" w:rsidRDefault="007249B7" w:rsidP="0089218E">
            <w:pPr>
              <w:pStyle w:val="TableText"/>
              <w:spacing w:before="120"/>
              <w:rPr>
                <w:lang w:val="en-US"/>
              </w:rPr>
            </w:pPr>
            <w:r>
              <w:rPr>
                <w:lang w:val="en-US"/>
              </w:rPr>
              <w:t>6 mo</w:t>
            </w:r>
            <w:r w:rsidR="0089218E">
              <w:rPr>
                <w:lang w:val="en-US"/>
              </w:rPr>
              <w:br/>
            </w:r>
            <w:r w:rsidR="00F37773">
              <w:rPr>
                <w:lang w:val="en-US"/>
              </w:rPr>
              <w:t>(</w:t>
            </w:r>
            <w:r w:rsidR="00B10257">
              <w:rPr>
                <w:lang w:val="en-US"/>
              </w:rPr>
              <w:t>36 mo extended F/U</w:t>
            </w:r>
            <w:r w:rsidR="00F37773">
              <w:rPr>
                <w:lang w:val="en-US"/>
              </w:rPr>
              <w:t>)</w:t>
            </w:r>
          </w:p>
        </w:tc>
        <w:tc>
          <w:tcPr>
            <w:tcW w:w="649" w:type="pct"/>
            <w:shd w:val="clear" w:color="auto" w:fill="auto"/>
          </w:tcPr>
          <w:p w14:paraId="3908FA51" w14:textId="2245586A" w:rsidR="006912E6" w:rsidRDefault="006912E6" w:rsidP="006912E6">
            <w:pPr>
              <w:pStyle w:val="TableText"/>
              <w:rPr>
                <w:iCs/>
                <w:lang w:val="en-US"/>
              </w:rPr>
            </w:pPr>
            <w:r w:rsidRPr="49A45A1D">
              <w:rPr>
                <w:lang w:val="en-US"/>
              </w:rPr>
              <w:t xml:space="preserve">ADAR: </w:t>
            </w:r>
            <w:r w:rsidR="793E62B1" w:rsidRPr="49A45A1D">
              <w:rPr>
                <w:lang w:val="en-US"/>
              </w:rPr>
              <w:t>Moderate to high</w:t>
            </w:r>
          </w:p>
          <w:p w14:paraId="2877CA3F" w14:textId="77777777" w:rsidR="006912E6" w:rsidRDefault="006912E6" w:rsidP="006912E6">
            <w:pPr>
              <w:pStyle w:val="TableText"/>
              <w:rPr>
                <w:iCs/>
                <w:lang w:val="en-US"/>
              </w:rPr>
            </w:pPr>
            <w:r>
              <w:rPr>
                <w:iCs/>
                <w:lang w:val="en-US"/>
              </w:rPr>
              <w:t xml:space="preserve">Commentary: </w:t>
            </w:r>
          </w:p>
          <w:p w14:paraId="663021BD" w14:textId="11F1E1FD" w:rsidR="000521AC" w:rsidRPr="00C91436" w:rsidRDefault="006912E6" w:rsidP="006912E6">
            <w:pPr>
              <w:pStyle w:val="TableText"/>
              <w:rPr>
                <w:iCs/>
                <w:lang w:val="en-US"/>
              </w:rPr>
            </w:pPr>
            <w:r>
              <w:rPr>
                <w:iCs/>
                <w:lang w:val="en-US"/>
              </w:rPr>
              <w:t>High</w:t>
            </w:r>
          </w:p>
        </w:tc>
        <w:tc>
          <w:tcPr>
            <w:tcW w:w="1119" w:type="pct"/>
            <w:shd w:val="clear" w:color="auto" w:fill="auto"/>
          </w:tcPr>
          <w:p w14:paraId="569B0373" w14:textId="5D125AD4" w:rsidR="00687302" w:rsidRDefault="00687302" w:rsidP="00687302">
            <w:pPr>
              <w:pStyle w:val="TableText"/>
            </w:pPr>
            <w:r>
              <w:rPr>
                <w:lang w:val="en-US"/>
              </w:rPr>
              <w:t xml:space="preserve">Adults </w:t>
            </w:r>
            <w:r w:rsidR="00430127">
              <w:rPr>
                <w:lang w:val="en-US"/>
              </w:rPr>
              <w:t xml:space="preserve">(aged </w:t>
            </w:r>
            <w:r w:rsidR="008175D5">
              <w:rPr>
                <w:lang w:val="en-US"/>
              </w:rPr>
              <w:t>18</w:t>
            </w:r>
            <w:r w:rsidR="00430127">
              <w:rPr>
                <w:lang w:val="en-US"/>
              </w:rPr>
              <w:t>-8</w:t>
            </w:r>
            <w:r w:rsidR="008175D5">
              <w:rPr>
                <w:lang w:val="en-US"/>
              </w:rPr>
              <w:t>5</w:t>
            </w:r>
            <w:r w:rsidR="00430127">
              <w:rPr>
                <w:lang w:val="en-US"/>
              </w:rPr>
              <w:t xml:space="preserve"> y) </w:t>
            </w:r>
            <w:r>
              <w:rPr>
                <w:lang w:val="en-US"/>
              </w:rPr>
              <w:t xml:space="preserve">with </w:t>
            </w:r>
            <w:r>
              <w:t>TRHTN despite</w:t>
            </w:r>
            <w:r w:rsidR="00F211E1">
              <w:t xml:space="preserve"> compliance </w:t>
            </w:r>
            <w:r w:rsidR="006D5276">
              <w:t>with</w:t>
            </w:r>
            <w:r w:rsidRPr="00FF0214">
              <w:t xml:space="preserve"> </w:t>
            </w:r>
            <w:r w:rsidRPr="00C44E8D">
              <w:rPr>
                <w:lang w:val="en-US"/>
              </w:rPr>
              <w:t xml:space="preserve">≥3 </w:t>
            </w:r>
            <w:r w:rsidRPr="00C24D01">
              <w:rPr>
                <w:lang w:val="en-US"/>
              </w:rPr>
              <w:t>anti-HT meds</w:t>
            </w:r>
          </w:p>
          <w:p w14:paraId="5F8B3077" w14:textId="62B88C24" w:rsidR="000521AC" w:rsidRPr="00CE28E3" w:rsidRDefault="003D1A5C">
            <w:pPr>
              <w:pStyle w:val="TableText"/>
              <w:rPr>
                <w:lang w:val="en-US"/>
              </w:rPr>
            </w:pPr>
            <w:r w:rsidRPr="00C24D01">
              <w:rPr>
                <w:lang w:val="en-US"/>
              </w:rPr>
              <w:t>OSBP ≥1</w:t>
            </w:r>
            <w:r>
              <w:rPr>
                <w:lang w:val="en-US"/>
              </w:rPr>
              <w:t>60</w:t>
            </w:r>
            <w:r w:rsidR="00CA6C58">
              <w:rPr>
                <w:lang w:val="en-US"/>
              </w:rPr>
              <w:t> </w:t>
            </w:r>
            <w:r>
              <w:rPr>
                <w:lang w:val="en-US"/>
              </w:rPr>
              <w:t xml:space="preserve"> mmHg</w:t>
            </w:r>
            <w:r w:rsidR="009B3085">
              <w:rPr>
                <w:lang w:val="en-US"/>
              </w:rPr>
              <w:t xml:space="preserve"> (or </w:t>
            </w:r>
            <w:r w:rsidR="009B3085" w:rsidRPr="00C24D01">
              <w:rPr>
                <w:lang w:val="en-US"/>
              </w:rPr>
              <w:t>≥1</w:t>
            </w:r>
            <w:r w:rsidR="009B3085">
              <w:rPr>
                <w:lang w:val="en-US"/>
              </w:rPr>
              <w:t>50  mmHg in patients with T2DM)</w:t>
            </w:r>
          </w:p>
        </w:tc>
        <w:tc>
          <w:tcPr>
            <w:tcW w:w="708" w:type="pct"/>
            <w:shd w:val="clear" w:color="auto" w:fill="auto"/>
          </w:tcPr>
          <w:p w14:paraId="0386EB98" w14:textId="649B4445" w:rsidR="00165D26" w:rsidRDefault="00165D26" w:rsidP="00165D26">
            <w:pPr>
              <w:pStyle w:val="TableText"/>
              <w:rPr>
                <w:lang w:val="en-US"/>
              </w:rPr>
            </w:pPr>
            <w:r>
              <w:rPr>
                <w:lang w:val="en-US"/>
              </w:rPr>
              <w:t>C</w:t>
            </w:r>
            <w:r w:rsidRPr="00C5233A">
              <w:rPr>
                <w:lang w:val="en-US"/>
              </w:rPr>
              <w:t xml:space="preserve">hange from baseline </w:t>
            </w:r>
            <w:r w:rsidRPr="000F43EA">
              <w:rPr>
                <w:lang w:val="en-US"/>
              </w:rPr>
              <w:t xml:space="preserve">in </w:t>
            </w:r>
            <w:r w:rsidRPr="000F43EA">
              <w:rPr>
                <w:b/>
                <w:bCs/>
                <w:lang w:val="en-US"/>
              </w:rPr>
              <w:t>OSBP (</w:t>
            </w:r>
            <w:r w:rsidR="000D7584" w:rsidRPr="000F43EA">
              <w:rPr>
                <w:b/>
                <w:bCs/>
                <w:lang w:val="en-US"/>
              </w:rPr>
              <w:t>6</w:t>
            </w:r>
            <w:r w:rsidRPr="000F43EA">
              <w:rPr>
                <w:b/>
                <w:bCs/>
                <w:lang w:val="en-US"/>
              </w:rPr>
              <w:t xml:space="preserve"> mo)</w:t>
            </w:r>
            <w:r w:rsidR="00C04B06" w:rsidRPr="000F43EA">
              <w:rPr>
                <w:lang w:val="en-US"/>
              </w:rPr>
              <w:t>, ODBP, 24-h ASBP, 24-</w:t>
            </w:r>
            <w:r w:rsidR="00C04B06">
              <w:rPr>
                <w:lang w:val="en-US"/>
              </w:rPr>
              <w:t>h ADBP</w:t>
            </w:r>
          </w:p>
          <w:p w14:paraId="68B4D2AE" w14:textId="443D4BB0" w:rsidR="00D366C5" w:rsidRPr="00C04B06" w:rsidRDefault="00D366C5" w:rsidP="00165D26">
            <w:pPr>
              <w:pStyle w:val="TableText"/>
              <w:rPr>
                <w:lang w:val="en-US"/>
              </w:rPr>
            </w:pPr>
            <w:r>
              <w:rPr>
                <w:lang w:val="en-US"/>
              </w:rPr>
              <w:t>A</w:t>
            </w:r>
            <w:r w:rsidRPr="00C5233A">
              <w:rPr>
                <w:lang w:val="en-US"/>
              </w:rPr>
              <w:t xml:space="preserve">chievement of target </w:t>
            </w:r>
            <w:r>
              <w:rPr>
                <w:lang w:val="en-US"/>
              </w:rPr>
              <w:t>O</w:t>
            </w:r>
            <w:r w:rsidRPr="00C5233A">
              <w:rPr>
                <w:lang w:val="en-US"/>
              </w:rPr>
              <w:t>SBP</w:t>
            </w:r>
          </w:p>
          <w:p w14:paraId="1325D20A" w14:textId="02BF04C5" w:rsidR="000521AC" w:rsidRDefault="00165D26" w:rsidP="00165D26">
            <w:pPr>
              <w:pStyle w:val="TableText"/>
              <w:rPr>
                <w:lang w:val="en-US"/>
              </w:rPr>
            </w:pPr>
            <w:r w:rsidRPr="00C5233A">
              <w:rPr>
                <w:lang w:val="en-US"/>
              </w:rPr>
              <w:t>AE</w:t>
            </w:r>
            <w:r>
              <w:rPr>
                <w:lang w:val="en-US"/>
              </w:rPr>
              <w:t>s</w:t>
            </w:r>
          </w:p>
          <w:p w14:paraId="79CF3924" w14:textId="2EA5E50E" w:rsidR="00C654B7" w:rsidRPr="00CE28E3" w:rsidRDefault="00DF24C6" w:rsidP="00165D26">
            <w:pPr>
              <w:pStyle w:val="TableText"/>
              <w:rPr>
                <w:lang w:val="en-US"/>
              </w:rPr>
            </w:pPr>
            <w:r>
              <w:rPr>
                <w:lang w:val="en-US"/>
              </w:rPr>
              <w:t xml:space="preserve">Composite </w:t>
            </w:r>
            <w:r w:rsidR="00C654B7">
              <w:rPr>
                <w:lang w:val="en-US"/>
              </w:rPr>
              <w:t xml:space="preserve">CV </w:t>
            </w:r>
            <w:r w:rsidR="00954693">
              <w:rPr>
                <w:lang w:val="en-US"/>
              </w:rPr>
              <w:t>e</w:t>
            </w:r>
            <w:r w:rsidR="00515C59">
              <w:rPr>
                <w:lang w:val="en-US"/>
              </w:rPr>
              <w:t>ndpoint</w:t>
            </w:r>
          </w:p>
        </w:tc>
        <w:tc>
          <w:tcPr>
            <w:tcW w:w="679" w:type="pct"/>
            <w:shd w:val="clear" w:color="auto" w:fill="auto"/>
          </w:tcPr>
          <w:p w14:paraId="1DD01A35" w14:textId="27A2839B" w:rsidR="000521AC" w:rsidRPr="000874F7" w:rsidRDefault="003077B1">
            <w:pPr>
              <w:pStyle w:val="TableText"/>
              <w:rPr>
                <w:lang w:val="en-US"/>
              </w:rPr>
            </w:pPr>
            <w:r>
              <w:rPr>
                <w:lang w:val="en-US"/>
              </w:rPr>
              <w:t>ADAR SA (as part of MA of all trials including open)</w:t>
            </w:r>
          </w:p>
        </w:tc>
      </w:tr>
      <w:tr w:rsidR="000521AC" w:rsidRPr="00CE28E3" w14:paraId="00B22BDD" w14:textId="77777777" w:rsidTr="002734F7">
        <w:trPr>
          <w:cantSplit/>
        </w:trPr>
        <w:tc>
          <w:tcPr>
            <w:tcW w:w="795" w:type="pct"/>
            <w:shd w:val="clear" w:color="auto" w:fill="auto"/>
          </w:tcPr>
          <w:p w14:paraId="2B8BD295" w14:textId="5644867C" w:rsidR="00CF3141" w:rsidRDefault="00CF3141" w:rsidP="00CF3141">
            <w:pPr>
              <w:pStyle w:val="TableText"/>
              <w:rPr>
                <w:lang w:val="en-US"/>
              </w:rPr>
            </w:pPr>
            <w:r>
              <w:rPr>
                <w:lang w:val="en-US"/>
              </w:rPr>
              <w:t>SYMPLICITY HTN-</w:t>
            </w:r>
            <w:r w:rsidR="00962CE4">
              <w:rPr>
                <w:lang w:val="en-US"/>
              </w:rPr>
              <w:t>JAPAN</w:t>
            </w:r>
          </w:p>
          <w:p w14:paraId="2E1A6D08" w14:textId="77777777" w:rsidR="00CF3141" w:rsidRDefault="00CF3141" w:rsidP="00CF3141">
            <w:pPr>
              <w:pStyle w:val="TableText"/>
            </w:pPr>
          </w:p>
          <w:p w14:paraId="7717AD41" w14:textId="025A63A7" w:rsidR="000521AC" w:rsidRPr="00DB14D0" w:rsidRDefault="00CF3141" w:rsidP="00CF3141">
            <w:pPr>
              <w:pStyle w:val="TableText"/>
              <w:rPr>
                <w:lang w:val="en-US"/>
              </w:rPr>
            </w:pPr>
            <w:r w:rsidRPr="005D7F1A">
              <w:t>Sponsored by Medtronic</w:t>
            </w:r>
            <w:r w:rsidR="00223922">
              <w:t xml:space="preserve"> Japan</w:t>
            </w:r>
          </w:p>
        </w:tc>
        <w:tc>
          <w:tcPr>
            <w:tcW w:w="551" w:type="pct"/>
            <w:shd w:val="clear" w:color="auto" w:fill="auto"/>
          </w:tcPr>
          <w:p w14:paraId="625E8295" w14:textId="21CD7BF4" w:rsidR="000521AC" w:rsidRPr="00CE28E3" w:rsidRDefault="00A154F5">
            <w:pPr>
              <w:pStyle w:val="TableText"/>
              <w:rPr>
                <w:lang w:val="en-US"/>
              </w:rPr>
            </w:pPr>
            <w:r>
              <w:rPr>
                <w:lang w:val="en-US"/>
              </w:rPr>
              <w:t>41</w:t>
            </w:r>
            <w:r>
              <w:rPr>
                <w:lang w:val="en-US"/>
              </w:rPr>
              <w:br/>
            </w:r>
            <w:r w:rsidR="00366D13">
              <w:rPr>
                <w:lang w:val="en-US"/>
              </w:rPr>
              <w:t>(22 RDN + 19 control)</w:t>
            </w:r>
          </w:p>
        </w:tc>
        <w:tc>
          <w:tcPr>
            <w:tcW w:w="499" w:type="pct"/>
            <w:shd w:val="clear" w:color="auto" w:fill="auto"/>
          </w:tcPr>
          <w:p w14:paraId="5C6A696F" w14:textId="74BCB6B7" w:rsidR="006C048A" w:rsidRDefault="006C048A" w:rsidP="00C55F89">
            <w:pPr>
              <w:pStyle w:val="TableText"/>
              <w:rPr>
                <w:lang w:val="en-US"/>
              </w:rPr>
            </w:pPr>
            <w:r>
              <w:rPr>
                <w:lang w:val="en-US"/>
              </w:rPr>
              <w:t>R (1:1), MC, OL</w:t>
            </w:r>
          </w:p>
          <w:p w14:paraId="5EC48497" w14:textId="08BA203D" w:rsidR="000521AC" w:rsidRPr="00CE28E3" w:rsidRDefault="006C048A" w:rsidP="006C048A">
            <w:pPr>
              <w:pStyle w:val="TableText"/>
              <w:spacing w:before="120"/>
              <w:rPr>
                <w:lang w:val="en-US"/>
              </w:rPr>
            </w:pPr>
            <w:r>
              <w:rPr>
                <w:lang w:val="en-US"/>
              </w:rPr>
              <w:t>6 mo</w:t>
            </w:r>
            <w:r w:rsidR="00DD731C">
              <w:rPr>
                <w:lang w:val="en-US"/>
              </w:rPr>
              <w:br/>
            </w:r>
            <w:r w:rsidR="00F04244">
              <w:rPr>
                <w:lang w:val="en-US"/>
              </w:rPr>
              <w:t>(36 mo</w:t>
            </w:r>
            <w:r w:rsidR="00DD731C">
              <w:rPr>
                <w:lang w:val="en-US"/>
              </w:rPr>
              <w:t xml:space="preserve"> extended F/U</w:t>
            </w:r>
            <w:r w:rsidR="00F04244">
              <w:rPr>
                <w:lang w:val="en-US"/>
              </w:rPr>
              <w:t>)</w:t>
            </w:r>
          </w:p>
        </w:tc>
        <w:tc>
          <w:tcPr>
            <w:tcW w:w="649" w:type="pct"/>
            <w:shd w:val="clear" w:color="auto" w:fill="auto"/>
          </w:tcPr>
          <w:p w14:paraId="0062DDF5" w14:textId="595DA403" w:rsidR="006912E6" w:rsidRDefault="006912E6" w:rsidP="006912E6">
            <w:pPr>
              <w:pStyle w:val="TableText"/>
              <w:rPr>
                <w:iCs/>
                <w:lang w:val="en-US"/>
              </w:rPr>
            </w:pPr>
            <w:r w:rsidRPr="1920B676">
              <w:rPr>
                <w:lang w:val="en-US"/>
              </w:rPr>
              <w:t xml:space="preserve">ADAR: </w:t>
            </w:r>
            <w:r w:rsidR="211546BE" w:rsidRPr="59293AF6">
              <w:rPr>
                <w:lang w:val="en-US"/>
              </w:rPr>
              <w:t xml:space="preserve"> Moderate to high</w:t>
            </w:r>
          </w:p>
          <w:p w14:paraId="6BE9B56D" w14:textId="77777777" w:rsidR="006912E6" w:rsidRDefault="006912E6" w:rsidP="006912E6">
            <w:pPr>
              <w:pStyle w:val="TableText"/>
              <w:rPr>
                <w:iCs/>
                <w:lang w:val="en-US"/>
              </w:rPr>
            </w:pPr>
            <w:r>
              <w:rPr>
                <w:iCs/>
                <w:lang w:val="en-US"/>
              </w:rPr>
              <w:t xml:space="preserve">Commentary: </w:t>
            </w:r>
          </w:p>
          <w:p w14:paraId="341F755D" w14:textId="7FE203FE" w:rsidR="000521AC" w:rsidRPr="00C91436" w:rsidRDefault="006912E6" w:rsidP="006912E6">
            <w:pPr>
              <w:pStyle w:val="TableText"/>
              <w:rPr>
                <w:iCs/>
                <w:lang w:val="en-US"/>
              </w:rPr>
            </w:pPr>
            <w:r>
              <w:rPr>
                <w:iCs/>
                <w:lang w:val="en-US"/>
              </w:rPr>
              <w:t>High</w:t>
            </w:r>
          </w:p>
        </w:tc>
        <w:tc>
          <w:tcPr>
            <w:tcW w:w="1119" w:type="pct"/>
            <w:shd w:val="clear" w:color="auto" w:fill="auto"/>
          </w:tcPr>
          <w:p w14:paraId="65E2C0BB" w14:textId="5955A98F" w:rsidR="00EC51AC" w:rsidRDefault="00EC51AC" w:rsidP="00EC51AC">
            <w:pPr>
              <w:pStyle w:val="TableText"/>
            </w:pPr>
            <w:r>
              <w:rPr>
                <w:lang w:val="en-US"/>
              </w:rPr>
              <w:t xml:space="preserve">Adults </w:t>
            </w:r>
            <w:r w:rsidR="008175D5">
              <w:rPr>
                <w:lang w:val="en-US"/>
              </w:rPr>
              <w:t xml:space="preserve">(aged 20-80 y) </w:t>
            </w:r>
            <w:r>
              <w:rPr>
                <w:lang w:val="en-US"/>
              </w:rPr>
              <w:t xml:space="preserve">with </w:t>
            </w:r>
            <w:r>
              <w:t>TRHTN despite</w:t>
            </w:r>
            <w:r w:rsidRPr="00FF0214">
              <w:t xml:space="preserve"> </w:t>
            </w:r>
            <w:r w:rsidRPr="00C44E8D">
              <w:rPr>
                <w:lang w:val="en-US"/>
              </w:rPr>
              <w:t xml:space="preserve">≥3 </w:t>
            </w:r>
            <w:r w:rsidRPr="00C24D01">
              <w:rPr>
                <w:lang w:val="en-US"/>
              </w:rPr>
              <w:t>anti-HT m</w:t>
            </w:r>
            <w:r w:rsidRPr="00F13A6C">
              <w:rPr>
                <w:lang w:val="en-US"/>
              </w:rPr>
              <w:t>ed</w:t>
            </w:r>
            <w:r w:rsidR="006764C6" w:rsidRPr="00F13A6C">
              <w:rPr>
                <w:lang w:val="en-US"/>
              </w:rPr>
              <w:t xml:space="preserve"> classe</w:t>
            </w:r>
            <w:r w:rsidRPr="00F13A6C">
              <w:rPr>
                <w:lang w:val="en-US"/>
              </w:rPr>
              <w:t>s</w:t>
            </w:r>
            <w:r w:rsidR="00E3229E" w:rsidRPr="00F13A6C">
              <w:rPr>
                <w:lang w:val="en-US"/>
              </w:rPr>
              <w:t xml:space="preserve">, </w:t>
            </w:r>
            <w:r w:rsidR="00D0352F">
              <w:rPr>
                <w:lang w:val="en-US"/>
              </w:rPr>
              <w:t xml:space="preserve">including a diuretic, </w:t>
            </w:r>
            <w:r w:rsidR="00E3229E" w:rsidRPr="00F13A6C">
              <w:rPr>
                <w:lang w:val="en-US"/>
              </w:rPr>
              <w:t>a</w:t>
            </w:r>
            <w:r w:rsidR="00E3229E">
              <w:rPr>
                <w:lang w:val="en-US"/>
              </w:rPr>
              <w:t xml:space="preserve">t </w:t>
            </w:r>
            <w:r w:rsidR="00D04387">
              <w:rPr>
                <w:lang w:val="en-US"/>
              </w:rPr>
              <w:t>MTD</w:t>
            </w:r>
          </w:p>
          <w:p w14:paraId="35E648D4" w14:textId="0B720FA7" w:rsidR="007874C5" w:rsidRPr="00CE28E3" w:rsidRDefault="00EC51AC" w:rsidP="00D10895">
            <w:pPr>
              <w:pStyle w:val="TableText"/>
              <w:rPr>
                <w:lang w:val="en-US"/>
              </w:rPr>
            </w:pPr>
            <w:r w:rsidRPr="00C24D01">
              <w:rPr>
                <w:lang w:val="en-US"/>
              </w:rPr>
              <w:t>OSBP ≥1</w:t>
            </w:r>
            <w:r>
              <w:rPr>
                <w:lang w:val="en-US"/>
              </w:rPr>
              <w:t>60</w:t>
            </w:r>
            <w:r w:rsidR="00CA6C58">
              <w:rPr>
                <w:lang w:val="en-US"/>
              </w:rPr>
              <w:t> </w:t>
            </w:r>
            <w:r>
              <w:rPr>
                <w:lang w:val="en-US"/>
              </w:rPr>
              <w:t>mmHg</w:t>
            </w:r>
            <w:r w:rsidR="00D10895">
              <w:rPr>
                <w:lang w:val="en-US"/>
              </w:rPr>
              <w:t xml:space="preserve"> </w:t>
            </w:r>
            <w:r w:rsidR="007874C5">
              <w:rPr>
                <w:lang w:val="en-US"/>
              </w:rPr>
              <w:t xml:space="preserve">and mean 24-h ASBP </w:t>
            </w:r>
            <w:r w:rsidR="007874C5" w:rsidRPr="00C24D01">
              <w:rPr>
                <w:lang w:val="en-US"/>
              </w:rPr>
              <w:t>≥1</w:t>
            </w:r>
            <w:r w:rsidR="007874C5">
              <w:rPr>
                <w:lang w:val="en-US"/>
              </w:rPr>
              <w:t>35 mmHg</w:t>
            </w:r>
          </w:p>
        </w:tc>
        <w:tc>
          <w:tcPr>
            <w:tcW w:w="708" w:type="pct"/>
            <w:shd w:val="clear" w:color="auto" w:fill="auto"/>
          </w:tcPr>
          <w:p w14:paraId="2BBEDE72" w14:textId="62F73AEA" w:rsidR="004940E8" w:rsidRPr="00C5233A" w:rsidRDefault="004940E8" w:rsidP="004940E8">
            <w:pPr>
              <w:pStyle w:val="TableText"/>
              <w:rPr>
                <w:lang w:val="en-US"/>
              </w:rPr>
            </w:pPr>
            <w:r>
              <w:rPr>
                <w:lang w:val="en-US"/>
              </w:rPr>
              <w:t>C</w:t>
            </w:r>
            <w:r w:rsidRPr="00C5233A">
              <w:rPr>
                <w:lang w:val="en-US"/>
              </w:rPr>
              <w:t xml:space="preserve">hange from baseline </w:t>
            </w:r>
            <w:r w:rsidRPr="007F4459">
              <w:rPr>
                <w:lang w:val="en-US"/>
              </w:rPr>
              <w:t xml:space="preserve">in </w:t>
            </w:r>
            <w:r w:rsidRPr="007F4459">
              <w:rPr>
                <w:b/>
                <w:bCs/>
                <w:lang w:val="en-US"/>
              </w:rPr>
              <w:t>OSBP (6 mo)</w:t>
            </w:r>
            <w:r w:rsidRPr="007F4459">
              <w:rPr>
                <w:lang w:val="en-US"/>
              </w:rPr>
              <w:t>, ODBP</w:t>
            </w:r>
            <w:r w:rsidR="00751308" w:rsidRPr="007F4459">
              <w:rPr>
                <w:lang w:val="en-US"/>
              </w:rPr>
              <w:t>, 24-h ASBP, 24</w:t>
            </w:r>
            <w:r w:rsidR="00751308">
              <w:rPr>
                <w:lang w:val="en-US"/>
              </w:rPr>
              <w:t>-h ADBP</w:t>
            </w:r>
          </w:p>
          <w:p w14:paraId="5E84B0E6" w14:textId="28850997" w:rsidR="000521AC" w:rsidRPr="00CE28E3" w:rsidRDefault="00954693" w:rsidP="004940E8">
            <w:pPr>
              <w:pStyle w:val="TableText"/>
              <w:rPr>
                <w:lang w:val="en-US"/>
              </w:rPr>
            </w:pPr>
            <w:r>
              <w:rPr>
                <w:lang w:val="en-US"/>
              </w:rPr>
              <w:t>M</w:t>
            </w:r>
            <w:r w:rsidR="004940E8" w:rsidRPr="00C5233A">
              <w:rPr>
                <w:lang w:val="en-US"/>
              </w:rPr>
              <w:t>AE</w:t>
            </w:r>
          </w:p>
        </w:tc>
        <w:tc>
          <w:tcPr>
            <w:tcW w:w="679" w:type="pct"/>
            <w:shd w:val="clear" w:color="auto" w:fill="auto"/>
          </w:tcPr>
          <w:p w14:paraId="23835720" w14:textId="4644E6DC" w:rsidR="000521AC" w:rsidRPr="000874F7" w:rsidRDefault="003077B1">
            <w:pPr>
              <w:pStyle w:val="TableText"/>
              <w:rPr>
                <w:lang w:val="en-US"/>
              </w:rPr>
            </w:pPr>
            <w:r>
              <w:rPr>
                <w:lang w:val="en-US"/>
              </w:rPr>
              <w:t>ADAR SA (as part of MA of all trials including open)</w:t>
            </w:r>
          </w:p>
        </w:tc>
      </w:tr>
      <w:tr w:rsidR="000521AC" w:rsidRPr="00CE28E3" w14:paraId="2671A146" w14:textId="77777777" w:rsidTr="002734F7">
        <w:trPr>
          <w:cantSplit/>
        </w:trPr>
        <w:tc>
          <w:tcPr>
            <w:tcW w:w="795" w:type="pct"/>
            <w:shd w:val="clear" w:color="auto" w:fill="auto"/>
          </w:tcPr>
          <w:p w14:paraId="7FA6D790" w14:textId="0D113F68" w:rsidR="000521AC" w:rsidRDefault="00962CE4">
            <w:pPr>
              <w:pStyle w:val="TableText"/>
              <w:rPr>
                <w:lang w:val="en-US"/>
              </w:rPr>
            </w:pPr>
            <w:r>
              <w:rPr>
                <w:lang w:val="en-US"/>
              </w:rPr>
              <w:t>RDN</w:t>
            </w:r>
            <w:r w:rsidR="006B0300">
              <w:rPr>
                <w:lang w:val="en-US"/>
              </w:rPr>
              <w:t xml:space="preserve"> OSA</w:t>
            </w:r>
            <w:r w:rsidR="00676D67">
              <w:rPr>
                <w:lang w:val="en-US"/>
              </w:rPr>
              <w:br/>
            </w:r>
            <w:r w:rsidR="00F627FE">
              <w:rPr>
                <w:lang w:val="en-US"/>
              </w:rPr>
              <w:t>(OSA-DENERV1)</w:t>
            </w:r>
          </w:p>
          <w:p w14:paraId="15C46AE0" w14:textId="77777777" w:rsidR="00962CE4" w:rsidRDefault="00962CE4">
            <w:pPr>
              <w:pStyle w:val="TableText"/>
              <w:rPr>
                <w:lang w:val="en-US"/>
              </w:rPr>
            </w:pPr>
          </w:p>
          <w:p w14:paraId="43881981" w14:textId="5FC43802" w:rsidR="00A14CA3" w:rsidRPr="00DB14D0" w:rsidRDefault="00A14CA3">
            <w:pPr>
              <w:pStyle w:val="TableText"/>
              <w:rPr>
                <w:lang w:val="en-US"/>
              </w:rPr>
            </w:pPr>
            <w:r>
              <w:rPr>
                <w:lang w:val="en-US"/>
              </w:rPr>
              <w:t>Independent grant funded study</w:t>
            </w:r>
          </w:p>
        </w:tc>
        <w:tc>
          <w:tcPr>
            <w:tcW w:w="551" w:type="pct"/>
            <w:shd w:val="clear" w:color="auto" w:fill="auto"/>
          </w:tcPr>
          <w:p w14:paraId="574741FA" w14:textId="0BE30EE8" w:rsidR="000521AC" w:rsidRPr="00CE28E3" w:rsidRDefault="005170EF">
            <w:pPr>
              <w:pStyle w:val="TableText"/>
              <w:rPr>
                <w:lang w:val="en-US"/>
              </w:rPr>
            </w:pPr>
            <w:r>
              <w:rPr>
                <w:lang w:val="en-US"/>
              </w:rPr>
              <w:t>60</w:t>
            </w:r>
            <w:r>
              <w:rPr>
                <w:lang w:val="en-US"/>
              </w:rPr>
              <w:br/>
              <w:t>(30 RDN + 30 control)</w:t>
            </w:r>
          </w:p>
        </w:tc>
        <w:tc>
          <w:tcPr>
            <w:tcW w:w="499" w:type="pct"/>
            <w:shd w:val="clear" w:color="auto" w:fill="auto"/>
          </w:tcPr>
          <w:p w14:paraId="2F71D67C" w14:textId="15C67E4F" w:rsidR="006C048A" w:rsidRDefault="006C048A" w:rsidP="00C55F89">
            <w:pPr>
              <w:pStyle w:val="TableText"/>
              <w:rPr>
                <w:lang w:val="en-US"/>
              </w:rPr>
            </w:pPr>
            <w:r>
              <w:rPr>
                <w:lang w:val="en-US"/>
              </w:rPr>
              <w:t xml:space="preserve">R (1:1), </w:t>
            </w:r>
            <w:r w:rsidR="005170EF">
              <w:rPr>
                <w:lang w:val="en-US"/>
              </w:rPr>
              <w:t>S</w:t>
            </w:r>
            <w:r>
              <w:rPr>
                <w:lang w:val="en-US"/>
              </w:rPr>
              <w:t>C, OL</w:t>
            </w:r>
            <w:r w:rsidR="006D5276">
              <w:rPr>
                <w:lang w:val="en-US"/>
              </w:rPr>
              <w:t>, proof-of-concept trial</w:t>
            </w:r>
          </w:p>
          <w:p w14:paraId="63BB0509" w14:textId="49DDED1D" w:rsidR="000521AC" w:rsidRPr="00CE28E3" w:rsidRDefault="006C048A" w:rsidP="006C048A">
            <w:pPr>
              <w:pStyle w:val="TableText"/>
              <w:spacing w:before="120"/>
              <w:rPr>
                <w:lang w:val="en-US"/>
              </w:rPr>
            </w:pPr>
            <w:r>
              <w:rPr>
                <w:lang w:val="en-US"/>
              </w:rPr>
              <w:t>3 mo</w:t>
            </w:r>
          </w:p>
        </w:tc>
        <w:tc>
          <w:tcPr>
            <w:tcW w:w="649" w:type="pct"/>
            <w:shd w:val="clear" w:color="auto" w:fill="auto"/>
          </w:tcPr>
          <w:p w14:paraId="6137EA12" w14:textId="220F05D7" w:rsidR="006912E6" w:rsidRDefault="006912E6" w:rsidP="006912E6">
            <w:pPr>
              <w:pStyle w:val="TableText"/>
              <w:rPr>
                <w:iCs/>
                <w:lang w:val="en-US"/>
              </w:rPr>
            </w:pPr>
            <w:r>
              <w:rPr>
                <w:iCs/>
                <w:lang w:val="en-US"/>
              </w:rPr>
              <w:t xml:space="preserve">ADAR: </w:t>
            </w:r>
            <w:r w:rsidR="5A64E5C8" w:rsidRPr="36F8E183">
              <w:rPr>
                <w:lang w:val="en-US"/>
              </w:rPr>
              <w:t xml:space="preserve"> Moderate to high</w:t>
            </w:r>
          </w:p>
          <w:p w14:paraId="391B97AC" w14:textId="77777777" w:rsidR="006912E6" w:rsidRDefault="006912E6" w:rsidP="006912E6">
            <w:pPr>
              <w:pStyle w:val="TableText"/>
              <w:rPr>
                <w:iCs/>
                <w:lang w:val="en-US"/>
              </w:rPr>
            </w:pPr>
            <w:r>
              <w:rPr>
                <w:iCs/>
                <w:lang w:val="en-US"/>
              </w:rPr>
              <w:t xml:space="preserve">Commentary: </w:t>
            </w:r>
          </w:p>
          <w:p w14:paraId="18BD15B8" w14:textId="729660DF" w:rsidR="000521AC" w:rsidRPr="00C91436" w:rsidRDefault="006912E6" w:rsidP="006912E6">
            <w:pPr>
              <w:pStyle w:val="TableText"/>
              <w:rPr>
                <w:iCs/>
                <w:lang w:val="en-US"/>
              </w:rPr>
            </w:pPr>
            <w:r>
              <w:rPr>
                <w:iCs/>
                <w:lang w:val="en-US"/>
              </w:rPr>
              <w:t>High</w:t>
            </w:r>
          </w:p>
        </w:tc>
        <w:tc>
          <w:tcPr>
            <w:tcW w:w="1119" w:type="pct"/>
            <w:shd w:val="clear" w:color="auto" w:fill="auto"/>
          </w:tcPr>
          <w:p w14:paraId="0AFCA7C3" w14:textId="1CE49F06" w:rsidR="00E15ED9" w:rsidRDefault="00E15ED9" w:rsidP="00E15ED9">
            <w:pPr>
              <w:pStyle w:val="TableText"/>
            </w:pPr>
            <w:r>
              <w:rPr>
                <w:lang w:val="en-US"/>
              </w:rPr>
              <w:t xml:space="preserve">Adults </w:t>
            </w:r>
            <w:r w:rsidR="008175D5">
              <w:rPr>
                <w:lang w:val="en-US"/>
              </w:rPr>
              <w:t xml:space="preserve">(aged 18-70 y) </w:t>
            </w:r>
            <w:r>
              <w:rPr>
                <w:lang w:val="en-US"/>
              </w:rPr>
              <w:t>wi</w:t>
            </w:r>
            <w:r w:rsidRPr="00D939B8">
              <w:rPr>
                <w:lang w:val="en-US"/>
              </w:rPr>
              <w:t xml:space="preserve">th </w:t>
            </w:r>
            <w:r w:rsidRPr="00D939B8">
              <w:t xml:space="preserve">TRHTN </w:t>
            </w:r>
            <w:r w:rsidR="00120EB1" w:rsidRPr="00D939B8">
              <w:t>d</w:t>
            </w:r>
            <w:r w:rsidR="00120EB1">
              <w:t>espite</w:t>
            </w:r>
            <w:r w:rsidR="00120EB1" w:rsidRPr="00FF0214">
              <w:t xml:space="preserve"> </w:t>
            </w:r>
            <w:r w:rsidR="00120EB1" w:rsidRPr="00C44E8D">
              <w:rPr>
                <w:lang w:val="en-US"/>
              </w:rPr>
              <w:t xml:space="preserve">≥3 </w:t>
            </w:r>
            <w:r w:rsidR="00120EB1" w:rsidRPr="00C24D01">
              <w:rPr>
                <w:lang w:val="en-US"/>
              </w:rPr>
              <w:t>anti-HT m</w:t>
            </w:r>
            <w:r w:rsidR="00120EB1" w:rsidRPr="00F13A6C">
              <w:rPr>
                <w:lang w:val="en-US"/>
              </w:rPr>
              <w:t xml:space="preserve">eds, </w:t>
            </w:r>
            <w:r w:rsidR="00120EB1">
              <w:rPr>
                <w:lang w:val="en-US"/>
              </w:rPr>
              <w:t xml:space="preserve">including a diuretic, </w:t>
            </w:r>
            <w:r w:rsidR="00120EB1" w:rsidRPr="00F13A6C">
              <w:rPr>
                <w:lang w:val="en-US"/>
              </w:rPr>
              <w:t>a</w:t>
            </w:r>
            <w:r w:rsidR="00120EB1">
              <w:rPr>
                <w:lang w:val="en-US"/>
              </w:rPr>
              <w:t xml:space="preserve">t </w:t>
            </w:r>
            <w:r w:rsidR="002F29AC">
              <w:rPr>
                <w:lang w:val="en-US"/>
              </w:rPr>
              <w:t>full doses</w:t>
            </w:r>
            <w:r w:rsidR="003D5222">
              <w:rPr>
                <w:lang w:val="en-US"/>
              </w:rPr>
              <w:t>,</w:t>
            </w:r>
            <w:r w:rsidR="00120EB1">
              <w:t xml:space="preserve"> </w:t>
            </w:r>
            <w:r w:rsidR="00872117">
              <w:t>coexisting with moderate-to-severe OSA</w:t>
            </w:r>
          </w:p>
          <w:p w14:paraId="28F6F974" w14:textId="2183070A" w:rsidR="000521AC" w:rsidRPr="00CE28E3" w:rsidRDefault="007F6B20" w:rsidP="00E15ED9">
            <w:pPr>
              <w:pStyle w:val="TableText"/>
              <w:rPr>
                <w:lang w:val="en-US"/>
              </w:rPr>
            </w:pPr>
            <w:r>
              <w:rPr>
                <w:lang w:val="en-US"/>
              </w:rPr>
              <w:t xml:space="preserve">OSBP </w:t>
            </w:r>
            <w:r w:rsidRPr="00C24D01">
              <w:rPr>
                <w:lang w:val="en-US"/>
              </w:rPr>
              <w:t>≥</w:t>
            </w:r>
            <w:r w:rsidR="003B412A">
              <w:rPr>
                <w:lang w:val="en-US"/>
              </w:rPr>
              <w:t xml:space="preserve">140 mmHg </w:t>
            </w:r>
            <w:r>
              <w:rPr>
                <w:lang w:val="en-US"/>
              </w:rPr>
              <w:t>and m</w:t>
            </w:r>
            <w:r w:rsidR="00872117">
              <w:rPr>
                <w:lang w:val="en-US"/>
              </w:rPr>
              <w:t>ean daytime A</w:t>
            </w:r>
            <w:r w:rsidR="00E15ED9" w:rsidRPr="00C24D01">
              <w:rPr>
                <w:lang w:val="en-US"/>
              </w:rPr>
              <w:t xml:space="preserve">SBP </w:t>
            </w:r>
            <w:r w:rsidR="00E15ED9" w:rsidRPr="003B412A">
              <w:rPr>
                <w:lang w:val="en-US"/>
              </w:rPr>
              <w:t>≥1</w:t>
            </w:r>
            <w:r w:rsidR="00165D26" w:rsidRPr="003B412A">
              <w:rPr>
                <w:lang w:val="en-US"/>
              </w:rPr>
              <w:t>35</w:t>
            </w:r>
            <w:r w:rsidR="00CA6C58" w:rsidRPr="003B412A">
              <w:rPr>
                <w:lang w:val="en-US"/>
              </w:rPr>
              <w:t> </w:t>
            </w:r>
            <w:r w:rsidR="00E15ED9" w:rsidRPr="003B412A">
              <w:rPr>
                <w:lang w:val="en-US"/>
              </w:rPr>
              <w:t>m</w:t>
            </w:r>
            <w:r w:rsidR="00E15ED9">
              <w:rPr>
                <w:lang w:val="en-US"/>
              </w:rPr>
              <w:t>mHg</w:t>
            </w:r>
          </w:p>
        </w:tc>
        <w:tc>
          <w:tcPr>
            <w:tcW w:w="708" w:type="pct"/>
            <w:shd w:val="clear" w:color="auto" w:fill="auto"/>
          </w:tcPr>
          <w:p w14:paraId="51A118B5" w14:textId="617A01C5" w:rsidR="00635333" w:rsidRPr="00C5233A" w:rsidRDefault="00635333" w:rsidP="00635333">
            <w:pPr>
              <w:pStyle w:val="TableText"/>
              <w:rPr>
                <w:lang w:val="en-US"/>
              </w:rPr>
            </w:pPr>
            <w:r>
              <w:rPr>
                <w:lang w:val="en-US"/>
              </w:rPr>
              <w:t>C</w:t>
            </w:r>
            <w:r w:rsidRPr="00C5233A">
              <w:rPr>
                <w:lang w:val="en-US"/>
              </w:rPr>
              <w:t>hange from baselin</w:t>
            </w:r>
            <w:r w:rsidRPr="007F4459">
              <w:rPr>
                <w:lang w:val="en-US"/>
              </w:rPr>
              <w:t xml:space="preserve">e in </w:t>
            </w:r>
            <w:r w:rsidRPr="007F4459">
              <w:rPr>
                <w:b/>
                <w:bCs/>
                <w:lang w:val="en-US"/>
              </w:rPr>
              <w:t>OSBP (</w:t>
            </w:r>
            <w:r w:rsidR="00D92247" w:rsidRPr="007F4459">
              <w:rPr>
                <w:b/>
                <w:bCs/>
                <w:lang w:val="en-US"/>
              </w:rPr>
              <w:t>3</w:t>
            </w:r>
            <w:r w:rsidRPr="007F4459">
              <w:rPr>
                <w:b/>
                <w:bCs/>
                <w:lang w:val="en-US"/>
              </w:rPr>
              <w:t xml:space="preserve"> mo)</w:t>
            </w:r>
            <w:r w:rsidRPr="007F4459">
              <w:rPr>
                <w:lang w:val="en-US"/>
              </w:rPr>
              <w:t>, ODB</w:t>
            </w:r>
            <w:r w:rsidRPr="004940E8">
              <w:rPr>
                <w:lang w:val="en-US"/>
              </w:rPr>
              <w:t>P</w:t>
            </w:r>
            <w:r w:rsidR="0011434D">
              <w:rPr>
                <w:lang w:val="en-US"/>
              </w:rPr>
              <w:t xml:space="preserve">, </w:t>
            </w:r>
            <w:r w:rsidR="0011434D" w:rsidRPr="007F4459">
              <w:rPr>
                <w:lang w:val="en-US"/>
              </w:rPr>
              <w:t>24-h ASBP, 24</w:t>
            </w:r>
            <w:r w:rsidR="0011434D">
              <w:rPr>
                <w:lang w:val="en-US"/>
              </w:rPr>
              <w:t>-h ADBP</w:t>
            </w:r>
          </w:p>
          <w:p w14:paraId="402F38FB" w14:textId="6BB45873" w:rsidR="00DA623F" w:rsidRDefault="00BA639A" w:rsidP="00635333">
            <w:pPr>
              <w:pStyle w:val="TableText"/>
              <w:rPr>
                <w:lang w:val="en-US"/>
              </w:rPr>
            </w:pPr>
            <w:r>
              <w:rPr>
                <w:lang w:val="en-US"/>
              </w:rPr>
              <w:t>eGFR</w:t>
            </w:r>
          </w:p>
          <w:p w14:paraId="25CCA72A" w14:textId="14313E49" w:rsidR="000521AC" w:rsidRPr="00CE28E3" w:rsidRDefault="008E6EEE" w:rsidP="00635333">
            <w:pPr>
              <w:pStyle w:val="TableText"/>
              <w:rPr>
                <w:lang w:val="en-US"/>
              </w:rPr>
            </w:pPr>
            <w:r>
              <w:rPr>
                <w:lang w:val="en-US"/>
              </w:rPr>
              <w:t>CV events</w:t>
            </w:r>
          </w:p>
        </w:tc>
        <w:tc>
          <w:tcPr>
            <w:tcW w:w="679" w:type="pct"/>
            <w:shd w:val="clear" w:color="auto" w:fill="auto"/>
          </w:tcPr>
          <w:p w14:paraId="3735CFCC" w14:textId="2DF4E8BD" w:rsidR="000521AC" w:rsidRPr="000874F7" w:rsidRDefault="003077B1">
            <w:pPr>
              <w:pStyle w:val="TableText"/>
              <w:rPr>
                <w:lang w:val="en-US"/>
              </w:rPr>
            </w:pPr>
            <w:r>
              <w:rPr>
                <w:lang w:val="en-US"/>
              </w:rPr>
              <w:t>ADAR SA (as part of MA of all trials including open)</w:t>
            </w:r>
          </w:p>
        </w:tc>
      </w:tr>
      <w:tr w:rsidR="00950F05" w:rsidRPr="00CE28E3" w14:paraId="1C5796FC" w14:textId="77777777" w:rsidTr="002734F7">
        <w:trPr>
          <w:cantSplit/>
        </w:trPr>
        <w:tc>
          <w:tcPr>
            <w:tcW w:w="795" w:type="pct"/>
            <w:tcBorders>
              <w:bottom w:val="single" w:sz="4" w:space="0" w:color="auto"/>
            </w:tcBorders>
            <w:shd w:val="clear" w:color="auto" w:fill="auto"/>
          </w:tcPr>
          <w:p w14:paraId="4BEB2A2D" w14:textId="77777777" w:rsidR="000521AC" w:rsidRDefault="00962CE4">
            <w:pPr>
              <w:pStyle w:val="TableText"/>
              <w:rPr>
                <w:lang w:val="en-US"/>
              </w:rPr>
            </w:pPr>
            <w:r>
              <w:rPr>
                <w:lang w:val="en-US"/>
              </w:rPr>
              <w:t>DENER-HTN</w:t>
            </w:r>
          </w:p>
          <w:p w14:paraId="32C79D48" w14:textId="77777777" w:rsidR="00A14CA3" w:rsidRDefault="00A14CA3" w:rsidP="00A14CA3">
            <w:pPr>
              <w:pStyle w:val="TableText"/>
              <w:rPr>
                <w:lang w:val="en-US"/>
              </w:rPr>
            </w:pPr>
          </w:p>
          <w:p w14:paraId="7044BDF0" w14:textId="2EE99ADD" w:rsidR="00A14CA3" w:rsidRPr="00DB14D0" w:rsidRDefault="00A14CA3" w:rsidP="00A14CA3">
            <w:pPr>
              <w:pStyle w:val="TableText"/>
              <w:rPr>
                <w:lang w:val="en-US"/>
              </w:rPr>
            </w:pPr>
            <w:r>
              <w:rPr>
                <w:lang w:val="en-US"/>
              </w:rPr>
              <w:t>Independent grant funded study</w:t>
            </w:r>
          </w:p>
        </w:tc>
        <w:tc>
          <w:tcPr>
            <w:tcW w:w="551" w:type="pct"/>
            <w:tcBorders>
              <w:bottom w:val="single" w:sz="4" w:space="0" w:color="auto"/>
            </w:tcBorders>
            <w:shd w:val="clear" w:color="auto" w:fill="auto"/>
          </w:tcPr>
          <w:p w14:paraId="18379348" w14:textId="4C77C42D" w:rsidR="000521AC" w:rsidRPr="00CE28E3" w:rsidRDefault="006D5556">
            <w:pPr>
              <w:pStyle w:val="TableText"/>
              <w:rPr>
                <w:lang w:val="en-US"/>
              </w:rPr>
            </w:pPr>
            <w:r>
              <w:rPr>
                <w:lang w:val="en-US"/>
              </w:rPr>
              <w:t>106</w:t>
            </w:r>
            <w:r>
              <w:rPr>
                <w:lang w:val="en-US"/>
              </w:rPr>
              <w:br/>
              <w:t>(53 RDN + 53 control)</w:t>
            </w:r>
          </w:p>
        </w:tc>
        <w:tc>
          <w:tcPr>
            <w:tcW w:w="499" w:type="pct"/>
            <w:tcBorders>
              <w:bottom w:val="single" w:sz="4" w:space="0" w:color="auto"/>
            </w:tcBorders>
            <w:shd w:val="clear" w:color="auto" w:fill="auto"/>
          </w:tcPr>
          <w:p w14:paraId="0F900A09" w14:textId="23AAE365" w:rsidR="006C048A" w:rsidRPr="002152A4" w:rsidRDefault="006C048A" w:rsidP="00C55F89">
            <w:pPr>
              <w:pStyle w:val="TableText"/>
              <w:rPr>
                <w:lang w:val="pt-BR"/>
              </w:rPr>
            </w:pPr>
            <w:r w:rsidRPr="002152A4">
              <w:rPr>
                <w:lang w:val="pt-BR"/>
              </w:rPr>
              <w:t>R (1:1), MC, OL</w:t>
            </w:r>
          </w:p>
          <w:p w14:paraId="2719E4A2" w14:textId="25F04668" w:rsidR="000521AC" w:rsidRPr="002152A4" w:rsidRDefault="006C048A" w:rsidP="006C048A">
            <w:pPr>
              <w:pStyle w:val="TableText"/>
              <w:spacing w:before="120"/>
              <w:rPr>
                <w:lang w:val="pt-BR"/>
              </w:rPr>
            </w:pPr>
            <w:r w:rsidRPr="002152A4">
              <w:rPr>
                <w:lang w:val="pt-BR"/>
              </w:rPr>
              <w:t>6 mo</w:t>
            </w:r>
            <w:r w:rsidR="00C60051" w:rsidRPr="002152A4">
              <w:rPr>
                <w:lang w:val="pt-BR"/>
              </w:rPr>
              <w:t xml:space="preserve"> (AEs to 48 mo)</w:t>
            </w:r>
          </w:p>
        </w:tc>
        <w:tc>
          <w:tcPr>
            <w:tcW w:w="649" w:type="pct"/>
            <w:tcBorders>
              <w:bottom w:val="single" w:sz="4" w:space="0" w:color="auto"/>
            </w:tcBorders>
            <w:shd w:val="clear" w:color="auto" w:fill="auto"/>
          </w:tcPr>
          <w:p w14:paraId="221171E2" w14:textId="7B1F0246" w:rsidR="006912E6" w:rsidRDefault="006912E6" w:rsidP="006912E6">
            <w:pPr>
              <w:pStyle w:val="TableText"/>
              <w:rPr>
                <w:iCs/>
                <w:lang w:val="en-US"/>
              </w:rPr>
            </w:pPr>
            <w:r>
              <w:rPr>
                <w:iCs/>
                <w:lang w:val="en-US"/>
              </w:rPr>
              <w:t xml:space="preserve">ADAR: </w:t>
            </w:r>
            <w:r w:rsidR="70B96987" w:rsidRPr="28330B66">
              <w:rPr>
                <w:lang w:val="en-US"/>
              </w:rPr>
              <w:t xml:space="preserve"> Moderate to high</w:t>
            </w:r>
          </w:p>
          <w:p w14:paraId="124AA014" w14:textId="77777777" w:rsidR="006912E6" w:rsidRDefault="006912E6" w:rsidP="006912E6">
            <w:pPr>
              <w:pStyle w:val="TableText"/>
              <w:rPr>
                <w:iCs/>
                <w:lang w:val="en-US"/>
              </w:rPr>
            </w:pPr>
            <w:r>
              <w:rPr>
                <w:iCs/>
                <w:lang w:val="en-US"/>
              </w:rPr>
              <w:t xml:space="preserve">Commentary: </w:t>
            </w:r>
          </w:p>
          <w:p w14:paraId="2764EC86" w14:textId="53EBE2DA" w:rsidR="000521AC" w:rsidRPr="00C91436" w:rsidRDefault="006912E6" w:rsidP="006912E6">
            <w:pPr>
              <w:pStyle w:val="TableText"/>
              <w:rPr>
                <w:iCs/>
                <w:lang w:val="en-US"/>
              </w:rPr>
            </w:pPr>
            <w:r>
              <w:rPr>
                <w:iCs/>
                <w:lang w:val="en-US"/>
              </w:rPr>
              <w:t>High</w:t>
            </w:r>
          </w:p>
        </w:tc>
        <w:tc>
          <w:tcPr>
            <w:tcW w:w="1119" w:type="pct"/>
            <w:tcBorders>
              <w:bottom w:val="single" w:sz="4" w:space="0" w:color="auto"/>
            </w:tcBorders>
            <w:shd w:val="clear" w:color="auto" w:fill="auto"/>
          </w:tcPr>
          <w:p w14:paraId="321A22DB" w14:textId="77777777" w:rsidR="00640562" w:rsidRDefault="00E85E33" w:rsidP="00E85E33">
            <w:pPr>
              <w:pStyle w:val="TableText"/>
              <w:rPr>
                <w:lang w:val="en-US"/>
              </w:rPr>
            </w:pPr>
            <w:r w:rsidRPr="0048155D">
              <w:rPr>
                <w:lang w:val="en-US"/>
              </w:rPr>
              <w:t xml:space="preserve">Adults </w:t>
            </w:r>
            <w:r w:rsidR="003B2C49" w:rsidRPr="0048155D">
              <w:rPr>
                <w:lang w:val="en-US"/>
              </w:rPr>
              <w:t xml:space="preserve">(aged 18-75 y) </w:t>
            </w:r>
            <w:r w:rsidRPr="0048155D">
              <w:rPr>
                <w:lang w:val="en-US"/>
              </w:rPr>
              <w:t xml:space="preserve">with </w:t>
            </w:r>
            <w:r w:rsidR="00B154DE" w:rsidRPr="0048155D">
              <w:t xml:space="preserve">resistant essential </w:t>
            </w:r>
            <w:r w:rsidRPr="0048155D">
              <w:t xml:space="preserve">HTN despite </w:t>
            </w:r>
            <w:r w:rsidRPr="0048155D">
              <w:rPr>
                <w:lang w:val="en-US"/>
              </w:rPr>
              <w:t xml:space="preserve">≥3 anti-HT med classes, </w:t>
            </w:r>
            <w:r w:rsidR="004B466C" w:rsidRPr="0048155D">
              <w:rPr>
                <w:lang w:val="en-US"/>
              </w:rPr>
              <w:t xml:space="preserve">including a diuretic, </w:t>
            </w:r>
            <w:r w:rsidRPr="0048155D">
              <w:rPr>
                <w:lang w:val="en-US"/>
              </w:rPr>
              <w:t xml:space="preserve">at </w:t>
            </w:r>
            <w:r w:rsidR="007C70A3" w:rsidRPr="0048155D">
              <w:rPr>
                <w:lang w:val="en-US"/>
              </w:rPr>
              <w:t>MTD</w:t>
            </w:r>
          </w:p>
          <w:p w14:paraId="10269674" w14:textId="561E61AB" w:rsidR="00E85E33" w:rsidRPr="0048155D" w:rsidRDefault="00640562" w:rsidP="00E85E33">
            <w:pPr>
              <w:pStyle w:val="TableText"/>
              <w:rPr>
                <w:lang w:val="en-US"/>
              </w:rPr>
            </w:pPr>
            <w:r>
              <w:rPr>
                <w:lang w:val="en-US"/>
              </w:rPr>
              <w:t xml:space="preserve">All patients switched to standardised triple </w:t>
            </w:r>
            <w:r>
              <w:t>anti-HT</w:t>
            </w:r>
            <w:r>
              <w:rPr>
                <w:lang w:val="en-US"/>
              </w:rPr>
              <w:t xml:space="preserve"> therapy</w:t>
            </w:r>
          </w:p>
          <w:p w14:paraId="70037917" w14:textId="53DB181A" w:rsidR="00E401A1" w:rsidRDefault="00474CCD" w:rsidP="00E85E33">
            <w:pPr>
              <w:pStyle w:val="TableText"/>
            </w:pPr>
            <w:r w:rsidRPr="0048155D">
              <w:t xml:space="preserve">Diurnal ASBP </w:t>
            </w:r>
            <w:r w:rsidR="00AF643F" w:rsidRPr="0048155D">
              <w:rPr>
                <w:lang w:val="en-US"/>
              </w:rPr>
              <w:t>≥</w:t>
            </w:r>
            <w:r w:rsidRPr="0048155D">
              <w:t>135</w:t>
            </w:r>
            <w:r w:rsidR="00AF643F" w:rsidRPr="0048155D">
              <w:t> </w:t>
            </w:r>
            <w:r w:rsidRPr="0048155D">
              <w:t>mmHg and</w:t>
            </w:r>
            <w:r>
              <w:t xml:space="preserve">/or </w:t>
            </w:r>
            <w:r w:rsidR="00A936D4">
              <w:t xml:space="preserve">ADBP </w:t>
            </w:r>
            <w:r w:rsidR="00AF643F" w:rsidRPr="00C24D01">
              <w:rPr>
                <w:lang w:val="en-US"/>
              </w:rPr>
              <w:t>≥</w:t>
            </w:r>
            <w:r w:rsidR="00A936D4">
              <w:t>85</w:t>
            </w:r>
            <w:r w:rsidR="00AF643F">
              <w:t> </w:t>
            </w:r>
            <w:r w:rsidR="00A936D4">
              <w:t xml:space="preserve">mmHg after </w:t>
            </w:r>
            <w:r w:rsidR="001F5C26">
              <w:t>switching</w:t>
            </w:r>
          </w:p>
          <w:p w14:paraId="65D2AA11" w14:textId="4A718367" w:rsidR="00527F46" w:rsidRPr="00CE28E3" w:rsidRDefault="00E85E33" w:rsidP="00E85E33">
            <w:pPr>
              <w:pStyle w:val="TableText"/>
              <w:rPr>
                <w:lang w:val="en-US"/>
              </w:rPr>
            </w:pPr>
            <w:r w:rsidRPr="00C24D01">
              <w:rPr>
                <w:lang w:val="en-US"/>
              </w:rPr>
              <w:t>OSBP ≥1</w:t>
            </w:r>
            <w:r w:rsidR="00D459CB">
              <w:rPr>
                <w:lang w:val="en-US"/>
              </w:rPr>
              <w:t>4</w:t>
            </w:r>
            <w:r>
              <w:rPr>
                <w:lang w:val="en-US"/>
              </w:rPr>
              <w:t>0</w:t>
            </w:r>
            <w:r w:rsidR="00CA6C58">
              <w:rPr>
                <w:lang w:val="en-US"/>
              </w:rPr>
              <w:t> </w:t>
            </w:r>
            <w:r>
              <w:rPr>
                <w:lang w:val="en-US"/>
              </w:rPr>
              <w:t>mmHg</w:t>
            </w:r>
            <w:r w:rsidR="00CD3C98">
              <w:rPr>
                <w:lang w:val="en-US"/>
              </w:rPr>
              <w:t xml:space="preserve"> </w:t>
            </w:r>
            <w:r w:rsidR="00BD4F0C">
              <w:rPr>
                <w:lang w:val="en-US"/>
              </w:rPr>
              <w:t>and/</w:t>
            </w:r>
            <w:r w:rsidR="00CD3C98">
              <w:rPr>
                <w:lang w:val="en-US"/>
              </w:rPr>
              <w:t xml:space="preserve">or ODBP </w:t>
            </w:r>
            <w:r w:rsidR="00CD3C98" w:rsidRPr="00C24D01">
              <w:rPr>
                <w:lang w:val="en-US"/>
              </w:rPr>
              <w:t>≥</w:t>
            </w:r>
            <w:r w:rsidR="00CD3C98">
              <w:rPr>
                <w:lang w:val="en-US"/>
              </w:rPr>
              <w:t>90 mmHg</w:t>
            </w:r>
          </w:p>
        </w:tc>
        <w:tc>
          <w:tcPr>
            <w:tcW w:w="708" w:type="pct"/>
            <w:tcBorders>
              <w:bottom w:val="single" w:sz="4" w:space="0" w:color="auto"/>
            </w:tcBorders>
            <w:shd w:val="clear" w:color="auto" w:fill="auto"/>
          </w:tcPr>
          <w:p w14:paraId="005A567A" w14:textId="605D39F3" w:rsidR="005C288C" w:rsidRPr="00C5233A" w:rsidRDefault="005C288C" w:rsidP="005C288C">
            <w:pPr>
              <w:pStyle w:val="TableText"/>
              <w:rPr>
                <w:lang w:val="en-US"/>
              </w:rPr>
            </w:pPr>
            <w:r>
              <w:rPr>
                <w:lang w:val="en-US"/>
              </w:rPr>
              <w:t>C</w:t>
            </w:r>
            <w:r w:rsidRPr="00C5233A">
              <w:rPr>
                <w:lang w:val="en-US"/>
              </w:rPr>
              <w:t>hange from bas</w:t>
            </w:r>
            <w:r w:rsidRPr="00086FFC">
              <w:rPr>
                <w:lang w:val="en-US"/>
              </w:rPr>
              <w:t>eline in</w:t>
            </w:r>
            <w:r w:rsidR="00086FFC" w:rsidRPr="00086FFC">
              <w:rPr>
                <w:lang w:val="en-US"/>
              </w:rPr>
              <w:t xml:space="preserve"> 24-h</w:t>
            </w:r>
            <w:r w:rsidRPr="00086FFC">
              <w:rPr>
                <w:lang w:val="en-US"/>
              </w:rPr>
              <w:t xml:space="preserve"> ASBP, </w:t>
            </w:r>
            <w:r w:rsidR="00086FFC" w:rsidRPr="00086FFC">
              <w:rPr>
                <w:lang w:val="en-US"/>
              </w:rPr>
              <w:t>24-</w:t>
            </w:r>
            <w:r w:rsidR="00086FFC" w:rsidRPr="007F4459">
              <w:rPr>
                <w:lang w:val="en-US"/>
              </w:rPr>
              <w:t xml:space="preserve">h </w:t>
            </w:r>
            <w:r w:rsidR="00BF5806">
              <w:rPr>
                <w:lang w:val="en-US"/>
              </w:rPr>
              <w:t xml:space="preserve">ADBP, OSBP, </w:t>
            </w:r>
            <w:r w:rsidRPr="004940E8">
              <w:rPr>
                <w:lang w:val="en-US"/>
              </w:rPr>
              <w:t>ODBP</w:t>
            </w:r>
          </w:p>
          <w:p w14:paraId="5DD342C3" w14:textId="3E73F42B" w:rsidR="000521AC" w:rsidRPr="00CE28E3" w:rsidRDefault="005C288C">
            <w:pPr>
              <w:pStyle w:val="TableText"/>
              <w:rPr>
                <w:lang w:val="en-US"/>
              </w:rPr>
            </w:pPr>
            <w:r w:rsidRPr="00C5233A">
              <w:rPr>
                <w:lang w:val="en-US"/>
              </w:rPr>
              <w:t>AE</w:t>
            </w:r>
            <w:r>
              <w:rPr>
                <w:lang w:val="en-US"/>
              </w:rPr>
              <w:t>s</w:t>
            </w:r>
            <w:r w:rsidR="00DE69E6">
              <w:rPr>
                <w:lang w:val="en-US"/>
              </w:rPr>
              <w:t>, eGFR</w:t>
            </w:r>
          </w:p>
        </w:tc>
        <w:tc>
          <w:tcPr>
            <w:tcW w:w="679" w:type="pct"/>
            <w:shd w:val="clear" w:color="auto" w:fill="auto"/>
          </w:tcPr>
          <w:p w14:paraId="0CB524F6" w14:textId="537A5F1A" w:rsidR="000521AC" w:rsidRPr="000874F7" w:rsidRDefault="00FC2A72">
            <w:pPr>
              <w:pStyle w:val="TableText"/>
              <w:rPr>
                <w:lang w:val="en-US"/>
              </w:rPr>
            </w:pPr>
            <w:r>
              <w:rPr>
                <w:lang w:val="en-US"/>
              </w:rPr>
              <w:t>ADAR SA (as part of MA of all trials including open)</w:t>
            </w:r>
          </w:p>
        </w:tc>
      </w:tr>
      <w:tr w:rsidR="00FE17F7" w:rsidRPr="00CE28E3" w14:paraId="6BEB0AD8" w14:textId="77777777" w:rsidTr="002734F7">
        <w:trPr>
          <w:cantSplit/>
        </w:trPr>
        <w:tc>
          <w:tcPr>
            <w:tcW w:w="795" w:type="pct"/>
            <w:tcBorders>
              <w:right w:val="nil"/>
            </w:tcBorders>
            <w:shd w:val="clear" w:color="auto" w:fill="auto"/>
          </w:tcPr>
          <w:p w14:paraId="08C4FBE7" w14:textId="26388F11" w:rsidR="009F256F" w:rsidRPr="00FE17F7" w:rsidRDefault="00FE17F7" w:rsidP="00F71956">
            <w:pPr>
              <w:pStyle w:val="TableText"/>
              <w:keepNext/>
              <w:rPr>
                <w:b/>
                <w:bCs/>
                <w:lang w:val="en-US"/>
              </w:rPr>
            </w:pPr>
            <w:r w:rsidRPr="00FE17F7">
              <w:rPr>
                <w:b/>
                <w:bCs/>
                <w:lang w:val="en-US"/>
              </w:rPr>
              <w:t>Observational</w:t>
            </w:r>
          </w:p>
        </w:tc>
        <w:tc>
          <w:tcPr>
            <w:tcW w:w="551" w:type="pct"/>
            <w:tcBorders>
              <w:left w:val="nil"/>
              <w:right w:val="nil"/>
            </w:tcBorders>
            <w:shd w:val="clear" w:color="auto" w:fill="auto"/>
          </w:tcPr>
          <w:p w14:paraId="08008C16" w14:textId="320712C5" w:rsidR="009F256F" w:rsidRPr="00FE17F7" w:rsidRDefault="009F256F">
            <w:pPr>
              <w:pStyle w:val="TableText"/>
              <w:rPr>
                <w:b/>
                <w:bCs/>
                <w:lang w:val="en-US"/>
              </w:rPr>
            </w:pPr>
          </w:p>
        </w:tc>
        <w:tc>
          <w:tcPr>
            <w:tcW w:w="499" w:type="pct"/>
            <w:tcBorders>
              <w:left w:val="nil"/>
              <w:right w:val="nil"/>
            </w:tcBorders>
            <w:shd w:val="clear" w:color="auto" w:fill="auto"/>
          </w:tcPr>
          <w:p w14:paraId="7447741D" w14:textId="47981FC1" w:rsidR="009F256F" w:rsidRPr="00FE17F7" w:rsidRDefault="009F256F" w:rsidP="00E966F8">
            <w:pPr>
              <w:pStyle w:val="TableText"/>
              <w:rPr>
                <w:b/>
                <w:bCs/>
                <w:lang w:val="en-US"/>
              </w:rPr>
            </w:pPr>
          </w:p>
        </w:tc>
        <w:tc>
          <w:tcPr>
            <w:tcW w:w="649" w:type="pct"/>
            <w:tcBorders>
              <w:left w:val="nil"/>
              <w:right w:val="nil"/>
            </w:tcBorders>
            <w:shd w:val="clear" w:color="auto" w:fill="auto"/>
          </w:tcPr>
          <w:p w14:paraId="2C13C3FD" w14:textId="06E88959" w:rsidR="009F256F" w:rsidRPr="00FE17F7" w:rsidRDefault="009F256F">
            <w:pPr>
              <w:pStyle w:val="TableText"/>
              <w:rPr>
                <w:b/>
                <w:bCs/>
                <w:iCs/>
                <w:lang w:val="en-US"/>
              </w:rPr>
            </w:pPr>
          </w:p>
        </w:tc>
        <w:tc>
          <w:tcPr>
            <w:tcW w:w="1119" w:type="pct"/>
            <w:tcBorders>
              <w:left w:val="nil"/>
              <w:right w:val="nil"/>
            </w:tcBorders>
            <w:shd w:val="clear" w:color="auto" w:fill="auto"/>
          </w:tcPr>
          <w:p w14:paraId="34EDAA96" w14:textId="524F961E" w:rsidR="009F256F" w:rsidRPr="00FE17F7" w:rsidRDefault="009F256F">
            <w:pPr>
              <w:pStyle w:val="TableText"/>
              <w:rPr>
                <w:b/>
                <w:bCs/>
                <w:lang w:val="en-US"/>
              </w:rPr>
            </w:pPr>
          </w:p>
        </w:tc>
        <w:tc>
          <w:tcPr>
            <w:tcW w:w="708" w:type="pct"/>
            <w:tcBorders>
              <w:left w:val="nil"/>
              <w:right w:val="nil"/>
            </w:tcBorders>
            <w:shd w:val="clear" w:color="auto" w:fill="auto"/>
          </w:tcPr>
          <w:p w14:paraId="3F61DE99" w14:textId="4F6563C8" w:rsidR="009F256F" w:rsidRPr="00FE17F7" w:rsidRDefault="009F256F">
            <w:pPr>
              <w:pStyle w:val="TableText"/>
              <w:rPr>
                <w:b/>
                <w:bCs/>
                <w:lang w:val="en-US"/>
              </w:rPr>
            </w:pPr>
          </w:p>
        </w:tc>
        <w:tc>
          <w:tcPr>
            <w:tcW w:w="679" w:type="pct"/>
            <w:tcBorders>
              <w:left w:val="nil"/>
            </w:tcBorders>
            <w:shd w:val="clear" w:color="auto" w:fill="auto"/>
          </w:tcPr>
          <w:p w14:paraId="28A5639B" w14:textId="395C621B" w:rsidR="009F256F" w:rsidRPr="00FE17F7" w:rsidRDefault="009F256F">
            <w:pPr>
              <w:pStyle w:val="TableText"/>
              <w:rPr>
                <w:b/>
                <w:bCs/>
                <w:lang w:val="en-US"/>
              </w:rPr>
            </w:pPr>
          </w:p>
        </w:tc>
      </w:tr>
      <w:tr w:rsidR="00FE17F7" w:rsidRPr="00CE28E3" w14:paraId="5DC86C9E" w14:textId="77777777" w:rsidTr="002734F7">
        <w:trPr>
          <w:cantSplit/>
        </w:trPr>
        <w:tc>
          <w:tcPr>
            <w:tcW w:w="795" w:type="pct"/>
            <w:tcBorders>
              <w:bottom w:val="single" w:sz="4" w:space="0" w:color="auto"/>
            </w:tcBorders>
            <w:shd w:val="clear" w:color="auto" w:fill="auto"/>
          </w:tcPr>
          <w:p w14:paraId="7355F35A" w14:textId="13FF058A" w:rsidR="00461008" w:rsidRDefault="00AA4C58" w:rsidP="00461008">
            <w:pPr>
              <w:pStyle w:val="TableText"/>
              <w:rPr>
                <w:lang w:val="en-US"/>
              </w:rPr>
            </w:pPr>
            <w:r>
              <w:rPr>
                <w:lang w:val="en-US"/>
              </w:rPr>
              <w:t>Global SYMPLICITY Registry (</w:t>
            </w:r>
            <w:r w:rsidR="00FE17F7">
              <w:rPr>
                <w:lang w:val="en-US"/>
              </w:rPr>
              <w:t>GSR</w:t>
            </w:r>
            <w:r>
              <w:rPr>
                <w:lang w:val="en-US"/>
              </w:rPr>
              <w:t>)</w:t>
            </w:r>
          </w:p>
          <w:p w14:paraId="5C3198FC" w14:textId="77777777" w:rsidR="00461008" w:rsidRDefault="00461008" w:rsidP="00461008">
            <w:pPr>
              <w:pStyle w:val="TableText"/>
            </w:pPr>
          </w:p>
          <w:p w14:paraId="535AE762" w14:textId="4365C1CD" w:rsidR="00FE17F7" w:rsidRDefault="00461008" w:rsidP="00461008">
            <w:pPr>
              <w:pStyle w:val="TableText"/>
              <w:rPr>
                <w:lang w:val="en-US"/>
              </w:rPr>
            </w:pPr>
            <w:r w:rsidRPr="005D7F1A">
              <w:t>Sponsored by Medtronic</w:t>
            </w:r>
          </w:p>
        </w:tc>
        <w:tc>
          <w:tcPr>
            <w:tcW w:w="551" w:type="pct"/>
            <w:tcBorders>
              <w:bottom w:val="single" w:sz="4" w:space="0" w:color="auto"/>
            </w:tcBorders>
            <w:shd w:val="clear" w:color="auto" w:fill="auto"/>
          </w:tcPr>
          <w:p w14:paraId="6FDE6B88" w14:textId="025D3707" w:rsidR="006D2E17" w:rsidRDefault="00404AA6">
            <w:pPr>
              <w:pStyle w:val="TableText"/>
              <w:rPr>
                <w:lang w:val="en-US"/>
              </w:rPr>
            </w:pPr>
            <w:r>
              <w:rPr>
                <w:lang w:val="en-US"/>
              </w:rPr>
              <w:t>Target</w:t>
            </w:r>
            <w:r w:rsidR="00ED2545">
              <w:rPr>
                <w:lang w:val="en-US"/>
              </w:rPr>
              <w:t xml:space="preserve"> enrolment </w:t>
            </w:r>
            <w:r>
              <w:rPr>
                <w:lang w:val="en-US"/>
              </w:rPr>
              <w:t>&gt;</w:t>
            </w:r>
            <w:r w:rsidR="00ED2545">
              <w:rPr>
                <w:lang w:val="en-US"/>
              </w:rPr>
              <w:t xml:space="preserve">5,000 </w:t>
            </w:r>
            <w:r>
              <w:rPr>
                <w:lang w:val="en-US"/>
              </w:rPr>
              <w:t xml:space="preserve">worldwide </w:t>
            </w:r>
            <w:r w:rsidR="00ED2545">
              <w:rPr>
                <w:lang w:val="en-US"/>
              </w:rPr>
              <w:t>(o</w:t>
            </w:r>
            <w:r w:rsidR="00132DF2">
              <w:rPr>
                <w:lang w:val="en-US"/>
              </w:rPr>
              <w:t>ngoing</w:t>
            </w:r>
            <w:r w:rsidR="00ED2545">
              <w:rPr>
                <w:lang w:val="en-US"/>
              </w:rPr>
              <w:t>)</w:t>
            </w:r>
          </w:p>
          <w:p w14:paraId="616B8E70" w14:textId="1E7E08B2" w:rsidR="005801D4" w:rsidRPr="00CE28E3" w:rsidRDefault="00DC0C14">
            <w:pPr>
              <w:pStyle w:val="TableText"/>
              <w:rPr>
                <w:lang w:val="en-US"/>
              </w:rPr>
            </w:pPr>
            <w:r>
              <w:rPr>
                <w:lang w:val="en-US"/>
              </w:rPr>
              <w:t>2,</w:t>
            </w:r>
            <w:r w:rsidR="00A6184A">
              <w:rPr>
                <w:lang w:val="en-US"/>
              </w:rPr>
              <w:t>466</w:t>
            </w:r>
            <w:r w:rsidR="009B03AB">
              <w:rPr>
                <w:lang w:val="en-US"/>
              </w:rPr>
              <w:t xml:space="preserve"> </w:t>
            </w:r>
            <w:r w:rsidR="000C5E22">
              <w:rPr>
                <w:lang w:val="en-US"/>
              </w:rPr>
              <w:t xml:space="preserve">with </w:t>
            </w:r>
            <w:r w:rsidR="008209D4">
              <w:rPr>
                <w:lang w:val="en-US"/>
              </w:rPr>
              <w:t>3 y F/U</w:t>
            </w:r>
          </w:p>
        </w:tc>
        <w:tc>
          <w:tcPr>
            <w:tcW w:w="499" w:type="pct"/>
            <w:tcBorders>
              <w:bottom w:val="single" w:sz="4" w:space="0" w:color="auto"/>
            </w:tcBorders>
            <w:shd w:val="clear" w:color="auto" w:fill="auto"/>
          </w:tcPr>
          <w:p w14:paraId="00A4FF16" w14:textId="3E7EF796" w:rsidR="00FE17F7" w:rsidRDefault="0024473F" w:rsidP="00086EF2">
            <w:pPr>
              <w:pStyle w:val="TableText"/>
              <w:rPr>
                <w:lang w:val="en-US"/>
              </w:rPr>
            </w:pPr>
            <w:r>
              <w:rPr>
                <w:lang w:val="en-US"/>
              </w:rPr>
              <w:t xml:space="preserve">P, </w:t>
            </w:r>
            <w:r w:rsidR="009A5822">
              <w:rPr>
                <w:lang w:val="en-US"/>
              </w:rPr>
              <w:t>MC</w:t>
            </w:r>
            <w:r w:rsidR="00563531" w:rsidRPr="00563531">
              <w:rPr>
                <w:vertAlign w:val="superscript"/>
                <w:lang w:val="en-US"/>
              </w:rPr>
              <w:t>a</w:t>
            </w:r>
            <w:r w:rsidR="009A5822">
              <w:rPr>
                <w:lang w:val="en-US"/>
              </w:rPr>
              <w:t xml:space="preserve">, </w:t>
            </w:r>
            <w:r w:rsidR="00086EF2">
              <w:rPr>
                <w:lang w:val="en-US"/>
              </w:rPr>
              <w:t xml:space="preserve">MN, </w:t>
            </w:r>
            <w:r>
              <w:rPr>
                <w:lang w:val="en-US"/>
              </w:rPr>
              <w:t>OL</w:t>
            </w:r>
            <w:r w:rsidR="007F3DF5">
              <w:rPr>
                <w:lang w:val="en-US"/>
              </w:rPr>
              <w:t>, registry</w:t>
            </w:r>
          </w:p>
          <w:p w14:paraId="764457D8" w14:textId="0A86C50D" w:rsidR="003B0E03" w:rsidRPr="00CE28E3" w:rsidRDefault="00306F43" w:rsidP="00E33158">
            <w:pPr>
              <w:pStyle w:val="TableText"/>
              <w:spacing w:before="120"/>
              <w:rPr>
                <w:lang w:val="en-US"/>
              </w:rPr>
            </w:pPr>
            <w:r>
              <w:rPr>
                <w:lang w:val="en-US"/>
              </w:rPr>
              <w:t>36</w:t>
            </w:r>
            <w:r w:rsidR="00297C24">
              <w:rPr>
                <w:lang w:val="en-US"/>
              </w:rPr>
              <w:t>-</w:t>
            </w:r>
            <w:r>
              <w:rPr>
                <w:lang w:val="en-US"/>
              </w:rPr>
              <w:t>mo</w:t>
            </w:r>
            <w:r w:rsidR="0057503E">
              <w:rPr>
                <w:lang w:val="en-US"/>
              </w:rPr>
              <w:t xml:space="preserve"> </w:t>
            </w:r>
            <w:r w:rsidR="00B42851">
              <w:rPr>
                <w:lang w:val="en-US"/>
              </w:rPr>
              <w:t>data published</w:t>
            </w:r>
          </w:p>
        </w:tc>
        <w:tc>
          <w:tcPr>
            <w:tcW w:w="649" w:type="pct"/>
            <w:tcBorders>
              <w:bottom w:val="single" w:sz="4" w:space="0" w:color="auto"/>
            </w:tcBorders>
            <w:shd w:val="clear" w:color="auto" w:fill="auto"/>
          </w:tcPr>
          <w:p w14:paraId="36EAEEA8" w14:textId="71A5C33E" w:rsidR="00FE17F7" w:rsidRPr="00AF69E9" w:rsidRDefault="00DD663A" w:rsidP="00DD663A">
            <w:pPr>
              <w:pStyle w:val="TableText"/>
              <w:rPr>
                <w:iCs/>
                <w:lang w:val="en-US"/>
              </w:rPr>
            </w:pPr>
            <w:r>
              <w:rPr>
                <w:iCs/>
                <w:lang w:val="en-US"/>
              </w:rPr>
              <w:t xml:space="preserve">ADAR: </w:t>
            </w:r>
            <w:r w:rsidR="00E41125">
              <w:rPr>
                <w:iCs/>
                <w:lang w:val="en-US"/>
              </w:rPr>
              <w:t>not assessed</w:t>
            </w:r>
          </w:p>
        </w:tc>
        <w:tc>
          <w:tcPr>
            <w:tcW w:w="1119" w:type="pct"/>
            <w:tcBorders>
              <w:bottom w:val="single" w:sz="4" w:space="0" w:color="auto"/>
            </w:tcBorders>
            <w:shd w:val="clear" w:color="auto" w:fill="auto"/>
          </w:tcPr>
          <w:p w14:paraId="6DD2802A" w14:textId="78E58FDD" w:rsidR="00FE17F7" w:rsidRPr="00DD0BC5" w:rsidRDefault="00C9010C">
            <w:pPr>
              <w:pStyle w:val="TableText"/>
            </w:pPr>
            <w:r>
              <w:t xml:space="preserve">Adults (aged ≥18 y) </w:t>
            </w:r>
            <w:r w:rsidR="009A5822">
              <w:t>with u</w:t>
            </w:r>
            <w:r w:rsidR="003C5BCB" w:rsidRPr="003C5BCB">
              <w:t xml:space="preserve">ncontrolled </w:t>
            </w:r>
            <w:r w:rsidR="003C5BCB">
              <w:t>HTN</w:t>
            </w:r>
            <w:r w:rsidR="003C5BCB" w:rsidRPr="003C5BCB">
              <w:t xml:space="preserve"> and/or conditions associated with </w:t>
            </w:r>
            <w:r w:rsidR="002C7E8C">
              <w:t xml:space="preserve">SNS </w:t>
            </w:r>
            <w:r w:rsidR="003C5BCB" w:rsidRPr="003C5BCB">
              <w:t>activation</w:t>
            </w:r>
            <w:r w:rsidR="00EC4F02">
              <w:t xml:space="preserve"> who had undergone RDN with a SYMPLICITY</w:t>
            </w:r>
            <w:r w:rsidR="0084222E">
              <w:t xml:space="preserve"> device (Flex or Spyral)</w:t>
            </w:r>
            <w:r w:rsidR="00E9132B">
              <w:t>; eligibility for RDN</w:t>
            </w:r>
            <w:r w:rsidR="009D3BD4">
              <w:t xml:space="preserve"> as defined by local regulations</w:t>
            </w:r>
          </w:p>
        </w:tc>
        <w:tc>
          <w:tcPr>
            <w:tcW w:w="708" w:type="pct"/>
            <w:tcBorders>
              <w:bottom w:val="single" w:sz="4" w:space="0" w:color="auto"/>
            </w:tcBorders>
            <w:shd w:val="clear" w:color="auto" w:fill="auto"/>
          </w:tcPr>
          <w:p w14:paraId="573B6B39" w14:textId="77777777" w:rsidR="004C301C" w:rsidRPr="00C5233A" w:rsidRDefault="004C301C" w:rsidP="004C301C">
            <w:pPr>
              <w:pStyle w:val="TableText"/>
              <w:rPr>
                <w:lang w:val="en-US"/>
              </w:rPr>
            </w:pPr>
            <w:r>
              <w:rPr>
                <w:lang w:val="en-US"/>
              </w:rPr>
              <w:t>C</w:t>
            </w:r>
            <w:r w:rsidRPr="00C5233A">
              <w:rPr>
                <w:lang w:val="en-US"/>
              </w:rPr>
              <w:t>hange from bas</w:t>
            </w:r>
            <w:r w:rsidRPr="00086FFC">
              <w:rPr>
                <w:lang w:val="en-US"/>
              </w:rPr>
              <w:t>eline in 24-h ASBP, 24-</w:t>
            </w:r>
            <w:r w:rsidRPr="007F4459">
              <w:rPr>
                <w:lang w:val="en-US"/>
              </w:rPr>
              <w:t xml:space="preserve">h </w:t>
            </w:r>
            <w:r>
              <w:rPr>
                <w:lang w:val="en-US"/>
              </w:rPr>
              <w:t xml:space="preserve">ADBP, OSBP, </w:t>
            </w:r>
            <w:r w:rsidRPr="004940E8">
              <w:rPr>
                <w:lang w:val="en-US"/>
              </w:rPr>
              <w:t>ODBP</w:t>
            </w:r>
          </w:p>
          <w:p w14:paraId="47B2C1D7" w14:textId="5A8335DD" w:rsidR="004C301C" w:rsidRDefault="00B44450">
            <w:pPr>
              <w:pStyle w:val="TableText"/>
              <w:rPr>
                <w:lang w:val="en-US"/>
              </w:rPr>
            </w:pPr>
            <w:r>
              <w:rPr>
                <w:lang w:val="en-US"/>
              </w:rPr>
              <w:t>MAE</w:t>
            </w:r>
            <w:r w:rsidR="00792865">
              <w:rPr>
                <w:lang w:val="en-US"/>
              </w:rPr>
              <w:t xml:space="preserve">, </w:t>
            </w:r>
            <w:r w:rsidR="004C301C">
              <w:rPr>
                <w:lang w:val="en-US"/>
              </w:rPr>
              <w:t>eGFR</w:t>
            </w:r>
          </w:p>
          <w:p w14:paraId="3F8BC2FE" w14:textId="1F22153F" w:rsidR="00263FB6" w:rsidRPr="00CE28E3" w:rsidRDefault="007577AA">
            <w:pPr>
              <w:pStyle w:val="TableText"/>
              <w:rPr>
                <w:lang w:val="en-US"/>
              </w:rPr>
            </w:pPr>
            <w:r>
              <w:rPr>
                <w:lang w:val="en-US"/>
              </w:rPr>
              <w:t>S</w:t>
            </w:r>
            <w:r w:rsidR="00263FB6">
              <w:rPr>
                <w:lang w:val="en-US"/>
              </w:rPr>
              <w:t>ubgroup analyses</w:t>
            </w:r>
          </w:p>
        </w:tc>
        <w:tc>
          <w:tcPr>
            <w:tcW w:w="679" w:type="pct"/>
            <w:tcBorders>
              <w:bottom w:val="single" w:sz="4" w:space="0" w:color="auto"/>
            </w:tcBorders>
            <w:shd w:val="clear" w:color="auto" w:fill="auto"/>
          </w:tcPr>
          <w:p w14:paraId="6FC46E4D" w14:textId="2BA9A978" w:rsidR="00FE17F7" w:rsidRPr="00CE28E3" w:rsidRDefault="00DB49E2">
            <w:pPr>
              <w:pStyle w:val="TableText"/>
              <w:rPr>
                <w:lang w:val="en-US"/>
              </w:rPr>
            </w:pPr>
            <w:r>
              <w:rPr>
                <w:lang w:val="en-US"/>
              </w:rPr>
              <w:t xml:space="preserve">ADAR </w:t>
            </w:r>
            <w:r w:rsidR="009D06D6">
              <w:rPr>
                <w:lang w:val="en-US"/>
              </w:rPr>
              <w:t>base case (population characteristics)</w:t>
            </w:r>
          </w:p>
        </w:tc>
      </w:tr>
      <w:tr w:rsidR="00D770CF" w:rsidRPr="00953916" w14:paraId="2116AC54" w14:textId="77777777" w:rsidTr="002734F7">
        <w:trPr>
          <w:cantSplit/>
        </w:trPr>
        <w:tc>
          <w:tcPr>
            <w:tcW w:w="795" w:type="pct"/>
            <w:tcBorders>
              <w:bottom w:val="single" w:sz="4" w:space="0" w:color="auto"/>
            </w:tcBorders>
            <w:shd w:val="clear" w:color="auto" w:fill="auto"/>
          </w:tcPr>
          <w:p w14:paraId="6A988D8D" w14:textId="0EAAFE7C" w:rsidR="00D770CF" w:rsidRPr="00FC4866" w:rsidRDefault="00D770CF" w:rsidP="00D770CF">
            <w:pPr>
              <w:pStyle w:val="TableText"/>
              <w:rPr>
                <w:lang w:val="en-US"/>
              </w:rPr>
            </w:pPr>
            <w:r w:rsidRPr="00FC4866">
              <w:rPr>
                <w:lang w:val="en-US"/>
              </w:rPr>
              <w:t>Sesa-Ashton 2023</w:t>
            </w:r>
          </w:p>
        </w:tc>
        <w:tc>
          <w:tcPr>
            <w:tcW w:w="551" w:type="pct"/>
            <w:tcBorders>
              <w:bottom w:val="single" w:sz="4" w:space="0" w:color="auto"/>
            </w:tcBorders>
            <w:shd w:val="clear" w:color="auto" w:fill="auto"/>
          </w:tcPr>
          <w:p w14:paraId="797B3B1A" w14:textId="60F83D2A" w:rsidR="00D770CF" w:rsidRPr="00FC4866" w:rsidRDefault="0084222E" w:rsidP="00D770CF">
            <w:pPr>
              <w:pStyle w:val="TableText"/>
              <w:rPr>
                <w:lang w:val="en-US"/>
              </w:rPr>
            </w:pPr>
            <w:r w:rsidRPr="00FC4866">
              <w:rPr>
                <w:lang w:val="en-US"/>
              </w:rPr>
              <w:t>66</w:t>
            </w:r>
            <w:r w:rsidR="00AC18F6" w:rsidRPr="00FC4866">
              <w:rPr>
                <w:lang w:val="en-US"/>
              </w:rPr>
              <w:t xml:space="preserve"> with long-term F/U</w:t>
            </w:r>
          </w:p>
        </w:tc>
        <w:tc>
          <w:tcPr>
            <w:tcW w:w="499" w:type="pct"/>
            <w:tcBorders>
              <w:bottom w:val="single" w:sz="4" w:space="0" w:color="auto"/>
            </w:tcBorders>
            <w:shd w:val="clear" w:color="auto" w:fill="auto"/>
          </w:tcPr>
          <w:p w14:paraId="1D1299F7" w14:textId="77777777" w:rsidR="00D770CF" w:rsidRPr="002152A4" w:rsidRDefault="00D770CF" w:rsidP="00D770CF">
            <w:pPr>
              <w:pStyle w:val="TableText"/>
              <w:rPr>
                <w:lang w:val="es-ES"/>
              </w:rPr>
            </w:pPr>
            <w:r w:rsidRPr="002152A4">
              <w:rPr>
                <w:lang w:val="es-ES"/>
              </w:rPr>
              <w:t>SC, OL</w:t>
            </w:r>
          </w:p>
          <w:p w14:paraId="665EFF37" w14:textId="52EFF5F8" w:rsidR="00BC492D" w:rsidRPr="002152A4" w:rsidRDefault="00BC492D" w:rsidP="00D770CF">
            <w:pPr>
              <w:pStyle w:val="TableText"/>
              <w:rPr>
                <w:lang w:val="es-ES"/>
              </w:rPr>
            </w:pPr>
            <w:r w:rsidRPr="002152A4">
              <w:rPr>
                <w:lang w:val="es-ES"/>
              </w:rPr>
              <w:t>Australia</w:t>
            </w:r>
          </w:p>
          <w:p w14:paraId="07974F55" w14:textId="5AAA9F21" w:rsidR="00D770CF" w:rsidRPr="002152A4" w:rsidRDefault="00C90038" w:rsidP="00E33158">
            <w:pPr>
              <w:pStyle w:val="TableText"/>
              <w:spacing w:before="120"/>
              <w:rPr>
                <w:lang w:val="es-ES"/>
              </w:rPr>
            </w:pPr>
            <w:r w:rsidRPr="002152A4">
              <w:rPr>
                <w:lang w:val="es-ES"/>
              </w:rPr>
              <w:t xml:space="preserve">Mean F/U </w:t>
            </w:r>
            <w:r w:rsidR="002923E7" w:rsidRPr="002152A4">
              <w:rPr>
                <w:lang w:val="es-ES"/>
              </w:rPr>
              <w:t>8.8 ±1.2 y</w:t>
            </w:r>
          </w:p>
        </w:tc>
        <w:tc>
          <w:tcPr>
            <w:tcW w:w="649" w:type="pct"/>
            <w:tcBorders>
              <w:bottom w:val="single" w:sz="4" w:space="0" w:color="auto"/>
            </w:tcBorders>
            <w:shd w:val="clear" w:color="auto" w:fill="auto"/>
          </w:tcPr>
          <w:p w14:paraId="52CB1F28" w14:textId="53073D93" w:rsidR="00D770CF" w:rsidRPr="00FC4866" w:rsidRDefault="00D770CF" w:rsidP="00D770CF">
            <w:pPr>
              <w:pStyle w:val="TableText"/>
              <w:rPr>
                <w:iCs/>
                <w:lang w:val="en-US"/>
              </w:rPr>
            </w:pPr>
            <w:r w:rsidRPr="00FC4866">
              <w:rPr>
                <w:iCs/>
                <w:lang w:val="en-US"/>
              </w:rPr>
              <w:t xml:space="preserve">ADAR: </w:t>
            </w:r>
            <w:r w:rsidR="00E41125" w:rsidRPr="00FC4866">
              <w:rPr>
                <w:iCs/>
                <w:lang w:val="en-US"/>
              </w:rPr>
              <w:t>not assessed</w:t>
            </w:r>
          </w:p>
        </w:tc>
        <w:tc>
          <w:tcPr>
            <w:tcW w:w="1119" w:type="pct"/>
            <w:tcBorders>
              <w:bottom w:val="single" w:sz="4" w:space="0" w:color="auto"/>
            </w:tcBorders>
            <w:shd w:val="clear" w:color="auto" w:fill="auto"/>
          </w:tcPr>
          <w:p w14:paraId="557732F9" w14:textId="04DC9DFE" w:rsidR="00D770CF" w:rsidRPr="00FC4866" w:rsidRDefault="00125311" w:rsidP="00D770CF">
            <w:pPr>
              <w:pStyle w:val="TableText"/>
            </w:pPr>
            <w:r w:rsidRPr="00FC4866">
              <w:t>A</w:t>
            </w:r>
            <w:r w:rsidR="00297847" w:rsidRPr="00FC4866">
              <w:t xml:space="preserve">dults with </w:t>
            </w:r>
            <w:r w:rsidR="00707331">
              <w:t>TR</w:t>
            </w:r>
            <w:r w:rsidR="00297847" w:rsidRPr="00FC4866">
              <w:t xml:space="preserve">HTN </w:t>
            </w:r>
            <w:r w:rsidR="00EC4F02" w:rsidRPr="00FC4866">
              <w:t>who had undergone RDN with SYMPLICITY F</w:t>
            </w:r>
            <w:r w:rsidR="0084222E" w:rsidRPr="00FC4866">
              <w:t>l</w:t>
            </w:r>
            <w:r w:rsidR="00EC4F02" w:rsidRPr="00FC4866">
              <w:t>ex</w:t>
            </w:r>
            <w:r w:rsidR="00C90038" w:rsidRPr="00FC4866">
              <w:t xml:space="preserve"> as part of various clinical trials</w:t>
            </w:r>
            <w:r w:rsidR="00B6646A" w:rsidRPr="00FC4866">
              <w:t xml:space="preserve"> and had </w:t>
            </w:r>
            <w:r w:rsidR="009B5B98" w:rsidRPr="00FC4866">
              <w:t>long-term F/U</w:t>
            </w:r>
          </w:p>
        </w:tc>
        <w:tc>
          <w:tcPr>
            <w:tcW w:w="708" w:type="pct"/>
            <w:tcBorders>
              <w:bottom w:val="single" w:sz="4" w:space="0" w:color="auto"/>
            </w:tcBorders>
            <w:shd w:val="clear" w:color="auto" w:fill="auto"/>
          </w:tcPr>
          <w:p w14:paraId="5DCFA428" w14:textId="77777777" w:rsidR="00EC4AD5" w:rsidRPr="00FC4866" w:rsidRDefault="00EC4AD5" w:rsidP="00EC4AD5">
            <w:pPr>
              <w:pStyle w:val="TableText"/>
              <w:rPr>
                <w:lang w:val="en-US"/>
              </w:rPr>
            </w:pPr>
            <w:r w:rsidRPr="00FC4866">
              <w:rPr>
                <w:lang w:val="en-US"/>
              </w:rPr>
              <w:t>Change from baseline in 24-h ASBP, 24-h ADBP, OSBP, ODBP</w:t>
            </w:r>
          </w:p>
          <w:p w14:paraId="58EB5472" w14:textId="7309AF94" w:rsidR="00D770CF" w:rsidRPr="00FC4866" w:rsidRDefault="00246320" w:rsidP="00D770CF">
            <w:pPr>
              <w:pStyle w:val="TableText"/>
              <w:rPr>
                <w:lang w:val="en-US"/>
              </w:rPr>
            </w:pPr>
            <w:r>
              <w:rPr>
                <w:lang w:val="en-US"/>
              </w:rPr>
              <w:t xml:space="preserve">AEs, </w:t>
            </w:r>
            <w:r w:rsidR="008D08A7" w:rsidRPr="00FC4866">
              <w:rPr>
                <w:lang w:val="en-US"/>
              </w:rPr>
              <w:t>eGFR</w:t>
            </w:r>
          </w:p>
        </w:tc>
        <w:tc>
          <w:tcPr>
            <w:tcW w:w="679" w:type="pct"/>
            <w:tcBorders>
              <w:bottom w:val="single" w:sz="4" w:space="0" w:color="auto"/>
            </w:tcBorders>
            <w:shd w:val="clear" w:color="auto" w:fill="auto"/>
          </w:tcPr>
          <w:p w14:paraId="57137905" w14:textId="2414BDB6" w:rsidR="00D770CF" w:rsidRPr="00FC4866" w:rsidRDefault="005902E0" w:rsidP="00D770CF">
            <w:pPr>
              <w:pStyle w:val="TableText"/>
              <w:rPr>
                <w:lang w:val="en-US"/>
              </w:rPr>
            </w:pPr>
            <w:r w:rsidRPr="00FC4866">
              <w:rPr>
                <w:lang w:val="en-US"/>
              </w:rPr>
              <w:t>Not used</w:t>
            </w:r>
          </w:p>
        </w:tc>
      </w:tr>
      <w:tr w:rsidR="00D770CF" w:rsidRPr="00953916" w14:paraId="505E3C4D" w14:textId="77777777" w:rsidTr="002734F7">
        <w:trPr>
          <w:cantSplit/>
        </w:trPr>
        <w:tc>
          <w:tcPr>
            <w:tcW w:w="795" w:type="pct"/>
            <w:shd w:val="clear" w:color="auto" w:fill="auto"/>
          </w:tcPr>
          <w:p w14:paraId="7DA0A245" w14:textId="609CBE55" w:rsidR="00D770CF" w:rsidRPr="00174F11" w:rsidRDefault="00D770CF" w:rsidP="00D770CF">
            <w:pPr>
              <w:pStyle w:val="TableText"/>
              <w:rPr>
                <w:lang w:val="en-US"/>
              </w:rPr>
            </w:pPr>
            <w:r w:rsidRPr="00174F11">
              <w:rPr>
                <w:lang w:val="en-US"/>
              </w:rPr>
              <w:t>Al Ghorani 2023 (published letter)</w:t>
            </w:r>
          </w:p>
        </w:tc>
        <w:tc>
          <w:tcPr>
            <w:tcW w:w="551" w:type="pct"/>
            <w:shd w:val="clear" w:color="auto" w:fill="auto"/>
          </w:tcPr>
          <w:p w14:paraId="167E292E" w14:textId="538E0932" w:rsidR="00D770CF" w:rsidRPr="00174F11" w:rsidRDefault="0097235E" w:rsidP="00D770CF">
            <w:pPr>
              <w:pStyle w:val="TableText"/>
              <w:rPr>
                <w:lang w:val="en-US"/>
              </w:rPr>
            </w:pPr>
            <w:r w:rsidRPr="00174F11">
              <w:rPr>
                <w:lang w:val="en-US"/>
              </w:rPr>
              <w:t>39 (out of 107</w:t>
            </w:r>
            <w:r w:rsidR="00C8050C" w:rsidRPr="00174F11">
              <w:rPr>
                <w:lang w:val="en-US"/>
              </w:rPr>
              <w:t xml:space="preserve">) with </w:t>
            </w:r>
            <w:r w:rsidR="0008265E" w:rsidRPr="00174F11">
              <w:rPr>
                <w:lang w:val="en-US"/>
              </w:rPr>
              <w:t xml:space="preserve">long-term </w:t>
            </w:r>
            <w:r w:rsidR="00C8050C" w:rsidRPr="00174F11">
              <w:rPr>
                <w:lang w:val="en-US"/>
              </w:rPr>
              <w:t xml:space="preserve">F/U </w:t>
            </w:r>
          </w:p>
        </w:tc>
        <w:tc>
          <w:tcPr>
            <w:tcW w:w="499" w:type="pct"/>
            <w:shd w:val="clear" w:color="auto" w:fill="auto"/>
          </w:tcPr>
          <w:p w14:paraId="63450C76" w14:textId="4A1FDC2E" w:rsidR="00D770CF" w:rsidRPr="00174F11" w:rsidRDefault="00343A8D" w:rsidP="00D770CF">
            <w:pPr>
              <w:pStyle w:val="TableText"/>
              <w:rPr>
                <w:lang w:val="en-US"/>
              </w:rPr>
            </w:pPr>
            <w:r w:rsidRPr="00174F11">
              <w:rPr>
                <w:lang w:val="en-US"/>
              </w:rPr>
              <w:t xml:space="preserve">P, </w:t>
            </w:r>
            <w:r w:rsidR="00D770CF" w:rsidRPr="00174F11">
              <w:rPr>
                <w:lang w:val="en-US"/>
              </w:rPr>
              <w:t>SC, OL</w:t>
            </w:r>
          </w:p>
          <w:p w14:paraId="599035E9" w14:textId="6F12023D" w:rsidR="00BC492D" w:rsidRPr="00174F11" w:rsidRDefault="00BC492D" w:rsidP="00D770CF">
            <w:pPr>
              <w:pStyle w:val="TableText"/>
              <w:rPr>
                <w:lang w:val="en-US"/>
              </w:rPr>
            </w:pPr>
            <w:r w:rsidRPr="00174F11">
              <w:rPr>
                <w:lang w:val="en-US"/>
              </w:rPr>
              <w:t>Germany</w:t>
            </w:r>
          </w:p>
          <w:p w14:paraId="3F1260BB" w14:textId="10E70471" w:rsidR="00D770CF" w:rsidRPr="00174F11" w:rsidRDefault="00ED6D2B" w:rsidP="00D770CF">
            <w:pPr>
              <w:pStyle w:val="TableText"/>
              <w:spacing w:before="120"/>
              <w:rPr>
                <w:lang w:val="en-US"/>
              </w:rPr>
            </w:pPr>
            <w:r w:rsidRPr="00174F11">
              <w:rPr>
                <w:lang w:val="en-US"/>
              </w:rPr>
              <w:t>Mean F/U 9.4 ±0.7 y</w:t>
            </w:r>
          </w:p>
        </w:tc>
        <w:tc>
          <w:tcPr>
            <w:tcW w:w="649" w:type="pct"/>
            <w:shd w:val="clear" w:color="auto" w:fill="auto"/>
          </w:tcPr>
          <w:p w14:paraId="5B78A792" w14:textId="2559D5A7" w:rsidR="00D770CF" w:rsidRPr="00174F11" w:rsidRDefault="00D770CF" w:rsidP="00D770CF">
            <w:pPr>
              <w:pStyle w:val="TableText"/>
              <w:rPr>
                <w:iCs/>
                <w:lang w:val="en-US"/>
              </w:rPr>
            </w:pPr>
            <w:r w:rsidRPr="00174F11">
              <w:rPr>
                <w:iCs/>
                <w:lang w:val="en-US"/>
              </w:rPr>
              <w:t xml:space="preserve">ADAR: </w:t>
            </w:r>
            <w:r w:rsidR="00E41125" w:rsidRPr="00174F11">
              <w:rPr>
                <w:iCs/>
                <w:lang w:val="en-US"/>
              </w:rPr>
              <w:t>not assessed</w:t>
            </w:r>
          </w:p>
        </w:tc>
        <w:tc>
          <w:tcPr>
            <w:tcW w:w="1119" w:type="pct"/>
            <w:shd w:val="clear" w:color="auto" w:fill="auto"/>
          </w:tcPr>
          <w:p w14:paraId="1C123E8D" w14:textId="0ABFF1B6" w:rsidR="00D770CF" w:rsidRPr="00174F11" w:rsidRDefault="0097235E" w:rsidP="00D770CF">
            <w:pPr>
              <w:pStyle w:val="TableText"/>
            </w:pPr>
            <w:r w:rsidRPr="00174F11">
              <w:t xml:space="preserve">Adults with </w:t>
            </w:r>
            <w:r w:rsidR="00707331">
              <w:t>TR</w:t>
            </w:r>
            <w:r w:rsidRPr="00174F11">
              <w:t>HTN who had undergone RDN with SYMPLICITY Flex</w:t>
            </w:r>
            <w:r w:rsidR="0001437B" w:rsidRPr="00174F11">
              <w:t xml:space="preserve"> and had long-term F/U</w:t>
            </w:r>
          </w:p>
        </w:tc>
        <w:tc>
          <w:tcPr>
            <w:tcW w:w="708" w:type="pct"/>
            <w:shd w:val="clear" w:color="auto" w:fill="auto"/>
          </w:tcPr>
          <w:p w14:paraId="43CB5D89" w14:textId="77777777" w:rsidR="00D770CF" w:rsidRPr="00174F11" w:rsidRDefault="00BB1260" w:rsidP="00D770CF">
            <w:pPr>
              <w:pStyle w:val="TableText"/>
              <w:rPr>
                <w:lang w:val="en-US"/>
              </w:rPr>
            </w:pPr>
            <w:r w:rsidRPr="00174F11">
              <w:rPr>
                <w:lang w:val="en-US"/>
              </w:rPr>
              <w:t>Change from baseline in 24-h ASBP, 24-h ADBP</w:t>
            </w:r>
          </w:p>
          <w:p w14:paraId="4274FA82" w14:textId="5D88551C" w:rsidR="00174F11" w:rsidRPr="00174F11" w:rsidRDefault="00174F11" w:rsidP="00D770CF">
            <w:pPr>
              <w:pStyle w:val="TableText"/>
              <w:rPr>
                <w:lang w:val="en-US"/>
              </w:rPr>
            </w:pPr>
            <w:r w:rsidRPr="00174F11">
              <w:rPr>
                <w:lang w:val="en-US"/>
              </w:rPr>
              <w:t>eGFR</w:t>
            </w:r>
          </w:p>
        </w:tc>
        <w:tc>
          <w:tcPr>
            <w:tcW w:w="679" w:type="pct"/>
            <w:shd w:val="clear" w:color="auto" w:fill="auto"/>
          </w:tcPr>
          <w:p w14:paraId="1CBB1696" w14:textId="24280D18" w:rsidR="00D770CF" w:rsidRPr="00174F11" w:rsidRDefault="005902E0" w:rsidP="00D770CF">
            <w:pPr>
              <w:pStyle w:val="TableText"/>
              <w:rPr>
                <w:lang w:val="en-US"/>
              </w:rPr>
            </w:pPr>
            <w:r w:rsidRPr="00174F11">
              <w:rPr>
                <w:lang w:val="en-US"/>
              </w:rPr>
              <w:t>Not used</w:t>
            </w:r>
          </w:p>
        </w:tc>
      </w:tr>
      <w:tr w:rsidR="0008265E" w:rsidRPr="00953916" w14:paraId="0C6E728C" w14:textId="77777777" w:rsidTr="002734F7">
        <w:trPr>
          <w:cantSplit/>
        </w:trPr>
        <w:tc>
          <w:tcPr>
            <w:tcW w:w="795" w:type="pct"/>
            <w:tcBorders>
              <w:bottom w:val="single" w:sz="4" w:space="0" w:color="auto"/>
            </w:tcBorders>
            <w:shd w:val="clear" w:color="auto" w:fill="auto"/>
          </w:tcPr>
          <w:p w14:paraId="307E57CA" w14:textId="360237BB" w:rsidR="0008265E" w:rsidRPr="00157403" w:rsidRDefault="0008265E" w:rsidP="00D770CF">
            <w:pPr>
              <w:pStyle w:val="TableText"/>
              <w:rPr>
                <w:lang w:val="en-US"/>
              </w:rPr>
            </w:pPr>
            <w:r w:rsidRPr="00157403">
              <w:rPr>
                <w:lang w:val="en-US"/>
              </w:rPr>
              <w:t>Zeijen 2022</w:t>
            </w:r>
          </w:p>
        </w:tc>
        <w:tc>
          <w:tcPr>
            <w:tcW w:w="551" w:type="pct"/>
            <w:tcBorders>
              <w:bottom w:val="single" w:sz="4" w:space="0" w:color="auto"/>
            </w:tcBorders>
            <w:shd w:val="clear" w:color="auto" w:fill="auto"/>
          </w:tcPr>
          <w:p w14:paraId="79FAA490" w14:textId="7BB08463" w:rsidR="0008265E" w:rsidRPr="00157403" w:rsidRDefault="00FB2251" w:rsidP="00D770CF">
            <w:pPr>
              <w:pStyle w:val="TableText"/>
              <w:rPr>
                <w:lang w:val="en-US"/>
              </w:rPr>
            </w:pPr>
            <w:r w:rsidRPr="00157403">
              <w:rPr>
                <w:lang w:val="en-US"/>
              </w:rPr>
              <w:t>72</w:t>
            </w:r>
          </w:p>
        </w:tc>
        <w:tc>
          <w:tcPr>
            <w:tcW w:w="499" w:type="pct"/>
            <w:tcBorders>
              <w:bottom w:val="single" w:sz="4" w:space="0" w:color="auto"/>
            </w:tcBorders>
            <w:shd w:val="clear" w:color="auto" w:fill="auto"/>
          </w:tcPr>
          <w:p w14:paraId="4D5B143D" w14:textId="43001762" w:rsidR="0008265E" w:rsidRPr="00157403" w:rsidRDefault="00BC492D" w:rsidP="00D770CF">
            <w:pPr>
              <w:pStyle w:val="TableText"/>
              <w:rPr>
                <w:lang w:val="en-US"/>
              </w:rPr>
            </w:pPr>
            <w:r w:rsidRPr="00157403">
              <w:rPr>
                <w:lang w:val="en-US"/>
              </w:rPr>
              <w:t>SC</w:t>
            </w:r>
            <w:r w:rsidR="004333E1" w:rsidRPr="00157403">
              <w:rPr>
                <w:lang w:val="en-US"/>
              </w:rPr>
              <w:t>, OL</w:t>
            </w:r>
            <w:r w:rsidR="000960A4" w:rsidRPr="00157403">
              <w:rPr>
                <w:lang w:val="en-US"/>
              </w:rPr>
              <w:t>, registry</w:t>
            </w:r>
          </w:p>
          <w:p w14:paraId="7D37B3B8" w14:textId="23EA2828" w:rsidR="00BC492D" w:rsidRPr="00157403" w:rsidRDefault="00BC492D" w:rsidP="00D770CF">
            <w:pPr>
              <w:pStyle w:val="TableText"/>
              <w:rPr>
                <w:lang w:val="en-US"/>
              </w:rPr>
            </w:pPr>
            <w:r w:rsidRPr="00157403">
              <w:rPr>
                <w:lang w:val="en-US"/>
              </w:rPr>
              <w:t>N</w:t>
            </w:r>
            <w:r w:rsidR="009E76BE">
              <w:rPr>
                <w:lang w:val="en-US"/>
              </w:rPr>
              <w:t>L</w:t>
            </w:r>
            <w:r w:rsidRPr="00157403">
              <w:rPr>
                <w:lang w:val="en-US"/>
              </w:rPr>
              <w:t>D</w:t>
            </w:r>
          </w:p>
          <w:p w14:paraId="1F8833C2" w14:textId="6069469E" w:rsidR="004333E1" w:rsidRPr="00157403" w:rsidRDefault="007C42DD" w:rsidP="00E33158">
            <w:pPr>
              <w:pStyle w:val="TableText"/>
              <w:spacing w:before="120"/>
              <w:rPr>
                <w:lang w:val="en-US"/>
              </w:rPr>
            </w:pPr>
            <w:r w:rsidRPr="00157403">
              <w:rPr>
                <w:lang w:val="en-US"/>
              </w:rPr>
              <w:t>Median F/U 3.5 y</w:t>
            </w:r>
          </w:p>
        </w:tc>
        <w:tc>
          <w:tcPr>
            <w:tcW w:w="649" w:type="pct"/>
            <w:tcBorders>
              <w:bottom w:val="single" w:sz="4" w:space="0" w:color="auto"/>
            </w:tcBorders>
            <w:shd w:val="clear" w:color="auto" w:fill="auto"/>
          </w:tcPr>
          <w:p w14:paraId="47364E4D" w14:textId="4D45A4F5" w:rsidR="0008265E" w:rsidRPr="00157403" w:rsidRDefault="007C42DD" w:rsidP="00D770CF">
            <w:pPr>
              <w:pStyle w:val="TableText"/>
              <w:rPr>
                <w:iCs/>
                <w:lang w:val="en-US"/>
              </w:rPr>
            </w:pPr>
            <w:r w:rsidRPr="00157403">
              <w:rPr>
                <w:iCs/>
                <w:lang w:val="en-US"/>
              </w:rPr>
              <w:t>ADAR: not assessed</w:t>
            </w:r>
          </w:p>
        </w:tc>
        <w:tc>
          <w:tcPr>
            <w:tcW w:w="1119" w:type="pct"/>
            <w:tcBorders>
              <w:bottom w:val="single" w:sz="4" w:space="0" w:color="auto"/>
            </w:tcBorders>
            <w:shd w:val="clear" w:color="auto" w:fill="auto"/>
          </w:tcPr>
          <w:p w14:paraId="0966BBFD" w14:textId="15CD59DF" w:rsidR="0008265E" w:rsidRPr="00157403" w:rsidRDefault="000960A4" w:rsidP="00D770CF">
            <w:pPr>
              <w:pStyle w:val="TableText"/>
            </w:pPr>
            <w:r w:rsidRPr="00157403">
              <w:t xml:space="preserve">Adults with </w:t>
            </w:r>
            <w:r w:rsidR="00707331">
              <w:t>TR</w:t>
            </w:r>
            <w:r w:rsidRPr="00157403">
              <w:t xml:space="preserve">HTN </w:t>
            </w:r>
            <w:r w:rsidR="008B7394" w:rsidRPr="00157403">
              <w:t>(</w:t>
            </w:r>
            <w:r w:rsidR="00774728" w:rsidRPr="00157403">
              <w:t xml:space="preserve">on </w:t>
            </w:r>
            <w:r w:rsidR="008B7394" w:rsidRPr="00157403">
              <w:t xml:space="preserve">anti-HT meds or </w:t>
            </w:r>
            <w:r w:rsidR="00774728" w:rsidRPr="00157403">
              <w:t xml:space="preserve">documented intolerance) </w:t>
            </w:r>
            <w:r w:rsidRPr="00157403">
              <w:t xml:space="preserve">who </w:t>
            </w:r>
            <w:r w:rsidR="006F39D9">
              <w:t>received</w:t>
            </w:r>
            <w:r w:rsidRPr="00157403">
              <w:t xml:space="preserve"> RDN</w:t>
            </w:r>
            <w:r w:rsidR="00163E3B" w:rsidRPr="00163E3B">
              <w:rPr>
                <w:vertAlign w:val="superscript"/>
              </w:rPr>
              <w:t>b</w:t>
            </w:r>
            <w:r w:rsidRPr="00157403">
              <w:t xml:space="preserve"> </w:t>
            </w:r>
            <w:r w:rsidR="00794BEB" w:rsidRPr="00157403">
              <w:t xml:space="preserve">within </w:t>
            </w:r>
            <w:r w:rsidRPr="00157403">
              <w:t xml:space="preserve">clinical </w:t>
            </w:r>
            <w:r w:rsidR="00794BEB" w:rsidRPr="00157403">
              <w:t>study or compassionate use</w:t>
            </w:r>
          </w:p>
        </w:tc>
        <w:tc>
          <w:tcPr>
            <w:tcW w:w="708" w:type="pct"/>
            <w:tcBorders>
              <w:bottom w:val="single" w:sz="4" w:space="0" w:color="auto"/>
            </w:tcBorders>
            <w:shd w:val="clear" w:color="auto" w:fill="auto"/>
          </w:tcPr>
          <w:p w14:paraId="3D108B69" w14:textId="77777777" w:rsidR="00594955" w:rsidRPr="00157403" w:rsidRDefault="00594955" w:rsidP="00D770CF">
            <w:pPr>
              <w:pStyle w:val="TableText"/>
              <w:rPr>
                <w:lang w:val="en-US"/>
              </w:rPr>
            </w:pPr>
            <w:r w:rsidRPr="00157403">
              <w:rPr>
                <w:lang w:val="en-US"/>
              </w:rPr>
              <w:t>eGFR</w:t>
            </w:r>
          </w:p>
          <w:p w14:paraId="45468E7C" w14:textId="5EBABDCF" w:rsidR="0008265E" w:rsidRPr="00157403" w:rsidRDefault="00594955" w:rsidP="00D770CF">
            <w:pPr>
              <w:pStyle w:val="TableText"/>
              <w:rPr>
                <w:lang w:val="en-US"/>
              </w:rPr>
            </w:pPr>
            <w:r w:rsidRPr="00157403">
              <w:rPr>
                <w:lang w:val="en-US"/>
              </w:rPr>
              <w:t>Complications</w:t>
            </w:r>
          </w:p>
        </w:tc>
        <w:tc>
          <w:tcPr>
            <w:tcW w:w="679" w:type="pct"/>
            <w:tcBorders>
              <w:bottom w:val="single" w:sz="4" w:space="0" w:color="auto"/>
            </w:tcBorders>
            <w:shd w:val="clear" w:color="auto" w:fill="auto"/>
          </w:tcPr>
          <w:p w14:paraId="3ED50004" w14:textId="599C9144" w:rsidR="0008265E" w:rsidRPr="00157403" w:rsidRDefault="00157403" w:rsidP="00D770CF">
            <w:pPr>
              <w:pStyle w:val="TableText"/>
              <w:rPr>
                <w:lang w:val="en-US"/>
              </w:rPr>
            </w:pPr>
            <w:r>
              <w:rPr>
                <w:lang w:val="en-US"/>
              </w:rPr>
              <w:t>Not used</w:t>
            </w:r>
          </w:p>
        </w:tc>
      </w:tr>
    </w:tbl>
    <w:p w14:paraId="538EBD5F" w14:textId="3C0515A4" w:rsidR="002453BF" w:rsidRDefault="002453BF" w:rsidP="00702CF8">
      <w:pPr>
        <w:pStyle w:val="TableFigureFooter"/>
        <w:spacing w:after="0"/>
        <w:rPr>
          <w:szCs w:val="18"/>
        </w:rPr>
      </w:pPr>
      <w:r w:rsidRPr="000A63FC">
        <w:rPr>
          <w:szCs w:val="18"/>
        </w:rPr>
        <w:t>ADAR = Applicant Developed Assessment Report; ADBP = ambulatory diastolic blood pressure; AE, adverse event; anti-HT = antihypertensive; ASBP = ambulatory systolic blood pressure; CV = cardiovascular; eGFR = estimated glomerular filtration rate; F/U = follow up</w:t>
      </w:r>
      <w:r w:rsidR="0075582D" w:rsidRPr="000A63FC">
        <w:rPr>
          <w:szCs w:val="18"/>
        </w:rPr>
        <w:t xml:space="preserve">; </w:t>
      </w:r>
      <w:r w:rsidR="00FE3670">
        <w:rPr>
          <w:szCs w:val="18"/>
        </w:rPr>
        <w:t xml:space="preserve">h = hour; </w:t>
      </w:r>
      <w:r w:rsidRPr="000A63FC">
        <w:rPr>
          <w:szCs w:val="18"/>
        </w:rPr>
        <w:t xml:space="preserve">HRQoL = health-related quality of life; HTN = hypertension; MA = meta-analysis; MAE = major adverse events; MC = multicentre; med(s) = medication(s); mmHg = millimetres of mercury; MN = multi-national; mo = month(s); MTD = </w:t>
      </w:r>
      <w:r w:rsidRPr="000A63FC">
        <w:rPr>
          <w:lang w:val="en-US"/>
        </w:rPr>
        <w:t>maximum tolerated dose</w:t>
      </w:r>
      <w:r w:rsidRPr="000A63FC">
        <w:rPr>
          <w:szCs w:val="18"/>
        </w:rPr>
        <w:t xml:space="preserve">; </w:t>
      </w:r>
      <w:r w:rsidR="004333E1" w:rsidRPr="000A63FC">
        <w:rPr>
          <w:szCs w:val="18"/>
        </w:rPr>
        <w:t>N</w:t>
      </w:r>
      <w:r w:rsidR="009E76BE" w:rsidRPr="000A63FC">
        <w:rPr>
          <w:szCs w:val="18"/>
        </w:rPr>
        <w:t>L</w:t>
      </w:r>
      <w:r w:rsidR="004333E1" w:rsidRPr="000A63FC">
        <w:rPr>
          <w:szCs w:val="18"/>
        </w:rPr>
        <w:t xml:space="preserve">D = The Netherlands; </w:t>
      </w:r>
      <w:r w:rsidRPr="000A63FC">
        <w:rPr>
          <w:szCs w:val="18"/>
        </w:rPr>
        <w:t xml:space="preserve">ODBP = office diastolic blood pressure; </w:t>
      </w:r>
      <w:r w:rsidR="00C84D38" w:rsidRPr="000A63FC">
        <w:rPr>
          <w:szCs w:val="18"/>
        </w:rPr>
        <w:t xml:space="preserve">OL = open label; </w:t>
      </w:r>
      <w:r w:rsidR="0049468B" w:rsidRPr="000A63FC">
        <w:rPr>
          <w:szCs w:val="18"/>
        </w:rPr>
        <w:t xml:space="preserve">OSA = obstructive sleep apnoea; </w:t>
      </w:r>
      <w:r w:rsidRPr="000A63FC">
        <w:rPr>
          <w:szCs w:val="18"/>
        </w:rPr>
        <w:t xml:space="preserve">OSBP = office systolic blood pressure; </w:t>
      </w:r>
      <w:r w:rsidR="004333E1" w:rsidRPr="000A63FC">
        <w:rPr>
          <w:szCs w:val="18"/>
        </w:rPr>
        <w:t xml:space="preserve">P = prospective; </w:t>
      </w:r>
      <w:r w:rsidRPr="000A63FC">
        <w:rPr>
          <w:szCs w:val="18"/>
        </w:rPr>
        <w:t xml:space="preserve">R = randomised; RDN = renal denervation; SA = sensitivity analysis; SB = single blind; SC = single centre; </w:t>
      </w:r>
      <w:r w:rsidR="002C7E8C" w:rsidRPr="000A63FC">
        <w:rPr>
          <w:szCs w:val="18"/>
        </w:rPr>
        <w:t xml:space="preserve">SNS = </w:t>
      </w:r>
      <w:r w:rsidR="002C7E8C" w:rsidRPr="000A63FC">
        <w:t>sympathetic nervous system</w:t>
      </w:r>
      <w:r w:rsidR="00C9010C" w:rsidRPr="000A63FC">
        <w:rPr>
          <w:szCs w:val="18"/>
        </w:rPr>
        <w:t xml:space="preserve">; </w:t>
      </w:r>
      <w:r w:rsidR="00066B77" w:rsidRPr="000A63FC">
        <w:rPr>
          <w:szCs w:val="18"/>
        </w:rPr>
        <w:t xml:space="preserve">T2DM = type 2 diabetes mellitus; </w:t>
      </w:r>
      <w:r w:rsidRPr="000A63FC">
        <w:rPr>
          <w:szCs w:val="18"/>
        </w:rPr>
        <w:t>TRHTN = treatment-resistant hypertension; y = year.</w:t>
      </w:r>
    </w:p>
    <w:p w14:paraId="4005F20C" w14:textId="079616E1" w:rsidR="00563531" w:rsidRDefault="00563531" w:rsidP="00702CF8">
      <w:pPr>
        <w:pStyle w:val="TableFigureFooter"/>
        <w:spacing w:before="0" w:after="0"/>
        <w:rPr>
          <w:szCs w:val="18"/>
        </w:rPr>
      </w:pPr>
      <w:r w:rsidRPr="00702CF8">
        <w:rPr>
          <w:szCs w:val="18"/>
        </w:rPr>
        <w:t>a</w:t>
      </w:r>
      <w:r>
        <w:rPr>
          <w:szCs w:val="18"/>
        </w:rPr>
        <w:t xml:space="preserve"> </w:t>
      </w:r>
      <w:r w:rsidRPr="00563531">
        <w:rPr>
          <w:szCs w:val="18"/>
        </w:rPr>
        <w:t xml:space="preserve">196 active </w:t>
      </w:r>
      <w:r w:rsidR="00B16B67">
        <w:rPr>
          <w:szCs w:val="18"/>
        </w:rPr>
        <w:t>sites</w:t>
      </w:r>
      <w:r w:rsidRPr="00563531">
        <w:rPr>
          <w:szCs w:val="18"/>
        </w:rPr>
        <w:t xml:space="preserve"> in </w:t>
      </w:r>
      <w:r w:rsidR="00B16B67">
        <w:rPr>
          <w:szCs w:val="18"/>
        </w:rPr>
        <w:t xml:space="preserve">45 countries, including </w:t>
      </w:r>
      <w:r w:rsidRPr="00563531">
        <w:rPr>
          <w:szCs w:val="18"/>
        </w:rPr>
        <w:t>Australia</w:t>
      </w:r>
      <w:r w:rsidR="00C35C6A">
        <w:rPr>
          <w:szCs w:val="18"/>
        </w:rPr>
        <w:t>.</w:t>
      </w:r>
    </w:p>
    <w:p w14:paraId="349EDCEE" w14:textId="4E3384D6" w:rsidR="00163E3B" w:rsidRPr="00D10AEB" w:rsidRDefault="00163E3B" w:rsidP="00702CF8">
      <w:pPr>
        <w:pStyle w:val="TableFigureFooter"/>
        <w:spacing w:before="0" w:after="0"/>
        <w:rPr>
          <w:szCs w:val="18"/>
        </w:rPr>
      </w:pPr>
      <w:r w:rsidRPr="00702CF8">
        <w:rPr>
          <w:szCs w:val="18"/>
        </w:rPr>
        <w:t>b</w:t>
      </w:r>
      <w:r>
        <w:rPr>
          <w:szCs w:val="18"/>
        </w:rPr>
        <w:t xml:space="preserve"> </w:t>
      </w:r>
      <w:r>
        <w:t xml:space="preserve">RDN was performed </w:t>
      </w:r>
      <w:r w:rsidR="009B05A6">
        <w:t xml:space="preserve">in the study </w:t>
      </w:r>
      <w:r w:rsidRPr="00157403">
        <w:t xml:space="preserve">using </w:t>
      </w:r>
      <w:r w:rsidR="006313DE">
        <w:t xml:space="preserve">six different </w:t>
      </w:r>
      <w:r w:rsidR="00FF4C20">
        <w:t xml:space="preserve">systems. RF was the predominant </w:t>
      </w:r>
      <w:r w:rsidR="009B05A6">
        <w:t xml:space="preserve">RDN </w:t>
      </w:r>
      <w:r w:rsidR="00FF4C20">
        <w:t xml:space="preserve">method (~80% of subjects). </w:t>
      </w:r>
      <w:r w:rsidR="008B433E">
        <w:t>SYMPLICITY Flex or Spyral was used in ~40% of subjects.</w:t>
      </w:r>
    </w:p>
    <w:p w14:paraId="45403E38" w14:textId="77777777" w:rsidR="005A3006" w:rsidRDefault="00C54010" w:rsidP="00702CF8">
      <w:pPr>
        <w:pStyle w:val="TableFigureFooter"/>
        <w:spacing w:before="0" w:after="0"/>
        <w:rPr>
          <w:szCs w:val="18"/>
        </w:rPr>
      </w:pPr>
      <w:r w:rsidRPr="00D10AEB">
        <w:rPr>
          <w:szCs w:val="18"/>
        </w:rPr>
        <w:t>Note</w:t>
      </w:r>
      <w:r w:rsidR="005A3006">
        <w:rPr>
          <w:szCs w:val="18"/>
        </w:rPr>
        <w:t xml:space="preserve"> 1</w:t>
      </w:r>
      <w:r w:rsidRPr="00D10AEB">
        <w:rPr>
          <w:szCs w:val="18"/>
        </w:rPr>
        <w:t>: Primary powered endpoints are shown in bold text.</w:t>
      </w:r>
      <w:r w:rsidRPr="002D7084">
        <w:rPr>
          <w:szCs w:val="18"/>
        </w:rPr>
        <w:t xml:space="preserve"> </w:t>
      </w:r>
    </w:p>
    <w:p w14:paraId="735B5238" w14:textId="6140C4E6" w:rsidR="00C54010" w:rsidRPr="002D7084" w:rsidRDefault="005A3006" w:rsidP="00702CF8">
      <w:pPr>
        <w:pStyle w:val="TableFigureFooter"/>
        <w:spacing w:before="0" w:after="0"/>
        <w:rPr>
          <w:szCs w:val="18"/>
        </w:rPr>
      </w:pPr>
      <w:r>
        <w:rPr>
          <w:szCs w:val="18"/>
        </w:rPr>
        <w:t xml:space="preserve">Note 2: </w:t>
      </w:r>
      <w:r w:rsidR="00871534" w:rsidRPr="00871534">
        <w:rPr>
          <w:szCs w:val="18"/>
        </w:rPr>
        <w:t>The</w:t>
      </w:r>
      <w:r w:rsidR="006D4B1C">
        <w:rPr>
          <w:szCs w:val="18"/>
        </w:rPr>
        <w:t xml:space="preserve"> commentary considers the</w:t>
      </w:r>
      <w:r w:rsidR="00871534" w:rsidRPr="00871534">
        <w:rPr>
          <w:szCs w:val="18"/>
        </w:rPr>
        <w:t xml:space="preserve"> open label trials </w:t>
      </w:r>
      <w:r w:rsidR="006D4B1C">
        <w:rPr>
          <w:szCs w:val="18"/>
        </w:rPr>
        <w:t>to be</w:t>
      </w:r>
      <w:r w:rsidR="00871534" w:rsidRPr="00871534">
        <w:rPr>
          <w:szCs w:val="18"/>
        </w:rPr>
        <w:t xml:space="preserve"> supportive </w:t>
      </w:r>
      <w:r w:rsidR="00D853DD">
        <w:rPr>
          <w:szCs w:val="18"/>
        </w:rPr>
        <w:t xml:space="preserve">evidence </w:t>
      </w:r>
      <w:r w:rsidR="00871534" w:rsidRPr="00871534">
        <w:rPr>
          <w:szCs w:val="18"/>
        </w:rPr>
        <w:t xml:space="preserve">while all other </w:t>
      </w:r>
      <w:r w:rsidR="001516AD">
        <w:rPr>
          <w:szCs w:val="18"/>
        </w:rPr>
        <w:t>studies</w:t>
      </w:r>
      <w:r w:rsidR="00871534" w:rsidRPr="00871534">
        <w:rPr>
          <w:szCs w:val="18"/>
        </w:rPr>
        <w:t xml:space="preserve"> </w:t>
      </w:r>
      <w:r w:rsidR="00D853DD">
        <w:rPr>
          <w:szCs w:val="18"/>
        </w:rPr>
        <w:t>are considered</w:t>
      </w:r>
      <w:r w:rsidR="00871534" w:rsidRPr="00871534">
        <w:rPr>
          <w:szCs w:val="18"/>
        </w:rPr>
        <w:t xml:space="preserve"> supplementary</w:t>
      </w:r>
      <w:r w:rsidR="00D853DD">
        <w:rPr>
          <w:szCs w:val="18"/>
        </w:rPr>
        <w:t>.</w:t>
      </w:r>
    </w:p>
    <w:p w14:paraId="116E1260" w14:textId="0CCE9548" w:rsidR="00C54010" w:rsidRPr="003925A2" w:rsidRDefault="00C54010" w:rsidP="00702CF8">
      <w:pPr>
        <w:pStyle w:val="Tablenotes0"/>
        <w:spacing w:before="0" w:after="360"/>
        <w:rPr>
          <w:szCs w:val="18"/>
        </w:rPr>
      </w:pPr>
      <w:r w:rsidRPr="002D7084">
        <w:rPr>
          <w:szCs w:val="18"/>
        </w:rPr>
        <w:t xml:space="preserve">Source: </w:t>
      </w:r>
      <w:r w:rsidR="0004672C">
        <w:rPr>
          <w:szCs w:val="18"/>
        </w:rPr>
        <w:t xml:space="preserve">Compiled for the commentary </w:t>
      </w:r>
      <w:r w:rsidR="00204132" w:rsidRPr="002D7084">
        <w:rPr>
          <w:szCs w:val="18"/>
        </w:rPr>
        <w:t>from Table</w:t>
      </w:r>
      <w:r w:rsidR="0087394F" w:rsidRPr="002D7084">
        <w:rPr>
          <w:szCs w:val="18"/>
        </w:rPr>
        <w:t>s</w:t>
      </w:r>
      <w:r w:rsidR="00204132" w:rsidRPr="002D7084">
        <w:rPr>
          <w:szCs w:val="18"/>
        </w:rPr>
        <w:t xml:space="preserve"> 19, 147</w:t>
      </w:r>
      <w:r w:rsidR="00603295" w:rsidRPr="002D7084">
        <w:rPr>
          <w:szCs w:val="18"/>
        </w:rPr>
        <w:t>,</w:t>
      </w:r>
      <w:r w:rsidR="00A17EA6" w:rsidRPr="002D7084">
        <w:rPr>
          <w:szCs w:val="18"/>
        </w:rPr>
        <w:t xml:space="preserve"> 148,</w:t>
      </w:r>
      <w:r w:rsidR="00603295" w:rsidRPr="002D7084">
        <w:rPr>
          <w:szCs w:val="18"/>
        </w:rPr>
        <w:t xml:space="preserve"> </w:t>
      </w:r>
      <w:r w:rsidR="006A17BF" w:rsidRPr="002D7084">
        <w:rPr>
          <w:szCs w:val="18"/>
        </w:rPr>
        <w:t xml:space="preserve">150, </w:t>
      </w:r>
      <w:r w:rsidR="00603295" w:rsidRPr="002D7084">
        <w:rPr>
          <w:szCs w:val="18"/>
        </w:rPr>
        <w:t>156</w:t>
      </w:r>
      <w:r w:rsidR="00204132" w:rsidRPr="002D7084">
        <w:rPr>
          <w:szCs w:val="18"/>
        </w:rPr>
        <w:t xml:space="preserve"> and 157 </w:t>
      </w:r>
      <w:r w:rsidRPr="002D7084">
        <w:rPr>
          <w:szCs w:val="18"/>
        </w:rPr>
        <w:t>in MSAC 1659 ADAR+in-line commentary.</w:t>
      </w:r>
    </w:p>
    <w:p w14:paraId="3B9FC2AD" w14:textId="04DD5343" w:rsidR="00772829" w:rsidRDefault="006E6BB4" w:rsidP="002A18BE">
      <w:pPr>
        <w:pStyle w:val="Heading2"/>
        <w:numPr>
          <w:ilvl w:val="0"/>
          <w:numId w:val="0"/>
        </w:numPr>
      </w:pPr>
      <w:bookmarkStart w:id="18" w:name="_Toc69491423"/>
      <w:bookmarkEnd w:id="16"/>
      <w:r>
        <w:t>11</w:t>
      </w:r>
      <w:r w:rsidR="00C36633">
        <w:t>.</w:t>
      </w:r>
      <w:r w:rsidR="00C36633">
        <w:tab/>
      </w:r>
      <w:r w:rsidR="00772829" w:rsidRPr="00CE28E3">
        <w:t>Comparative safety</w:t>
      </w:r>
      <w:bookmarkEnd w:id="18"/>
    </w:p>
    <w:p w14:paraId="7DB1F65C" w14:textId="429CE640" w:rsidR="00A15B6F" w:rsidRDefault="00A15B6F" w:rsidP="00A15B6F">
      <w:pPr>
        <w:pStyle w:val="Heading3"/>
      </w:pPr>
      <w:r>
        <w:t>Major adverse events (MAE)</w:t>
      </w:r>
    </w:p>
    <w:p w14:paraId="7A4DA90C" w14:textId="105B1A56" w:rsidR="00263BE7" w:rsidRPr="00263BE7" w:rsidRDefault="00B4791A" w:rsidP="00263BE7">
      <w:r w:rsidRPr="00B4791A">
        <w:t>Data for the primary safety measure –</w:t>
      </w:r>
      <w:r w:rsidR="00803EC4">
        <w:t xml:space="preserve"> </w:t>
      </w:r>
      <w:r w:rsidRPr="00B4791A">
        <w:t>MAE</w:t>
      </w:r>
      <w:r w:rsidR="00CA2139">
        <w:t xml:space="preserve"> </w:t>
      </w:r>
      <w:r w:rsidR="00FB0224">
        <w:t>(</w:t>
      </w:r>
      <w:r w:rsidR="00CA2139">
        <w:t>composite outc</w:t>
      </w:r>
      <w:r w:rsidR="00FB0224">
        <w:t>ome)</w:t>
      </w:r>
      <w:r w:rsidR="00235D5A" w:rsidRPr="00B4791A">
        <w:t xml:space="preserve"> – </w:t>
      </w:r>
      <w:r w:rsidRPr="00B4791A">
        <w:t xml:space="preserve">were reported </w:t>
      </w:r>
      <w:r w:rsidR="00235D5A">
        <w:t xml:space="preserve">for SYMPLICITY </w:t>
      </w:r>
      <w:r w:rsidRPr="00B4791A">
        <w:t xml:space="preserve">HTN-3 </w:t>
      </w:r>
      <w:r w:rsidR="00F0159F">
        <w:t>and SPYRAL HTN-ON MED</w:t>
      </w:r>
      <w:r w:rsidR="00F0159F" w:rsidRPr="00B4791A">
        <w:t xml:space="preserve"> </w:t>
      </w:r>
      <w:r w:rsidR="00235D5A">
        <w:t xml:space="preserve">at </w:t>
      </w:r>
      <w:r w:rsidRPr="00B4791A">
        <w:t xml:space="preserve">1, 3 and 6 months post procedure. </w:t>
      </w:r>
      <w:r w:rsidR="00793ECF">
        <w:t xml:space="preserve">The individual component events of the composite </w:t>
      </w:r>
      <w:r w:rsidR="00CE0511">
        <w:t>were also reported</w:t>
      </w:r>
      <w:r w:rsidR="00BE714B">
        <w:t xml:space="preserve"> at these timepoints</w:t>
      </w:r>
      <w:r w:rsidR="00CE0511">
        <w:t xml:space="preserve">. </w:t>
      </w:r>
      <w:r w:rsidR="00DD239D">
        <w:t>Safety outcomes were not comprehensively reported</w:t>
      </w:r>
      <w:r w:rsidR="00CA254E">
        <w:t xml:space="preserve"> </w:t>
      </w:r>
      <w:r w:rsidR="009C660D">
        <w:t>in</w:t>
      </w:r>
      <w:r w:rsidR="00CA254E">
        <w:t xml:space="preserve"> </w:t>
      </w:r>
      <w:r w:rsidR="00DD239D">
        <w:t xml:space="preserve">the </w:t>
      </w:r>
      <w:r w:rsidR="005B7262">
        <w:t xml:space="preserve">publications relating to the </w:t>
      </w:r>
      <w:r w:rsidR="00CA254E">
        <w:t>ReSET</w:t>
      </w:r>
      <w:r w:rsidR="00DD239D">
        <w:t xml:space="preserve"> </w:t>
      </w:r>
      <w:r w:rsidR="005B7262">
        <w:t xml:space="preserve">trial; </w:t>
      </w:r>
      <w:r w:rsidR="00492FF4">
        <w:t>s</w:t>
      </w:r>
      <w:r w:rsidR="000D4814">
        <w:t xml:space="preserve">erious adverse events were infrequent in both </w:t>
      </w:r>
      <w:r w:rsidR="00EF1E64">
        <w:t>arm</w:t>
      </w:r>
      <w:r w:rsidR="00492FF4">
        <w:t xml:space="preserve">s in ReSET </w:t>
      </w:r>
      <w:r w:rsidR="005127D7">
        <w:t>to 6 months</w:t>
      </w:r>
      <w:r w:rsidR="00D44F8B">
        <w:t>.</w:t>
      </w:r>
      <w:r w:rsidR="00263BE7">
        <w:br w:type="page"/>
      </w:r>
    </w:p>
    <w:p w14:paraId="336E67EA" w14:textId="7D45D01B" w:rsidR="0001422C" w:rsidRDefault="0001422C" w:rsidP="0001422C">
      <w:pPr>
        <w:pStyle w:val="Caption"/>
      </w:pPr>
      <w:r w:rsidRPr="00CE28E3">
        <w:t>Table</w:t>
      </w:r>
      <w:r>
        <w:t> </w:t>
      </w:r>
      <w:r>
        <w:fldChar w:fldCharType="begin"/>
      </w:r>
      <w:r>
        <w:instrText>SEQ Table \* ARABIC</w:instrText>
      </w:r>
      <w:r>
        <w:fldChar w:fldCharType="separate"/>
      </w:r>
      <w:r w:rsidR="003D5203">
        <w:rPr>
          <w:noProof/>
        </w:rPr>
        <w:t>5</w:t>
      </w:r>
      <w:r>
        <w:fldChar w:fldCharType="end"/>
      </w:r>
      <w:r w:rsidRPr="00CE28E3">
        <w:tab/>
      </w:r>
      <w:r>
        <w:t xml:space="preserve">Results </w:t>
      </w:r>
      <w:r w:rsidR="000D59E7">
        <w:t>of the primary major adverse event (MAE) composite safety outcome</w:t>
      </w:r>
    </w:p>
    <w:tbl>
      <w:tblPr>
        <w:tblStyle w:val="TableGrid"/>
        <w:tblW w:w="5000" w:type="pct"/>
        <w:tblCellMar>
          <w:left w:w="57" w:type="dxa"/>
          <w:right w:w="57" w:type="dxa"/>
        </w:tblCellMar>
        <w:tblLook w:val="04A0" w:firstRow="1" w:lastRow="0" w:firstColumn="1" w:lastColumn="0" w:noHBand="0" w:noVBand="1"/>
        <w:tblCaption w:val="Results of MAE composite safety outcomes"/>
        <w:tblDescription w:val="MAE results from SYMPLICITY HTN-3 and SPYRAL HTN-ON MED"/>
      </w:tblPr>
      <w:tblGrid>
        <w:gridCol w:w="1980"/>
        <w:gridCol w:w="1417"/>
        <w:gridCol w:w="1277"/>
        <w:gridCol w:w="1419"/>
        <w:gridCol w:w="1423"/>
        <w:gridCol w:w="1500"/>
      </w:tblGrid>
      <w:tr w:rsidR="00086DFA" w14:paraId="30904742" w14:textId="77777777" w:rsidTr="00F71956">
        <w:trPr>
          <w:tblHeader/>
        </w:trPr>
        <w:tc>
          <w:tcPr>
            <w:tcW w:w="1098" w:type="pct"/>
            <w:tcBorders>
              <w:bottom w:val="nil"/>
            </w:tcBorders>
          </w:tcPr>
          <w:p w14:paraId="77BDC47A" w14:textId="77777777" w:rsidR="00DF2075" w:rsidRPr="004D3D47" w:rsidRDefault="00DF2075" w:rsidP="007D6FE0">
            <w:pPr>
              <w:pStyle w:val="TableHeading0"/>
            </w:pPr>
            <w:r w:rsidRPr="004D3D47">
              <w:t>Study ID</w:t>
            </w:r>
          </w:p>
        </w:tc>
        <w:tc>
          <w:tcPr>
            <w:tcW w:w="786" w:type="pct"/>
          </w:tcPr>
          <w:p w14:paraId="46278032" w14:textId="77777777" w:rsidR="00DF2075" w:rsidRPr="004D3D47" w:rsidRDefault="00DF2075" w:rsidP="007D6FE0">
            <w:pPr>
              <w:pStyle w:val="TableHeading0"/>
              <w:jc w:val="center"/>
            </w:pPr>
            <w:r>
              <w:t>RDN</w:t>
            </w:r>
          </w:p>
        </w:tc>
        <w:tc>
          <w:tcPr>
            <w:tcW w:w="708" w:type="pct"/>
          </w:tcPr>
          <w:p w14:paraId="746DCC03" w14:textId="77777777" w:rsidR="00DF2075" w:rsidRPr="004D3D47" w:rsidRDefault="00DF2075" w:rsidP="007D6FE0">
            <w:pPr>
              <w:pStyle w:val="TableHeading0"/>
              <w:jc w:val="center"/>
            </w:pPr>
            <w:r w:rsidRPr="004D3D47">
              <w:t>Sham control</w:t>
            </w:r>
          </w:p>
        </w:tc>
        <w:tc>
          <w:tcPr>
            <w:tcW w:w="787" w:type="pct"/>
            <w:tcBorders>
              <w:bottom w:val="single" w:sz="4" w:space="0" w:color="auto"/>
            </w:tcBorders>
          </w:tcPr>
          <w:p w14:paraId="333884BA" w14:textId="77777777" w:rsidR="00DF2075" w:rsidRPr="004D3D47" w:rsidRDefault="00DF2075" w:rsidP="007D6FE0">
            <w:pPr>
              <w:pStyle w:val="TableHeading0"/>
              <w:jc w:val="center"/>
            </w:pPr>
            <w:r>
              <w:t>OR [95%CI]</w:t>
            </w:r>
          </w:p>
        </w:tc>
        <w:tc>
          <w:tcPr>
            <w:tcW w:w="789" w:type="pct"/>
            <w:tcBorders>
              <w:bottom w:val="single" w:sz="4" w:space="0" w:color="auto"/>
            </w:tcBorders>
          </w:tcPr>
          <w:p w14:paraId="1A48B44E" w14:textId="77777777" w:rsidR="00DF2075" w:rsidRPr="004D3D47" w:rsidRDefault="00DF2075" w:rsidP="007D6FE0">
            <w:pPr>
              <w:pStyle w:val="TableHeading0"/>
              <w:jc w:val="center"/>
            </w:pPr>
            <w:r>
              <w:t>RR [95% CI]</w:t>
            </w:r>
          </w:p>
        </w:tc>
        <w:tc>
          <w:tcPr>
            <w:tcW w:w="832" w:type="pct"/>
            <w:tcBorders>
              <w:bottom w:val="single" w:sz="4" w:space="0" w:color="auto"/>
            </w:tcBorders>
          </w:tcPr>
          <w:p w14:paraId="7239DAEA" w14:textId="77777777" w:rsidR="00DF2075" w:rsidRPr="004D3D47" w:rsidRDefault="00DF2075" w:rsidP="007D6FE0">
            <w:pPr>
              <w:pStyle w:val="TableHeading0"/>
              <w:jc w:val="center"/>
            </w:pPr>
            <w:r>
              <w:t>RD [95% CI]</w:t>
            </w:r>
          </w:p>
        </w:tc>
      </w:tr>
      <w:tr w:rsidR="007D6FE0" w14:paraId="20BCC127" w14:textId="77777777" w:rsidTr="00A62DBF">
        <w:trPr>
          <w:tblHeader/>
        </w:trPr>
        <w:tc>
          <w:tcPr>
            <w:tcW w:w="1098" w:type="pct"/>
            <w:tcBorders>
              <w:top w:val="nil"/>
              <w:bottom w:val="single" w:sz="4" w:space="0" w:color="auto"/>
            </w:tcBorders>
          </w:tcPr>
          <w:p w14:paraId="2A0A7962" w14:textId="77777777" w:rsidR="007D6FE0" w:rsidRPr="004D3D47" w:rsidRDefault="007D6FE0" w:rsidP="007D6FE0">
            <w:pPr>
              <w:pStyle w:val="TableHeading0"/>
            </w:pPr>
          </w:p>
        </w:tc>
        <w:tc>
          <w:tcPr>
            <w:tcW w:w="786" w:type="pct"/>
            <w:tcBorders>
              <w:bottom w:val="single" w:sz="4" w:space="0" w:color="auto"/>
            </w:tcBorders>
          </w:tcPr>
          <w:p w14:paraId="4C1FA5FD" w14:textId="1872F168" w:rsidR="007D6FE0" w:rsidRPr="004D3D47" w:rsidRDefault="007D6FE0" w:rsidP="007D6FE0">
            <w:pPr>
              <w:pStyle w:val="TableHeading0"/>
              <w:jc w:val="center"/>
            </w:pPr>
            <w:r>
              <w:t>n/N (%)</w:t>
            </w:r>
          </w:p>
        </w:tc>
        <w:tc>
          <w:tcPr>
            <w:tcW w:w="708" w:type="pct"/>
            <w:tcBorders>
              <w:bottom w:val="single" w:sz="4" w:space="0" w:color="auto"/>
            </w:tcBorders>
          </w:tcPr>
          <w:p w14:paraId="6F32E51D" w14:textId="5F33E0DB" w:rsidR="007D6FE0" w:rsidRPr="004D3D47" w:rsidRDefault="007D6FE0" w:rsidP="007D6FE0">
            <w:pPr>
              <w:pStyle w:val="TableHeading0"/>
              <w:jc w:val="center"/>
            </w:pPr>
            <w:r>
              <w:t>n/N (%)</w:t>
            </w:r>
          </w:p>
        </w:tc>
        <w:tc>
          <w:tcPr>
            <w:tcW w:w="787" w:type="pct"/>
            <w:tcBorders>
              <w:top w:val="single" w:sz="4" w:space="0" w:color="auto"/>
              <w:bottom w:val="single" w:sz="4" w:space="0" w:color="auto"/>
              <w:right w:val="nil"/>
            </w:tcBorders>
          </w:tcPr>
          <w:p w14:paraId="64C2E873" w14:textId="20362909" w:rsidR="007D6FE0" w:rsidRPr="00C85407" w:rsidRDefault="007D6FE0" w:rsidP="007D6FE0">
            <w:pPr>
              <w:pStyle w:val="TableHeading0"/>
              <w:jc w:val="right"/>
            </w:pPr>
            <w:r w:rsidRPr="00C85407">
              <w:t>Result &lt; 1</w:t>
            </w:r>
          </w:p>
        </w:tc>
        <w:tc>
          <w:tcPr>
            <w:tcW w:w="789" w:type="pct"/>
            <w:tcBorders>
              <w:top w:val="single" w:sz="4" w:space="0" w:color="auto"/>
              <w:left w:val="nil"/>
              <w:bottom w:val="single" w:sz="4" w:space="0" w:color="auto"/>
            </w:tcBorders>
          </w:tcPr>
          <w:p w14:paraId="0E8C76A2" w14:textId="48CCC02B" w:rsidR="007D6FE0" w:rsidRPr="00C85407" w:rsidRDefault="007D6FE0" w:rsidP="007D6FE0">
            <w:pPr>
              <w:pStyle w:val="TableHeading0"/>
            </w:pPr>
            <w:r w:rsidRPr="00C85407">
              <w:t>favours RDN</w:t>
            </w:r>
          </w:p>
        </w:tc>
        <w:tc>
          <w:tcPr>
            <w:tcW w:w="832" w:type="pct"/>
            <w:tcBorders>
              <w:top w:val="single" w:sz="4" w:space="0" w:color="auto"/>
            </w:tcBorders>
          </w:tcPr>
          <w:p w14:paraId="3DAFEA50" w14:textId="77777777" w:rsidR="007D6FE0" w:rsidRPr="00C85407" w:rsidRDefault="007D6FE0" w:rsidP="007D6FE0">
            <w:pPr>
              <w:pStyle w:val="TableHeading0"/>
              <w:jc w:val="center"/>
            </w:pPr>
            <w:r w:rsidRPr="00C85407">
              <w:t>Result &lt;0 favours RDN</w:t>
            </w:r>
          </w:p>
        </w:tc>
      </w:tr>
      <w:tr w:rsidR="00A62DBF" w14:paraId="406545E8" w14:textId="77777777" w:rsidTr="00A62DBF">
        <w:tc>
          <w:tcPr>
            <w:tcW w:w="1098" w:type="pct"/>
            <w:tcBorders>
              <w:right w:val="nil"/>
            </w:tcBorders>
            <w:shd w:val="clear" w:color="auto" w:fill="FFFFFF" w:themeFill="background1"/>
          </w:tcPr>
          <w:p w14:paraId="57467909" w14:textId="77777777" w:rsidR="00A62DBF" w:rsidRPr="00FF2F8D" w:rsidRDefault="00A62DBF">
            <w:pPr>
              <w:pStyle w:val="Tabletext0"/>
              <w:rPr>
                <w:b/>
                <w:bCs/>
              </w:rPr>
            </w:pPr>
            <w:r w:rsidRPr="00FF2F8D">
              <w:rPr>
                <w:b/>
                <w:bCs/>
              </w:rPr>
              <w:t>1 month</w:t>
            </w:r>
          </w:p>
        </w:tc>
        <w:tc>
          <w:tcPr>
            <w:tcW w:w="786" w:type="pct"/>
            <w:tcBorders>
              <w:left w:val="nil"/>
              <w:right w:val="nil"/>
            </w:tcBorders>
            <w:shd w:val="clear" w:color="auto" w:fill="FFFFFF" w:themeFill="background1"/>
          </w:tcPr>
          <w:p w14:paraId="459E2EDA" w14:textId="77777777" w:rsidR="00A62DBF" w:rsidRPr="00FF2F8D" w:rsidRDefault="00A62DBF">
            <w:pPr>
              <w:pStyle w:val="Tabletext0"/>
              <w:rPr>
                <w:b/>
                <w:bCs/>
              </w:rPr>
            </w:pPr>
          </w:p>
        </w:tc>
        <w:tc>
          <w:tcPr>
            <w:tcW w:w="708" w:type="pct"/>
            <w:tcBorders>
              <w:left w:val="nil"/>
              <w:right w:val="nil"/>
            </w:tcBorders>
            <w:shd w:val="clear" w:color="auto" w:fill="FFFFFF" w:themeFill="background1"/>
          </w:tcPr>
          <w:p w14:paraId="60784034" w14:textId="77777777" w:rsidR="00A62DBF" w:rsidRPr="00FF2F8D" w:rsidRDefault="00A62DBF">
            <w:pPr>
              <w:pStyle w:val="Tabletext0"/>
              <w:rPr>
                <w:b/>
                <w:bCs/>
              </w:rPr>
            </w:pPr>
          </w:p>
        </w:tc>
        <w:tc>
          <w:tcPr>
            <w:tcW w:w="787" w:type="pct"/>
            <w:tcBorders>
              <w:left w:val="nil"/>
              <w:right w:val="nil"/>
            </w:tcBorders>
            <w:shd w:val="clear" w:color="auto" w:fill="FFFFFF" w:themeFill="background1"/>
          </w:tcPr>
          <w:p w14:paraId="0043F106" w14:textId="77777777" w:rsidR="00A62DBF" w:rsidRPr="00FF2F8D" w:rsidRDefault="00A62DBF">
            <w:pPr>
              <w:pStyle w:val="Tabletext0"/>
              <w:rPr>
                <w:b/>
                <w:bCs/>
              </w:rPr>
            </w:pPr>
          </w:p>
        </w:tc>
        <w:tc>
          <w:tcPr>
            <w:tcW w:w="789" w:type="pct"/>
            <w:tcBorders>
              <w:left w:val="nil"/>
              <w:right w:val="nil"/>
            </w:tcBorders>
            <w:shd w:val="clear" w:color="auto" w:fill="FFFFFF" w:themeFill="background1"/>
          </w:tcPr>
          <w:p w14:paraId="49821665" w14:textId="77777777" w:rsidR="00A62DBF" w:rsidRPr="00FF2F8D" w:rsidRDefault="00A62DBF">
            <w:pPr>
              <w:pStyle w:val="Tabletext0"/>
              <w:rPr>
                <w:b/>
                <w:bCs/>
              </w:rPr>
            </w:pPr>
          </w:p>
        </w:tc>
        <w:tc>
          <w:tcPr>
            <w:tcW w:w="832" w:type="pct"/>
            <w:tcBorders>
              <w:left w:val="nil"/>
            </w:tcBorders>
            <w:shd w:val="clear" w:color="auto" w:fill="FFFFFF" w:themeFill="background1"/>
          </w:tcPr>
          <w:p w14:paraId="044AB097" w14:textId="581FCE9E" w:rsidR="00A62DBF" w:rsidRPr="00FF2F8D" w:rsidRDefault="00A62DBF">
            <w:pPr>
              <w:pStyle w:val="Tabletext0"/>
              <w:rPr>
                <w:b/>
                <w:bCs/>
              </w:rPr>
            </w:pPr>
          </w:p>
        </w:tc>
      </w:tr>
      <w:tr w:rsidR="00C04218" w14:paraId="387CD03C" w14:textId="77777777" w:rsidTr="00A62DBF">
        <w:tc>
          <w:tcPr>
            <w:tcW w:w="1098" w:type="pct"/>
          </w:tcPr>
          <w:p w14:paraId="02028535" w14:textId="2F05D3B4" w:rsidR="00C04218" w:rsidRDefault="00A57D11">
            <w:pPr>
              <w:pStyle w:val="Tabletext0"/>
            </w:pPr>
            <w:r>
              <w:t xml:space="preserve">SYMPLICITY </w:t>
            </w:r>
            <w:r w:rsidR="00C04218">
              <w:t>HTN-3</w:t>
            </w:r>
            <w:r w:rsidR="00C04218" w:rsidRPr="004A7045">
              <w:rPr>
                <w:vertAlign w:val="superscript"/>
              </w:rPr>
              <w:t>a</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E47FBD" w14:textId="57697832" w:rsidR="00C04218" w:rsidRDefault="00C04218" w:rsidP="00C04218">
            <w:pPr>
              <w:pStyle w:val="Tabletext0"/>
              <w:jc w:val="center"/>
            </w:pPr>
            <w:r w:rsidRPr="00302D9D">
              <w:t>4</w:t>
            </w:r>
            <w:r>
              <w:t>/</w:t>
            </w:r>
            <w:r w:rsidRPr="00EC6929">
              <w:t>362</w:t>
            </w:r>
            <w:r>
              <w:t xml:space="preserve"> (</w:t>
            </w:r>
            <w:r w:rsidRPr="00302D9D">
              <w:t>1.10%</w:t>
            </w:r>
            <w:r>
              <w:t>)</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944481D" w14:textId="46ACA843" w:rsidR="00C04218" w:rsidRPr="00671CD1" w:rsidRDefault="00C04218" w:rsidP="00C04218">
            <w:pPr>
              <w:pStyle w:val="Tabletext0"/>
              <w:jc w:val="center"/>
            </w:pPr>
            <w:r w:rsidRPr="00302D9D">
              <w:t>1</w:t>
            </w:r>
            <w:r>
              <w:t>/</w:t>
            </w:r>
            <w:r w:rsidRPr="00671CD1">
              <w:t>170</w:t>
            </w:r>
            <w:r>
              <w:t xml:space="preserve"> (</w:t>
            </w:r>
            <w:r w:rsidRPr="00671CD1">
              <w:t>0.59%</w:t>
            </w:r>
            <w:r>
              <w:t>)</w:t>
            </w:r>
          </w:p>
        </w:tc>
        <w:tc>
          <w:tcPr>
            <w:tcW w:w="787" w:type="pct"/>
          </w:tcPr>
          <w:p w14:paraId="58F1DF82" w14:textId="08BF90F4" w:rsidR="00C04218" w:rsidRPr="00671CD1" w:rsidRDefault="00C04218" w:rsidP="00E05BB0">
            <w:pPr>
              <w:pStyle w:val="Tabletext0"/>
              <w:jc w:val="center"/>
            </w:pPr>
            <w:r w:rsidRPr="00671CD1">
              <w:rPr>
                <w:rStyle w:val="CommentaryTabletextleftChar"/>
                <w:color w:val="auto"/>
              </w:rPr>
              <w:t>1.89</w:t>
            </w:r>
            <w:r>
              <w:t xml:space="preserve"> </w:t>
            </w:r>
            <w:r w:rsidRPr="00671CD1">
              <w:t xml:space="preserve">[0.21, </w:t>
            </w:r>
            <w:r w:rsidRPr="00671CD1">
              <w:rPr>
                <w:rStyle w:val="CommentaryTabletextleftChar"/>
                <w:color w:val="auto"/>
              </w:rPr>
              <w:t>17.02</w:t>
            </w:r>
            <w:r w:rsidRPr="00671CD1">
              <w:t>]</w:t>
            </w:r>
          </w:p>
        </w:tc>
        <w:tc>
          <w:tcPr>
            <w:tcW w:w="789" w:type="pct"/>
          </w:tcPr>
          <w:p w14:paraId="0F94C0B3" w14:textId="1CD5A5A4" w:rsidR="00C04218" w:rsidRPr="00671CD1" w:rsidRDefault="00C04218" w:rsidP="00E05BB0">
            <w:pPr>
              <w:pStyle w:val="Tabletext0"/>
              <w:jc w:val="center"/>
            </w:pPr>
            <w:r w:rsidRPr="00671CD1">
              <w:rPr>
                <w:rStyle w:val="CommentaryTabletextleftChar"/>
                <w:color w:val="auto"/>
              </w:rPr>
              <w:t>1.88</w:t>
            </w:r>
            <w:r>
              <w:t xml:space="preserve"> </w:t>
            </w:r>
            <w:r w:rsidRPr="00671CD1">
              <w:t xml:space="preserve">[0.21, </w:t>
            </w:r>
            <w:r w:rsidRPr="00671CD1">
              <w:rPr>
                <w:rStyle w:val="CommentaryTabletextleftChar"/>
                <w:color w:val="auto"/>
              </w:rPr>
              <w:t>16.68</w:t>
            </w:r>
            <w:r w:rsidRPr="00671CD1">
              <w:t>]</w:t>
            </w:r>
          </w:p>
        </w:tc>
        <w:tc>
          <w:tcPr>
            <w:tcW w:w="832" w:type="pct"/>
          </w:tcPr>
          <w:p w14:paraId="22FBFF45" w14:textId="6FEE8A35" w:rsidR="00C04218" w:rsidRPr="00671CD1" w:rsidRDefault="00C04218" w:rsidP="00E05BB0">
            <w:pPr>
              <w:pStyle w:val="Tabletext0"/>
              <w:jc w:val="center"/>
            </w:pPr>
            <w:r w:rsidRPr="00671CD1">
              <w:t>0.01 [-0.01, 0.02]</w:t>
            </w:r>
          </w:p>
        </w:tc>
      </w:tr>
      <w:tr w:rsidR="00B5179E" w14:paraId="4965FB5D" w14:textId="77777777" w:rsidTr="00A62DBF">
        <w:tc>
          <w:tcPr>
            <w:tcW w:w="1098" w:type="pct"/>
            <w:tcBorders>
              <w:bottom w:val="single" w:sz="4" w:space="0" w:color="auto"/>
            </w:tcBorders>
          </w:tcPr>
          <w:p w14:paraId="780038AE" w14:textId="1A04D9F4" w:rsidR="00B5179E" w:rsidRDefault="00A57D11">
            <w:pPr>
              <w:pStyle w:val="Tabletext0"/>
            </w:pPr>
            <w:r>
              <w:t xml:space="preserve">SPYRAL </w:t>
            </w:r>
            <w:r w:rsidR="00B5179E">
              <w:t>HTN-ON MED</w:t>
            </w:r>
          </w:p>
        </w:tc>
        <w:tc>
          <w:tcPr>
            <w:tcW w:w="786" w:type="pct"/>
            <w:tcBorders>
              <w:bottom w:val="single" w:sz="4" w:space="0" w:color="auto"/>
            </w:tcBorders>
          </w:tcPr>
          <w:p w14:paraId="4EEE10AE" w14:textId="24206EE7" w:rsidR="00B5179E" w:rsidRDefault="00B5179E" w:rsidP="00B5179E">
            <w:pPr>
              <w:pStyle w:val="Tabletext0"/>
              <w:jc w:val="center"/>
            </w:pPr>
            <w:r w:rsidRPr="00D96FA1">
              <w:t>2</w:t>
            </w:r>
            <w:r>
              <w:t>/</w:t>
            </w:r>
            <w:r w:rsidRPr="00D96FA1">
              <w:t>206</w:t>
            </w:r>
            <w:r>
              <w:t xml:space="preserve"> (</w:t>
            </w:r>
            <w:r w:rsidRPr="00D96FA1">
              <w:t>0.97%</w:t>
            </w:r>
            <w:r>
              <w:t>)</w:t>
            </w:r>
          </w:p>
        </w:tc>
        <w:tc>
          <w:tcPr>
            <w:tcW w:w="708" w:type="pct"/>
            <w:tcBorders>
              <w:bottom w:val="single" w:sz="4" w:space="0" w:color="auto"/>
            </w:tcBorders>
          </w:tcPr>
          <w:p w14:paraId="4F254AA3" w14:textId="6C7DD1F2" w:rsidR="00B5179E" w:rsidRDefault="00B5179E" w:rsidP="00B5179E">
            <w:pPr>
              <w:pStyle w:val="Tabletext0"/>
              <w:jc w:val="center"/>
            </w:pPr>
            <w:r w:rsidRPr="00D96FA1">
              <w:t>1</w:t>
            </w:r>
            <w:r>
              <w:t>/</w:t>
            </w:r>
            <w:r w:rsidRPr="00D96FA1">
              <w:t>131</w:t>
            </w:r>
            <w:r>
              <w:t xml:space="preserve"> (</w:t>
            </w:r>
            <w:r w:rsidRPr="00D96FA1">
              <w:t>0.76%</w:t>
            </w:r>
            <w:r>
              <w:t>)</w:t>
            </w:r>
          </w:p>
        </w:tc>
        <w:tc>
          <w:tcPr>
            <w:tcW w:w="787" w:type="pct"/>
          </w:tcPr>
          <w:p w14:paraId="64AD3BB6" w14:textId="77777777" w:rsidR="00B5179E" w:rsidRDefault="00B5179E" w:rsidP="00E05BB0">
            <w:pPr>
              <w:pStyle w:val="Tabletext0"/>
              <w:jc w:val="center"/>
            </w:pPr>
            <w:r w:rsidRPr="00554A54">
              <w:t>1.27 [0.11, 14.20]</w:t>
            </w:r>
          </w:p>
        </w:tc>
        <w:tc>
          <w:tcPr>
            <w:tcW w:w="789" w:type="pct"/>
          </w:tcPr>
          <w:p w14:paraId="64D88F8E" w14:textId="77777777" w:rsidR="00B5179E" w:rsidRDefault="00B5179E" w:rsidP="00E05BB0">
            <w:pPr>
              <w:pStyle w:val="Tabletext0"/>
              <w:jc w:val="center"/>
            </w:pPr>
            <w:r w:rsidRPr="00554A54">
              <w:t>1.27 [0.12, 13.89]</w:t>
            </w:r>
          </w:p>
        </w:tc>
        <w:tc>
          <w:tcPr>
            <w:tcW w:w="832" w:type="pct"/>
          </w:tcPr>
          <w:p w14:paraId="63081DA4" w14:textId="77777777" w:rsidR="00B5179E" w:rsidRDefault="00B5179E" w:rsidP="00E05BB0">
            <w:pPr>
              <w:pStyle w:val="Tabletext0"/>
              <w:jc w:val="center"/>
            </w:pPr>
            <w:r w:rsidRPr="00554A54">
              <w:t>0.00 [-0.02, 0.02]</w:t>
            </w:r>
          </w:p>
        </w:tc>
      </w:tr>
      <w:tr w:rsidR="00B5179E" w14:paraId="0B8ED36A" w14:textId="77777777" w:rsidTr="00A62DBF">
        <w:tc>
          <w:tcPr>
            <w:tcW w:w="1098" w:type="pct"/>
            <w:tcBorders>
              <w:bottom w:val="nil"/>
            </w:tcBorders>
            <w:shd w:val="clear" w:color="auto" w:fill="auto"/>
          </w:tcPr>
          <w:p w14:paraId="274D634B" w14:textId="77777777" w:rsidR="00B5179E" w:rsidRDefault="00B5179E">
            <w:pPr>
              <w:pStyle w:val="Tabletext0"/>
            </w:pPr>
            <w:r>
              <w:t>Meta-analysis</w:t>
            </w:r>
          </w:p>
        </w:tc>
        <w:tc>
          <w:tcPr>
            <w:tcW w:w="786" w:type="pct"/>
            <w:tcBorders>
              <w:bottom w:val="nil"/>
            </w:tcBorders>
            <w:shd w:val="clear" w:color="auto" w:fill="auto"/>
          </w:tcPr>
          <w:p w14:paraId="63B66E05" w14:textId="49115849" w:rsidR="00B5179E" w:rsidRDefault="00B5179E" w:rsidP="00B5179E">
            <w:pPr>
              <w:pStyle w:val="Tabletext0"/>
              <w:jc w:val="center"/>
            </w:pPr>
            <w:r>
              <w:t>6/568 (</w:t>
            </w:r>
            <w:r w:rsidR="00B52965">
              <w:t>1.06%)</w:t>
            </w:r>
          </w:p>
        </w:tc>
        <w:tc>
          <w:tcPr>
            <w:tcW w:w="708" w:type="pct"/>
            <w:tcBorders>
              <w:bottom w:val="nil"/>
            </w:tcBorders>
            <w:shd w:val="clear" w:color="auto" w:fill="auto"/>
          </w:tcPr>
          <w:p w14:paraId="3F920E35" w14:textId="4D250808" w:rsidR="00B5179E" w:rsidRPr="00671CD1" w:rsidRDefault="00B5179E" w:rsidP="00B5179E">
            <w:pPr>
              <w:pStyle w:val="Tabletext0"/>
              <w:jc w:val="center"/>
            </w:pPr>
            <w:r>
              <w:t>2/301</w:t>
            </w:r>
            <w:r w:rsidR="00B52965">
              <w:t xml:space="preserve"> (0.66%)</w:t>
            </w:r>
          </w:p>
        </w:tc>
        <w:tc>
          <w:tcPr>
            <w:tcW w:w="787" w:type="pct"/>
            <w:shd w:val="clear" w:color="auto" w:fill="auto"/>
          </w:tcPr>
          <w:p w14:paraId="34C969AA" w14:textId="2EF34005" w:rsidR="00B5179E" w:rsidRPr="00671CD1" w:rsidRDefault="00B5179E" w:rsidP="00E05BB0">
            <w:pPr>
              <w:pStyle w:val="Tabletext0"/>
              <w:jc w:val="center"/>
            </w:pPr>
            <w:r w:rsidRPr="00671CD1">
              <w:t>1.58</w:t>
            </w:r>
            <w:r>
              <w:t xml:space="preserve"> </w:t>
            </w:r>
            <w:r w:rsidRPr="00671CD1">
              <w:t xml:space="preserve">[0.31, </w:t>
            </w:r>
            <w:r w:rsidRPr="00671CD1">
              <w:rPr>
                <w:rStyle w:val="CommentaryTabletextleftChar"/>
                <w:color w:val="auto"/>
              </w:rPr>
              <w:t>8.02</w:t>
            </w:r>
            <w:r w:rsidRPr="00671CD1">
              <w:t>]</w:t>
            </w:r>
          </w:p>
          <w:p w14:paraId="2DE763B1" w14:textId="77777777" w:rsidR="00B5179E" w:rsidRPr="00671CD1" w:rsidRDefault="00B5179E" w:rsidP="00E05BB0">
            <w:pPr>
              <w:pStyle w:val="Tabletext0"/>
              <w:jc w:val="center"/>
            </w:pPr>
            <w:r w:rsidRPr="00671CD1">
              <w:t>P=0.58</w:t>
            </w:r>
          </w:p>
        </w:tc>
        <w:tc>
          <w:tcPr>
            <w:tcW w:w="789" w:type="pct"/>
            <w:shd w:val="clear" w:color="auto" w:fill="auto"/>
          </w:tcPr>
          <w:p w14:paraId="0D04CA83" w14:textId="77D39D20" w:rsidR="00B5179E" w:rsidRPr="00671CD1" w:rsidRDefault="00B5179E" w:rsidP="00E05BB0">
            <w:pPr>
              <w:pStyle w:val="Tabletext0"/>
              <w:jc w:val="center"/>
            </w:pPr>
            <w:r w:rsidRPr="00671CD1">
              <w:rPr>
                <w:rStyle w:val="CommentaryTabletextleftChar"/>
                <w:color w:val="auto"/>
              </w:rPr>
              <w:t>1.57</w:t>
            </w:r>
            <w:r>
              <w:t xml:space="preserve"> </w:t>
            </w:r>
            <w:r w:rsidRPr="00671CD1">
              <w:t xml:space="preserve">[0.31, </w:t>
            </w:r>
            <w:r w:rsidRPr="00671CD1">
              <w:rPr>
                <w:rStyle w:val="CommentaryTabletextleftChar"/>
                <w:color w:val="auto"/>
              </w:rPr>
              <w:t>7.89</w:t>
            </w:r>
            <w:r w:rsidRPr="00671CD1">
              <w:t>]</w:t>
            </w:r>
          </w:p>
          <w:p w14:paraId="0BD9B605" w14:textId="77777777" w:rsidR="00B5179E" w:rsidRPr="00671CD1" w:rsidRDefault="00B5179E" w:rsidP="00E05BB0">
            <w:pPr>
              <w:pStyle w:val="Tabletext0"/>
              <w:jc w:val="center"/>
            </w:pPr>
            <w:r w:rsidRPr="00671CD1">
              <w:t>P=0.58</w:t>
            </w:r>
          </w:p>
        </w:tc>
        <w:tc>
          <w:tcPr>
            <w:tcW w:w="832" w:type="pct"/>
            <w:shd w:val="clear" w:color="auto" w:fill="auto"/>
          </w:tcPr>
          <w:p w14:paraId="42C20BC1" w14:textId="6A0321D9" w:rsidR="00B5179E" w:rsidRPr="00671CD1" w:rsidRDefault="00B5179E" w:rsidP="00E05BB0">
            <w:pPr>
              <w:pStyle w:val="Tabletext0"/>
              <w:jc w:val="center"/>
            </w:pPr>
            <w:r w:rsidRPr="00671CD1">
              <w:t>0.00 [-0.01, 0.0</w:t>
            </w:r>
            <w:r>
              <w:t>2</w:t>
            </w:r>
            <w:r w:rsidRPr="00671CD1">
              <w:t>]</w:t>
            </w:r>
          </w:p>
          <w:p w14:paraId="2949B418" w14:textId="7AD7539F" w:rsidR="00B5179E" w:rsidRPr="00671CD1" w:rsidRDefault="00B5179E" w:rsidP="00E05BB0">
            <w:pPr>
              <w:pStyle w:val="Tabletext0"/>
              <w:jc w:val="center"/>
            </w:pPr>
            <w:r w:rsidRPr="00671CD1">
              <w:t>P=0.</w:t>
            </w:r>
            <w:r>
              <w:t>53</w:t>
            </w:r>
          </w:p>
        </w:tc>
      </w:tr>
      <w:tr w:rsidR="00B5179E" w:rsidRPr="00BF40CD" w14:paraId="191766BD" w14:textId="77777777" w:rsidTr="00A62DBF">
        <w:tc>
          <w:tcPr>
            <w:tcW w:w="1098" w:type="pct"/>
            <w:tcBorders>
              <w:top w:val="nil"/>
              <w:bottom w:val="single" w:sz="4" w:space="0" w:color="auto"/>
            </w:tcBorders>
            <w:shd w:val="clear" w:color="auto" w:fill="auto"/>
          </w:tcPr>
          <w:p w14:paraId="0151430F" w14:textId="77777777" w:rsidR="00B5179E" w:rsidRDefault="00B5179E">
            <w:pPr>
              <w:pStyle w:val="Tabletext0"/>
            </w:pPr>
          </w:p>
        </w:tc>
        <w:tc>
          <w:tcPr>
            <w:tcW w:w="786" w:type="pct"/>
            <w:tcBorders>
              <w:top w:val="nil"/>
              <w:bottom w:val="single" w:sz="4" w:space="0" w:color="auto"/>
            </w:tcBorders>
            <w:shd w:val="clear" w:color="auto" w:fill="auto"/>
          </w:tcPr>
          <w:p w14:paraId="7341B872" w14:textId="77777777" w:rsidR="00B5179E" w:rsidRDefault="00B5179E">
            <w:pPr>
              <w:pStyle w:val="Tabletext0"/>
            </w:pPr>
          </w:p>
        </w:tc>
        <w:tc>
          <w:tcPr>
            <w:tcW w:w="708" w:type="pct"/>
            <w:tcBorders>
              <w:top w:val="nil"/>
              <w:bottom w:val="single" w:sz="4" w:space="0" w:color="auto"/>
            </w:tcBorders>
            <w:shd w:val="clear" w:color="auto" w:fill="auto"/>
          </w:tcPr>
          <w:p w14:paraId="790F106C" w14:textId="77777777" w:rsidR="00B5179E" w:rsidRDefault="00B5179E">
            <w:pPr>
              <w:pStyle w:val="Tabletext0"/>
            </w:pPr>
          </w:p>
        </w:tc>
        <w:tc>
          <w:tcPr>
            <w:tcW w:w="787" w:type="pct"/>
            <w:tcBorders>
              <w:bottom w:val="single" w:sz="4" w:space="0" w:color="auto"/>
            </w:tcBorders>
            <w:shd w:val="clear" w:color="auto" w:fill="auto"/>
          </w:tcPr>
          <w:p w14:paraId="51F600EF" w14:textId="47EBB256" w:rsidR="00B5179E" w:rsidRPr="00205963" w:rsidRDefault="00B5179E" w:rsidP="00E05BB0">
            <w:pPr>
              <w:pStyle w:val="Tabletext0"/>
              <w:jc w:val="center"/>
              <w:rPr>
                <w:lang w:val="it-IT"/>
              </w:rPr>
            </w:pPr>
            <w:r w:rsidRPr="00205963">
              <w:rPr>
                <w:lang w:val="it-IT"/>
              </w:rPr>
              <w:t>Heterogeneity: I²=0%</w:t>
            </w:r>
            <w:r>
              <w:rPr>
                <w:lang w:val="it-IT"/>
              </w:rPr>
              <w:t xml:space="preserve">, </w:t>
            </w:r>
            <w:r w:rsidRPr="00205963">
              <w:rPr>
                <w:lang w:val="it-IT"/>
              </w:rPr>
              <w:t>P=0.81</w:t>
            </w:r>
          </w:p>
        </w:tc>
        <w:tc>
          <w:tcPr>
            <w:tcW w:w="789" w:type="pct"/>
            <w:tcBorders>
              <w:bottom w:val="single" w:sz="4" w:space="0" w:color="auto"/>
            </w:tcBorders>
            <w:shd w:val="clear" w:color="auto" w:fill="auto"/>
          </w:tcPr>
          <w:p w14:paraId="658EBAD9" w14:textId="10F997D8" w:rsidR="00B5179E" w:rsidRPr="00205963" w:rsidRDefault="00B5179E" w:rsidP="00E05BB0">
            <w:pPr>
              <w:pStyle w:val="Tabletext0"/>
              <w:jc w:val="center"/>
              <w:rPr>
                <w:lang w:val="it-IT"/>
              </w:rPr>
            </w:pPr>
            <w:r w:rsidRPr="00205963">
              <w:rPr>
                <w:lang w:val="it-IT"/>
              </w:rPr>
              <w:t>Heterogeneity: I²=0%</w:t>
            </w:r>
            <w:r>
              <w:rPr>
                <w:lang w:val="it-IT"/>
              </w:rPr>
              <w:t xml:space="preserve">, </w:t>
            </w:r>
            <w:r w:rsidRPr="00205963">
              <w:rPr>
                <w:lang w:val="it-IT"/>
              </w:rPr>
              <w:t>P=0.81</w:t>
            </w:r>
          </w:p>
        </w:tc>
        <w:tc>
          <w:tcPr>
            <w:tcW w:w="832" w:type="pct"/>
            <w:shd w:val="clear" w:color="auto" w:fill="auto"/>
          </w:tcPr>
          <w:p w14:paraId="2FA2F17F" w14:textId="521916EE" w:rsidR="00B5179E" w:rsidRPr="00205963" w:rsidRDefault="00B5179E" w:rsidP="00E05BB0">
            <w:pPr>
              <w:pStyle w:val="Tabletext0"/>
              <w:jc w:val="center"/>
              <w:rPr>
                <w:lang w:val="it-IT"/>
              </w:rPr>
            </w:pPr>
            <w:r w:rsidRPr="00205963">
              <w:rPr>
                <w:lang w:val="it-IT"/>
              </w:rPr>
              <w:t>Heterogeneity: I²=0%</w:t>
            </w:r>
            <w:r>
              <w:rPr>
                <w:lang w:val="it-IT"/>
              </w:rPr>
              <w:t xml:space="preserve">, </w:t>
            </w:r>
            <w:r w:rsidRPr="00205963">
              <w:rPr>
                <w:lang w:val="it-IT"/>
              </w:rPr>
              <w:t>P=0.8</w:t>
            </w:r>
            <w:r>
              <w:rPr>
                <w:lang w:val="it-IT"/>
              </w:rPr>
              <w:t>1</w:t>
            </w:r>
          </w:p>
        </w:tc>
      </w:tr>
      <w:tr w:rsidR="00A62DBF" w14:paraId="7CF3C3CA" w14:textId="77777777" w:rsidTr="00A62DBF">
        <w:tc>
          <w:tcPr>
            <w:tcW w:w="1098" w:type="pct"/>
            <w:tcBorders>
              <w:right w:val="nil"/>
            </w:tcBorders>
            <w:shd w:val="clear" w:color="auto" w:fill="FFFFFF" w:themeFill="background1"/>
          </w:tcPr>
          <w:p w14:paraId="27F9DD7B" w14:textId="77777777" w:rsidR="00A62DBF" w:rsidRPr="00FF2F8D" w:rsidRDefault="00A62DBF" w:rsidP="00261FA3">
            <w:pPr>
              <w:pStyle w:val="Tabletext0"/>
              <w:keepNext/>
              <w:jc w:val="left"/>
              <w:rPr>
                <w:b/>
                <w:bCs/>
              </w:rPr>
            </w:pPr>
            <w:r w:rsidRPr="00FF2F8D">
              <w:rPr>
                <w:b/>
                <w:bCs/>
              </w:rPr>
              <w:t>6 months</w:t>
            </w:r>
          </w:p>
        </w:tc>
        <w:tc>
          <w:tcPr>
            <w:tcW w:w="786" w:type="pct"/>
            <w:tcBorders>
              <w:left w:val="nil"/>
              <w:right w:val="nil"/>
            </w:tcBorders>
            <w:shd w:val="clear" w:color="auto" w:fill="FFFFFF" w:themeFill="background1"/>
          </w:tcPr>
          <w:p w14:paraId="37B279EC" w14:textId="77777777" w:rsidR="00A62DBF" w:rsidRPr="00FF2F8D" w:rsidRDefault="00A62DBF" w:rsidP="00261FA3">
            <w:pPr>
              <w:pStyle w:val="Tabletext0"/>
              <w:keepNext/>
              <w:jc w:val="left"/>
              <w:rPr>
                <w:b/>
                <w:bCs/>
              </w:rPr>
            </w:pPr>
          </w:p>
        </w:tc>
        <w:tc>
          <w:tcPr>
            <w:tcW w:w="708" w:type="pct"/>
            <w:tcBorders>
              <w:left w:val="nil"/>
              <w:right w:val="nil"/>
            </w:tcBorders>
            <w:shd w:val="clear" w:color="auto" w:fill="FFFFFF" w:themeFill="background1"/>
          </w:tcPr>
          <w:p w14:paraId="54FC1C17" w14:textId="77777777" w:rsidR="00A62DBF" w:rsidRPr="00FF2F8D" w:rsidRDefault="00A62DBF" w:rsidP="00261FA3">
            <w:pPr>
              <w:pStyle w:val="Tabletext0"/>
              <w:keepNext/>
              <w:jc w:val="left"/>
              <w:rPr>
                <w:b/>
                <w:bCs/>
              </w:rPr>
            </w:pPr>
          </w:p>
        </w:tc>
        <w:tc>
          <w:tcPr>
            <w:tcW w:w="787" w:type="pct"/>
            <w:tcBorders>
              <w:left w:val="nil"/>
              <w:right w:val="nil"/>
            </w:tcBorders>
            <w:shd w:val="clear" w:color="auto" w:fill="FFFFFF" w:themeFill="background1"/>
          </w:tcPr>
          <w:p w14:paraId="66CE7186" w14:textId="77777777" w:rsidR="00A62DBF" w:rsidRPr="00FF2F8D" w:rsidRDefault="00A62DBF" w:rsidP="00261FA3">
            <w:pPr>
              <w:pStyle w:val="Tabletext0"/>
              <w:keepNext/>
              <w:jc w:val="left"/>
              <w:rPr>
                <w:b/>
                <w:bCs/>
              </w:rPr>
            </w:pPr>
          </w:p>
        </w:tc>
        <w:tc>
          <w:tcPr>
            <w:tcW w:w="789" w:type="pct"/>
            <w:tcBorders>
              <w:left w:val="nil"/>
              <w:right w:val="nil"/>
            </w:tcBorders>
            <w:shd w:val="clear" w:color="auto" w:fill="FFFFFF" w:themeFill="background1"/>
          </w:tcPr>
          <w:p w14:paraId="18E61359" w14:textId="77777777" w:rsidR="00A62DBF" w:rsidRPr="00FF2F8D" w:rsidRDefault="00A62DBF" w:rsidP="00261FA3">
            <w:pPr>
              <w:pStyle w:val="Tabletext0"/>
              <w:keepNext/>
              <w:jc w:val="left"/>
              <w:rPr>
                <w:b/>
                <w:bCs/>
              </w:rPr>
            </w:pPr>
          </w:p>
        </w:tc>
        <w:tc>
          <w:tcPr>
            <w:tcW w:w="832" w:type="pct"/>
            <w:tcBorders>
              <w:left w:val="nil"/>
            </w:tcBorders>
            <w:shd w:val="clear" w:color="auto" w:fill="FFFFFF" w:themeFill="background1"/>
          </w:tcPr>
          <w:p w14:paraId="019CF1C5" w14:textId="0E5D2FA7" w:rsidR="00A62DBF" w:rsidRPr="00FF2F8D" w:rsidRDefault="00A62DBF" w:rsidP="00261FA3">
            <w:pPr>
              <w:pStyle w:val="Tabletext0"/>
              <w:keepNext/>
              <w:jc w:val="left"/>
              <w:rPr>
                <w:b/>
                <w:bCs/>
              </w:rPr>
            </w:pPr>
          </w:p>
        </w:tc>
      </w:tr>
      <w:tr w:rsidR="00B5179E" w14:paraId="2FC2E480" w14:textId="77777777" w:rsidTr="00A62DBF">
        <w:tc>
          <w:tcPr>
            <w:tcW w:w="1098" w:type="pct"/>
            <w:tcBorders>
              <w:bottom w:val="single" w:sz="4" w:space="0" w:color="auto"/>
            </w:tcBorders>
          </w:tcPr>
          <w:p w14:paraId="19E50D1A" w14:textId="6273F3E2" w:rsidR="00B5179E" w:rsidRPr="00A66B4A" w:rsidRDefault="00A57D11">
            <w:pPr>
              <w:pStyle w:val="Tabletext0"/>
              <w:keepNext/>
            </w:pPr>
            <w:r>
              <w:t xml:space="preserve">SYMPLICITY </w:t>
            </w:r>
            <w:r w:rsidR="00B5179E" w:rsidRPr="00A66B4A">
              <w:t>HTN-3</w:t>
            </w:r>
            <w:r w:rsidR="00B5179E" w:rsidRPr="004A7045">
              <w:rPr>
                <w:vertAlign w:val="superscript"/>
              </w:rPr>
              <w:t>a</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Pr>
          <w:p w14:paraId="4712942D" w14:textId="27981A6E" w:rsidR="00B5179E" w:rsidRPr="00A66B4A" w:rsidRDefault="00B5179E" w:rsidP="00B52965">
            <w:pPr>
              <w:pStyle w:val="Tabletext0"/>
              <w:keepNext/>
              <w:jc w:val="center"/>
            </w:pPr>
            <w:r w:rsidRPr="00A66B4A">
              <w:t>13</w:t>
            </w:r>
            <w:r w:rsidR="00B52965">
              <w:t>/</w:t>
            </w:r>
            <w:r w:rsidRPr="00A66B4A">
              <w:rPr>
                <w:rStyle w:val="CommentaryTabletextleftChar"/>
                <w:color w:val="auto"/>
              </w:rPr>
              <w:t>359</w:t>
            </w:r>
            <w:r w:rsidR="00B52965">
              <w:t xml:space="preserve"> (</w:t>
            </w:r>
            <w:r w:rsidRPr="00A66B4A">
              <w:rPr>
                <w:rStyle w:val="CommentaryTabletextleftChar"/>
                <w:color w:val="auto"/>
              </w:rPr>
              <w:t>3.62%</w:t>
            </w:r>
            <w:r w:rsidR="00B52965">
              <w:rPr>
                <w:rStyle w:val="CommentaryTabletextleftChar"/>
                <w:color w:val="auto"/>
              </w:rPr>
              <w:t>)</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594F1C0" w14:textId="0E46EFED" w:rsidR="00B5179E" w:rsidRPr="00A66B4A" w:rsidRDefault="00B5179E" w:rsidP="00B52965">
            <w:pPr>
              <w:pStyle w:val="Tabletext0"/>
              <w:keepNext/>
              <w:jc w:val="center"/>
            </w:pPr>
            <w:r w:rsidRPr="00A66B4A">
              <w:rPr>
                <w:rStyle w:val="CommentaryTabletextleftChar"/>
                <w:color w:val="auto"/>
              </w:rPr>
              <w:t>7</w:t>
            </w:r>
            <w:r w:rsidR="00B52965">
              <w:t>/</w:t>
            </w:r>
            <w:r w:rsidRPr="00A66B4A">
              <w:rPr>
                <w:rStyle w:val="CommentaryTabletextleftChar"/>
                <w:color w:val="auto"/>
              </w:rPr>
              <w:t>167</w:t>
            </w:r>
            <w:r w:rsidR="00B52965">
              <w:t xml:space="preserve"> (</w:t>
            </w:r>
            <w:r w:rsidRPr="00A66B4A">
              <w:rPr>
                <w:rStyle w:val="CommentaryTabletextleftChar"/>
                <w:color w:val="auto"/>
              </w:rPr>
              <w:t>4.19%</w:t>
            </w:r>
            <w:r w:rsidR="00B52965">
              <w:rPr>
                <w:rStyle w:val="CommentaryTabletextleftChar"/>
                <w:color w:val="auto"/>
              </w:rPr>
              <w:t>)</w:t>
            </w:r>
          </w:p>
        </w:tc>
        <w:tc>
          <w:tcPr>
            <w:tcW w:w="787" w:type="pct"/>
            <w:tcBorders>
              <w:bottom w:val="single" w:sz="4" w:space="0" w:color="auto"/>
            </w:tcBorders>
          </w:tcPr>
          <w:p w14:paraId="4470000F" w14:textId="77777777" w:rsidR="00B5179E" w:rsidRPr="00A66B4A" w:rsidRDefault="00B5179E" w:rsidP="00E05BB0">
            <w:pPr>
              <w:pStyle w:val="CommentaryTabletextleft"/>
              <w:keepNext/>
              <w:jc w:val="center"/>
              <w:rPr>
                <w:color w:val="auto"/>
              </w:rPr>
            </w:pPr>
            <w:r w:rsidRPr="00A66B4A">
              <w:rPr>
                <w:color w:val="auto"/>
              </w:rPr>
              <w:t>0.86 [0.34, 2.19]</w:t>
            </w:r>
          </w:p>
        </w:tc>
        <w:tc>
          <w:tcPr>
            <w:tcW w:w="789" w:type="pct"/>
            <w:tcBorders>
              <w:bottom w:val="single" w:sz="4" w:space="0" w:color="auto"/>
            </w:tcBorders>
          </w:tcPr>
          <w:p w14:paraId="70B2D920" w14:textId="77777777" w:rsidR="00B5179E" w:rsidRPr="00A66B4A" w:rsidRDefault="00B5179E" w:rsidP="00E05BB0">
            <w:pPr>
              <w:pStyle w:val="CommentaryTabletextleft"/>
              <w:keepNext/>
              <w:jc w:val="center"/>
              <w:rPr>
                <w:color w:val="auto"/>
              </w:rPr>
            </w:pPr>
            <w:r w:rsidRPr="00A66B4A">
              <w:rPr>
                <w:color w:val="auto"/>
              </w:rPr>
              <w:t>0.86 [0.35, 2.13]</w:t>
            </w:r>
          </w:p>
        </w:tc>
        <w:tc>
          <w:tcPr>
            <w:tcW w:w="832" w:type="pct"/>
            <w:tcBorders>
              <w:bottom w:val="single" w:sz="4" w:space="0" w:color="auto"/>
            </w:tcBorders>
          </w:tcPr>
          <w:p w14:paraId="516BCDCC" w14:textId="77777777" w:rsidR="00B5179E" w:rsidRPr="00A66B4A" w:rsidRDefault="00B5179E" w:rsidP="00E05BB0">
            <w:pPr>
              <w:pStyle w:val="CommentaryTabletextleft"/>
              <w:keepNext/>
              <w:jc w:val="center"/>
              <w:rPr>
                <w:color w:val="auto"/>
              </w:rPr>
            </w:pPr>
            <w:r w:rsidRPr="00A66B4A">
              <w:rPr>
                <w:color w:val="auto"/>
              </w:rPr>
              <w:t>-0.01 [-0.04, 0.03]</w:t>
            </w:r>
          </w:p>
        </w:tc>
      </w:tr>
      <w:tr w:rsidR="00B5179E" w14:paraId="0153BDE8" w14:textId="77777777" w:rsidTr="00A62DBF">
        <w:tc>
          <w:tcPr>
            <w:tcW w:w="1098" w:type="pct"/>
            <w:tcBorders>
              <w:bottom w:val="single" w:sz="4" w:space="0" w:color="auto"/>
            </w:tcBorders>
          </w:tcPr>
          <w:p w14:paraId="74C60313" w14:textId="2F6EB624" w:rsidR="00B5179E" w:rsidRDefault="00A57D11">
            <w:pPr>
              <w:pStyle w:val="Tabletext0"/>
            </w:pPr>
            <w:r>
              <w:t xml:space="preserve">SPYRAL </w:t>
            </w:r>
            <w:r w:rsidR="00B5179E">
              <w:t>HTN-ON MED</w:t>
            </w:r>
          </w:p>
        </w:tc>
        <w:tc>
          <w:tcPr>
            <w:tcW w:w="786" w:type="pct"/>
            <w:tcBorders>
              <w:bottom w:val="single" w:sz="4" w:space="0" w:color="auto"/>
            </w:tcBorders>
          </w:tcPr>
          <w:p w14:paraId="619E4773" w14:textId="0694BA5C" w:rsidR="00B5179E" w:rsidRDefault="00B5179E" w:rsidP="00B52965">
            <w:pPr>
              <w:pStyle w:val="Tabletext0"/>
              <w:jc w:val="center"/>
            </w:pPr>
            <w:r w:rsidRPr="0097653F">
              <w:t>2</w:t>
            </w:r>
            <w:r w:rsidR="00B52965">
              <w:t>/</w:t>
            </w:r>
            <w:r w:rsidRPr="0097653F">
              <w:t>204</w:t>
            </w:r>
            <w:r w:rsidR="00B52965">
              <w:t xml:space="preserve"> (</w:t>
            </w:r>
            <w:r w:rsidRPr="0097653F">
              <w:t>0.98%</w:t>
            </w:r>
            <w:r w:rsidR="00B52965">
              <w:t>)</w:t>
            </w:r>
          </w:p>
        </w:tc>
        <w:tc>
          <w:tcPr>
            <w:tcW w:w="708" w:type="pct"/>
            <w:tcBorders>
              <w:bottom w:val="single" w:sz="4" w:space="0" w:color="auto"/>
            </w:tcBorders>
          </w:tcPr>
          <w:p w14:paraId="07CAB9ED" w14:textId="72351503" w:rsidR="00B5179E" w:rsidRDefault="00B5179E" w:rsidP="00B52965">
            <w:pPr>
              <w:pStyle w:val="Tabletext0"/>
              <w:jc w:val="center"/>
            </w:pPr>
            <w:r w:rsidRPr="0097653F">
              <w:t>1</w:t>
            </w:r>
            <w:r w:rsidR="00B52965">
              <w:t>/</w:t>
            </w:r>
            <w:r w:rsidRPr="0097653F">
              <w:t>130</w:t>
            </w:r>
            <w:r w:rsidR="00B52965">
              <w:t xml:space="preserve"> (</w:t>
            </w:r>
            <w:r w:rsidRPr="0097653F">
              <w:t>0.77%</w:t>
            </w:r>
            <w:r w:rsidR="00B52965">
              <w:t>)</w:t>
            </w:r>
          </w:p>
        </w:tc>
        <w:tc>
          <w:tcPr>
            <w:tcW w:w="787" w:type="pct"/>
          </w:tcPr>
          <w:p w14:paraId="074B70C6" w14:textId="77777777" w:rsidR="00B5179E" w:rsidRDefault="00B5179E" w:rsidP="00E05BB0">
            <w:pPr>
              <w:pStyle w:val="Tabletext0"/>
              <w:jc w:val="center"/>
            </w:pPr>
            <w:r w:rsidRPr="00822431">
              <w:t>1.28</w:t>
            </w:r>
            <w:r>
              <w:t xml:space="preserve"> </w:t>
            </w:r>
            <w:r w:rsidRPr="00822431">
              <w:t>[0.11, 14.23]</w:t>
            </w:r>
          </w:p>
        </w:tc>
        <w:tc>
          <w:tcPr>
            <w:tcW w:w="789" w:type="pct"/>
          </w:tcPr>
          <w:p w14:paraId="74320DD4" w14:textId="77777777" w:rsidR="00B5179E" w:rsidRDefault="00B5179E" w:rsidP="00E05BB0">
            <w:pPr>
              <w:pStyle w:val="Tabletext0"/>
              <w:jc w:val="center"/>
            </w:pPr>
            <w:r w:rsidRPr="00822431">
              <w:t>1.27 [0.12, 13.91]</w:t>
            </w:r>
          </w:p>
        </w:tc>
        <w:tc>
          <w:tcPr>
            <w:tcW w:w="832" w:type="pct"/>
          </w:tcPr>
          <w:p w14:paraId="3F497D2B" w14:textId="77777777" w:rsidR="00B5179E" w:rsidRDefault="00B5179E" w:rsidP="00E05BB0">
            <w:pPr>
              <w:pStyle w:val="Tabletext0"/>
              <w:jc w:val="center"/>
            </w:pPr>
            <w:r w:rsidRPr="00822431">
              <w:t>0.00 [-0.02, 0.02]</w:t>
            </w:r>
          </w:p>
        </w:tc>
      </w:tr>
      <w:tr w:rsidR="00B5179E" w14:paraId="50E3D27B" w14:textId="77777777" w:rsidTr="00A62DBF">
        <w:tc>
          <w:tcPr>
            <w:tcW w:w="1098" w:type="pct"/>
            <w:tcBorders>
              <w:top w:val="single" w:sz="4" w:space="0" w:color="auto"/>
              <w:bottom w:val="nil"/>
            </w:tcBorders>
            <w:shd w:val="clear" w:color="auto" w:fill="auto"/>
          </w:tcPr>
          <w:p w14:paraId="62C4DC30" w14:textId="77777777" w:rsidR="00B5179E" w:rsidRPr="00A66B4A" w:rsidRDefault="00B5179E">
            <w:pPr>
              <w:pStyle w:val="Tabletext0"/>
            </w:pPr>
            <w:r w:rsidRPr="00A66B4A">
              <w:t>Meta-analysis</w:t>
            </w:r>
          </w:p>
        </w:tc>
        <w:tc>
          <w:tcPr>
            <w:tcW w:w="786" w:type="pct"/>
            <w:tcBorders>
              <w:top w:val="single" w:sz="4" w:space="0" w:color="auto"/>
              <w:bottom w:val="nil"/>
            </w:tcBorders>
            <w:shd w:val="clear" w:color="auto" w:fill="auto"/>
          </w:tcPr>
          <w:p w14:paraId="3945E0E5" w14:textId="340C0312" w:rsidR="00B5179E" w:rsidRPr="00731C17" w:rsidRDefault="00B5179E" w:rsidP="00B52965">
            <w:pPr>
              <w:pStyle w:val="Tabletext0"/>
              <w:jc w:val="center"/>
            </w:pPr>
            <w:r w:rsidRPr="00731C17">
              <w:t>15</w:t>
            </w:r>
            <w:r w:rsidR="00B52965" w:rsidRPr="00731C17">
              <w:t>/</w:t>
            </w:r>
            <w:r w:rsidRPr="00731C17">
              <w:rPr>
                <w:rStyle w:val="CommentaryTabletextleftChar"/>
                <w:color w:val="auto"/>
              </w:rPr>
              <w:t>563</w:t>
            </w:r>
            <w:r w:rsidR="00B52965" w:rsidRPr="00731C17">
              <w:rPr>
                <w:rStyle w:val="CommentaryTabletextleftChar"/>
                <w:color w:val="auto"/>
              </w:rPr>
              <w:t xml:space="preserve"> (</w:t>
            </w:r>
            <w:r w:rsidR="00731C17" w:rsidRPr="00731C17">
              <w:rPr>
                <w:rStyle w:val="CommentaryTabletextleftChar"/>
                <w:color w:val="auto"/>
              </w:rPr>
              <w:t>2.66%)</w:t>
            </w:r>
          </w:p>
        </w:tc>
        <w:tc>
          <w:tcPr>
            <w:tcW w:w="708" w:type="pct"/>
            <w:tcBorders>
              <w:top w:val="single" w:sz="4" w:space="0" w:color="auto"/>
              <w:bottom w:val="nil"/>
            </w:tcBorders>
            <w:shd w:val="clear" w:color="auto" w:fill="auto"/>
          </w:tcPr>
          <w:p w14:paraId="77A99036" w14:textId="0D604FA7" w:rsidR="00B5179E" w:rsidRPr="00731C17" w:rsidRDefault="00B5179E" w:rsidP="00B52965">
            <w:pPr>
              <w:pStyle w:val="Tabletext0"/>
              <w:jc w:val="center"/>
            </w:pPr>
            <w:r w:rsidRPr="00731C17">
              <w:rPr>
                <w:rStyle w:val="CommentaryTabletextleftChar"/>
                <w:color w:val="auto"/>
              </w:rPr>
              <w:t>8</w:t>
            </w:r>
            <w:r w:rsidR="00B52965" w:rsidRPr="00731C17">
              <w:t>/</w:t>
            </w:r>
            <w:r w:rsidRPr="00731C17">
              <w:rPr>
                <w:rStyle w:val="CommentaryTabletextleftChar"/>
                <w:color w:val="auto"/>
              </w:rPr>
              <w:t>297</w:t>
            </w:r>
            <w:r w:rsidR="00731C17" w:rsidRPr="00731C17">
              <w:rPr>
                <w:rStyle w:val="CommentaryTabletextleftChar"/>
                <w:color w:val="auto"/>
              </w:rPr>
              <w:t xml:space="preserve"> (2.69%)</w:t>
            </w:r>
          </w:p>
        </w:tc>
        <w:tc>
          <w:tcPr>
            <w:tcW w:w="787" w:type="pct"/>
            <w:tcBorders>
              <w:top w:val="single" w:sz="4" w:space="0" w:color="auto"/>
            </w:tcBorders>
            <w:shd w:val="clear" w:color="auto" w:fill="auto"/>
          </w:tcPr>
          <w:p w14:paraId="2C238005" w14:textId="0C5A7558" w:rsidR="00B5179E" w:rsidRPr="00A66B4A" w:rsidRDefault="00B5179E" w:rsidP="00E05BB0">
            <w:pPr>
              <w:pStyle w:val="Tabletext0"/>
              <w:jc w:val="center"/>
            </w:pPr>
            <w:r w:rsidRPr="00A66B4A">
              <w:rPr>
                <w:rStyle w:val="CommentaryTabletextleftChar"/>
                <w:color w:val="auto"/>
              </w:rPr>
              <w:t>0.90</w:t>
            </w:r>
            <w:r>
              <w:t xml:space="preserve"> </w:t>
            </w:r>
            <w:r w:rsidRPr="00A66B4A">
              <w:t>[0.38, 2.17]</w:t>
            </w:r>
          </w:p>
          <w:p w14:paraId="68F30DD1" w14:textId="7C42E5A6" w:rsidR="00B5179E" w:rsidRPr="00A66B4A" w:rsidRDefault="00B5179E" w:rsidP="00E05BB0">
            <w:pPr>
              <w:pStyle w:val="Tabletext0"/>
              <w:jc w:val="center"/>
            </w:pPr>
            <w:r w:rsidRPr="00A66B4A">
              <w:t>P=</w:t>
            </w:r>
            <w:r w:rsidRPr="00A66B4A">
              <w:rPr>
                <w:rStyle w:val="CommentaryTabletextleftChar"/>
                <w:color w:val="auto"/>
              </w:rPr>
              <w:t>0.82</w:t>
            </w:r>
          </w:p>
        </w:tc>
        <w:tc>
          <w:tcPr>
            <w:tcW w:w="789" w:type="pct"/>
            <w:tcBorders>
              <w:top w:val="single" w:sz="4" w:space="0" w:color="auto"/>
            </w:tcBorders>
            <w:shd w:val="clear" w:color="auto" w:fill="auto"/>
          </w:tcPr>
          <w:p w14:paraId="4B567BD8" w14:textId="62F027EE" w:rsidR="00B5179E" w:rsidRPr="00A66B4A" w:rsidRDefault="00B5179E" w:rsidP="00E05BB0">
            <w:pPr>
              <w:pStyle w:val="Tabletext0"/>
              <w:jc w:val="center"/>
            </w:pPr>
            <w:r w:rsidRPr="00A66B4A">
              <w:rPr>
                <w:rStyle w:val="CommentaryTabletextleftChar"/>
                <w:color w:val="auto"/>
              </w:rPr>
              <w:t>0.91</w:t>
            </w:r>
            <w:r>
              <w:t xml:space="preserve"> </w:t>
            </w:r>
            <w:r w:rsidRPr="00A66B4A">
              <w:t>[0.39, 2.11]</w:t>
            </w:r>
          </w:p>
          <w:p w14:paraId="4FD9EC8D" w14:textId="1D7131BE" w:rsidR="00B5179E" w:rsidRPr="00A66B4A" w:rsidRDefault="00B5179E" w:rsidP="00E05BB0">
            <w:pPr>
              <w:pStyle w:val="Tabletext0"/>
              <w:jc w:val="center"/>
            </w:pPr>
            <w:r w:rsidRPr="00A66B4A">
              <w:t>P=</w:t>
            </w:r>
            <w:r w:rsidRPr="00A66B4A">
              <w:rPr>
                <w:rStyle w:val="CommentaryTabletextleftChar"/>
                <w:color w:val="auto"/>
              </w:rPr>
              <w:t>0.82</w:t>
            </w:r>
          </w:p>
        </w:tc>
        <w:tc>
          <w:tcPr>
            <w:tcW w:w="832" w:type="pct"/>
            <w:tcBorders>
              <w:top w:val="single" w:sz="4" w:space="0" w:color="auto"/>
            </w:tcBorders>
            <w:shd w:val="clear" w:color="auto" w:fill="auto"/>
          </w:tcPr>
          <w:p w14:paraId="631F6669" w14:textId="3EEE67AE" w:rsidR="00B5179E" w:rsidRPr="00A66B4A" w:rsidRDefault="00B5179E" w:rsidP="00E05BB0">
            <w:pPr>
              <w:pStyle w:val="Tabletext0"/>
              <w:jc w:val="center"/>
            </w:pPr>
            <w:r w:rsidRPr="00A66B4A">
              <w:rPr>
                <w:rStyle w:val="CommentaryTabletextleftChar"/>
                <w:color w:val="auto"/>
              </w:rPr>
              <w:t>0.00</w:t>
            </w:r>
            <w:r>
              <w:t xml:space="preserve"> </w:t>
            </w:r>
            <w:r w:rsidRPr="00A66B4A">
              <w:t>[-0.02, 0.02]</w:t>
            </w:r>
          </w:p>
          <w:p w14:paraId="46A8B2E5" w14:textId="01545345" w:rsidR="00B5179E" w:rsidRPr="00A66B4A" w:rsidRDefault="00B5179E" w:rsidP="00E05BB0">
            <w:pPr>
              <w:pStyle w:val="Tabletext0"/>
              <w:jc w:val="center"/>
            </w:pPr>
            <w:r w:rsidRPr="00A66B4A">
              <w:t>P=</w:t>
            </w:r>
            <w:r w:rsidRPr="00A66B4A">
              <w:rPr>
                <w:rStyle w:val="CommentaryTabletextleftChar"/>
                <w:color w:val="auto"/>
              </w:rPr>
              <w:t>0.98</w:t>
            </w:r>
          </w:p>
        </w:tc>
      </w:tr>
      <w:tr w:rsidR="00B5179E" w:rsidRPr="00BF40CD" w14:paraId="5B9AC0A9" w14:textId="77777777" w:rsidTr="00A62DBF">
        <w:tc>
          <w:tcPr>
            <w:tcW w:w="1098" w:type="pct"/>
            <w:tcBorders>
              <w:top w:val="nil"/>
            </w:tcBorders>
            <w:shd w:val="clear" w:color="auto" w:fill="auto"/>
          </w:tcPr>
          <w:p w14:paraId="4F0EA9F9" w14:textId="77777777" w:rsidR="00B5179E" w:rsidRPr="00A66B4A" w:rsidRDefault="00B5179E">
            <w:pPr>
              <w:pStyle w:val="Tabletext0"/>
            </w:pPr>
          </w:p>
        </w:tc>
        <w:tc>
          <w:tcPr>
            <w:tcW w:w="786" w:type="pct"/>
            <w:tcBorders>
              <w:top w:val="nil"/>
            </w:tcBorders>
            <w:shd w:val="clear" w:color="auto" w:fill="auto"/>
          </w:tcPr>
          <w:p w14:paraId="58AED7AF" w14:textId="77777777" w:rsidR="00B5179E" w:rsidRPr="00A66B4A" w:rsidRDefault="00B5179E">
            <w:pPr>
              <w:pStyle w:val="Tabletext0"/>
            </w:pPr>
          </w:p>
        </w:tc>
        <w:tc>
          <w:tcPr>
            <w:tcW w:w="708" w:type="pct"/>
            <w:tcBorders>
              <w:top w:val="nil"/>
            </w:tcBorders>
            <w:shd w:val="clear" w:color="auto" w:fill="auto"/>
          </w:tcPr>
          <w:p w14:paraId="63EB44BA" w14:textId="77777777" w:rsidR="00B5179E" w:rsidRPr="00A66B4A" w:rsidRDefault="00B5179E">
            <w:pPr>
              <w:pStyle w:val="Tabletext0"/>
            </w:pPr>
          </w:p>
        </w:tc>
        <w:tc>
          <w:tcPr>
            <w:tcW w:w="787" w:type="pct"/>
            <w:shd w:val="clear" w:color="auto" w:fill="auto"/>
          </w:tcPr>
          <w:p w14:paraId="53B888C2" w14:textId="03B92D16" w:rsidR="00B5179E" w:rsidRPr="00A66B4A" w:rsidRDefault="00B5179E" w:rsidP="00E05BB0">
            <w:pPr>
              <w:pStyle w:val="Tabletext0"/>
              <w:jc w:val="center"/>
              <w:rPr>
                <w:lang w:val="it-IT"/>
              </w:rPr>
            </w:pPr>
            <w:r w:rsidRPr="00A66B4A">
              <w:rPr>
                <w:lang w:val="it-IT"/>
              </w:rPr>
              <w:t>Heterogeneity: I²=0%</w:t>
            </w:r>
            <w:r>
              <w:rPr>
                <w:lang w:val="it-IT"/>
              </w:rPr>
              <w:t xml:space="preserve">, </w:t>
            </w:r>
            <w:r w:rsidRPr="00A66B4A">
              <w:rPr>
                <w:lang w:val="it-IT"/>
              </w:rPr>
              <w:t>P=</w:t>
            </w:r>
            <w:r w:rsidRPr="00A66B4A">
              <w:rPr>
                <w:rStyle w:val="CommentaryTabletextleftChar"/>
                <w:color w:val="auto"/>
              </w:rPr>
              <w:t>0.76</w:t>
            </w:r>
          </w:p>
        </w:tc>
        <w:tc>
          <w:tcPr>
            <w:tcW w:w="789" w:type="pct"/>
            <w:shd w:val="clear" w:color="auto" w:fill="auto"/>
          </w:tcPr>
          <w:p w14:paraId="6963579C" w14:textId="41DD1F15" w:rsidR="00B5179E" w:rsidRPr="00A66B4A" w:rsidRDefault="00B5179E" w:rsidP="00E05BB0">
            <w:pPr>
              <w:pStyle w:val="Tabletext0"/>
              <w:jc w:val="center"/>
              <w:rPr>
                <w:lang w:val="it-IT"/>
              </w:rPr>
            </w:pPr>
            <w:r w:rsidRPr="00A66B4A">
              <w:rPr>
                <w:lang w:val="it-IT"/>
              </w:rPr>
              <w:t>Heterogeneity: I²=0%</w:t>
            </w:r>
            <w:r>
              <w:rPr>
                <w:lang w:val="it-IT"/>
              </w:rPr>
              <w:t xml:space="preserve">, </w:t>
            </w:r>
            <w:r w:rsidRPr="00A66B4A">
              <w:rPr>
                <w:lang w:val="it-IT"/>
              </w:rPr>
              <w:t>P=</w:t>
            </w:r>
            <w:r w:rsidRPr="00A66B4A">
              <w:rPr>
                <w:rStyle w:val="CommentaryTabletextleftChar"/>
                <w:color w:val="auto"/>
              </w:rPr>
              <w:t>0.7</w:t>
            </w:r>
            <w:r>
              <w:rPr>
                <w:rStyle w:val="CommentaryTabletextleftChar"/>
                <w:color w:val="auto"/>
              </w:rPr>
              <w:t>7</w:t>
            </w:r>
          </w:p>
        </w:tc>
        <w:tc>
          <w:tcPr>
            <w:tcW w:w="832" w:type="pct"/>
            <w:shd w:val="clear" w:color="auto" w:fill="auto"/>
          </w:tcPr>
          <w:p w14:paraId="2324F369" w14:textId="2F729C92" w:rsidR="00B5179E" w:rsidRPr="00A66B4A" w:rsidRDefault="00B5179E" w:rsidP="00E05BB0">
            <w:pPr>
              <w:pStyle w:val="Tabletext0"/>
              <w:jc w:val="center"/>
              <w:rPr>
                <w:lang w:val="it-IT"/>
              </w:rPr>
            </w:pPr>
            <w:r w:rsidRPr="00A66B4A">
              <w:rPr>
                <w:lang w:val="it-IT"/>
              </w:rPr>
              <w:t>Heterogeneity: I²=0%</w:t>
            </w:r>
            <w:r>
              <w:rPr>
                <w:lang w:val="it-IT"/>
              </w:rPr>
              <w:t xml:space="preserve">, </w:t>
            </w:r>
            <w:r w:rsidRPr="00A66B4A">
              <w:rPr>
                <w:lang w:val="it-IT"/>
              </w:rPr>
              <w:t>P=</w:t>
            </w:r>
            <w:r w:rsidRPr="00A66B4A">
              <w:rPr>
                <w:rStyle w:val="CommentaryTabletextleftChar"/>
                <w:color w:val="auto"/>
              </w:rPr>
              <w:t>0.</w:t>
            </w:r>
            <w:r>
              <w:rPr>
                <w:rStyle w:val="CommentaryTabletextleftChar"/>
                <w:color w:val="auto"/>
              </w:rPr>
              <w:t>63</w:t>
            </w:r>
          </w:p>
        </w:tc>
      </w:tr>
    </w:tbl>
    <w:p w14:paraId="0A7EE1AF" w14:textId="6B5A3BDA" w:rsidR="00F36332" w:rsidRDefault="00112427" w:rsidP="00A17FE9">
      <w:pPr>
        <w:pStyle w:val="Tablenotes"/>
      </w:pPr>
      <w:r w:rsidRPr="00112427">
        <w:t>CI</w:t>
      </w:r>
      <w:r>
        <w:t xml:space="preserve"> = </w:t>
      </w:r>
      <w:r w:rsidRPr="00112427">
        <w:t>confidence interval; OR</w:t>
      </w:r>
      <w:r w:rsidR="00A17FE9">
        <w:t xml:space="preserve"> = </w:t>
      </w:r>
      <w:r w:rsidRPr="00112427">
        <w:t>odds ratio; RR</w:t>
      </w:r>
      <w:r w:rsidR="00A17FE9">
        <w:t xml:space="preserve"> = </w:t>
      </w:r>
      <w:r w:rsidRPr="00112427">
        <w:t>risk ratio; RD</w:t>
      </w:r>
      <w:r w:rsidR="00A17FE9">
        <w:t xml:space="preserve"> = </w:t>
      </w:r>
      <w:r w:rsidRPr="00112427">
        <w:t>risk difference</w:t>
      </w:r>
      <w:r w:rsidR="001577DB">
        <w:t>; RDN = renal denervation</w:t>
      </w:r>
      <w:r w:rsidR="000A6679">
        <w:t>.</w:t>
      </w:r>
    </w:p>
    <w:p w14:paraId="0A589B0A" w14:textId="69C65F9A" w:rsidR="00F36332" w:rsidRDefault="00D01278" w:rsidP="00A17FE9">
      <w:pPr>
        <w:pStyle w:val="Tablenotes"/>
      </w:pPr>
      <w:r w:rsidRPr="00D01278">
        <w:t>MAE</w:t>
      </w:r>
      <w:r w:rsidR="00BE40A5">
        <w:t xml:space="preserve"> was</w:t>
      </w:r>
      <w:r w:rsidRPr="00D01278">
        <w:t xml:space="preserve"> defined </w:t>
      </w:r>
      <w:r>
        <w:t xml:space="preserve">in all </w:t>
      </w:r>
      <w:r w:rsidR="00E24062">
        <w:t xml:space="preserve">three trials </w:t>
      </w:r>
      <w:r w:rsidRPr="00D01278">
        <w:t xml:space="preserve">as a composite of the following events: </w:t>
      </w:r>
      <w:r w:rsidR="00E24062">
        <w:t>a</w:t>
      </w:r>
      <w:r w:rsidRPr="00D01278">
        <w:t xml:space="preserve">ll-cause mortality; ESRD; </w:t>
      </w:r>
      <w:r w:rsidR="00E24062">
        <w:t>s</w:t>
      </w:r>
      <w:r w:rsidRPr="00D01278">
        <w:t>ignificant embolic event resulting in end-organ damage; artery perforation or dissection requiring intervention</w:t>
      </w:r>
      <w:r w:rsidR="00E24062">
        <w:t>;</w:t>
      </w:r>
      <w:r w:rsidRPr="00D01278">
        <w:t xml:space="preserve"> vascular complications; hospitali</w:t>
      </w:r>
      <w:r w:rsidR="00E24062">
        <w:t>s</w:t>
      </w:r>
      <w:r w:rsidRPr="00D01278">
        <w:t>ation for hypertensive crisis/</w:t>
      </w:r>
      <w:r w:rsidR="00E24062">
        <w:t xml:space="preserve"> </w:t>
      </w:r>
      <w:r w:rsidRPr="00D01278">
        <w:t xml:space="preserve">emergency not related to confirmed non-adherence with medications </w:t>
      </w:r>
      <w:r w:rsidR="0078656E">
        <w:t>or</w:t>
      </w:r>
      <w:r w:rsidR="0078656E" w:rsidRPr="00D01278">
        <w:t xml:space="preserve"> </w:t>
      </w:r>
      <w:r w:rsidR="00E24062">
        <w:t>n</w:t>
      </w:r>
      <w:r w:rsidRPr="00D01278">
        <w:t>ew renal artery stenosis &gt; 70%, confirmed by angiography within 6 months of randomisation (assessed at 6 months only</w:t>
      </w:r>
      <w:r w:rsidR="009E3153">
        <w:t>)</w:t>
      </w:r>
      <w:r w:rsidRPr="00D01278">
        <w:t>.</w:t>
      </w:r>
    </w:p>
    <w:p w14:paraId="3A4D9806" w14:textId="2FA4DB9C" w:rsidR="00F36332" w:rsidRDefault="00781F7D" w:rsidP="00A70E25">
      <w:pPr>
        <w:pStyle w:val="Tablenotes"/>
        <w:spacing w:after="360"/>
      </w:pPr>
      <w:r w:rsidRPr="00702CF8">
        <w:t>a</w:t>
      </w:r>
      <w:r>
        <w:t xml:space="preserve"> </w:t>
      </w:r>
      <w:r w:rsidRPr="00781F7D">
        <w:t>Denominators have been amended to number of patients treated</w:t>
      </w:r>
      <w:r w:rsidR="00955ABB">
        <w:t>. D</w:t>
      </w:r>
      <w:r w:rsidRPr="00781F7D">
        <w:t>ata are uncertain due to inconsistencies in C</w:t>
      </w:r>
      <w:r w:rsidR="00EC0C55">
        <w:t xml:space="preserve">linical </w:t>
      </w:r>
      <w:r w:rsidRPr="00781F7D">
        <w:t>S</w:t>
      </w:r>
      <w:r w:rsidR="00EC0C55">
        <w:t xml:space="preserve">tudy </w:t>
      </w:r>
      <w:r w:rsidRPr="00781F7D">
        <w:t>R</w:t>
      </w:r>
      <w:r w:rsidR="00EC0C55">
        <w:t>eport</w:t>
      </w:r>
      <w:r w:rsidRPr="00781F7D">
        <w:t>.</w:t>
      </w:r>
    </w:p>
    <w:p w14:paraId="11F17314" w14:textId="56EB4777" w:rsidR="00955ABB" w:rsidRPr="00F36332" w:rsidRDefault="00955ABB" w:rsidP="00A70E25">
      <w:pPr>
        <w:pStyle w:val="Tablenotes"/>
        <w:spacing w:after="360"/>
      </w:pPr>
      <w:r>
        <w:t xml:space="preserve">Source: </w:t>
      </w:r>
      <w:r w:rsidR="00587F6F">
        <w:t xml:space="preserve">Excerpt from </w:t>
      </w:r>
      <w:r>
        <w:t xml:space="preserve">Table </w:t>
      </w:r>
      <w:r w:rsidR="0087290B">
        <w:t>30</w:t>
      </w:r>
      <w:r>
        <w:t xml:space="preserve"> in </w:t>
      </w:r>
      <w:r w:rsidR="00105887">
        <w:t xml:space="preserve">MSAC 1659 </w:t>
      </w:r>
      <w:r>
        <w:t>ADAR</w:t>
      </w:r>
      <w:r w:rsidR="008D3EA6" w:rsidRPr="002D7084">
        <w:rPr>
          <w:szCs w:val="18"/>
        </w:rPr>
        <w:t>+in-line commentary</w:t>
      </w:r>
      <w:r w:rsidR="0064586C">
        <w:t xml:space="preserve">, </w:t>
      </w:r>
      <w:r w:rsidR="00F44B4D">
        <w:t>incorporating</w:t>
      </w:r>
      <w:r w:rsidR="0064586C">
        <w:t xml:space="preserve"> commentary corrections</w:t>
      </w:r>
      <w:r>
        <w:t>.</w:t>
      </w:r>
      <w:r w:rsidR="00445BD8">
        <w:t xml:space="preserve"> </w:t>
      </w:r>
    </w:p>
    <w:p w14:paraId="287AEC32" w14:textId="1224F9D8" w:rsidR="00A70E25" w:rsidRDefault="00A70E25" w:rsidP="00A70E25">
      <w:r w:rsidRPr="00B4791A">
        <w:t xml:space="preserve">Overall, reports of MAE </w:t>
      </w:r>
      <w:r w:rsidR="006522D5">
        <w:t xml:space="preserve">(composite and individual component events) </w:t>
      </w:r>
      <w:r w:rsidRPr="00B4791A">
        <w:t>were infrequent</w:t>
      </w:r>
      <w:r>
        <w:t xml:space="preserve"> </w:t>
      </w:r>
      <w:r w:rsidRPr="00B4791A">
        <w:t>and meta-analys</w:t>
      </w:r>
      <w:r>
        <w:t>e</w:t>
      </w:r>
      <w:r w:rsidRPr="00B4791A">
        <w:t xml:space="preserve">s showed no statistically significant differences between </w:t>
      </w:r>
      <w:r w:rsidR="009A335C">
        <w:t xml:space="preserve">the </w:t>
      </w:r>
      <w:r w:rsidRPr="00B4791A">
        <w:t>RDN and sham control</w:t>
      </w:r>
      <w:r w:rsidR="009A335C">
        <w:t xml:space="preserve"> arms</w:t>
      </w:r>
      <w:r w:rsidRPr="00B4791A">
        <w:t>.</w:t>
      </w:r>
      <w:r>
        <w:t xml:space="preserve"> </w:t>
      </w:r>
      <w:r w:rsidRPr="00E95EAC">
        <w:t xml:space="preserve">There were no occurrences of renal artery perforation or dissection requiring intervention or new cases of </w:t>
      </w:r>
      <w:r w:rsidR="0004797D">
        <w:t>end stage renal disease (</w:t>
      </w:r>
      <w:r w:rsidRPr="00E95EAC">
        <w:t>ESRD</w:t>
      </w:r>
      <w:r w:rsidR="0004797D">
        <w:t>)</w:t>
      </w:r>
      <w:r w:rsidRPr="00E95EAC">
        <w:t xml:space="preserve">. </w:t>
      </w:r>
      <w:r w:rsidR="006F24AA">
        <w:t>Hospitalisation for hypertensive crisis or emergency was t</w:t>
      </w:r>
      <w:r w:rsidR="00BF03DD">
        <w:t xml:space="preserve">he </w:t>
      </w:r>
      <w:r w:rsidR="006B35EA">
        <w:t>mo</w:t>
      </w:r>
      <w:r w:rsidR="00A21CF5">
        <w:t>st</w:t>
      </w:r>
      <w:r w:rsidR="006B35EA">
        <w:t xml:space="preserve"> frequent </w:t>
      </w:r>
      <w:r w:rsidR="002F5E19">
        <w:t xml:space="preserve">of the </w:t>
      </w:r>
      <w:r w:rsidR="000D35B8">
        <w:t>individual component</w:t>
      </w:r>
      <w:r w:rsidR="006B35EA">
        <w:t xml:space="preserve"> event</w:t>
      </w:r>
      <w:r w:rsidR="002F5E19">
        <w:t>s</w:t>
      </w:r>
      <w:r w:rsidR="006B35EA">
        <w:t xml:space="preserve"> </w:t>
      </w:r>
      <w:r w:rsidR="006F24AA">
        <w:t xml:space="preserve">reported </w:t>
      </w:r>
      <w:r w:rsidR="00A21CF5">
        <w:t xml:space="preserve">in </w:t>
      </w:r>
      <w:r w:rsidR="002F5E19">
        <w:t>SYMPLICITY HTN-3</w:t>
      </w:r>
      <w:r w:rsidR="00F346B9">
        <w:t>.</w:t>
      </w:r>
    </w:p>
    <w:p w14:paraId="5791F372" w14:textId="2F919F13" w:rsidR="00B4791A" w:rsidRDefault="00CD5D7C" w:rsidP="008622C4">
      <w:r>
        <w:t>There were no statistically significant differences between the RDN and sham control arms in change in renal function during the randomised follow up period of the trials.</w:t>
      </w:r>
    </w:p>
    <w:p w14:paraId="5E1F81B7" w14:textId="1D6B8F56" w:rsidR="000218CE" w:rsidRDefault="008045E9" w:rsidP="008045E9">
      <w:pPr>
        <w:pStyle w:val="Heading3"/>
      </w:pPr>
      <w:r>
        <w:t>Longer term safety outcomes</w:t>
      </w:r>
      <w:r w:rsidR="006A7414">
        <w:t xml:space="preserve"> from </w:t>
      </w:r>
      <w:r w:rsidR="00F45847">
        <w:t>trials</w:t>
      </w:r>
    </w:p>
    <w:p w14:paraId="29C47C0E" w14:textId="2CE4CF9F" w:rsidR="005D3DAE" w:rsidRDefault="00A754A5" w:rsidP="008622C4">
      <w:r w:rsidRPr="00A754A5">
        <w:t xml:space="preserve">Where longer term safety follow up was available beyond completion of the randomised controlled period of the </w:t>
      </w:r>
      <w:r w:rsidR="008F26EC">
        <w:t>trials</w:t>
      </w:r>
      <w:r w:rsidR="008F26EC" w:rsidRPr="00A754A5">
        <w:t xml:space="preserve"> </w:t>
      </w:r>
      <w:r w:rsidRPr="00A754A5">
        <w:t>(</w:t>
      </w:r>
      <w:r w:rsidR="004156AA">
        <w:t xml:space="preserve">SYMPLICITY </w:t>
      </w:r>
      <w:r w:rsidRPr="00A754A5">
        <w:t>HTN-3 to 60 months</w:t>
      </w:r>
      <w:r w:rsidR="008F26EC">
        <w:t>; SPYRAL HTN-ON MED</w:t>
      </w:r>
      <w:r w:rsidR="008F26EC" w:rsidRPr="00A754A5">
        <w:t xml:space="preserve"> pilot to 36 months</w:t>
      </w:r>
      <w:r w:rsidRPr="00A754A5">
        <w:t xml:space="preserve">), the RDN procedure was found to be safe throughout, with no late-emerging complications. </w:t>
      </w:r>
      <w:r w:rsidR="000A27F8" w:rsidRPr="000A27F8">
        <w:t>T</w:t>
      </w:r>
      <w:r w:rsidR="00CD1AC9">
        <w:t>his assessment</w:t>
      </w:r>
      <w:r w:rsidR="000A27F8">
        <w:t xml:space="preserve"> </w:t>
      </w:r>
      <w:r w:rsidR="000A27F8" w:rsidRPr="000A27F8">
        <w:t>include</w:t>
      </w:r>
      <w:r w:rsidR="003B7298">
        <w:t>d</w:t>
      </w:r>
      <w:r w:rsidR="000A27F8" w:rsidRPr="000A27F8">
        <w:t xml:space="preserve"> outcomes that </w:t>
      </w:r>
      <w:r w:rsidR="008045E9">
        <w:t>we</w:t>
      </w:r>
      <w:r w:rsidR="000A27F8" w:rsidRPr="000A27F8">
        <w:t xml:space="preserve">re classified as efficacy outcomes in the PICO (all-cause mortality, </w:t>
      </w:r>
      <w:r w:rsidR="009A47C9">
        <w:t>CV</w:t>
      </w:r>
      <w:r w:rsidR="000A27F8" w:rsidRPr="000A27F8">
        <w:t xml:space="preserve"> mortality, new onset ESRD, new MI, new stroke).</w:t>
      </w:r>
      <w:r w:rsidR="000A27F8">
        <w:t xml:space="preserve"> </w:t>
      </w:r>
    </w:p>
    <w:p w14:paraId="3BA8B380" w14:textId="0B5A7EF0" w:rsidR="00794592" w:rsidRDefault="000A27F8" w:rsidP="008622C4">
      <w:r w:rsidRPr="00A754A5">
        <w:t xml:space="preserve">Cumulative event rates were </w:t>
      </w:r>
      <w:r w:rsidR="00AB0608">
        <w:t>not statistically different</w:t>
      </w:r>
      <w:r w:rsidRPr="00A754A5">
        <w:t xml:space="preserve"> in patients who did and did not receive RDN.</w:t>
      </w:r>
      <w:r w:rsidR="0067251C">
        <w:t xml:space="preserve"> </w:t>
      </w:r>
      <w:r w:rsidR="0027174A">
        <w:t>However</w:t>
      </w:r>
      <w:r w:rsidR="00AB0608">
        <w:t xml:space="preserve">, </w:t>
      </w:r>
      <w:r w:rsidR="0067251C" w:rsidRPr="0067251C">
        <w:t xml:space="preserve">several safety outcomes </w:t>
      </w:r>
      <w:r w:rsidR="00036B78">
        <w:t xml:space="preserve">in </w:t>
      </w:r>
      <w:r w:rsidR="00EE2703">
        <w:t xml:space="preserve">SYMPLICITY </w:t>
      </w:r>
      <w:r w:rsidR="00036B78">
        <w:t xml:space="preserve">HTN-3 </w:t>
      </w:r>
      <w:r w:rsidR="0067251C" w:rsidRPr="0067251C">
        <w:t xml:space="preserve">were reported only in the </w:t>
      </w:r>
      <w:r w:rsidR="004156AA">
        <w:t xml:space="preserve">group </w:t>
      </w:r>
      <w:r w:rsidR="00A551B7">
        <w:t>randomised</w:t>
      </w:r>
      <w:r w:rsidR="0067251C" w:rsidRPr="0067251C">
        <w:t xml:space="preserve"> </w:t>
      </w:r>
      <w:r w:rsidR="00A551B7">
        <w:t xml:space="preserve">to </w:t>
      </w:r>
      <w:r w:rsidR="0067251C" w:rsidRPr="0067251C">
        <w:t xml:space="preserve">RDN: new ESRD; significant embolic events resulting in end-organ damage; and vascular complications requiring </w:t>
      </w:r>
      <w:r w:rsidR="0046456F">
        <w:t>intervention (</w:t>
      </w:r>
      <w:r w:rsidR="0067251C" w:rsidRPr="0067251C">
        <w:t>surgical repair, interventional procedure, thrombin injection, or blood transfusion</w:t>
      </w:r>
      <w:r w:rsidR="0046456F">
        <w:t>)</w:t>
      </w:r>
      <w:r w:rsidR="0067251C" w:rsidRPr="0067251C">
        <w:t>.</w:t>
      </w:r>
      <w:r w:rsidR="00EE2703">
        <w:t xml:space="preserve"> </w:t>
      </w:r>
      <w:r w:rsidR="00A551B7">
        <w:t>For each of these outcomes</w:t>
      </w:r>
      <w:r w:rsidR="00EE2703">
        <w:t xml:space="preserve"> </w:t>
      </w:r>
      <w:r w:rsidR="004D4EF7">
        <w:t>the number of events was</w:t>
      </w:r>
      <w:r w:rsidR="00EE2703">
        <w:t xml:space="preserve"> low.</w:t>
      </w:r>
    </w:p>
    <w:p w14:paraId="75FAC2ED" w14:textId="17CC1245" w:rsidR="00620D17" w:rsidRDefault="00F45847" w:rsidP="00300114">
      <w:pPr>
        <w:pStyle w:val="Heading3"/>
      </w:pPr>
      <w:r>
        <w:t>Longer term safety outcomes from</w:t>
      </w:r>
      <w:r w:rsidR="00300114">
        <w:t xml:space="preserve"> other sources</w:t>
      </w:r>
    </w:p>
    <w:p w14:paraId="42B8DB75" w14:textId="3A96D0E3" w:rsidR="00F45847" w:rsidRDefault="00ED01CA" w:rsidP="008622C4">
      <w:r>
        <w:t>A</w:t>
      </w:r>
      <w:r w:rsidRPr="00980B31">
        <w:t>mong 2</w:t>
      </w:r>
      <w:r>
        <w:t>,</w:t>
      </w:r>
      <w:r w:rsidRPr="00980B31">
        <w:t xml:space="preserve">145 </w:t>
      </w:r>
      <w:r w:rsidR="007800A3">
        <w:t>patients</w:t>
      </w:r>
      <w:r w:rsidRPr="00980B31">
        <w:t xml:space="preserve"> in the </w:t>
      </w:r>
      <w:r>
        <w:t>G</w:t>
      </w:r>
      <w:r w:rsidR="00F557C1">
        <w:t xml:space="preserve">lobal </w:t>
      </w:r>
      <w:r>
        <w:t>S</w:t>
      </w:r>
      <w:r w:rsidR="00F557C1">
        <w:t xml:space="preserve">YMPLICITY </w:t>
      </w:r>
      <w:r>
        <w:t>R</w:t>
      </w:r>
      <w:r w:rsidR="00F557C1">
        <w:t>egistry</w:t>
      </w:r>
      <w:r>
        <w:t xml:space="preserve"> </w:t>
      </w:r>
      <w:r w:rsidRPr="00980B31">
        <w:t>followed for 6</w:t>
      </w:r>
      <w:r>
        <w:t xml:space="preserve"> </w:t>
      </w:r>
      <w:r w:rsidRPr="00980B31">
        <w:t>months</w:t>
      </w:r>
      <w:r w:rsidR="0059108E">
        <w:t>,</w:t>
      </w:r>
      <w:r w:rsidR="007800A3">
        <w:t xml:space="preserve"> </w:t>
      </w:r>
      <w:r w:rsidRPr="00980B31">
        <w:t>and 1</w:t>
      </w:r>
      <w:r>
        <w:t>,</w:t>
      </w:r>
      <w:r w:rsidRPr="00980B31">
        <w:t xml:space="preserve">199 patients followed to 3 years, the incidence of </w:t>
      </w:r>
      <w:r w:rsidR="008D71F0">
        <w:t>CV</w:t>
      </w:r>
      <w:r w:rsidRPr="00980B31">
        <w:t xml:space="preserve"> death was 2.0% at 3 years and no long-term safety concerns were observed following the RDN procedure. </w:t>
      </w:r>
      <w:r w:rsidR="003E0B8E">
        <w:t xml:space="preserve">The incidence of renal artery stenosis </w:t>
      </w:r>
      <w:r w:rsidR="00D70529">
        <w:t xml:space="preserve">reported in the </w:t>
      </w:r>
      <w:r w:rsidR="00F557C1">
        <w:t xml:space="preserve">registry </w:t>
      </w:r>
      <w:r w:rsidR="00EC2FBF">
        <w:t xml:space="preserve">compares favourably with published information </w:t>
      </w:r>
      <w:r w:rsidR="00500A9B">
        <w:t xml:space="preserve">on the natural history of renal stenosis </w:t>
      </w:r>
      <w:r w:rsidR="00EC2FBF">
        <w:t>in hypertensive patients</w:t>
      </w:r>
      <w:r w:rsidR="007870C9">
        <w:t xml:space="preserve"> (</w:t>
      </w:r>
      <w:r w:rsidR="00310D54" w:rsidRPr="00980B31">
        <w:t xml:space="preserve">although imaging was not requested systematically in all </w:t>
      </w:r>
      <w:r w:rsidR="00F557C1">
        <w:t xml:space="preserve">registry </w:t>
      </w:r>
      <w:r w:rsidR="00310D54" w:rsidRPr="00980B31">
        <w:t xml:space="preserve">patients and therefore it </w:t>
      </w:r>
      <w:r w:rsidR="00310D54">
        <w:t>may have been under-reported</w:t>
      </w:r>
      <w:r w:rsidR="007870C9">
        <w:t>)</w:t>
      </w:r>
      <w:r w:rsidR="00310D54">
        <w:t>.</w:t>
      </w:r>
      <w:r w:rsidR="00614237">
        <w:t xml:space="preserve"> </w:t>
      </w:r>
      <w:r w:rsidR="00614237" w:rsidRPr="00980B31">
        <w:t>Renal function</w:t>
      </w:r>
      <w:r w:rsidR="00013985">
        <w:t>,</w:t>
      </w:r>
      <w:r w:rsidR="00614237" w:rsidRPr="00980B31">
        <w:t xml:space="preserve"> as assessed by</w:t>
      </w:r>
      <w:r w:rsidR="00231AFF">
        <w:t xml:space="preserve"> </w:t>
      </w:r>
      <w:r w:rsidR="00231AFF" w:rsidRPr="00BE0DB6">
        <w:t>the estimated glomerular filtration rate</w:t>
      </w:r>
      <w:r w:rsidR="00614237" w:rsidRPr="00980B31">
        <w:t xml:space="preserve"> </w:t>
      </w:r>
      <w:r w:rsidR="00231AFF">
        <w:t>(</w:t>
      </w:r>
      <w:r w:rsidR="00614237" w:rsidRPr="00980B31">
        <w:t>eGFR</w:t>
      </w:r>
      <w:r w:rsidR="00231AFF">
        <w:t>)</w:t>
      </w:r>
      <w:r w:rsidR="00013985">
        <w:t>,</w:t>
      </w:r>
      <w:r w:rsidR="00614237" w:rsidRPr="00980B31">
        <w:t xml:space="preserve"> declined within the expected range</w:t>
      </w:r>
      <w:r w:rsidR="00B45A4B">
        <w:t xml:space="preserve"> for patients with uncontrolled HTN.</w:t>
      </w:r>
      <w:r w:rsidR="00997EC2">
        <w:t xml:space="preserve"> </w:t>
      </w:r>
      <w:r w:rsidR="00284E0A">
        <w:t>However, t</w:t>
      </w:r>
      <w:r w:rsidR="00ED5085" w:rsidRPr="00ED5085">
        <w:t xml:space="preserve">he </w:t>
      </w:r>
      <w:r w:rsidR="00375AF6">
        <w:t xml:space="preserve">authors of publications from the registry noted that the </w:t>
      </w:r>
      <w:r w:rsidR="00ED5085" w:rsidRPr="00ED5085">
        <w:t>observed safety profile should be regarded as being device</w:t>
      </w:r>
      <w:r w:rsidR="00E24DA5">
        <w:t xml:space="preserve"> </w:t>
      </w:r>
      <w:r w:rsidR="00ED5085" w:rsidRPr="00ED5085">
        <w:t xml:space="preserve">specific. </w:t>
      </w:r>
      <w:r w:rsidR="009D3C0A">
        <w:t xml:space="preserve">There is a </w:t>
      </w:r>
      <w:r w:rsidR="00ED5085" w:rsidRPr="00ED5085">
        <w:t>need for continued long-term follow</w:t>
      </w:r>
      <w:r w:rsidR="00B90052">
        <w:t xml:space="preserve"> </w:t>
      </w:r>
      <w:r w:rsidR="00ED5085" w:rsidRPr="00ED5085">
        <w:t xml:space="preserve">up of patients treated with the </w:t>
      </w:r>
      <w:r w:rsidR="00F311CA">
        <w:t>second generation</w:t>
      </w:r>
      <w:r w:rsidR="00ED5085" w:rsidRPr="00ED5085">
        <w:t xml:space="preserve"> SYMPLICITY Spyral catheter and </w:t>
      </w:r>
      <w:r w:rsidR="008A233D">
        <w:t xml:space="preserve">the </w:t>
      </w:r>
      <w:r w:rsidR="00ED5085" w:rsidRPr="00ED5085">
        <w:t>revised procedural techniques</w:t>
      </w:r>
      <w:r w:rsidR="00C65F3C">
        <w:t xml:space="preserve"> involving more distal renal vessel access</w:t>
      </w:r>
      <w:r w:rsidR="00ED5085" w:rsidRPr="00ED5085">
        <w:t>.</w:t>
      </w:r>
    </w:p>
    <w:p w14:paraId="7018DB2B" w14:textId="0795479F" w:rsidR="00284E0A" w:rsidRDefault="00997EC2" w:rsidP="008622C4">
      <w:r>
        <w:t xml:space="preserve">Other </w:t>
      </w:r>
      <w:r w:rsidR="000306EF">
        <w:t xml:space="preserve">observational studies with follow up to 10 years </w:t>
      </w:r>
      <w:r w:rsidR="000A203C">
        <w:t xml:space="preserve">provided additional </w:t>
      </w:r>
      <w:r w:rsidR="006068ED">
        <w:t xml:space="preserve">supplementary evidence </w:t>
      </w:r>
      <w:r w:rsidR="000A203C">
        <w:t xml:space="preserve">for the safety </w:t>
      </w:r>
      <w:r w:rsidR="001813D3">
        <w:t xml:space="preserve">profile </w:t>
      </w:r>
      <w:r w:rsidR="007022AE">
        <w:t xml:space="preserve">of RDN, </w:t>
      </w:r>
      <w:r w:rsidR="001813D3">
        <w:t xml:space="preserve">with no </w:t>
      </w:r>
      <w:r w:rsidR="000D30C8">
        <w:t xml:space="preserve">significant </w:t>
      </w:r>
      <w:r w:rsidR="001813D3">
        <w:t>adverse effects on renal function</w:t>
      </w:r>
      <w:r w:rsidR="007F708C">
        <w:t xml:space="preserve"> over time</w:t>
      </w:r>
      <w:r w:rsidR="00B65285">
        <w:t xml:space="preserve"> – </w:t>
      </w:r>
      <w:r w:rsidR="0002239A">
        <w:t xml:space="preserve">albeit with the caveats </w:t>
      </w:r>
      <w:r w:rsidR="00F825F1">
        <w:t>associated with long-term follow-up in single</w:t>
      </w:r>
      <w:r w:rsidR="002C6C37">
        <w:t>-</w:t>
      </w:r>
      <w:r w:rsidR="00F825F1">
        <w:t>arm studies.</w:t>
      </w:r>
      <w:r w:rsidR="007F708C">
        <w:t xml:space="preserve"> </w:t>
      </w:r>
      <w:r w:rsidR="006210A3">
        <w:t>T</w:t>
      </w:r>
      <w:r w:rsidR="00511F46">
        <w:t xml:space="preserve">his evidence is not comparative </w:t>
      </w:r>
      <w:r w:rsidR="001733CA">
        <w:t xml:space="preserve">and </w:t>
      </w:r>
      <w:r w:rsidR="00A56C4D">
        <w:t xml:space="preserve">there is the </w:t>
      </w:r>
      <w:r w:rsidR="00D70A22">
        <w:t xml:space="preserve">potential </w:t>
      </w:r>
      <w:r w:rsidR="00A56C4D">
        <w:t>for adverse effects on renal function to be masked by the ‘noise’ expected</w:t>
      </w:r>
      <w:r w:rsidR="00511F46">
        <w:t xml:space="preserve"> </w:t>
      </w:r>
      <w:r w:rsidR="00225981">
        <w:t xml:space="preserve">in a clinical area </w:t>
      </w:r>
      <w:r w:rsidR="00A56C4D">
        <w:t>with</w:t>
      </w:r>
      <w:r w:rsidR="00225981">
        <w:t xml:space="preserve"> substantial </w:t>
      </w:r>
      <w:r w:rsidR="00787E90">
        <w:t xml:space="preserve">progression to </w:t>
      </w:r>
      <w:r w:rsidR="00B65285">
        <w:t>CKD</w:t>
      </w:r>
      <w:r w:rsidR="00E6468C">
        <w:t xml:space="preserve"> in many patients</w:t>
      </w:r>
      <w:r w:rsidR="000004C4">
        <w:t>.</w:t>
      </w:r>
    </w:p>
    <w:p w14:paraId="492247B3" w14:textId="624427F2" w:rsidR="008045E9" w:rsidRDefault="008045E9" w:rsidP="008045E9">
      <w:pPr>
        <w:pStyle w:val="Heading3"/>
      </w:pPr>
      <w:r>
        <w:t>Safety conclusions</w:t>
      </w:r>
    </w:p>
    <w:p w14:paraId="643826F5" w14:textId="6E04BC0D" w:rsidR="00DD1487" w:rsidRDefault="00A754A5" w:rsidP="001A4E44">
      <w:r>
        <w:t>Overall, the</w:t>
      </w:r>
      <w:r w:rsidR="00E62A5F">
        <w:t xml:space="preserve"> </w:t>
      </w:r>
      <w:r w:rsidR="00E62A5F" w:rsidRPr="4042795E">
        <w:rPr>
          <w:rStyle w:val="normaltextrun"/>
        </w:rPr>
        <w:t>commentary considered the</w:t>
      </w:r>
      <w:r w:rsidRPr="4042795E">
        <w:t xml:space="preserve"> randomised trials </w:t>
      </w:r>
      <w:r w:rsidR="00BB20A8">
        <w:t xml:space="preserve">and </w:t>
      </w:r>
      <w:r w:rsidR="00A90F6B">
        <w:t xml:space="preserve">the ADAR extended safety assessment </w:t>
      </w:r>
      <w:r w:rsidR="00DD4630">
        <w:t xml:space="preserve">(up to 10 years) </w:t>
      </w:r>
      <w:r>
        <w:t>support the general safety of the RDN procedure.</w:t>
      </w:r>
      <w:r w:rsidR="00DD4630">
        <w:t xml:space="preserve"> </w:t>
      </w:r>
      <w:r w:rsidR="000833E5">
        <w:t>The r</w:t>
      </w:r>
      <w:r w:rsidR="00691093">
        <w:t xml:space="preserve">ates of </w:t>
      </w:r>
      <w:r w:rsidR="00B51DD4">
        <w:t xml:space="preserve">adverse events </w:t>
      </w:r>
      <w:r w:rsidR="00691093">
        <w:t xml:space="preserve">in patients </w:t>
      </w:r>
      <w:r w:rsidR="00181300">
        <w:t xml:space="preserve">at high CV risk </w:t>
      </w:r>
      <w:r w:rsidR="00691093">
        <w:t xml:space="preserve">undergoing RDN </w:t>
      </w:r>
      <w:r w:rsidR="009727AF">
        <w:t>we</w:t>
      </w:r>
      <w:r w:rsidR="00691093">
        <w:t>re no more than would be expected for patients with this baseline comorbidity profile.</w:t>
      </w:r>
    </w:p>
    <w:p w14:paraId="210FDDBE" w14:textId="292CF5AE" w:rsidR="00D31D84" w:rsidRPr="008622C4" w:rsidRDefault="00E62A5F" w:rsidP="001643BA">
      <w:r w:rsidRPr="4042795E">
        <w:rPr>
          <w:rStyle w:val="normaltextrun"/>
          <w:rFonts w:cs="Segoe UI"/>
          <w:shd w:val="clear" w:color="auto" w:fill="FFFFFF"/>
        </w:rPr>
        <w:t xml:space="preserve">The commentary also noted that </w:t>
      </w:r>
      <w:r w:rsidRPr="4042795E">
        <w:t>n</w:t>
      </w:r>
      <w:r w:rsidR="001B2BBB" w:rsidRPr="001B2BBB">
        <w:t>o significant increase in de novo renal artery stenosis or worsening kidney function was seen in long-term follow</w:t>
      </w:r>
      <w:r w:rsidR="00A433C7">
        <w:t xml:space="preserve"> </w:t>
      </w:r>
      <w:r w:rsidR="001B2BBB" w:rsidRPr="001B2BBB">
        <w:t xml:space="preserve">up beyond expected rates in patients with HTN and reduced kidney function. </w:t>
      </w:r>
      <w:r w:rsidR="00CD06E1">
        <w:t>However, p</w:t>
      </w:r>
      <w:r w:rsidR="001B2BBB" w:rsidRPr="001B2BBB">
        <w:t>atients with severely reduced kidney function have not been satisfactorily investigated in</w:t>
      </w:r>
      <w:r w:rsidR="00582131">
        <w:t xml:space="preserve"> </w:t>
      </w:r>
      <w:r w:rsidR="00585730">
        <w:t xml:space="preserve">the </w:t>
      </w:r>
      <w:r w:rsidR="00582131">
        <w:t>sham-controlled trials of RDN or the</w:t>
      </w:r>
      <w:r w:rsidR="001B2BBB" w:rsidRPr="001B2BBB">
        <w:t xml:space="preserve"> registry analyses. </w:t>
      </w:r>
      <w:r w:rsidR="00277F67">
        <w:t>Therefore, r</w:t>
      </w:r>
      <w:r w:rsidR="001B2BBB" w:rsidRPr="001B2BBB">
        <w:t>enal safety of RDN can only be considered in patients with normal or mild-to-moderate reduced kidney function.</w:t>
      </w:r>
    </w:p>
    <w:p w14:paraId="3717AA01" w14:textId="78EB87B0" w:rsidR="00772829" w:rsidRDefault="00C36633" w:rsidP="002A18BE">
      <w:pPr>
        <w:pStyle w:val="Heading2"/>
        <w:numPr>
          <w:ilvl w:val="0"/>
          <w:numId w:val="0"/>
        </w:numPr>
      </w:pPr>
      <w:bookmarkStart w:id="19" w:name="_Toc69491424"/>
      <w:r>
        <w:t>1</w:t>
      </w:r>
      <w:r w:rsidR="006E6BB4">
        <w:t>2</w:t>
      </w:r>
      <w:r>
        <w:t>.</w:t>
      </w:r>
      <w:r>
        <w:tab/>
      </w:r>
      <w:r w:rsidR="00772829" w:rsidRPr="00CE28E3">
        <w:t>Comparative effectiveness</w:t>
      </w:r>
      <w:bookmarkEnd w:id="19"/>
    </w:p>
    <w:p w14:paraId="658CB641" w14:textId="410E1F23" w:rsidR="00225339" w:rsidRDefault="00225339" w:rsidP="00FD7E5C">
      <w:pPr>
        <w:pStyle w:val="Heading3"/>
      </w:pPr>
      <w:r>
        <w:t>Clinical</w:t>
      </w:r>
      <w:r w:rsidR="00FD7E5C">
        <w:t xml:space="preserve"> importance of changes in blood pressure</w:t>
      </w:r>
    </w:p>
    <w:p w14:paraId="43607B32" w14:textId="40B3AEF2" w:rsidR="00FD7E5C" w:rsidRDefault="00842DB0" w:rsidP="008622C4">
      <w:r>
        <w:t>A</w:t>
      </w:r>
      <w:r w:rsidR="00FD7E5C" w:rsidRPr="00FD7E5C">
        <w:t xml:space="preserve"> relationship has been shown between BP reduction and reduced CVD risk, such that for each </w:t>
      </w:r>
      <w:r w:rsidR="00E24139" w:rsidRPr="00FD7E5C">
        <w:t>10</w:t>
      </w:r>
      <w:r w:rsidR="00E24139">
        <w:t> </w:t>
      </w:r>
      <w:r w:rsidR="00FD7E5C" w:rsidRPr="00FD7E5C">
        <w:t xml:space="preserve">mmHg or </w:t>
      </w:r>
      <w:r w:rsidR="00E24139" w:rsidRPr="00FD7E5C">
        <w:t>5</w:t>
      </w:r>
      <w:r w:rsidR="00E24139">
        <w:t> </w:t>
      </w:r>
      <w:r w:rsidR="00FD7E5C" w:rsidRPr="00FD7E5C">
        <w:t xml:space="preserve">mmHg drop in </w:t>
      </w:r>
      <w:r w:rsidR="00FD7E5C">
        <w:t>OS</w:t>
      </w:r>
      <w:r w:rsidR="00FD7E5C" w:rsidRPr="00FD7E5C">
        <w:t xml:space="preserve">BP, there was an associated 13% and 5% decrease in all-cause mortality respectively, and an even greater reduction in other </w:t>
      </w:r>
      <w:r w:rsidR="00B550E4">
        <w:t>CV</w:t>
      </w:r>
      <w:r w:rsidR="00FD7E5C" w:rsidRPr="00FD7E5C">
        <w:t xml:space="preserve"> outcomes (Ettehad 2016)</w:t>
      </w:r>
      <w:r w:rsidR="00700BFA">
        <w:rPr>
          <w:rStyle w:val="FootnoteReference"/>
        </w:rPr>
        <w:footnoteReference w:id="9"/>
      </w:r>
      <w:r w:rsidR="00FD7E5C" w:rsidRPr="00FD7E5C">
        <w:t xml:space="preserve">. </w:t>
      </w:r>
      <w:r w:rsidR="00412C77">
        <w:t>The ADAR assert</w:t>
      </w:r>
      <w:r w:rsidR="00345644">
        <w:t>ed</w:t>
      </w:r>
      <w:r w:rsidR="00412C77">
        <w:t xml:space="preserve"> that </w:t>
      </w:r>
      <w:r w:rsidR="00AA0C98" w:rsidRPr="00FD7E5C">
        <w:t>pharmacological</w:t>
      </w:r>
      <w:r w:rsidR="00AA0C98">
        <w:t>-</w:t>
      </w:r>
      <w:r w:rsidR="00FD7E5C" w:rsidRPr="00FD7E5C">
        <w:t>induced reductions in SBP and DBP of ≥</w:t>
      </w:r>
      <w:r w:rsidR="00E24139" w:rsidRPr="00FD7E5C">
        <w:t>2</w:t>
      </w:r>
      <w:r w:rsidR="00E24139">
        <w:t> </w:t>
      </w:r>
      <w:r w:rsidR="00FD7E5C" w:rsidRPr="00FD7E5C">
        <w:t>mmHg have been shown to significantly reduce the incidence of CVD in both hypertensive and normotensive individuals</w:t>
      </w:r>
      <w:r w:rsidR="00C05DB2">
        <w:t xml:space="preserve"> </w:t>
      </w:r>
      <w:r w:rsidR="00FD7E5C" w:rsidRPr="00FD7E5C">
        <w:t xml:space="preserve">and </w:t>
      </w:r>
      <w:r w:rsidR="00412C77">
        <w:t xml:space="preserve">are </w:t>
      </w:r>
      <w:r w:rsidR="00FD7E5C" w:rsidRPr="00FD7E5C">
        <w:t>therefore considered clinically meaningful</w:t>
      </w:r>
      <w:r w:rsidR="00412C77">
        <w:t xml:space="preserve">. </w:t>
      </w:r>
      <w:r w:rsidR="001C107D">
        <w:t>However, the ADAR also cite</w:t>
      </w:r>
      <w:r w:rsidR="00345644">
        <w:t>d</w:t>
      </w:r>
      <w:r w:rsidR="001C107D">
        <w:t xml:space="preserve"> </w:t>
      </w:r>
      <w:r w:rsidR="0016108A" w:rsidRPr="0016108A">
        <w:t>consensus from</w:t>
      </w:r>
      <w:r w:rsidR="00B23049">
        <w:t xml:space="preserve"> the </w:t>
      </w:r>
      <w:r w:rsidR="00B23049" w:rsidRPr="00B23049">
        <w:t>Hypertension Academic Research Consortium</w:t>
      </w:r>
      <w:r w:rsidR="0016108A" w:rsidRPr="0016108A">
        <w:t xml:space="preserve"> </w:t>
      </w:r>
      <w:r w:rsidR="00B23049">
        <w:t>(</w:t>
      </w:r>
      <w:r w:rsidR="0016108A" w:rsidRPr="0016108A">
        <w:t>HARC</w:t>
      </w:r>
      <w:r w:rsidR="00B23049">
        <w:t xml:space="preserve">; </w:t>
      </w:r>
      <w:r w:rsidR="0016108A" w:rsidRPr="0016108A">
        <w:t>Kandzari 2022)</w:t>
      </w:r>
      <w:r w:rsidR="0054458B">
        <w:rPr>
          <w:rStyle w:val="FootnoteReference"/>
        </w:rPr>
        <w:footnoteReference w:id="10"/>
      </w:r>
      <w:r w:rsidR="004245B3">
        <w:t xml:space="preserve">, </w:t>
      </w:r>
      <w:r w:rsidR="005114D6">
        <w:t>wh</w:t>
      </w:r>
      <w:r w:rsidR="00AA0C98">
        <w:t>ich</w:t>
      </w:r>
      <w:r w:rsidR="005114D6">
        <w:t xml:space="preserve"> </w:t>
      </w:r>
      <w:r w:rsidR="00AA0C98">
        <w:t>has</w:t>
      </w:r>
      <w:r w:rsidR="00187FD2">
        <w:t xml:space="preserve"> </w:t>
      </w:r>
      <w:r w:rsidR="00B00254">
        <w:t>advise</w:t>
      </w:r>
      <w:r w:rsidR="00AA0C98">
        <w:t>d</w:t>
      </w:r>
      <w:r w:rsidR="00B00254">
        <w:t xml:space="preserve"> that</w:t>
      </w:r>
      <w:r w:rsidR="001B6DC1">
        <w:t xml:space="preserve"> </w:t>
      </w:r>
      <w:r w:rsidR="004245B3" w:rsidRPr="0016108A">
        <w:t>a reduction in OSBP of ≥5-</w:t>
      </w:r>
      <w:r w:rsidR="002449D9" w:rsidRPr="0016108A">
        <w:t>10</w:t>
      </w:r>
      <w:r w:rsidR="002449D9">
        <w:t> </w:t>
      </w:r>
      <w:r w:rsidR="004245B3" w:rsidRPr="0016108A">
        <w:t xml:space="preserve">mmHg, or a reduction in </w:t>
      </w:r>
      <w:r w:rsidR="008121BA">
        <w:t>offi</w:t>
      </w:r>
      <w:r w:rsidR="00E90AD7">
        <w:t>ce DBP (</w:t>
      </w:r>
      <w:r w:rsidR="004245B3" w:rsidRPr="0016108A">
        <w:t>ODBP</w:t>
      </w:r>
      <w:r w:rsidR="00E90AD7">
        <w:t>)</w:t>
      </w:r>
      <w:r w:rsidR="004245B3" w:rsidRPr="0016108A">
        <w:t xml:space="preserve"> of ≥3-</w:t>
      </w:r>
      <w:r w:rsidR="00E24139" w:rsidRPr="0016108A">
        <w:t>5</w:t>
      </w:r>
      <w:r w:rsidR="00E24139">
        <w:t> </w:t>
      </w:r>
      <w:r w:rsidR="004245B3" w:rsidRPr="0016108A">
        <w:t xml:space="preserve">mmHg, or a reduction in mean 24-hour </w:t>
      </w:r>
      <w:r w:rsidR="0010315A">
        <w:t xml:space="preserve">ambulatory </w:t>
      </w:r>
      <w:r w:rsidR="00E90AD7">
        <w:t>SBP</w:t>
      </w:r>
      <w:r w:rsidR="0010315A">
        <w:t xml:space="preserve"> (</w:t>
      </w:r>
      <w:r w:rsidR="004245B3" w:rsidRPr="0016108A">
        <w:t>ASBP</w:t>
      </w:r>
      <w:r w:rsidR="0010315A">
        <w:t>)</w:t>
      </w:r>
      <w:r w:rsidR="004245B3" w:rsidRPr="0016108A">
        <w:t xml:space="preserve"> of ≥</w:t>
      </w:r>
      <w:r w:rsidR="00E24139" w:rsidRPr="0016108A">
        <w:t>5</w:t>
      </w:r>
      <w:r w:rsidR="00E24139">
        <w:t> </w:t>
      </w:r>
      <w:r w:rsidR="004245B3" w:rsidRPr="0016108A">
        <w:t>mmHg, are generally considered to be clinically meaningful</w:t>
      </w:r>
      <w:r w:rsidR="0016108A" w:rsidRPr="0016108A">
        <w:t xml:space="preserve">. Other consensus groups have proposed slightly higher thresholds; for example, the European Clinical Consensus Conference </w:t>
      </w:r>
      <w:r w:rsidR="009F7E4A">
        <w:t xml:space="preserve">(ECCC) </w:t>
      </w:r>
      <w:r w:rsidR="0016108A" w:rsidRPr="0016108A">
        <w:t>for device-based therapies for HTN (Mahfoud 2017)</w:t>
      </w:r>
      <w:r w:rsidR="00306A0D">
        <w:rPr>
          <w:rStyle w:val="FootnoteReference"/>
        </w:rPr>
        <w:footnoteReference w:id="11"/>
      </w:r>
      <w:r w:rsidR="0016108A" w:rsidRPr="0016108A">
        <w:t xml:space="preserve"> considered a </w:t>
      </w:r>
      <w:r w:rsidR="002449D9" w:rsidRPr="0016108A">
        <w:t>10</w:t>
      </w:r>
      <w:r w:rsidR="002449D9">
        <w:t> </w:t>
      </w:r>
      <w:r w:rsidR="0016108A" w:rsidRPr="0016108A">
        <w:t>mmHg reduction in OSBP or 6-</w:t>
      </w:r>
      <w:r w:rsidR="00E24139">
        <w:t> </w:t>
      </w:r>
      <w:r w:rsidR="002449D9" w:rsidRPr="0016108A">
        <w:t>7</w:t>
      </w:r>
      <w:r w:rsidR="002449D9">
        <w:t> </w:t>
      </w:r>
      <w:r w:rsidR="0016108A" w:rsidRPr="0016108A">
        <w:t>mmHg reduction in ASBP to be clinically meaningful.</w:t>
      </w:r>
    </w:p>
    <w:p w14:paraId="484B51BB" w14:textId="1135D45A" w:rsidR="00E62A5F" w:rsidRDefault="00BC08A5" w:rsidP="4042795E">
      <w:pPr>
        <w:rPr>
          <w:rStyle w:val="eop"/>
        </w:rPr>
      </w:pPr>
      <w:r w:rsidRPr="4042795E">
        <w:rPr>
          <w:rStyle w:val="normaltextrun"/>
          <w:rFonts w:cs="Segoe UI"/>
        </w:rPr>
        <w:t>The applicant’s</w:t>
      </w:r>
      <w:r w:rsidR="00E62A5F" w:rsidRPr="4042795E">
        <w:rPr>
          <w:rStyle w:val="normaltextrun"/>
          <w:rFonts w:cs="Segoe UI"/>
        </w:rPr>
        <w:t xml:space="preserve"> pre-ESC response stated that BP reductions are strongly associated with a continuous linear reduction in relative risk of major adverse </w:t>
      </w:r>
      <w:r w:rsidR="247431FB" w:rsidRPr="4042795E">
        <w:rPr>
          <w:rStyle w:val="normaltextrun"/>
          <w:rFonts w:cs="Segoe UI"/>
        </w:rPr>
        <w:t>cardiovascular</w:t>
      </w:r>
      <w:r w:rsidR="00E62A5F" w:rsidRPr="4042795E">
        <w:rPr>
          <w:rStyle w:val="normaltextrun"/>
          <w:rFonts w:cs="Segoe UI"/>
        </w:rPr>
        <w:t xml:space="preserve"> events (MACE), with every 1 mmHg reduction in SBP correlating to a 2% relative risk reduction in MACE, independent of baseline BP and comorbidities. The applicant stated that this is consistent with the results of a meta-regression analysis of 55 randomised trials (&gt; 265,000 patients), which demonstrate that even small BP reductions contribute to the reduced risk of death and cardiovascular </w:t>
      </w:r>
      <w:r w:rsidR="00E62A5F" w:rsidRPr="00424410">
        <w:rPr>
          <w:rStyle w:val="normaltextrun"/>
          <w:rFonts w:cs="Segoe UI"/>
        </w:rPr>
        <w:t>events</w:t>
      </w:r>
      <w:r w:rsidR="00E62A5F" w:rsidRPr="00424410">
        <w:rPr>
          <w:rStyle w:val="FootnoteReference"/>
          <w:rFonts w:cs="Segoe UI"/>
          <w:shd w:val="clear" w:color="auto" w:fill="FFFFFF"/>
        </w:rPr>
        <w:footnoteReference w:id="12"/>
      </w:r>
      <w:r w:rsidR="00E62A5F" w:rsidRPr="00424410">
        <w:rPr>
          <w:rStyle w:val="normaltextrun"/>
          <w:rFonts w:cs="Segoe UI"/>
        </w:rPr>
        <w:t>.</w:t>
      </w:r>
      <w:r w:rsidR="00E62A5F" w:rsidRPr="00424410">
        <w:rPr>
          <w:rStyle w:val="eop"/>
        </w:rPr>
        <w:t> </w:t>
      </w:r>
    </w:p>
    <w:p w14:paraId="313C2810" w14:textId="4C985961" w:rsidR="00D006EF" w:rsidRDefault="00D006EF" w:rsidP="0004038C">
      <w:pPr>
        <w:pStyle w:val="Heading3"/>
      </w:pPr>
      <w:r>
        <w:t xml:space="preserve">Change in </w:t>
      </w:r>
      <w:r w:rsidR="00B47B8B">
        <w:t xml:space="preserve">office </w:t>
      </w:r>
      <w:r w:rsidR="0004038C">
        <w:t>systolic blood pressure</w:t>
      </w:r>
      <w:r w:rsidR="00223450">
        <w:t xml:space="preserve"> (OSBP)</w:t>
      </w:r>
    </w:p>
    <w:p w14:paraId="503A65DC" w14:textId="3D6D66FC" w:rsidR="00B47B8B" w:rsidRDefault="00DD7BE0" w:rsidP="00B47B8B">
      <w:r w:rsidRPr="00DD7BE0">
        <w:t xml:space="preserve">For each </w:t>
      </w:r>
      <w:r w:rsidR="0009035C">
        <w:t>BP</w:t>
      </w:r>
      <w:r w:rsidRPr="00DD7BE0">
        <w:t xml:space="preserve"> outcome, </w:t>
      </w:r>
      <w:r>
        <w:t>the ADAR present</w:t>
      </w:r>
      <w:r w:rsidR="00E17D96">
        <w:t>ed</w:t>
      </w:r>
      <w:r>
        <w:t xml:space="preserve"> </w:t>
      </w:r>
      <w:r w:rsidRPr="00DD7BE0">
        <w:t xml:space="preserve">a meta-analysis including all </w:t>
      </w:r>
      <w:r w:rsidR="00F24157">
        <w:t xml:space="preserve">randomised </w:t>
      </w:r>
      <w:r w:rsidRPr="00DD7BE0">
        <w:t xml:space="preserve">trials for which data </w:t>
      </w:r>
      <w:r w:rsidR="0009035C">
        <w:t>we</w:t>
      </w:r>
      <w:r w:rsidRPr="00DD7BE0">
        <w:t>re available, regardless of study design. In addition, where the availability of the data permit</w:t>
      </w:r>
      <w:r w:rsidR="00200322">
        <w:t>ted</w:t>
      </w:r>
      <w:r w:rsidRPr="00DD7BE0">
        <w:t xml:space="preserve">, separate meta-analyses </w:t>
      </w:r>
      <w:r w:rsidR="00200322">
        <w:t>we</w:t>
      </w:r>
      <w:r w:rsidRPr="00DD7BE0">
        <w:t>re presented grouping the trials by study design (</w:t>
      </w:r>
      <w:r w:rsidR="0065635A">
        <w:t>s</w:t>
      </w:r>
      <w:r w:rsidRPr="00DD7BE0">
        <w:t>econd generation sham</w:t>
      </w:r>
      <w:r w:rsidR="0065635A">
        <w:t>-</w:t>
      </w:r>
      <w:r w:rsidRPr="00DD7BE0">
        <w:t>controlled; first generation sham</w:t>
      </w:r>
      <w:r w:rsidR="0065635A">
        <w:t>-</w:t>
      </w:r>
      <w:r w:rsidRPr="00DD7BE0">
        <w:t>controlled</w:t>
      </w:r>
      <w:r w:rsidR="00251BDB">
        <w:t xml:space="preserve">; </w:t>
      </w:r>
      <w:r w:rsidRPr="00DD7BE0">
        <w:t xml:space="preserve">open </w:t>
      </w:r>
      <w:r w:rsidR="00F64176">
        <w:t>label trials</w:t>
      </w:r>
      <w:r w:rsidR="006B58F8">
        <w:t xml:space="preserve">). </w:t>
      </w:r>
      <w:r w:rsidR="00F63563">
        <w:t>The ADAR acknowledge</w:t>
      </w:r>
      <w:r w:rsidR="00200322">
        <w:t>d</w:t>
      </w:r>
      <w:r w:rsidR="00F63563">
        <w:t xml:space="preserve"> </w:t>
      </w:r>
      <w:r w:rsidR="00CE5FF5">
        <w:t>t</w:t>
      </w:r>
      <w:r w:rsidR="00F63563" w:rsidRPr="00F63563">
        <w:t xml:space="preserve">he RCT evidence base for RDN is heterogenous, including trials with differing designs, </w:t>
      </w:r>
      <w:r w:rsidR="00267C3C">
        <w:t xml:space="preserve">differing durations of follow-up, </w:t>
      </w:r>
      <w:r w:rsidR="00F63563" w:rsidRPr="00F63563">
        <w:t>recruiting differing HTN populations and using different RDN device iterations.</w:t>
      </w:r>
      <w:r w:rsidR="00CE5FF5">
        <w:t xml:space="preserve"> </w:t>
      </w:r>
      <w:r w:rsidR="00C856C6">
        <w:t>For these reasons</w:t>
      </w:r>
      <w:r w:rsidR="00ED5DE9">
        <w:t xml:space="preserve">, </w:t>
      </w:r>
      <w:r w:rsidR="001C05D1">
        <w:t>and as mention</w:t>
      </w:r>
      <w:r w:rsidR="00207843">
        <w:t>ed</w:t>
      </w:r>
      <w:r w:rsidR="001C05D1">
        <w:t xml:space="preserve"> in Section </w:t>
      </w:r>
      <w:r w:rsidR="004A77C7">
        <w:t xml:space="preserve">8 of this Executive Summary, </w:t>
      </w:r>
      <w:r w:rsidR="00ED5DE9">
        <w:t xml:space="preserve">the </w:t>
      </w:r>
      <w:r w:rsidR="002F4523">
        <w:t>c</w:t>
      </w:r>
      <w:r w:rsidR="00ED5DE9">
        <w:t xml:space="preserve">ommentary </w:t>
      </w:r>
      <w:r w:rsidR="0015598E">
        <w:t>focuse</w:t>
      </w:r>
      <w:r w:rsidR="000A3D8C">
        <w:t>d</w:t>
      </w:r>
      <w:r w:rsidR="0015598E">
        <w:t xml:space="preserve"> on the </w:t>
      </w:r>
      <w:r w:rsidR="00150860">
        <w:t>best available evidence</w:t>
      </w:r>
      <w:r w:rsidR="004A77C7">
        <w:t xml:space="preserve">, which </w:t>
      </w:r>
      <w:r w:rsidR="007652DF">
        <w:t>wa</w:t>
      </w:r>
      <w:r w:rsidR="004A77C7">
        <w:t xml:space="preserve">s </w:t>
      </w:r>
      <w:r w:rsidR="00E4599E">
        <w:t xml:space="preserve">the </w:t>
      </w:r>
      <w:r w:rsidR="00731039">
        <w:t xml:space="preserve">randomised, sham-controlled trials </w:t>
      </w:r>
      <w:r w:rsidR="00D17609">
        <w:t xml:space="preserve">comparing RDN </w:t>
      </w:r>
      <w:r w:rsidR="00E51486">
        <w:t xml:space="preserve">plus </w:t>
      </w:r>
      <w:r w:rsidR="00E52174">
        <w:t>OMM</w:t>
      </w:r>
      <w:r w:rsidR="00E51486">
        <w:t xml:space="preserve"> with </w:t>
      </w:r>
      <w:r w:rsidR="00F3571E">
        <w:t xml:space="preserve">sham plus </w:t>
      </w:r>
      <w:r w:rsidR="00E52174">
        <w:t>OMM</w:t>
      </w:r>
      <w:r w:rsidR="001C05D1">
        <w:t>.</w:t>
      </w:r>
      <w:r w:rsidR="00207843">
        <w:t xml:space="preserve"> </w:t>
      </w:r>
    </w:p>
    <w:p w14:paraId="18A09BF9" w14:textId="4CE419A0" w:rsidR="001B1B25" w:rsidRDefault="00A77413" w:rsidP="00B47B8B">
      <w:r>
        <w:fldChar w:fldCharType="begin"/>
      </w:r>
      <w:r>
        <w:instrText xml:space="preserve"> REF _Ref141873796 \h </w:instrText>
      </w:r>
      <w:r>
        <w:fldChar w:fldCharType="separate"/>
      </w:r>
      <w:r w:rsidR="003D5203">
        <w:t xml:space="preserve">Figure </w:t>
      </w:r>
      <w:r w:rsidR="003D5203">
        <w:rPr>
          <w:noProof/>
        </w:rPr>
        <w:t>1</w:t>
      </w:r>
      <w:r>
        <w:fldChar w:fldCharType="end"/>
      </w:r>
      <w:r w:rsidR="00373274">
        <w:t xml:space="preserve"> illustrates </w:t>
      </w:r>
      <w:r w:rsidR="004B79EA" w:rsidRPr="004B79EA">
        <w:t xml:space="preserve">the importance of a control arm in studies of interventions in patients with HTN, where shifts from prior medical management imparted by the trial setting exerts substantial influence on the outcome. Across </w:t>
      </w:r>
      <w:r w:rsidR="00725F10">
        <w:t xml:space="preserve">all </w:t>
      </w:r>
      <w:r w:rsidR="00EA5B75">
        <w:t>seven trials included in the ADAR</w:t>
      </w:r>
      <w:r w:rsidR="002D4F46">
        <w:t xml:space="preserve"> </w:t>
      </w:r>
      <w:r w:rsidR="00D60BB9">
        <w:t xml:space="preserve">(ReSET </w:t>
      </w:r>
      <w:r w:rsidR="008663C5">
        <w:t xml:space="preserve">did </w:t>
      </w:r>
      <w:r w:rsidR="00D60BB9">
        <w:t>not report this outcome)</w:t>
      </w:r>
      <w:r w:rsidR="004B79EA" w:rsidRPr="004B79EA">
        <w:t>, OSBP reductions from baseline are notable in the control arms (with and without sham).</w:t>
      </w:r>
      <w:r w:rsidR="007C7E87">
        <w:t xml:space="preserve"> </w:t>
      </w:r>
      <w:r w:rsidR="00C0185B">
        <w:t xml:space="preserve">The largest </w:t>
      </w:r>
      <w:r w:rsidR="00735923">
        <w:t xml:space="preserve">absolute reductions in </w:t>
      </w:r>
      <w:r w:rsidR="00D50C83">
        <w:t xml:space="preserve">OSBP </w:t>
      </w:r>
      <w:r w:rsidR="002717E1">
        <w:t xml:space="preserve">(and the largest confidence intervals) </w:t>
      </w:r>
      <w:r w:rsidR="00D50C83">
        <w:t xml:space="preserve">are seen in </w:t>
      </w:r>
      <w:r w:rsidR="00C32200">
        <w:t xml:space="preserve">the RDN arms of </w:t>
      </w:r>
      <w:r w:rsidR="00725F10">
        <w:t>open trials</w:t>
      </w:r>
      <w:r w:rsidR="000F46EB">
        <w:t xml:space="preserve">, which have </w:t>
      </w:r>
      <w:r w:rsidR="00734D71">
        <w:t xml:space="preserve">far </w:t>
      </w:r>
      <w:r w:rsidR="00285DCE">
        <w:t>greater scope</w:t>
      </w:r>
      <w:r w:rsidR="002E6070">
        <w:t xml:space="preserve"> than blinded trials</w:t>
      </w:r>
      <w:r w:rsidR="001D3545" w:rsidRPr="001D3545">
        <w:t xml:space="preserve"> for confounding </w:t>
      </w:r>
      <w:r w:rsidR="000D6D6C">
        <w:t>due to</w:t>
      </w:r>
      <w:r w:rsidR="001D3545" w:rsidRPr="001D3545">
        <w:t xml:space="preserve"> patient behaviours</w:t>
      </w:r>
      <w:r w:rsidR="00285DCE">
        <w:t>.</w:t>
      </w:r>
    </w:p>
    <w:p w14:paraId="48CCAEDD" w14:textId="108F6D47" w:rsidR="00F3571E" w:rsidRDefault="00F3571E" w:rsidP="00F3571E">
      <w:pPr>
        <w:pStyle w:val="Caption"/>
      </w:pPr>
      <w:bookmarkStart w:id="20" w:name="_Ref141873796"/>
      <w:r>
        <w:t xml:space="preserve">Figure </w:t>
      </w:r>
      <w:r>
        <w:fldChar w:fldCharType="begin"/>
      </w:r>
      <w:r>
        <w:instrText>SEQ Figure \* ARABIC</w:instrText>
      </w:r>
      <w:r>
        <w:fldChar w:fldCharType="separate"/>
      </w:r>
      <w:r w:rsidR="003D5203">
        <w:rPr>
          <w:noProof/>
        </w:rPr>
        <w:t>1</w:t>
      </w:r>
      <w:r>
        <w:fldChar w:fldCharType="end"/>
      </w:r>
      <w:bookmarkEnd w:id="20"/>
      <w:r>
        <w:tab/>
      </w:r>
      <w:r w:rsidR="00A46798">
        <w:t xml:space="preserve">Mean change from baseline in </w:t>
      </w:r>
      <w:r w:rsidR="00F23840">
        <w:t xml:space="preserve">mean </w:t>
      </w:r>
      <w:r w:rsidR="00A46798">
        <w:t xml:space="preserve">office </w:t>
      </w:r>
      <w:r w:rsidR="00854EB8">
        <w:t>SBP</w:t>
      </w:r>
      <w:r w:rsidR="00AC2AEE">
        <w:t xml:space="preserve"> (mmHg)</w:t>
      </w:r>
      <w:r w:rsidR="00492B07">
        <w:t xml:space="preserve"> for RDN and control arms of </w:t>
      </w:r>
      <w:r w:rsidR="00E67ACC">
        <w:t>randomised trials (open and sham-controlled)</w:t>
      </w:r>
      <w:r w:rsidR="00492B07">
        <w:t xml:space="preserve"> </w:t>
      </w:r>
      <w:r w:rsidR="00E67ACC">
        <w:t>reporting this outcome</w:t>
      </w:r>
    </w:p>
    <w:p w14:paraId="09DAD8BB" w14:textId="6FDC0407" w:rsidR="00A603ED" w:rsidRPr="00A603ED" w:rsidRDefault="00A8197E" w:rsidP="00A8197E">
      <w:pPr>
        <w:pBdr>
          <w:top w:val="single" w:sz="4" w:space="1" w:color="auto"/>
          <w:left w:val="single" w:sz="4" w:space="4" w:color="auto"/>
          <w:bottom w:val="single" w:sz="4" w:space="1" w:color="auto"/>
          <w:right w:val="single" w:sz="4" w:space="4" w:color="auto"/>
        </w:pBdr>
        <w:spacing w:after="0"/>
      </w:pPr>
      <w:r>
        <w:rPr>
          <w:noProof/>
        </w:rPr>
        <w:drawing>
          <wp:inline distT="0" distB="0" distL="0" distR="0" wp14:anchorId="5D6B8CDE" wp14:editId="32A02997">
            <wp:extent cx="5683328" cy="4003040"/>
            <wp:effectExtent l="0" t="0" r="0" b="0"/>
            <wp:docPr id="1177386042" name="Picture 1177386042" descr="Graph showing mean change from baseline in mean OSBP in RDN and control arms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86042" name="Picture 1177386042" descr="Graph showing mean change from baseline in mean OSBP in RDN and control arms of each trial"/>
                    <pic:cNvPicPr/>
                  </pic:nvPicPr>
                  <pic:blipFill>
                    <a:blip r:embed="rId11">
                      <a:extLst>
                        <a:ext uri="{28A0092B-C50C-407E-A947-70E740481C1C}">
                          <a14:useLocalDpi xmlns:a14="http://schemas.microsoft.com/office/drawing/2010/main" val="0"/>
                        </a:ext>
                      </a:extLst>
                    </a:blip>
                    <a:stretch>
                      <a:fillRect/>
                    </a:stretch>
                  </pic:blipFill>
                  <pic:spPr>
                    <a:xfrm>
                      <a:off x="0" y="0"/>
                      <a:ext cx="5692735" cy="4009666"/>
                    </a:xfrm>
                    <a:prstGeom prst="rect">
                      <a:avLst/>
                    </a:prstGeom>
                  </pic:spPr>
                </pic:pic>
              </a:graphicData>
            </a:graphic>
          </wp:inline>
        </w:drawing>
      </w:r>
    </w:p>
    <w:p w14:paraId="298212AA" w14:textId="46B7F108" w:rsidR="00411722" w:rsidRDefault="00411722" w:rsidP="00411722">
      <w:pPr>
        <w:pStyle w:val="Tablenotes0"/>
      </w:pPr>
      <w:r>
        <w:t xml:space="preserve">HTN = hypertension; </w:t>
      </w:r>
      <w:r w:rsidR="00141A9F">
        <w:t xml:space="preserve">meds = antihypertensive drugs; </w:t>
      </w:r>
      <w:r>
        <w:t>OSBP = office systolic blood pressure; RCT = randomised controlled trial; RDN = renal denervation</w:t>
      </w:r>
      <w:r w:rsidR="00F14C2E">
        <w:t>; SBP = systolic blood pressure</w:t>
      </w:r>
    </w:p>
    <w:p w14:paraId="30D27609" w14:textId="77777777" w:rsidR="00411722" w:rsidRDefault="00411722" w:rsidP="00411722">
      <w:pPr>
        <w:pStyle w:val="Tablenotes0"/>
      </w:pPr>
      <w:r>
        <w:t>† The sample sizes in this study were too small for a robust calculation of confidence intervals, so the ranges shown may not be accurate.</w:t>
      </w:r>
    </w:p>
    <w:p w14:paraId="2217678B" w14:textId="471998B2" w:rsidR="00917784" w:rsidRDefault="00917784" w:rsidP="00917784">
      <w:pPr>
        <w:pStyle w:val="Tablenotes0"/>
      </w:pPr>
      <w:r>
        <w:t>Note: the bars indicate the 95% confidence interval around the mean for each arm. OFF-MED and RDN OSA report at 3 months. All other trials report at 6 months. For simplicity, the subgroup of the SPYRAL HTN-ON MED trial has been classified in the figure as a trial of patients with treatment-resistant HTN, although patients were not required to be treatment-resistant for study entry.</w:t>
      </w:r>
    </w:p>
    <w:p w14:paraId="51D8BD51" w14:textId="768ACE37" w:rsidR="00C7047E" w:rsidRDefault="00411722" w:rsidP="00F760B8">
      <w:pPr>
        <w:pStyle w:val="Tablenotes0"/>
        <w:spacing w:after="360"/>
      </w:pPr>
      <w:r>
        <w:t xml:space="preserve">Source: </w:t>
      </w:r>
      <w:r w:rsidR="00B06CF1">
        <w:t xml:space="preserve">Commentary Figure 2 in </w:t>
      </w:r>
      <w:r w:rsidR="00B501A3">
        <w:t xml:space="preserve">MSAC 1659 </w:t>
      </w:r>
      <w:r w:rsidR="00B06CF1">
        <w:t>ADAR</w:t>
      </w:r>
      <w:r w:rsidR="00B501A3">
        <w:t>+in-line commentary</w:t>
      </w:r>
      <w:r w:rsidR="00D878F8">
        <w:t xml:space="preserve">, with addition of data from </w:t>
      </w:r>
      <w:r w:rsidR="0007411A">
        <w:t xml:space="preserve">SPYRAL </w:t>
      </w:r>
      <w:r w:rsidR="00D878F8">
        <w:t>HTN-ON MED subgroup taken from Table 73 of MSAC 1659 ADAR+in-line commentary</w:t>
      </w:r>
      <w:r>
        <w:t>.</w:t>
      </w:r>
    </w:p>
    <w:p w14:paraId="3D6C53A5" w14:textId="300F6A9F" w:rsidR="00C65577" w:rsidRDefault="002807D6" w:rsidP="00B47B8B">
      <w:r>
        <w:t xml:space="preserve">Of the </w:t>
      </w:r>
      <w:r w:rsidR="00484676">
        <w:t xml:space="preserve">three </w:t>
      </w:r>
      <w:r w:rsidR="00544135">
        <w:t xml:space="preserve">key </w:t>
      </w:r>
      <w:r w:rsidR="00484676">
        <w:t>trials</w:t>
      </w:r>
      <w:r w:rsidR="00544135">
        <w:t xml:space="preserve"> selected by the commentary</w:t>
      </w:r>
      <w:r w:rsidR="009550CD">
        <w:t xml:space="preserve"> (SYMPLICITY HTN-3, ReSET and SPYRAL HTN-ON MED</w:t>
      </w:r>
      <w:r w:rsidR="007E326A">
        <w:t>)</w:t>
      </w:r>
      <w:r w:rsidR="00544135">
        <w:t xml:space="preserve">, </w:t>
      </w:r>
      <w:r>
        <w:t xml:space="preserve">two reported mean change </w:t>
      </w:r>
      <w:r w:rsidR="004211A3">
        <w:t xml:space="preserve">from baseline </w:t>
      </w:r>
      <w:r w:rsidR="00543CC8">
        <w:t xml:space="preserve">to 6 months </w:t>
      </w:r>
      <w:r>
        <w:t xml:space="preserve">in OSBP, </w:t>
      </w:r>
      <w:r w:rsidR="00544135">
        <w:t xml:space="preserve">and </w:t>
      </w:r>
      <w:r>
        <w:t xml:space="preserve">only </w:t>
      </w:r>
      <w:r w:rsidR="007F4C95">
        <w:t xml:space="preserve">one </w:t>
      </w:r>
      <w:r w:rsidR="00E311C7">
        <w:t xml:space="preserve">(SPYRAL HTN-ON MED) </w:t>
      </w:r>
      <w:r w:rsidR="007F4C95">
        <w:t>reported a statistically significant reduction compared with sham control</w:t>
      </w:r>
      <w:r w:rsidR="00A528FB">
        <w:t xml:space="preserve"> (</w:t>
      </w:r>
      <w:r w:rsidR="00A528FB">
        <w:fldChar w:fldCharType="begin"/>
      </w:r>
      <w:r w:rsidR="00A528FB">
        <w:instrText xml:space="preserve"> REF _Ref141875878 \h </w:instrText>
      </w:r>
      <w:r w:rsidR="00A528FB">
        <w:fldChar w:fldCharType="separate"/>
      </w:r>
      <w:r w:rsidR="003D5203" w:rsidRPr="00CE28E3">
        <w:t>Table</w:t>
      </w:r>
      <w:r w:rsidR="003D5203">
        <w:t> </w:t>
      </w:r>
      <w:r w:rsidR="003D5203">
        <w:rPr>
          <w:noProof/>
        </w:rPr>
        <w:t>6</w:t>
      </w:r>
      <w:r w:rsidR="00A528FB">
        <w:fldChar w:fldCharType="end"/>
      </w:r>
      <w:r w:rsidR="00A528FB">
        <w:t>)</w:t>
      </w:r>
      <w:r w:rsidR="007F4C95">
        <w:t xml:space="preserve">. </w:t>
      </w:r>
      <w:r w:rsidR="003677EA">
        <w:t xml:space="preserve">When </w:t>
      </w:r>
      <w:r w:rsidR="00A77617">
        <w:t xml:space="preserve">the two </w:t>
      </w:r>
      <w:r w:rsidR="007E326A">
        <w:t xml:space="preserve">key </w:t>
      </w:r>
      <w:r w:rsidR="00A77617">
        <w:t xml:space="preserve">trials </w:t>
      </w:r>
      <w:r w:rsidR="00345E86">
        <w:t xml:space="preserve">reporting OSBP </w:t>
      </w:r>
      <w:r w:rsidR="00531D66">
        <w:t>we</w:t>
      </w:r>
      <w:r w:rsidR="00A77617">
        <w:t xml:space="preserve">re </w:t>
      </w:r>
      <w:r w:rsidR="00AC66F2">
        <w:t>m</w:t>
      </w:r>
      <w:r w:rsidR="002072A9">
        <w:t>eta-analys</w:t>
      </w:r>
      <w:r w:rsidR="00AC66F2">
        <w:t xml:space="preserve">ed, </w:t>
      </w:r>
      <w:r w:rsidR="00327319">
        <w:t xml:space="preserve">a </w:t>
      </w:r>
      <w:r w:rsidR="008460E0">
        <w:t xml:space="preserve">statistically significant </w:t>
      </w:r>
      <w:r w:rsidR="005715A3">
        <w:t xml:space="preserve">reduction in </w:t>
      </w:r>
      <w:r w:rsidR="00441B35">
        <w:t>mean OSBP</w:t>
      </w:r>
      <w:r w:rsidR="00AC66F2">
        <w:t xml:space="preserve"> </w:t>
      </w:r>
      <w:r w:rsidR="00531D66">
        <w:t>was</w:t>
      </w:r>
      <w:r w:rsidR="00AC66F2">
        <w:t xml:space="preserve"> ob</w:t>
      </w:r>
      <w:r w:rsidR="00447CF0">
        <w:t>served</w:t>
      </w:r>
      <w:r w:rsidR="00E5598E">
        <w:t>; however, th</w:t>
      </w:r>
      <w:r w:rsidR="001A73C7">
        <w:t xml:space="preserve">e </w:t>
      </w:r>
      <w:r w:rsidR="00314DE5">
        <w:t xml:space="preserve">mean </w:t>
      </w:r>
      <w:r w:rsidR="001A73C7">
        <w:t xml:space="preserve">reduction </w:t>
      </w:r>
      <w:r w:rsidR="00FF778E">
        <w:t>of 4.</w:t>
      </w:r>
      <w:r w:rsidR="002449D9">
        <w:t>08 </w:t>
      </w:r>
      <w:r w:rsidR="00E65FFF">
        <w:t xml:space="preserve">mmHg </w:t>
      </w:r>
      <w:r w:rsidR="0042577E">
        <w:t>d</w:t>
      </w:r>
      <w:r w:rsidR="00345E86">
        <w:t>id</w:t>
      </w:r>
      <w:r w:rsidR="0042577E">
        <w:t xml:space="preserve"> not meet the threshold </w:t>
      </w:r>
      <w:r w:rsidR="00EF276D">
        <w:t xml:space="preserve">for a </w:t>
      </w:r>
      <w:r w:rsidR="00E65FFF">
        <w:t>clinically meaningful</w:t>
      </w:r>
      <w:r w:rsidR="00B41ABB">
        <w:t xml:space="preserve"> change</w:t>
      </w:r>
      <w:r w:rsidR="000D0FC5">
        <w:t xml:space="preserve"> </w:t>
      </w:r>
      <w:r w:rsidR="00875B6A">
        <w:t>as proposed</w:t>
      </w:r>
      <w:r w:rsidR="000D0FC5">
        <w:t xml:space="preserve"> by </w:t>
      </w:r>
      <w:r w:rsidR="008A3A7F">
        <w:t xml:space="preserve">the </w:t>
      </w:r>
      <w:r w:rsidR="009F7E4A">
        <w:t>ECCC</w:t>
      </w:r>
      <w:r w:rsidR="008A3A7F" w:rsidRPr="0016108A">
        <w:t xml:space="preserve"> for device-based therapies for HTN</w:t>
      </w:r>
      <w:r w:rsidR="00345E86">
        <w:t>,</w:t>
      </w:r>
      <w:r w:rsidR="008A3A7F">
        <w:t xml:space="preserve"> </w:t>
      </w:r>
      <w:r w:rsidR="001404E3">
        <w:t>n</w:t>
      </w:r>
      <w:r w:rsidR="00875B6A">
        <w:t xml:space="preserve">or </w:t>
      </w:r>
      <w:r w:rsidR="00DD6B06">
        <w:t xml:space="preserve">the </w:t>
      </w:r>
      <w:r w:rsidR="000D0FC5">
        <w:t>HARC</w:t>
      </w:r>
      <w:r w:rsidR="00B677AC">
        <w:t xml:space="preserve"> consensus</w:t>
      </w:r>
      <w:r w:rsidR="000D0FC5">
        <w:t xml:space="preserve"> </w:t>
      </w:r>
      <w:r w:rsidR="00DD6B06">
        <w:t xml:space="preserve">document </w:t>
      </w:r>
      <w:r w:rsidR="006F2449">
        <w:t>on clinical trial design principles and outcomes</w:t>
      </w:r>
      <w:r w:rsidR="002E582B">
        <w:t xml:space="preserve"> definitions for device-based therapies for HTN </w:t>
      </w:r>
      <w:r w:rsidR="000D0FC5">
        <w:t>(</w:t>
      </w:r>
      <w:r w:rsidR="00B677AC">
        <w:t xml:space="preserve">noting that HARC is </w:t>
      </w:r>
      <w:r w:rsidR="000D0FC5">
        <w:t xml:space="preserve">funded </w:t>
      </w:r>
      <w:r w:rsidR="00C7739A">
        <w:t>through grants from medical device manufacturers</w:t>
      </w:r>
      <w:r w:rsidR="00732E88">
        <w:t>,</w:t>
      </w:r>
      <w:r w:rsidR="00B01CF0">
        <w:t xml:space="preserve"> including Medtronic)</w:t>
      </w:r>
      <w:r w:rsidR="001B6D13">
        <w:t>.</w:t>
      </w:r>
      <w:r w:rsidR="00A12986">
        <w:t xml:space="preserve">  </w:t>
      </w:r>
    </w:p>
    <w:p w14:paraId="10E32163" w14:textId="47732A67" w:rsidR="005213A9" w:rsidRDefault="00A12986" w:rsidP="00B47B8B">
      <w:r>
        <w:fldChar w:fldCharType="begin"/>
      </w:r>
      <w:r>
        <w:instrText xml:space="preserve"> REF _Ref141875878 \h </w:instrText>
      </w:r>
      <w:r>
        <w:fldChar w:fldCharType="separate"/>
      </w:r>
      <w:r w:rsidR="003D5203" w:rsidRPr="00CE28E3">
        <w:t>Table</w:t>
      </w:r>
      <w:r w:rsidR="003D5203">
        <w:t> </w:t>
      </w:r>
      <w:r w:rsidR="003D5203">
        <w:rPr>
          <w:noProof/>
        </w:rPr>
        <w:t>6</w:t>
      </w:r>
      <w:r>
        <w:fldChar w:fldCharType="end"/>
      </w:r>
      <w:r>
        <w:t xml:space="preserve"> also shows the mean change </w:t>
      </w:r>
      <w:r w:rsidR="00DC7246">
        <w:t xml:space="preserve">from baseline </w:t>
      </w:r>
      <w:r>
        <w:t xml:space="preserve">in OSBP </w:t>
      </w:r>
      <w:r w:rsidR="00DC7246">
        <w:t xml:space="preserve">for the subgroup </w:t>
      </w:r>
      <w:r w:rsidR="00DC439F">
        <w:t>of SPYRAL HTN-ON MED</w:t>
      </w:r>
      <w:r w:rsidR="00834D25">
        <w:t xml:space="preserve"> who received at least three antihypertensive medications, including a diuretic.</w:t>
      </w:r>
      <w:r w:rsidR="007619F0">
        <w:t xml:space="preserve"> </w:t>
      </w:r>
      <w:r w:rsidR="00CF51D3">
        <w:t>Despite</w:t>
      </w:r>
      <w:r w:rsidR="00921966">
        <w:t xml:space="preserve"> </w:t>
      </w:r>
      <w:r w:rsidR="00CF51D3">
        <w:t xml:space="preserve">this </w:t>
      </w:r>
      <w:r w:rsidR="00C4659E">
        <w:t xml:space="preserve">post hoc </w:t>
      </w:r>
      <w:r w:rsidR="00CF51D3">
        <w:t xml:space="preserve">subgroup </w:t>
      </w:r>
      <w:r w:rsidR="004B5F60">
        <w:t xml:space="preserve">analysis </w:t>
      </w:r>
      <w:r w:rsidR="00CF51D3">
        <w:t>showing no statistical</w:t>
      </w:r>
      <w:r w:rsidR="00A26B7F">
        <w:t xml:space="preserve">ly significant difference </w:t>
      </w:r>
      <w:r w:rsidR="00FA3F2C">
        <w:t xml:space="preserve">between </w:t>
      </w:r>
      <w:r w:rsidR="004B5F60">
        <w:t xml:space="preserve">the </w:t>
      </w:r>
      <w:r w:rsidR="00FA3F2C">
        <w:t xml:space="preserve">RDN </w:t>
      </w:r>
      <w:r w:rsidR="004B5F60">
        <w:t xml:space="preserve">group </w:t>
      </w:r>
      <w:r w:rsidR="000E503E">
        <w:t xml:space="preserve">(n=46) </w:t>
      </w:r>
      <w:r w:rsidR="00FA3F2C">
        <w:t xml:space="preserve">and </w:t>
      </w:r>
      <w:r w:rsidR="004B5F60">
        <w:t xml:space="preserve">the </w:t>
      </w:r>
      <w:r w:rsidR="00FA3F2C">
        <w:t xml:space="preserve">sham control </w:t>
      </w:r>
      <w:r w:rsidR="004B5F60">
        <w:t xml:space="preserve">group </w:t>
      </w:r>
      <w:r w:rsidR="000E503E">
        <w:t>(n=3</w:t>
      </w:r>
      <w:r w:rsidR="00A12A23">
        <w:t>2</w:t>
      </w:r>
      <w:r w:rsidR="000E503E">
        <w:t>)</w:t>
      </w:r>
      <w:r w:rsidR="00C4659E">
        <w:t xml:space="preserve"> for this outcome</w:t>
      </w:r>
      <w:r w:rsidR="00921966">
        <w:t>,</w:t>
      </w:r>
      <w:r w:rsidR="00510894">
        <w:t xml:space="preserve"> th</w:t>
      </w:r>
      <w:r w:rsidR="002571CE">
        <w:t xml:space="preserve">e ADAR </w:t>
      </w:r>
      <w:r w:rsidR="00921966">
        <w:t>used</w:t>
      </w:r>
      <w:r w:rsidR="002571CE">
        <w:t xml:space="preserve"> </w:t>
      </w:r>
      <w:r w:rsidR="00047BDC">
        <w:t xml:space="preserve">these </w:t>
      </w:r>
      <w:r w:rsidR="002571CE">
        <w:t xml:space="preserve">data </w:t>
      </w:r>
      <w:r w:rsidR="00C4659E">
        <w:t>exclusively</w:t>
      </w:r>
      <w:r w:rsidR="00047BDC">
        <w:t xml:space="preserve"> </w:t>
      </w:r>
      <w:r w:rsidR="009E61BF">
        <w:t>in the base case economic analysis.</w:t>
      </w:r>
      <w:r w:rsidR="002571CE">
        <w:t xml:space="preserve"> </w:t>
      </w:r>
    </w:p>
    <w:p w14:paraId="00053E5B" w14:textId="3142B41A" w:rsidR="00411722" w:rsidRDefault="005213A9" w:rsidP="00B47B8B">
      <w:r>
        <w:t>T</w:t>
      </w:r>
      <w:r w:rsidR="007619F0">
        <w:t xml:space="preserve">he commentary conducted a meta-analysis of </w:t>
      </w:r>
      <w:r w:rsidR="00153C79">
        <w:t xml:space="preserve">SYMPLICITY HTN-3 </w:t>
      </w:r>
      <w:r w:rsidR="004F11A5">
        <w:t xml:space="preserve">(all patients) </w:t>
      </w:r>
      <w:r w:rsidR="00CA3691">
        <w:t>and the SPYRAL HTN-ON MED</w:t>
      </w:r>
      <w:r w:rsidR="007619F0">
        <w:t xml:space="preserve"> subgroup</w:t>
      </w:r>
      <w:r w:rsidR="00732E88">
        <w:t xml:space="preserve"> taking at least three antihypertensive medications</w:t>
      </w:r>
      <w:r w:rsidR="009965AA">
        <w:t>, including a diuretic</w:t>
      </w:r>
      <w:r w:rsidR="00CA3691">
        <w:t xml:space="preserve">, </w:t>
      </w:r>
      <w:r w:rsidR="004F11A5">
        <w:t xml:space="preserve">which </w:t>
      </w:r>
      <w:r w:rsidR="00586267">
        <w:t>represents the</w:t>
      </w:r>
      <w:r w:rsidR="00C04AC6">
        <w:t xml:space="preserve"> best </w:t>
      </w:r>
      <w:r w:rsidR="00BA4AC4">
        <w:t xml:space="preserve">available </w:t>
      </w:r>
      <w:r w:rsidR="00C04AC6">
        <w:t>evide</w:t>
      </w:r>
      <w:r w:rsidR="00721BA1">
        <w:t xml:space="preserve">nce </w:t>
      </w:r>
      <w:r w:rsidR="00A206D2">
        <w:t xml:space="preserve">in terms of </w:t>
      </w:r>
      <w:r w:rsidR="00163463">
        <w:t xml:space="preserve">alignment with </w:t>
      </w:r>
      <w:r w:rsidR="00A206D2">
        <w:t xml:space="preserve">the PICO and </w:t>
      </w:r>
      <w:r w:rsidR="00163463">
        <w:t xml:space="preserve">proposed </w:t>
      </w:r>
      <w:r w:rsidR="00A206D2">
        <w:t xml:space="preserve">MBS population. </w:t>
      </w:r>
      <w:r w:rsidR="00F605A8">
        <w:t>T</w:t>
      </w:r>
      <w:r w:rsidR="00BD680D">
        <w:t>h</w:t>
      </w:r>
      <w:r w:rsidR="00163463">
        <w:t>is</w:t>
      </w:r>
      <w:r w:rsidR="00BD680D">
        <w:t xml:space="preserve"> </w:t>
      </w:r>
      <w:r w:rsidR="00996BB5">
        <w:t>meta-anal</w:t>
      </w:r>
      <w:r w:rsidR="00ED7E49">
        <w:t>ysis</w:t>
      </w:r>
      <w:r w:rsidR="00BD680D">
        <w:t xml:space="preserve"> </w:t>
      </w:r>
      <w:r w:rsidR="00E157A1">
        <w:t xml:space="preserve">revealed a difference between RDN and sham </w:t>
      </w:r>
      <w:r w:rsidR="00087425">
        <w:t xml:space="preserve">control </w:t>
      </w:r>
      <w:r w:rsidR="00F605A8">
        <w:t xml:space="preserve">that was </w:t>
      </w:r>
      <w:r w:rsidR="008870C1">
        <w:t>of borderline</w:t>
      </w:r>
      <w:r w:rsidR="00BD680D">
        <w:t xml:space="preserve"> statistical significance (P=0.05), </w:t>
      </w:r>
      <w:r w:rsidR="00E86B55">
        <w:t>with a</w:t>
      </w:r>
      <w:r w:rsidR="00996BB5">
        <w:t xml:space="preserve"> </w:t>
      </w:r>
      <w:r w:rsidR="00ED7E49">
        <w:t xml:space="preserve">mean reduction </w:t>
      </w:r>
      <w:r w:rsidR="00653C2D">
        <w:t xml:space="preserve">in OSBP </w:t>
      </w:r>
      <w:r w:rsidR="00A27775">
        <w:t xml:space="preserve">that </w:t>
      </w:r>
      <w:r w:rsidR="00087425">
        <w:t>is not clinically meaningful</w:t>
      </w:r>
      <w:r w:rsidR="00A27775">
        <w:t xml:space="preserve"> (3.57</w:t>
      </w:r>
      <w:r w:rsidR="002449D9">
        <w:t> </w:t>
      </w:r>
      <w:r w:rsidR="00A27775">
        <w:t>mmHg)</w:t>
      </w:r>
      <w:r w:rsidR="00087425">
        <w:t>.</w:t>
      </w:r>
    </w:p>
    <w:p w14:paraId="74674052" w14:textId="30CE8D71" w:rsidR="00AA51AF" w:rsidRDefault="00D27648" w:rsidP="00B47B8B">
      <w:r>
        <w:t xml:space="preserve">For completeness, </w:t>
      </w:r>
      <w:r w:rsidR="00AA51AF">
        <w:fldChar w:fldCharType="begin"/>
      </w:r>
      <w:r w:rsidR="00AA51AF">
        <w:instrText xml:space="preserve"> REF _Ref141875878 \h </w:instrText>
      </w:r>
      <w:r w:rsidR="00AA51AF">
        <w:fldChar w:fldCharType="separate"/>
      </w:r>
      <w:r w:rsidR="003D5203" w:rsidRPr="00CE28E3">
        <w:t>Table</w:t>
      </w:r>
      <w:r w:rsidR="003D5203">
        <w:t> </w:t>
      </w:r>
      <w:r w:rsidR="003D5203">
        <w:rPr>
          <w:noProof/>
        </w:rPr>
        <w:t>6</w:t>
      </w:r>
      <w:r w:rsidR="00AA51AF">
        <w:fldChar w:fldCharType="end"/>
      </w:r>
      <w:r w:rsidR="00AA51AF">
        <w:t xml:space="preserve"> also sho</w:t>
      </w:r>
      <w:r w:rsidR="00BC7CAF">
        <w:t xml:space="preserve">ws the </w:t>
      </w:r>
      <w:r w:rsidR="00C43A6B">
        <w:t xml:space="preserve">mean </w:t>
      </w:r>
      <w:r w:rsidR="00DE2805">
        <w:t>change from baseline to 3 months</w:t>
      </w:r>
      <w:r w:rsidR="00C43A6B">
        <w:t xml:space="preserve"> in OSBP</w:t>
      </w:r>
      <w:r w:rsidR="00BC7CAF">
        <w:t xml:space="preserve"> </w:t>
      </w:r>
      <w:r w:rsidR="00522B57">
        <w:t>reported in</w:t>
      </w:r>
      <w:r w:rsidR="00BC7CAF">
        <w:t xml:space="preserve"> the SPYRAL HTN-OFF MED trial</w:t>
      </w:r>
      <w:r w:rsidR="00B37B23">
        <w:t xml:space="preserve"> </w:t>
      </w:r>
      <w:r>
        <w:t xml:space="preserve">(grey text) </w:t>
      </w:r>
      <w:r w:rsidR="00B37B23">
        <w:t xml:space="preserve">and the meta-analysis </w:t>
      </w:r>
      <w:r w:rsidR="00522B57">
        <w:t>presented in the ADAR for</w:t>
      </w:r>
      <w:r>
        <w:t xml:space="preserve"> all sham-controlled trials </w:t>
      </w:r>
      <w:r w:rsidR="00620A17">
        <w:t xml:space="preserve">that </w:t>
      </w:r>
      <w:r w:rsidR="00C43A6B">
        <w:t>report</w:t>
      </w:r>
      <w:r w:rsidR="00620A17">
        <w:t>ed</w:t>
      </w:r>
      <w:r w:rsidR="00C43A6B">
        <w:t xml:space="preserve"> </w:t>
      </w:r>
      <w:r w:rsidR="009848FD">
        <w:t xml:space="preserve">change </w:t>
      </w:r>
      <w:r w:rsidR="0049447A">
        <w:t xml:space="preserve">from baseline </w:t>
      </w:r>
      <w:r w:rsidR="009848FD">
        <w:t xml:space="preserve">in </w:t>
      </w:r>
      <w:r w:rsidR="00C43A6B">
        <w:t>OSBP.</w:t>
      </w:r>
    </w:p>
    <w:p w14:paraId="73E05D33" w14:textId="2C042921" w:rsidR="00E27EAA" w:rsidRDefault="00A77413" w:rsidP="00064573">
      <w:pPr>
        <w:pStyle w:val="Caption"/>
      </w:pPr>
      <w:bookmarkStart w:id="21" w:name="_Ref141875878"/>
      <w:r w:rsidRPr="00CE28E3">
        <w:t>Table</w:t>
      </w:r>
      <w:r>
        <w:t> </w:t>
      </w:r>
      <w:r>
        <w:fldChar w:fldCharType="begin"/>
      </w:r>
      <w:r>
        <w:instrText>SEQ Table \* ARABIC</w:instrText>
      </w:r>
      <w:r>
        <w:fldChar w:fldCharType="separate"/>
      </w:r>
      <w:r w:rsidR="003D5203">
        <w:rPr>
          <w:noProof/>
        </w:rPr>
        <w:t>6</w:t>
      </w:r>
      <w:r>
        <w:fldChar w:fldCharType="end"/>
      </w:r>
      <w:bookmarkEnd w:id="21"/>
      <w:r w:rsidRPr="00CE28E3">
        <w:tab/>
      </w:r>
      <w:r w:rsidR="00BC0B7B">
        <w:t xml:space="preserve">Change from baseline in </w:t>
      </w:r>
      <w:r w:rsidR="00441B35">
        <w:t xml:space="preserve">mean </w:t>
      </w:r>
      <w:r w:rsidR="00BC0B7B">
        <w:t xml:space="preserve">office </w:t>
      </w:r>
      <w:r w:rsidR="00441B35">
        <w:t>SBP</w:t>
      </w:r>
      <w:r w:rsidR="000A4F57">
        <w:t xml:space="preserve"> </w:t>
      </w:r>
      <w:r w:rsidR="00AC49D5">
        <w:t>(mmHg)</w:t>
      </w:r>
      <w:r w:rsidR="001E73B5">
        <w:t xml:space="preserve"> in sham-controlled trials</w:t>
      </w:r>
    </w:p>
    <w:tbl>
      <w:tblPr>
        <w:tblW w:w="5000" w:type="pct"/>
        <w:tblLayout w:type="fixed"/>
        <w:tblCellMar>
          <w:left w:w="0" w:type="dxa"/>
          <w:right w:w="0" w:type="dxa"/>
        </w:tblCellMar>
        <w:tblLook w:val="04A0" w:firstRow="1" w:lastRow="0" w:firstColumn="1" w:lastColumn="0" w:noHBand="0" w:noVBand="1"/>
        <w:tblCaption w:val="Change from baseline in mean OSBP in sham-controlled trials"/>
        <w:tblDescription w:val="Results from SYMPLICITY HTN-3, SPYRAL HTN-ON MED and SPYRAL HTN-OFF MED, including meta-analyses"/>
      </w:tblPr>
      <w:tblGrid>
        <w:gridCol w:w="2015"/>
        <w:gridCol w:w="1119"/>
        <w:gridCol w:w="7"/>
        <w:gridCol w:w="983"/>
        <w:gridCol w:w="1086"/>
        <w:gridCol w:w="991"/>
        <w:gridCol w:w="1092"/>
        <w:gridCol w:w="1713"/>
      </w:tblGrid>
      <w:tr w:rsidR="00DB0FAB" w:rsidRPr="00E27EAA" w14:paraId="3B95F2EC" w14:textId="77777777" w:rsidTr="00B0655D">
        <w:trPr>
          <w:trHeight w:val="60"/>
          <w:tblHeader/>
        </w:trPr>
        <w:tc>
          <w:tcPr>
            <w:tcW w:w="1119" w:type="pct"/>
            <w:tcBorders>
              <w:top w:val="single" w:sz="8" w:space="0" w:color="auto"/>
              <w:left w:val="single" w:sz="8" w:space="0" w:color="auto"/>
              <w:right w:val="single" w:sz="8" w:space="0" w:color="auto"/>
            </w:tcBorders>
            <w:tcMar>
              <w:top w:w="0" w:type="dxa"/>
              <w:left w:w="108" w:type="dxa"/>
              <w:bottom w:w="0" w:type="dxa"/>
              <w:right w:w="108" w:type="dxa"/>
            </w:tcMar>
            <w:hideMark/>
          </w:tcPr>
          <w:p w14:paraId="2C7C6675" w14:textId="77777777" w:rsidR="004502A7" w:rsidRPr="000739EC" w:rsidRDefault="004502A7" w:rsidP="007D6FE0">
            <w:pPr>
              <w:pStyle w:val="TableHeading0"/>
            </w:pPr>
            <w:r w:rsidRPr="000739EC">
              <w:t>Trial ID</w:t>
            </w:r>
          </w:p>
        </w:tc>
        <w:tc>
          <w:tcPr>
            <w:tcW w:w="621" w:type="pct"/>
            <w:tcBorders>
              <w:top w:val="single" w:sz="8" w:space="0" w:color="auto"/>
              <w:left w:val="nil"/>
              <w:right w:val="single" w:sz="8" w:space="0" w:color="auto"/>
            </w:tcBorders>
            <w:tcMar>
              <w:top w:w="0" w:type="dxa"/>
              <w:left w:w="108" w:type="dxa"/>
              <w:bottom w:w="0" w:type="dxa"/>
              <w:right w:w="108" w:type="dxa"/>
            </w:tcMar>
            <w:vAlign w:val="bottom"/>
            <w:hideMark/>
          </w:tcPr>
          <w:p w14:paraId="3B734F86" w14:textId="21B72BA1" w:rsidR="004502A7" w:rsidRPr="000739EC" w:rsidRDefault="005159D6" w:rsidP="007D6FE0">
            <w:pPr>
              <w:pStyle w:val="TableHeading0"/>
              <w:jc w:val="center"/>
            </w:pPr>
            <w:r>
              <w:t>Certainty</w:t>
            </w:r>
          </w:p>
        </w:tc>
        <w:tc>
          <w:tcPr>
            <w:tcW w:w="550" w:type="pct"/>
            <w:gridSpan w:val="2"/>
            <w:tcBorders>
              <w:top w:val="single" w:sz="8" w:space="0" w:color="auto"/>
              <w:left w:val="nil"/>
              <w:bottom w:val="single" w:sz="4" w:space="0" w:color="auto"/>
            </w:tcBorders>
            <w:noWrap/>
            <w:tcMar>
              <w:top w:w="0" w:type="dxa"/>
              <w:left w:w="108" w:type="dxa"/>
              <w:bottom w:w="0" w:type="dxa"/>
              <w:right w:w="108" w:type="dxa"/>
            </w:tcMar>
            <w:hideMark/>
          </w:tcPr>
          <w:p w14:paraId="2F7A0D17" w14:textId="77777777" w:rsidR="004502A7" w:rsidRPr="000739EC" w:rsidRDefault="004502A7" w:rsidP="007D6FE0">
            <w:pPr>
              <w:pStyle w:val="TableHeading0"/>
              <w:jc w:val="right"/>
            </w:pPr>
            <w:r w:rsidRPr="000739EC">
              <w:t>RDN</w:t>
            </w:r>
          </w:p>
        </w:tc>
        <w:tc>
          <w:tcPr>
            <w:tcW w:w="603" w:type="pct"/>
            <w:tcBorders>
              <w:top w:val="single" w:sz="8" w:space="0" w:color="auto"/>
              <w:left w:val="nil"/>
              <w:bottom w:val="single" w:sz="4" w:space="0" w:color="auto"/>
              <w:right w:val="single" w:sz="8" w:space="0" w:color="000000"/>
            </w:tcBorders>
          </w:tcPr>
          <w:p w14:paraId="51BEAA49" w14:textId="00B4B46B" w:rsidR="004502A7" w:rsidRPr="000739EC" w:rsidRDefault="004502A7" w:rsidP="007D6FE0">
            <w:pPr>
              <w:pStyle w:val="TableHeading0"/>
              <w:jc w:val="center"/>
            </w:pP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7583C1B5" w14:textId="5B65F5F6" w:rsidR="004502A7" w:rsidRPr="000739EC" w:rsidRDefault="004502A7" w:rsidP="007D6FE0">
            <w:pPr>
              <w:pStyle w:val="TableHeading0"/>
              <w:jc w:val="right"/>
            </w:pPr>
            <w:r w:rsidRPr="000739EC">
              <w:t>Sham</w:t>
            </w:r>
          </w:p>
        </w:tc>
        <w:tc>
          <w:tcPr>
            <w:tcW w:w="606" w:type="pct"/>
            <w:tcBorders>
              <w:top w:val="single" w:sz="8" w:space="0" w:color="auto"/>
              <w:left w:val="nil"/>
              <w:bottom w:val="single" w:sz="4" w:space="0" w:color="auto"/>
              <w:right w:val="single" w:sz="8" w:space="0" w:color="000000"/>
            </w:tcBorders>
          </w:tcPr>
          <w:p w14:paraId="1A978DDC" w14:textId="68A3123D" w:rsidR="004502A7" w:rsidRPr="000739EC" w:rsidRDefault="00F5085A" w:rsidP="007D6FE0">
            <w:pPr>
              <w:pStyle w:val="TableHeading0"/>
            </w:pPr>
            <w:r w:rsidRPr="000739EC">
              <w:t>control</w:t>
            </w:r>
          </w:p>
        </w:tc>
        <w:tc>
          <w:tcPr>
            <w:tcW w:w="951" w:type="pct"/>
            <w:tcBorders>
              <w:top w:val="single" w:sz="8" w:space="0" w:color="auto"/>
              <w:left w:val="nil"/>
              <w:right w:val="single" w:sz="8" w:space="0" w:color="auto"/>
            </w:tcBorders>
            <w:shd w:val="clear" w:color="auto" w:fill="FFFFFF"/>
            <w:tcMar>
              <w:top w:w="0" w:type="dxa"/>
              <w:left w:w="108" w:type="dxa"/>
              <w:bottom w:w="0" w:type="dxa"/>
              <w:right w:w="108" w:type="dxa"/>
            </w:tcMar>
            <w:vAlign w:val="bottom"/>
            <w:hideMark/>
          </w:tcPr>
          <w:p w14:paraId="4329F482" w14:textId="77777777" w:rsidR="004502A7" w:rsidRPr="000739EC" w:rsidRDefault="004502A7" w:rsidP="007D6FE0">
            <w:pPr>
              <w:pStyle w:val="TableHeading0"/>
              <w:jc w:val="center"/>
            </w:pPr>
            <w:r w:rsidRPr="000739EC">
              <w:t>Difference [95% CI]</w:t>
            </w:r>
          </w:p>
        </w:tc>
      </w:tr>
      <w:tr w:rsidR="00DB0FAB" w:rsidRPr="00E27EAA" w14:paraId="3C8C6AFA" w14:textId="77777777" w:rsidTr="00061BF6">
        <w:trPr>
          <w:trHeight w:val="255"/>
          <w:tblHeader/>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51D75" w14:textId="77777777" w:rsidR="00E27EAA" w:rsidRPr="000739EC" w:rsidRDefault="00E27EAA" w:rsidP="00E07EB1">
            <w:pPr>
              <w:pStyle w:val="TableHeading0"/>
              <w:spacing w:before="60"/>
            </w:pP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2D97BD30" w14:textId="26B34409" w:rsidR="00E27EAA" w:rsidRPr="000739EC" w:rsidRDefault="00B0655D" w:rsidP="00E07EB1">
            <w:pPr>
              <w:pStyle w:val="TableHeading0"/>
              <w:spacing w:before="60"/>
              <w:jc w:val="center"/>
            </w:pPr>
            <w:r>
              <w:t>(GRADE)</w:t>
            </w:r>
            <w:r w:rsidR="00725D54" w:rsidRPr="00725D54">
              <w:rPr>
                <w:vertAlign w:val="superscript"/>
              </w:rPr>
              <w:t>a</w:t>
            </w:r>
          </w:p>
        </w:tc>
        <w:tc>
          <w:tcPr>
            <w:tcW w:w="55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41B04F" w14:textId="77777777" w:rsidR="00E27EAA" w:rsidRPr="000739EC" w:rsidRDefault="00E27EAA" w:rsidP="00E07EB1">
            <w:pPr>
              <w:pStyle w:val="TableHeading0"/>
              <w:spacing w:before="60"/>
              <w:jc w:val="center"/>
            </w:pPr>
            <w:r w:rsidRPr="000739EC">
              <w:t>n /N (%)</w:t>
            </w:r>
          </w:p>
        </w:tc>
        <w:tc>
          <w:tcPr>
            <w:tcW w:w="603" w:type="pct"/>
            <w:tcBorders>
              <w:top w:val="single" w:sz="4" w:space="0" w:color="auto"/>
              <w:left w:val="nil"/>
              <w:bottom w:val="single" w:sz="8" w:space="0" w:color="auto"/>
              <w:right w:val="nil"/>
            </w:tcBorders>
            <w:tcMar>
              <w:top w:w="0" w:type="dxa"/>
              <w:left w:w="108" w:type="dxa"/>
              <w:bottom w:w="0" w:type="dxa"/>
              <w:right w:w="108" w:type="dxa"/>
            </w:tcMar>
            <w:hideMark/>
          </w:tcPr>
          <w:p w14:paraId="40159753" w14:textId="02BAA989" w:rsidR="00E27EAA" w:rsidRPr="000739EC" w:rsidRDefault="00E27EAA" w:rsidP="00E07EB1">
            <w:pPr>
              <w:pStyle w:val="TableHeading0"/>
              <w:spacing w:before="60"/>
              <w:jc w:val="center"/>
            </w:pPr>
            <w:r w:rsidRPr="000739EC">
              <w:t>Change mean</w:t>
            </w:r>
            <w:r w:rsidR="00B30782">
              <w:t xml:space="preserve"> </w:t>
            </w:r>
            <w:r w:rsidRPr="000739EC">
              <w:t>(SD)</w:t>
            </w:r>
          </w:p>
        </w:tc>
        <w:tc>
          <w:tcPr>
            <w:tcW w:w="5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5B0FB7" w14:textId="77777777" w:rsidR="00E27EAA" w:rsidRPr="000739EC" w:rsidRDefault="00E27EAA" w:rsidP="00E07EB1">
            <w:pPr>
              <w:pStyle w:val="TableHeading0"/>
              <w:spacing w:before="60"/>
              <w:jc w:val="center"/>
            </w:pPr>
            <w:r w:rsidRPr="000739EC">
              <w:t>n /N (%)</w:t>
            </w:r>
          </w:p>
        </w:tc>
        <w:tc>
          <w:tcPr>
            <w:tcW w:w="606" w:type="pct"/>
            <w:tcBorders>
              <w:top w:val="single" w:sz="4" w:space="0" w:color="auto"/>
              <w:left w:val="nil"/>
              <w:bottom w:val="single" w:sz="8" w:space="0" w:color="auto"/>
              <w:right w:val="nil"/>
            </w:tcBorders>
            <w:tcMar>
              <w:top w:w="0" w:type="dxa"/>
              <w:left w:w="108" w:type="dxa"/>
              <w:bottom w:w="0" w:type="dxa"/>
              <w:right w:w="108" w:type="dxa"/>
            </w:tcMar>
            <w:hideMark/>
          </w:tcPr>
          <w:p w14:paraId="1B769AAD" w14:textId="7A312951" w:rsidR="00E27EAA" w:rsidRPr="000739EC" w:rsidRDefault="00E27EAA" w:rsidP="00E07EB1">
            <w:pPr>
              <w:pStyle w:val="TableHeading0"/>
              <w:spacing w:before="60"/>
              <w:jc w:val="center"/>
            </w:pPr>
            <w:r w:rsidRPr="000739EC">
              <w:t>Change mean</w:t>
            </w:r>
            <w:r w:rsidR="00B30782">
              <w:t xml:space="preserve"> </w:t>
            </w:r>
            <w:r w:rsidRPr="000739EC">
              <w:t>(SD)</w:t>
            </w:r>
          </w:p>
        </w:tc>
        <w:tc>
          <w:tcPr>
            <w:tcW w:w="951"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18A55B" w14:textId="77777777" w:rsidR="00E27EAA" w:rsidRPr="000739EC" w:rsidRDefault="00E27EAA" w:rsidP="00E07EB1">
            <w:pPr>
              <w:pStyle w:val="TableHeading0"/>
              <w:spacing w:before="60"/>
              <w:jc w:val="center"/>
              <w:rPr>
                <w:i/>
                <w:iCs/>
              </w:rPr>
            </w:pPr>
            <w:r w:rsidRPr="000739EC">
              <w:t>P value</w:t>
            </w:r>
          </w:p>
        </w:tc>
      </w:tr>
      <w:tr w:rsidR="00DB0FAB" w:rsidRPr="00E27EAA" w14:paraId="68B175C5" w14:textId="77777777" w:rsidTr="00061BF6">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0C744" w14:textId="77777777" w:rsidR="00E27EAA" w:rsidRPr="00E27EAA" w:rsidRDefault="00E27EAA" w:rsidP="00517514">
            <w:pPr>
              <w:pStyle w:val="TableTextCA"/>
              <w:keepNext/>
              <w:rPr>
                <w:vertAlign w:val="superscript"/>
              </w:rPr>
            </w:pPr>
            <w:r w:rsidRPr="00E27EAA">
              <w:t>SYMPLICITY HTN-3</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3D1982B9" w14:textId="77777777" w:rsidR="00E27EAA" w:rsidRPr="00E27EAA" w:rsidRDefault="00E27EAA" w:rsidP="00517514">
            <w:pPr>
              <w:pStyle w:val="TableTextCA"/>
              <w:keepNext/>
            </w:pPr>
            <w:r w:rsidRPr="00E27EAA">
              <w:t>-</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6B8D956" w14:textId="2EECC588" w:rsidR="00E27EAA" w:rsidRPr="00E27EAA" w:rsidRDefault="00E27EAA" w:rsidP="00517514">
            <w:pPr>
              <w:pStyle w:val="TableTextCA"/>
              <w:keepNext/>
            </w:pPr>
            <w:r w:rsidRPr="00E27EAA">
              <w:t>353/364</w:t>
            </w:r>
            <w:r w:rsidR="00341F68">
              <w:br/>
            </w:r>
            <w:r w:rsidRPr="00E27EAA">
              <w:t>(97.0%)</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4C7681D2" w14:textId="77777777" w:rsidR="00E27EAA" w:rsidRPr="00E27EAA" w:rsidRDefault="00E27EAA" w:rsidP="00517514">
            <w:pPr>
              <w:pStyle w:val="TableTextCA"/>
              <w:keepNext/>
            </w:pPr>
            <w:r w:rsidRPr="00E27EAA">
              <w:t>-14.13</w:t>
            </w:r>
            <w:r w:rsidRPr="00E27EAA">
              <w:br/>
              <w:t>(23.93)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95F3D5C" w14:textId="25ED362C" w:rsidR="00E27EAA" w:rsidRPr="00E27EAA" w:rsidRDefault="00E27EAA" w:rsidP="00517514">
            <w:pPr>
              <w:pStyle w:val="TableTextCA"/>
              <w:keepNext/>
            </w:pPr>
            <w:r w:rsidRPr="00E27EAA">
              <w:t>171/171</w:t>
            </w:r>
            <w:r w:rsidR="00341F68">
              <w:br/>
            </w:r>
            <w:r w:rsidRPr="00E27EAA">
              <w:t>(100%)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55C1FE16" w14:textId="77777777" w:rsidR="00E27EAA" w:rsidRPr="00E27EAA" w:rsidRDefault="00E27EAA" w:rsidP="00517514">
            <w:pPr>
              <w:pStyle w:val="TableTextCA"/>
              <w:keepNext/>
            </w:pPr>
            <w:r w:rsidRPr="00E27EAA">
              <w:t>-11.74</w:t>
            </w:r>
            <w:r w:rsidRPr="00E27EAA">
              <w:br/>
              <w:t>(25.94)</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0E3D8203" w14:textId="77777777" w:rsidR="00E27EAA" w:rsidRPr="00E27EAA" w:rsidRDefault="00E27EAA" w:rsidP="00517514">
            <w:pPr>
              <w:pStyle w:val="Tabletext0"/>
              <w:keepNext/>
              <w:jc w:val="center"/>
              <w:rPr>
                <w:rFonts w:eastAsiaTheme="minorHAnsi"/>
              </w:rPr>
            </w:pPr>
            <w:r w:rsidRPr="00E27EAA">
              <w:rPr>
                <w:rFonts w:eastAsiaTheme="minorHAnsi"/>
              </w:rPr>
              <w:t>-2.39 [-6.9, 2.1]</w:t>
            </w:r>
            <w:r w:rsidRPr="00E27EAA">
              <w:rPr>
                <w:rFonts w:eastAsiaTheme="minorHAnsi"/>
              </w:rPr>
              <w:br/>
              <w:t>P=0.26</w:t>
            </w:r>
          </w:p>
        </w:tc>
      </w:tr>
      <w:tr w:rsidR="00DB0FAB" w:rsidRPr="00E27EAA" w14:paraId="05C680D0" w14:textId="77777777" w:rsidTr="00061BF6">
        <w:trPr>
          <w:trHeight w:val="255"/>
        </w:trPr>
        <w:tc>
          <w:tcPr>
            <w:tcW w:w="1119" w:type="pct"/>
            <w:tcBorders>
              <w:top w:val="nil"/>
              <w:left w:val="single" w:sz="8" w:space="0" w:color="auto"/>
              <w:bottom w:val="dotted" w:sz="8" w:space="0" w:color="auto"/>
              <w:right w:val="single" w:sz="8" w:space="0" w:color="auto"/>
            </w:tcBorders>
            <w:tcMar>
              <w:top w:w="0" w:type="dxa"/>
              <w:left w:w="108" w:type="dxa"/>
              <w:bottom w:w="0" w:type="dxa"/>
              <w:right w:w="108" w:type="dxa"/>
            </w:tcMar>
            <w:hideMark/>
          </w:tcPr>
          <w:p w14:paraId="7AFFE7BF" w14:textId="77777777" w:rsidR="00E27EAA" w:rsidRPr="00F24BA3" w:rsidRDefault="00E27EAA" w:rsidP="00517514">
            <w:pPr>
              <w:pStyle w:val="TableTextCA"/>
              <w:keepNext/>
            </w:pPr>
            <w:r w:rsidRPr="00E27EAA">
              <w:t>SPYRAL HTN-ON MED all patients</w:t>
            </w:r>
          </w:p>
        </w:tc>
        <w:tc>
          <w:tcPr>
            <w:tcW w:w="621" w:type="pct"/>
            <w:tcBorders>
              <w:top w:val="nil"/>
              <w:left w:val="nil"/>
              <w:bottom w:val="dotted" w:sz="8" w:space="0" w:color="auto"/>
              <w:right w:val="single" w:sz="8" w:space="0" w:color="auto"/>
            </w:tcBorders>
            <w:tcMar>
              <w:top w:w="0" w:type="dxa"/>
              <w:left w:w="108" w:type="dxa"/>
              <w:bottom w:w="0" w:type="dxa"/>
              <w:right w:w="108" w:type="dxa"/>
            </w:tcMar>
            <w:hideMark/>
          </w:tcPr>
          <w:p w14:paraId="466A7AC7" w14:textId="77777777" w:rsidR="00E27EAA" w:rsidRPr="00E27EAA" w:rsidRDefault="00E27EAA" w:rsidP="00517514">
            <w:pPr>
              <w:pStyle w:val="TableTextCA"/>
              <w:keepNext/>
            </w:pPr>
            <w:r w:rsidRPr="00E27EAA">
              <w:t>-</w:t>
            </w:r>
          </w:p>
        </w:tc>
        <w:tc>
          <w:tcPr>
            <w:tcW w:w="550" w:type="pct"/>
            <w:gridSpan w:val="2"/>
            <w:tcBorders>
              <w:top w:val="nil"/>
              <w:left w:val="nil"/>
              <w:bottom w:val="dotted" w:sz="8" w:space="0" w:color="auto"/>
              <w:right w:val="single" w:sz="8" w:space="0" w:color="auto"/>
            </w:tcBorders>
            <w:tcMar>
              <w:top w:w="0" w:type="dxa"/>
              <w:left w:w="108" w:type="dxa"/>
              <w:bottom w:w="0" w:type="dxa"/>
              <w:right w:w="108" w:type="dxa"/>
            </w:tcMar>
            <w:hideMark/>
          </w:tcPr>
          <w:p w14:paraId="7DF50FD0" w14:textId="53E9B393" w:rsidR="00E27EAA" w:rsidRPr="00E27EAA" w:rsidRDefault="00E27EAA" w:rsidP="00517514">
            <w:pPr>
              <w:pStyle w:val="TableTextCA"/>
              <w:keepNext/>
            </w:pPr>
            <w:r w:rsidRPr="00E27EAA">
              <w:t>199/206</w:t>
            </w:r>
            <w:r w:rsidR="00341F68">
              <w:br/>
            </w:r>
            <w:r w:rsidRPr="00E27EAA">
              <w:t>(96.6%)</w:t>
            </w:r>
          </w:p>
        </w:tc>
        <w:tc>
          <w:tcPr>
            <w:tcW w:w="603" w:type="pct"/>
            <w:tcBorders>
              <w:top w:val="nil"/>
              <w:left w:val="nil"/>
              <w:bottom w:val="dotted" w:sz="8" w:space="0" w:color="auto"/>
              <w:right w:val="single" w:sz="8" w:space="0" w:color="auto"/>
            </w:tcBorders>
            <w:tcMar>
              <w:top w:w="0" w:type="dxa"/>
              <w:left w:w="108" w:type="dxa"/>
              <w:bottom w:w="0" w:type="dxa"/>
              <w:right w:w="108" w:type="dxa"/>
            </w:tcMar>
            <w:hideMark/>
          </w:tcPr>
          <w:p w14:paraId="3D6C9181" w14:textId="77777777" w:rsidR="00E27EAA" w:rsidRPr="00E27EAA" w:rsidRDefault="00E27EAA" w:rsidP="00517514">
            <w:pPr>
              <w:pStyle w:val="TableTextCA"/>
              <w:keepNext/>
            </w:pPr>
            <w:r w:rsidRPr="00E27EAA">
              <w:t>-9.9</w:t>
            </w:r>
            <w:r w:rsidRPr="00E27EAA">
              <w:br/>
              <w:t>(13.90)</w:t>
            </w:r>
          </w:p>
        </w:tc>
        <w:tc>
          <w:tcPr>
            <w:tcW w:w="550" w:type="pct"/>
            <w:tcBorders>
              <w:top w:val="nil"/>
              <w:left w:val="nil"/>
              <w:bottom w:val="dotted" w:sz="8" w:space="0" w:color="auto"/>
              <w:right w:val="single" w:sz="8" w:space="0" w:color="auto"/>
            </w:tcBorders>
            <w:tcMar>
              <w:top w:w="0" w:type="dxa"/>
              <w:left w:w="108" w:type="dxa"/>
              <w:bottom w:w="0" w:type="dxa"/>
              <w:right w:w="108" w:type="dxa"/>
            </w:tcMar>
            <w:hideMark/>
          </w:tcPr>
          <w:p w14:paraId="0916CDEB" w14:textId="56A60576" w:rsidR="00E27EAA" w:rsidRPr="00E27EAA" w:rsidRDefault="00E27EAA" w:rsidP="00517514">
            <w:pPr>
              <w:pStyle w:val="TableTextCA"/>
              <w:keepNext/>
            </w:pPr>
            <w:r w:rsidRPr="00E27EAA">
              <w:t>126/131</w:t>
            </w:r>
            <w:r w:rsidR="00341F68">
              <w:br/>
            </w:r>
            <w:r w:rsidRPr="00E27EAA">
              <w:t>(96.2%)</w:t>
            </w:r>
          </w:p>
        </w:tc>
        <w:tc>
          <w:tcPr>
            <w:tcW w:w="606" w:type="pct"/>
            <w:tcBorders>
              <w:top w:val="nil"/>
              <w:left w:val="nil"/>
              <w:bottom w:val="dotted" w:sz="8" w:space="0" w:color="auto"/>
              <w:right w:val="single" w:sz="8" w:space="0" w:color="auto"/>
            </w:tcBorders>
            <w:tcMar>
              <w:top w:w="0" w:type="dxa"/>
              <w:left w:w="108" w:type="dxa"/>
              <w:bottom w:w="0" w:type="dxa"/>
              <w:right w:w="108" w:type="dxa"/>
            </w:tcMar>
            <w:hideMark/>
          </w:tcPr>
          <w:p w14:paraId="4AE671DC" w14:textId="77777777" w:rsidR="00E27EAA" w:rsidRPr="00E27EAA" w:rsidRDefault="00E27EAA" w:rsidP="00517514">
            <w:pPr>
              <w:pStyle w:val="TableTextCA"/>
              <w:keepNext/>
            </w:pPr>
            <w:r w:rsidRPr="00E27EAA">
              <w:t>-5.1</w:t>
            </w:r>
            <w:r w:rsidRPr="00E27EAA">
              <w:br/>
              <w:t>(13.2)</w:t>
            </w:r>
          </w:p>
        </w:tc>
        <w:tc>
          <w:tcPr>
            <w:tcW w:w="951" w:type="pct"/>
            <w:tcBorders>
              <w:top w:val="nil"/>
              <w:left w:val="nil"/>
              <w:bottom w:val="dotted" w:sz="8" w:space="0" w:color="auto"/>
              <w:right w:val="single" w:sz="8" w:space="0" w:color="auto"/>
            </w:tcBorders>
            <w:noWrap/>
            <w:tcMar>
              <w:top w:w="0" w:type="dxa"/>
              <w:left w:w="108" w:type="dxa"/>
              <w:bottom w:w="0" w:type="dxa"/>
              <w:right w:w="108" w:type="dxa"/>
            </w:tcMar>
            <w:hideMark/>
          </w:tcPr>
          <w:p w14:paraId="05AAD553" w14:textId="77777777" w:rsidR="00E27EAA" w:rsidRPr="00F24BA3" w:rsidRDefault="00E27EAA" w:rsidP="00517514">
            <w:pPr>
              <w:pStyle w:val="Tabletext0"/>
              <w:keepNext/>
              <w:jc w:val="center"/>
              <w:rPr>
                <w:rFonts w:eastAsiaTheme="minorHAnsi"/>
                <w:b/>
                <w:bCs/>
              </w:rPr>
            </w:pPr>
            <w:r w:rsidRPr="00E27EAA">
              <w:rPr>
                <w:rFonts w:eastAsiaTheme="minorHAnsi"/>
                <w:b/>
                <w:bCs/>
              </w:rPr>
              <w:t>-4.80 [-7.81, -1.79]</w:t>
            </w:r>
            <w:r w:rsidRPr="00E27EAA">
              <w:rPr>
                <w:rFonts w:eastAsiaTheme="minorHAnsi"/>
                <w:b/>
                <w:bCs/>
              </w:rPr>
              <w:br/>
              <w:t>P=0.002</w:t>
            </w:r>
          </w:p>
        </w:tc>
      </w:tr>
      <w:tr w:rsidR="00DB0FAB" w:rsidRPr="00E27EAA" w14:paraId="50433DFD" w14:textId="77777777" w:rsidTr="00061BF6">
        <w:trPr>
          <w:trHeight w:val="255"/>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84CC2" w14:textId="77777777" w:rsidR="00E27EAA" w:rsidRPr="00E27EAA" w:rsidRDefault="00E27EAA" w:rsidP="00517514">
            <w:pPr>
              <w:pStyle w:val="TableTextCA"/>
              <w:keepNext/>
            </w:pPr>
            <w:r w:rsidRPr="00E27EAA">
              <w:t>SPYRAL HTN-ON MED subgroup</w:t>
            </w:r>
            <w:r w:rsidRPr="00E27EAA">
              <w:rPr>
                <w:vertAlign w:val="superscript"/>
              </w:rPr>
              <w:t>a</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0FB573DD" w14:textId="77777777" w:rsidR="00E27EAA" w:rsidRPr="00E27EAA" w:rsidRDefault="00E27EAA" w:rsidP="00517514">
            <w:pPr>
              <w:pStyle w:val="TableTextCA"/>
              <w:keepNext/>
            </w:pPr>
            <w:r w:rsidRPr="00E27EAA">
              <w:t>-</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2AA067" w14:textId="6B518398" w:rsidR="00E27EAA" w:rsidRPr="00E27EAA" w:rsidRDefault="00E27EAA" w:rsidP="00517514">
            <w:pPr>
              <w:pStyle w:val="TableTextCA"/>
              <w:keepNext/>
            </w:pPr>
            <w:r w:rsidRPr="00E27EAA">
              <w:t>46/47</w:t>
            </w:r>
            <w:r w:rsidR="00341F68">
              <w:br/>
            </w:r>
            <w:r w:rsidRPr="00E27EAA">
              <w:t>(97.9%)</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61587552" w14:textId="77777777" w:rsidR="00E27EAA" w:rsidRPr="00E27EAA" w:rsidRDefault="00E27EAA" w:rsidP="00517514">
            <w:pPr>
              <w:pStyle w:val="TableTextCA"/>
              <w:keepNext/>
            </w:pPr>
            <w:r w:rsidRPr="00E27EAA">
              <w:t>-9.7</w:t>
            </w:r>
            <w:r w:rsidRPr="00E27EAA">
              <w:br/>
              <w:t>(13.9)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999A5D4" w14:textId="7E39E996" w:rsidR="00E27EAA" w:rsidRPr="00E27EAA" w:rsidRDefault="00E27EAA" w:rsidP="00517514">
            <w:pPr>
              <w:pStyle w:val="TableTextCA"/>
              <w:keepNext/>
            </w:pPr>
            <w:r w:rsidRPr="00E27EAA">
              <w:t>32/33</w:t>
            </w:r>
            <w:r w:rsidR="00341F68">
              <w:br/>
            </w:r>
            <w:r w:rsidRPr="00E27EAA">
              <w:t>(97.0%)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67B8418" w14:textId="77777777" w:rsidR="00E27EAA" w:rsidRPr="00E27EAA" w:rsidRDefault="00E27EAA" w:rsidP="00517514">
            <w:pPr>
              <w:pStyle w:val="TableTextCA"/>
              <w:keepNext/>
            </w:pPr>
            <w:r w:rsidRPr="00E27EAA">
              <w:t xml:space="preserve">-4.5 </w:t>
            </w:r>
            <w:r w:rsidRPr="00E27EAA">
              <w:br/>
              <w:t>(10.6)</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3B874A89" w14:textId="77777777" w:rsidR="00E27EAA" w:rsidRPr="00E27EAA" w:rsidRDefault="00E27EAA" w:rsidP="00517514">
            <w:pPr>
              <w:pStyle w:val="Tabletext0"/>
              <w:keepNext/>
              <w:jc w:val="center"/>
              <w:rPr>
                <w:rFonts w:eastAsiaTheme="minorHAnsi"/>
              </w:rPr>
            </w:pPr>
            <w:r w:rsidRPr="00E27EAA">
              <w:rPr>
                <w:rFonts w:eastAsiaTheme="minorHAnsi"/>
              </w:rPr>
              <w:t>-5.20 [-10.64, 0.24]</w:t>
            </w:r>
            <w:r w:rsidRPr="00E27EAA">
              <w:rPr>
                <w:rFonts w:eastAsiaTheme="minorHAnsi"/>
              </w:rPr>
              <w:br/>
              <w:t>P=0.06</w:t>
            </w:r>
          </w:p>
        </w:tc>
      </w:tr>
      <w:tr w:rsidR="00DB0FAB" w:rsidRPr="00E27EAA" w14:paraId="6B6E5670" w14:textId="77777777" w:rsidTr="00391570">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14:paraId="3EADF30B" w14:textId="02630741" w:rsidR="00E27EAA" w:rsidRPr="000739EC" w:rsidRDefault="00F45FD6" w:rsidP="00AC7281">
            <w:pPr>
              <w:pStyle w:val="TableTextCA"/>
              <w:keepNext/>
              <w:spacing w:after="0"/>
            </w:pPr>
            <w:r>
              <w:t xml:space="preserve">Commentary </w:t>
            </w:r>
            <w:r w:rsidR="00E27EAA" w:rsidRPr="000739EC">
              <w:t>Meta-analysis</w:t>
            </w:r>
            <w:r w:rsidR="00061BF6">
              <w:t xml:space="preserve"> HTN-3</w:t>
            </w:r>
            <w:r w:rsidR="006011C7">
              <w:t xml:space="preserve"> and</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1C88F" w14:textId="77777777" w:rsidR="00E27EAA" w:rsidRPr="000739EC" w:rsidRDefault="00E27EAA" w:rsidP="00517514">
            <w:pPr>
              <w:pStyle w:val="TableTextCA"/>
              <w:keepNext/>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7EE72" w14:textId="77777777" w:rsidR="00E27EAA" w:rsidRPr="000739EC" w:rsidRDefault="00E27EAA" w:rsidP="00517514">
            <w:pPr>
              <w:pStyle w:val="TableTextCA"/>
              <w:keepNext/>
            </w:pPr>
            <w:r w:rsidRPr="000739EC">
              <w:t>552</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D32C62" w14:textId="13C4D715" w:rsidR="00E27EAA" w:rsidRPr="000739EC" w:rsidRDefault="00F91D8B" w:rsidP="00517514">
            <w:pPr>
              <w:pStyle w:val="TableTextCA"/>
              <w:keepNext/>
            </w:pPr>
            <w: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5A8271" w14:textId="77777777" w:rsidR="00E27EAA" w:rsidRPr="000739EC" w:rsidRDefault="00E27EAA" w:rsidP="00517514">
            <w:pPr>
              <w:pStyle w:val="TableTextCA"/>
              <w:keepNext/>
            </w:pPr>
            <w:r w:rsidRPr="000739EC">
              <w:t>297</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4B16E6" w14:textId="409F3965" w:rsidR="00E27EAA" w:rsidRPr="000739EC" w:rsidRDefault="00F91D8B" w:rsidP="00517514">
            <w:pPr>
              <w:pStyle w:val="TableTextCA"/>
              <w:keepNext/>
            </w:pPr>
            <w:r>
              <w:t>-</w:t>
            </w:r>
          </w:p>
        </w:tc>
        <w:tc>
          <w:tcPr>
            <w:tcW w:w="951"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7DBA341E" w14:textId="77777777" w:rsidR="00E27EAA" w:rsidRPr="000739EC" w:rsidRDefault="00E27EAA" w:rsidP="00517514">
            <w:pPr>
              <w:pStyle w:val="Tabletext0"/>
              <w:keepNext/>
              <w:jc w:val="center"/>
              <w:rPr>
                <w:rFonts w:eastAsiaTheme="minorHAnsi"/>
                <w:b/>
                <w:bCs/>
              </w:rPr>
            </w:pPr>
            <w:r w:rsidRPr="000739EC">
              <w:rPr>
                <w:rFonts w:eastAsiaTheme="minorHAnsi"/>
                <w:b/>
                <w:bCs/>
              </w:rPr>
              <w:t>-4.08 [-6.60, -1.56]</w:t>
            </w:r>
            <w:r w:rsidRPr="000739EC">
              <w:rPr>
                <w:rFonts w:eastAsiaTheme="minorHAnsi"/>
                <w:b/>
                <w:bCs/>
              </w:rPr>
              <w:br/>
              <w:t>P=0.001</w:t>
            </w:r>
          </w:p>
        </w:tc>
      </w:tr>
      <w:tr w:rsidR="00DB0FAB" w:rsidRPr="00E27EAA" w14:paraId="3443A0DD" w14:textId="77777777" w:rsidTr="00D648D1">
        <w:trPr>
          <w:trHeight w:val="255"/>
        </w:trPr>
        <w:tc>
          <w:tcPr>
            <w:tcW w:w="1119" w:type="pct"/>
            <w:tcBorders>
              <w:left w:val="single" w:sz="8" w:space="0" w:color="auto"/>
              <w:bottom w:val="single" w:sz="8" w:space="0" w:color="auto"/>
              <w:right w:val="single" w:sz="8" w:space="0" w:color="auto"/>
            </w:tcBorders>
            <w:shd w:val="clear" w:color="auto" w:fill="auto"/>
            <w:hideMark/>
          </w:tcPr>
          <w:p w14:paraId="02F6E421" w14:textId="3F5FAC86" w:rsidR="00DB0FAB" w:rsidRPr="000739EC" w:rsidRDefault="00564D88" w:rsidP="00AC7281">
            <w:pPr>
              <w:pStyle w:val="TableTextCA"/>
              <w:keepNext/>
              <w:spacing w:before="0"/>
            </w:pPr>
            <w:r w:rsidRPr="000739EC">
              <w:t>HTN-ON MED all patients</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hideMark/>
          </w:tcPr>
          <w:p w14:paraId="32298DBB" w14:textId="574AA4AC" w:rsidR="00DB0FAB" w:rsidRPr="000739EC" w:rsidRDefault="00DB0FAB" w:rsidP="00D648D1">
            <w:pPr>
              <w:pStyle w:val="TableTextCA"/>
              <w:keepNext/>
              <w:jc w:val="right"/>
            </w:pPr>
            <w:r w:rsidRPr="000739EC">
              <w:rPr>
                <w:lang w:val="it-IT"/>
              </w:rPr>
              <w:t>Het:</w:t>
            </w:r>
          </w:p>
        </w:tc>
        <w:tc>
          <w:tcPr>
            <w:tcW w:w="550" w:type="pct"/>
            <w:gridSpan w:val="2"/>
            <w:tcBorders>
              <w:top w:val="single" w:sz="8" w:space="0" w:color="auto"/>
              <w:left w:val="nil"/>
              <w:bottom w:val="single" w:sz="8" w:space="0" w:color="auto"/>
            </w:tcBorders>
            <w:shd w:val="clear" w:color="auto" w:fill="auto"/>
          </w:tcPr>
          <w:p w14:paraId="7F2F17CC" w14:textId="4E0D3E9E" w:rsidR="00DB0FAB" w:rsidRPr="000739EC" w:rsidRDefault="00B80E92" w:rsidP="00517514">
            <w:pPr>
              <w:pStyle w:val="TableTextCA"/>
              <w:keepNext/>
            </w:pPr>
            <w:r w:rsidRPr="000739EC">
              <w:rPr>
                <w:lang w:val="it-IT"/>
              </w:rPr>
              <w:t>Tau² = 0.00;</w:t>
            </w:r>
          </w:p>
        </w:tc>
        <w:tc>
          <w:tcPr>
            <w:tcW w:w="603" w:type="pct"/>
            <w:tcBorders>
              <w:top w:val="single" w:sz="8" w:space="0" w:color="auto"/>
              <w:left w:val="nil"/>
              <w:bottom w:val="single" w:sz="8" w:space="0" w:color="auto"/>
            </w:tcBorders>
            <w:shd w:val="clear" w:color="auto" w:fill="auto"/>
          </w:tcPr>
          <w:p w14:paraId="4CB0D748" w14:textId="7128AED9" w:rsidR="00DB0FAB" w:rsidRPr="000739EC" w:rsidRDefault="00B80E92" w:rsidP="00517514">
            <w:pPr>
              <w:pStyle w:val="TableTextCA"/>
              <w:keepNext/>
            </w:pPr>
            <w:r w:rsidRPr="000739EC">
              <w:rPr>
                <w:lang w:val="it-IT"/>
              </w:rPr>
              <w:t>Chi² = 0.73,</w:t>
            </w:r>
          </w:p>
        </w:tc>
        <w:tc>
          <w:tcPr>
            <w:tcW w:w="550" w:type="pct"/>
            <w:tcBorders>
              <w:top w:val="single" w:sz="8" w:space="0" w:color="auto"/>
              <w:left w:val="nil"/>
              <w:bottom w:val="single" w:sz="8" w:space="0" w:color="auto"/>
            </w:tcBorders>
            <w:shd w:val="clear" w:color="auto" w:fill="auto"/>
          </w:tcPr>
          <w:p w14:paraId="373FCDD5" w14:textId="0D2BA908" w:rsidR="00DB0FAB" w:rsidRPr="000739EC" w:rsidRDefault="00B80E92" w:rsidP="00517514">
            <w:pPr>
              <w:pStyle w:val="TableTextCA"/>
              <w:keepNext/>
            </w:pPr>
            <w:r w:rsidRPr="000739EC">
              <w:rPr>
                <w:lang w:val="it-IT"/>
              </w:rPr>
              <w:t>(P = 0.39);</w:t>
            </w:r>
          </w:p>
        </w:tc>
        <w:tc>
          <w:tcPr>
            <w:tcW w:w="606" w:type="pct"/>
            <w:tcBorders>
              <w:top w:val="nil"/>
              <w:left w:val="nil"/>
              <w:bottom w:val="single" w:sz="8" w:space="0" w:color="auto"/>
              <w:right w:val="single" w:sz="8" w:space="0" w:color="auto"/>
            </w:tcBorders>
            <w:shd w:val="clear" w:color="auto" w:fill="auto"/>
          </w:tcPr>
          <w:p w14:paraId="549A6695" w14:textId="0E18649E" w:rsidR="00DB0FAB" w:rsidRPr="000739EC" w:rsidRDefault="00B80E92" w:rsidP="00D648D1">
            <w:pPr>
              <w:pStyle w:val="TableTextCA"/>
              <w:keepNext/>
              <w:jc w:val="left"/>
            </w:pPr>
            <w:r w:rsidRPr="000739EC">
              <w:rPr>
                <w:lang w:val="it-IT"/>
              </w:rPr>
              <w:t>I² = 0%</w:t>
            </w:r>
          </w:p>
        </w:tc>
        <w:tc>
          <w:tcPr>
            <w:tcW w:w="951" w:type="pct"/>
            <w:tcBorders>
              <w:top w:val="nil"/>
              <w:left w:val="nil"/>
              <w:bottom w:val="single" w:sz="8" w:space="0" w:color="auto"/>
              <w:right w:val="single" w:sz="8" w:space="0" w:color="auto"/>
            </w:tcBorders>
            <w:shd w:val="clear" w:color="auto" w:fill="auto"/>
            <w:vAlign w:val="center"/>
            <w:hideMark/>
          </w:tcPr>
          <w:p w14:paraId="425E3C7F" w14:textId="77777777" w:rsidR="00DB0FAB" w:rsidRPr="000739EC" w:rsidRDefault="00DB0FAB" w:rsidP="00517514">
            <w:pPr>
              <w:pStyle w:val="Tabletext0"/>
              <w:keepNext/>
              <w:jc w:val="left"/>
              <w:rPr>
                <w:b/>
                <w:bCs/>
              </w:rPr>
            </w:pPr>
          </w:p>
        </w:tc>
      </w:tr>
      <w:tr w:rsidR="00DB0FAB" w:rsidRPr="00E27EAA" w14:paraId="01CF0809" w14:textId="77777777" w:rsidTr="00DA1D24">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14:paraId="217F1820" w14:textId="38F53DC9" w:rsidR="00E27EAA" w:rsidRPr="000739EC" w:rsidRDefault="00F45FD6" w:rsidP="00AC7281">
            <w:pPr>
              <w:pStyle w:val="TableTextCA"/>
              <w:keepNext/>
              <w:spacing w:after="0"/>
            </w:pPr>
            <w:r>
              <w:t xml:space="preserve">Commentary </w:t>
            </w:r>
            <w:r w:rsidR="00E27EAA" w:rsidRPr="000739EC">
              <w:t xml:space="preserve">Meta-analysis </w:t>
            </w:r>
            <w:r w:rsidR="00630742">
              <w:t>HTN-3 and</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CD554D" w14:textId="622039E2" w:rsidR="00E27EAA" w:rsidRPr="000739EC" w:rsidRDefault="0078370B" w:rsidP="00517514">
            <w:pPr>
              <w:pStyle w:val="TableTextCA"/>
              <w:keepNext/>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4E1E00" w14:textId="77777777" w:rsidR="00E27EAA" w:rsidRPr="000739EC" w:rsidRDefault="00E27EAA" w:rsidP="00517514">
            <w:pPr>
              <w:pStyle w:val="TableTextCA"/>
              <w:keepNext/>
            </w:pPr>
            <w:r w:rsidRPr="000739EC">
              <w:t>399</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E1B43A" w14:textId="140AA606" w:rsidR="00E27EAA" w:rsidRPr="000739EC" w:rsidRDefault="00F91D8B" w:rsidP="00517514">
            <w:pPr>
              <w:pStyle w:val="TableTextCA"/>
              <w:keepNext/>
            </w:pPr>
            <w: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CBE0D3" w14:textId="77777777" w:rsidR="00E27EAA" w:rsidRPr="000739EC" w:rsidRDefault="00E27EAA" w:rsidP="00517514">
            <w:pPr>
              <w:pStyle w:val="TableTextCA"/>
              <w:keepNext/>
            </w:pPr>
            <w:r w:rsidRPr="000739EC">
              <w:t>203</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7CCAA1" w14:textId="273C44BC" w:rsidR="00E27EAA" w:rsidRPr="000739EC" w:rsidRDefault="00F91D8B" w:rsidP="00517514">
            <w:pPr>
              <w:pStyle w:val="TableTextCA"/>
              <w:keepNext/>
            </w:pPr>
            <w:r>
              <w:t>-</w:t>
            </w:r>
          </w:p>
        </w:tc>
        <w:tc>
          <w:tcPr>
            <w:tcW w:w="951" w:type="pct"/>
            <w:tcBorders>
              <w:top w:val="single" w:sz="8" w:space="0" w:color="auto"/>
              <w:left w:val="nil"/>
              <w:right w:val="single" w:sz="8" w:space="0" w:color="auto"/>
            </w:tcBorders>
            <w:shd w:val="clear" w:color="auto" w:fill="auto"/>
            <w:noWrap/>
            <w:tcMar>
              <w:top w:w="0" w:type="dxa"/>
              <w:left w:w="108" w:type="dxa"/>
              <w:bottom w:w="0" w:type="dxa"/>
              <w:right w:w="108" w:type="dxa"/>
            </w:tcMar>
            <w:hideMark/>
          </w:tcPr>
          <w:p w14:paraId="3D76635F" w14:textId="77777777" w:rsidR="00E27EAA" w:rsidRPr="000739EC" w:rsidRDefault="00E27EAA" w:rsidP="00517514">
            <w:pPr>
              <w:pStyle w:val="Tabletext0"/>
              <w:keepNext/>
              <w:jc w:val="center"/>
              <w:rPr>
                <w:rFonts w:eastAsiaTheme="minorHAnsi"/>
                <w:b/>
                <w:bCs/>
              </w:rPr>
            </w:pPr>
            <w:r w:rsidRPr="000739EC">
              <w:rPr>
                <w:rFonts w:eastAsiaTheme="minorHAnsi"/>
                <w:b/>
                <w:bCs/>
              </w:rPr>
              <w:t>-3.57 [-7.09, -0.04]</w:t>
            </w:r>
            <w:r w:rsidRPr="000739EC">
              <w:rPr>
                <w:rFonts w:eastAsiaTheme="minorHAnsi"/>
                <w:b/>
                <w:bCs/>
              </w:rPr>
              <w:br/>
              <w:t>P=0.05</w:t>
            </w:r>
          </w:p>
        </w:tc>
      </w:tr>
      <w:tr w:rsidR="008332D6" w:rsidRPr="00E27EAA" w14:paraId="5DD70824" w14:textId="77777777" w:rsidTr="008332D6">
        <w:trPr>
          <w:trHeight w:val="60"/>
        </w:trPr>
        <w:tc>
          <w:tcPr>
            <w:tcW w:w="1119" w:type="pct"/>
            <w:tcBorders>
              <w:left w:val="single" w:sz="8" w:space="0" w:color="auto"/>
              <w:bottom w:val="single" w:sz="4" w:space="0" w:color="auto"/>
              <w:right w:val="single" w:sz="8" w:space="0" w:color="auto"/>
            </w:tcBorders>
            <w:shd w:val="clear" w:color="auto" w:fill="auto"/>
            <w:hideMark/>
          </w:tcPr>
          <w:p w14:paraId="7E73F08C" w14:textId="1ABA4F36" w:rsidR="00061BF6" w:rsidRPr="00E27EAA" w:rsidRDefault="00061BF6" w:rsidP="00AC7281">
            <w:pPr>
              <w:pStyle w:val="TableTextCA"/>
              <w:keepNext/>
              <w:spacing w:before="0"/>
              <w:rPr>
                <w:i/>
                <w:iCs/>
              </w:rPr>
            </w:pPr>
            <w:r w:rsidRPr="000739EC">
              <w:t>HTN-ON MED subgroup</w:t>
            </w:r>
            <w:r w:rsidR="00725D54">
              <w:rPr>
                <w:vertAlign w:val="superscript"/>
              </w:rPr>
              <w:t>b</w:t>
            </w:r>
          </w:p>
        </w:tc>
        <w:tc>
          <w:tcPr>
            <w:tcW w:w="625" w:type="pct"/>
            <w:gridSpan w:val="2"/>
            <w:tcBorders>
              <w:top w:val="nil"/>
              <w:left w:val="nil"/>
              <w:bottom w:val="single" w:sz="4" w:space="0" w:color="auto"/>
            </w:tcBorders>
            <w:shd w:val="clear" w:color="auto" w:fill="auto"/>
            <w:tcMar>
              <w:top w:w="0" w:type="dxa"/>
              <w:left w:w="108" w:type="dxa"/>
              <w:bottom w:w="0" w:type="dxa"/>
              <w:right w:w="108" w:type="dxa"/>
            </w:tcMar>
            <w:hideMark/>
          </w:tcPr>
          <w:p w14:paraId="2E025C60" w14:textId="6B8D611C" w:rsidR="00061BF6" w:rsidRPr="00446079" w:rsidRDefault="00061BF6" w:rsidP="00D648D1">
            <w:pPr>
              <w:pStyle w:val="TableTextCA"/>
              <w:keepNext/>
              <w:jc w:val="right"/>
            </w:pPr>
            <w:r w:rsidRPr="00446079">
              <w:rPr>
                <w:lang w:val="it-IT"/>
              </w:rPr>
              <w:t>Het:</w:t>
            </w:r>
          </w:p>
        </w:tc>
        <w:tc>
          <w:tcPr>
            <w:tcW w:w="546" w:type="pct"/>
            <w:tcBorders>
              <w:top w:val="nil"/>
              <w:left w:val="nil"/>
              <w:bottom w:val="single" w:sz="4" w:space="0" w:color="auto"/>
            </w:tcBorders>
            <w:shd w:val="clear" w:color="auto" w:fill="auto"/>
          </w:tcPr>
          <w:p w14:paraId="2B9EA079" w14:textId="6580DAD4" w:rsidR="00061BF6" w:rsidRPr="00446079" w:rsidRDefault="00061BF6" w:rsidP="00061BF6">
            <w:pPr>
              <w:pStyle w:val="TableTextCA"/>
              <w:keepNext/>
            </w:pPr>
            <w:r w:rsidRPr="000739EC">
              <w:rPr>
                <w:lang w:val="it-IT"/>
              </w:rPr>
              <w:t>Tau² = 0.00;</w:t>
            </w:r>
          </w:p>
        </w:tc>
        <w:tc>
          <w:tcPr>
            <w:tcW w:w="603" w:type="pct"/>
            <w:tcBorders>
              <w:top w:val="single" w:sz="8" w:space="0" w:color="auto"/>
              <w:left w:val="nil"/>
              <w:bottom w:val="single" w:sz="4" w:space="0" w:color="auto"/>
            </w:tcBorders>
            <w:shd w:val="clear" w:color="auto" w:fill="auto"/>
          </w:tcPr>
          <w:p w14:paraId="7F7F1460" w14:textId="38662AED" w:rsidR="00061BF6" w:rsidRPr="00446079" w:rsidRDefault="00061BF6" w:rsidP="00061BF6">
            <w:pPr>
              <w:pStyle w:val="TableTextCA"/>
              <w:keepNext/>
            </w:pPr>
            <w:r w:rsidRPr="000739EC">
              <w:rPr>
                <w:lang w:val="it-IT"/>
              </w:rPr>
              <w:t>Chi² = 0.</w:t>
            </w:r>
            <w:r>
              <w:rPr>
                <w:lang w:val="it-IT"/>
              </w:rPr>
              <w:t>60</w:t>
            </w:r>
            <w:r w:rsidRPr="000739EC">
              <w:rPr>
                <w:lang w:val="it-IT"/>
              </w:rPr>
              <w:t>,</w:t>
            </w:r>
          </w:p>
        </w:tc>
        <w:tc>
          <w:tcPr>
            <w:tcW w:w="550" w:type="pct"/>
            <w:tcBorders>
              <w:top w:val="single" w:sz="8" w:space="0" w:color="auto"/>
              <w:left w:val="nil"/>
              <w:bottom w:val="single" w:sz="4" w:space="0" w:color="auto"/>
            </w:tcBorders>
            <w:shd w:val="clear" w:color="auto" w:fill="auto"/>
          </w:tcPr>
          <w:p w14:paraId="493D9F96" w14:textId="66971CE4" w:rsidR="00061BF6" w:rsidRPr="00446079" w:rsidRDefault="00061BF6" w:rsidP="00061BF6">
            <w:pPr>
              <w:pStyle w:val="TableTextCA"/>
              <w:keepNext/>
            </w:pPr>
            <w:r w:rsidRPr="000739EC">
              <w:rPr>
                <w:lang w:val="it-IT"/>
              </w:rPr>
              <w:t>(P = 0.</w:t>
            </w:r>
            <w:r>
              <w:rPr>
                <w:lang w:val="it-IT"/>
              </w:rPr>
              <w:t>44</w:t>
            </w:r>
            <w:r w:rsidRPr="000739EC">
              <w:rPr>
                <w:lang w:val="it-IT"/>
              </w:rPr>
              <w:t>);</w:t>
            </w:r>
          </w:p>
        </w:tc>
        <w:tc>
          <w:tcPr>
            <w:tcW w:w="606" w:type="pct"/>
            <w:tcBorders>
              <w:top w:val="nil"/>
              <w:left w:val="nil"/>
              <w:bottom w:val="single" w:sz="4" w:space="0" w:color="auto"/>
              <w:right w:val="single" w:sz="8" w:space="0" w:color="auto"/>
            </w:tcBorders>
            <w:shd w:val="clear" w:color="auto" w:fill="auto"/>
          </w:tcPr>
          <w:p w14:paraId="40E01C4E" w14:textId="5E10B43A" w:rsidR="00061BF6" w:rsidRPr="00446079" w:rsidRDefault="00061BF6" w:rsidP="00D648D1">
            <w:pPr>
              <w:pStyle w:val="TableTextCA"/>
              <w:keepNext/>
              <w:jc w:val="left"/>
            </w:pPr>
            <w:r w:rsidRPr="000739EC">
              <w:rPr>
                <w:lang w:val="it-IT"/>
              </w:rPr>
              <w:t>I² = 0%</w:t>
            </w:r>
          </w:p>
        </w:tc>
        <w:tc>
          <w:tcPr>
            <w:tcW w:w="951" w:type="pct"/>
            <w:tcBorders>
              <w:left w:val="nil"/>
              <w:bottom w:val="single" w:sz="4" w:space="0" w:color="auto"/>
              <w:right w:val="single" w:sz="8" w:space="0" w:color="auto"/>
            </w:tcBorders>
            <w:shd w:val="clear" w:color="auto" w:fill="auto"/>
            <w:vAlign w:val="center"/>
            <w:hideMark/>
          </w:tcPr>
          <w:p w14:paraId="70AAA709" w14:textId="77777777" w:rsidR="00061BF6" w:rsidRPr="00446079" w:rsidRDefault="00061BF6" w:rsidP="00391570">
            <w:pPr>
              <w:pStyle w:val="Tabletext0"/>
              <w:keepNext/>
              <w:jc w:val="center"/>
              <w:rPr>
                <w:b/>
                <w:bCs/>
              </w:rPr>
            </w:pPr>
          </w:p>
        </w:tc>
      </w:tr>
      <w:tr w:rsidR="00112625" w:rsidRPr="00E27EAA" w14:paraId="7FA48101" w14:textId="77777777" w:rsidTr="009C3112">
        <w:trPr>
          <w:trHeight w:val="546"/>
        </w:trPr>
        <w:tc>
          <w:tcPr>
            <w:tcW w:w="1119"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25C0A3" w14:textId="6A11DBC5" w:rsidR="00112625" w:rsidRPr="00C86642" w:rsidRDefault="00112625" w:rsidP="00112625">
            <w:pPr>
              <w:pStyle w:val="TableTextCA"/>
              <w:keepNext/>
              <w:rPr>
                <w:color w:val="7F7F7F" w:themeColor="text1" w:themeTint="80"/>
              </w:rPr>
            </w:pPr>
            <w:r w:rsidRPr="00C86642">
              <w:rPr>
                <w:color w:val="7F7F7F" w:themeColor="text1" w:themeTint="80"/>
              </w:rPr>
              <w:t>SPYRAL HTN-OFF MED</w:t>
            </w:r>
          </w:p>
        </w:tc>
        <w:tc>
          <w:tcPr>
            <w:tcW w:w="621" w:type="pct"/>
            <w:tcBorders>
              <w:top w:val="nil"/>
              <w:left w:val="nil"/>
              <w:bottom w:val="single" w:sz="4" w:space="0" w:color="auto"/>
              <w:right w:val="single" w:sz="8" w:space="0" w:color="auto"/>
            </w:tcBorders>
            <w:tcMar>
              <w:top w:w="0" w:type="dxa"/>
              <w:left w:w="108" w:type="dxa"/>
              <w:bottom w:w="0" w:type="dxa"/>
              <w:right w:w="108" w:type="dxa"/>
            </w:tcMar>
          </w:tcPr>
          <w:p w14:paraId="2A5BE736" w14:textId="7710AE7C" w:rsidR="00112625" w:rsidRPr="00C86642" w:rsidRDefault="00112625" w:rsidP="00112625">
            <w:pPr>
              <w:pStyle w:val="TableTextCA"/>
              <w:keepNext/>
              <w:rPr>
                <w:color w:val="7F7F7F" w:themeColor="text1" w:themeTint="80"/>
              </w:rPr>
            </w:pPr>
            <w:r w:rsidRPr="00C86642">
              <w:rPr>
                <w:color w:val="7F7F7F" w:themeColor="text1" w:themeTint="80"/>
              </w:rPr>
              <w:t>-</w:t>
            </w:r>
          </w:p>
        </w:tc>
        <w:tc>
          <w:tcPr>
            <w:tcW w:w="550" w:type="pct"/>
            <w:gridSpan w:val="2"/>
            <w:tcBorders>
              <w:top w:val="nil"/>
              <w:left w:val="nil"/>
              <w:bottom w:val="single" w:sz="4" w:space="0" w:color="auto"/>
              <w:right w:val="single" w:sz="8" w:space="0" w:color="auto"/>
            </w:tcBorders>
            <w:tcMar>
              <w:top w:w="0" w:type="dxa"/>
              <w:left w:w="108" w:type="dxa"/>
              <w:bottom w:w="0" w:type="dxa"/>
              <w:right w:w="108" w:type="dxa"/>
            </w:tcMar>
          </w:tcPr>
          <w:p w14:paraId="22C1CCB9" w14:textId="79798ED3" w:rsidR="00112625" w:rsidRPr="00C86642" w:rsidRDefault="00112625" w:rsidP="00112625">
            <w:pPr>
              <w:pStyle w:val="TableTextCA"/>
              <w:keepNext/>
              <w:rPr>
                <w:color w:val="7F7F7F" w:themeColor="text1" w:themeTint="80"/>
              </w:rPr>
            </w:pPr>
            <w:r w:rsidRPr="00C86642">
              <w:rPr>
                <w:color w:val="7F7F7F" w:themeColor="text1" w:themeTint="80"/>
              </w:rPr>
              <w:t>156/166</w:t>
            </w:r>
            <w:r w:rsidRPr="00C86642">
              <w:rPr>
                <w:color w:val="7F7F7F" w:themeColor="text1" w:themeTint="80"/>
              </w:rPr>
              <w:br/>
              <w:t>(9</w:t>
            </w:r>
            <w:r w:rsidR="00960F96">
              <w:rPr>
                <w:color w:val="7F7F7F" w:themeColor="text1" w:themeTint="80"/>
              </w:rPr>
              <w:t>4.0</w:t>
            </w:r>
            <w:r w:rsidRPr="00C86642">
              <w:rPr>
                <w:color w:val="7F7F7F" w:themeColor="text1" w:themeTint="80"/>
              </w:rPr>
              <w:t>%)</w:t>
            </w:r>
          </w:p>
        </w:tc>
        <w:tc>
          <w:tcPr>
            <w:tcW w:w="603" w:type="pct"/>
            <w:tcBorders>
              <w:top w:val="nil"/>
              <w:left w:val="nil"/>
              <w:bottom w:val="single" w:sz="4" w:space="0" w:color="auto"/>
              <w:right w:val="single" w:sz="8" w:space="0" w:color="auto"/>
            </w:tcBorders>
            <w:tcMar>
              <w:top w:w="0" w:type="dxa"/>
              <w:left w:w="108" w:type="dxa"/>
              <w:bottom w:w="0" w:type="dxa"/>
              <w:right w:w="108" w:type="dxa"/>
            </w:tcMar>
          </w:tcPr>
          <w:p w14:paraId="7FD7A155" w14:textId="3C9AD7BC" w:rsidR="00112625" w:rsidRPr="00C86642" w:rsidRDefault="00112625" w:rsidP="00112625">
            <w:pPr>
              <w:pStyle w:val="TableTextCA"/>
              <w:keepNext/>
              <w:rPr>
                <w:color w:val="7F7F7F" w:themeColor="text1" w:themeTint="80"/>
              </w:rPr>
            </w:pPr>
            <w:r w:rsidRPr="00C86642">
              <w:rPr>
                <w:color w:val="7F7F7F" w:themeColor="text1" w:themeTint="80"/>
              </w:rPr>
              <w:t>-9.2</w:t>
            </w:r>
            <w:r w:rsidRPr="00C86642">
              <w:rPr>
                <w:color w:val="7F7F7F" w:themeColor="text1" w:themeTint="80"/>
              </w:rPr>
              <w:br/>
              <w:t>(14.60)</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0E5528B4" w14:textId="41FE210D" w:rsidR="00112625" w:rsidRPr="00C86642" w:rsidRDefault="00112625" w:rsidP="00112625">
            <w:pPr>
              <w:pStyle w:val="TableTextCA"/>
              <w:keepNext/>
              <w:rPr>
                <w:color w:val="7F7F7F" w:themeColor="text1" w:themeTint="80"/>
              </w:rPr>
            </w:pPr>
            <w:r w:rsidRPr="00C86642">
              <w:rPr>
                <w:color w:val="7F7F7F" w:themeColor="text1" w:themeTint="80"/>
              </w:rPr>
              <w:t>150/165</w:t>
            </w:r>
            <w:r w:rsidRPr="00C86642">
              <w:rPr>
                <w:color w:val="7F7F7F" w:themeColor="text1" w:themeTint="80"/>
              </w:rPr>
              <w:br/>
              <w:t>(90.9%)</w:t>
            </w:r>
          </w:p>
        </w:tc>
        <w:tc>
          <w:tcPr>
            <w:tcW w:w="606" w:type="pct"/>
            <w:tcBorders>
              <w:top w:val="nil"/>
              <w:left w:val="nil"/>
              <w:bottom w:val="single" w:sz="4" w:space="0" w:color="auto"/>
              <w:right w:val="single" w:sz="8" w:space="0" w:color="auto"/>
            </w:tcBorders>
            <w:tcMar>
              <w:top w:w="0" w:type="dxa"/>
              <w:left w:w="108" w:type="dxa"/>
              <w:bottom w:w="0" w:type="dxa"/>
              <w:right w:w="108" w:type="dxa"/>
            </w:tcMar>
          </w:tcPr>
          <w:p w14:paraId="74072760" w14:textId="57663AE1" w:rsidR="00112625" w:rsidRPr="00C86642" w:rsidRDefault="00112625" w:rsidP="00112625">
            <w:pPr>
              <w:pStyle w:val="TableTextCA"/>
              <w:keepNext/>
              <w:rPr>
                <w:color w:val="7F7F7F" w:themeColor="text1" w:themeTint="80"/>
              </w:rPr>
            </w:pPr>
            <w:r w:rsidRPr="00C86642">
              <w:rPr>
                <w:color w:val="7F7F7F" w:themeColor="text1" w:themeTint="80"/>
              </w:rPr>
              <w:t>-2.5</w:t>
            </w:r>
            <w:r w:rsidRPr="00C86642">
              <w:rPr>
                <w:color w:val="7F7F7F" w:themeColor="text1" w:themeTint="80"/>
              </w:rPr>
              <w:br/>
              <w:t>(12.90)</w:t>
            </w:r>
          </w:p>
        </w:tc>
        <w:tc>
          <w:tcPr>
            <w:tcW w:w="951" w:type="pct"/>
            <w:tcBorders>
              <w:top w:val="nil"/>
              <w:left w:val="nil"/>
              <w:bottom w:val="single" w:sz="4" w:space="0" w:color="auto"/>
              <w:right w:val="single" w:sz="8" w:space="0" w:color="auto"/>
            </w:tcBorders>
            <w:noWrap/>
            <w:tcMar>
              <w:top w:w="0" w:type="dxa"/>
              <w:left w:w="108" w:type="dxa"/>
              <w:bottom w:w="0" w:type="dxa"/>
              <w:right w:w="108" w:type="dxa"/>
            </w:tcMar>
          </w:tcPr>
          <w:p w14:paraId="517E9199" w14:textId="1A65CAA6" w:rsidR="00112625" w:rsidRPr="00C86642" w:rsidRDefault="00C86642" w:rsidP="00112625">
            <w:pPr>
              <w:pStyle w:val="Tabletext0"/>
              <w:keepNext/>
              <w:jc w:val="center"/>
              <w:rPr>
                <w:rFonts w:eastAsiaTheme="minorHAnsi"/>
                <w:b/>
                <w:bCs/>
                <w:color w:val="7F7F7F" w:themeColor="text1" w:themeTint="80"/>
              </w:rPr>
            </w:pPr>
            <w:r w:rsidRPr="00C86642">
              <w:rPr>
                <w:b/>
                <w:bCs/>
                <w:color w:val="7F7F7F" w:themeColor="text1" w:themeTint="80"/>
              </w:rPr>
              <w:t>-6.60 [-9.6, -3.5]</w:t>
            </w:r>
            <w:r w:rsidRPr="00C86642">
              <w:rPr>
                <w:b/>
                <w:bCs/>
                <w:color w:val="7F7F7F" w:themeColor="text1" w:themeTint="80"/>
              </w:rPr>
              <w:br/>
              <w:t>P&lt;0.001</w:t>
            </w:r>
          </w:p>
        </w:tc>
      </w:tr>
      <w:tr w:rsidR="00022B5F" w:rsidRPr="00E27EAA" w14:paraId="320B6DB0" w14:textId="77777777" w:rsidTr="009C3112">
        <w:trPr>
          <w:trHeight w:val="546"/>
        </w:trPr>
        <w:tc>
          <w:tcPr>
            <w:tcW w:w="1119" w:type="pct"/>
            <w:tcBorders>
              <w:top w:val="single" w:sz="4" w:space="0" w:color="auto"/>
              <w:left w:val="single" w:sz="8" w:space="0" w:color="auto"/>
              <w:right w:val="single" w:sz="8" w:space="0" w:color="auto"/>
            </w:tcBorders>
            <w:tcMar>
              <w:top w:w="0" w:type="dxa"/>
              <w:left w:w="108" w:type="dxa"/>
              <w:bottom w:w="0" w:type="dxa"/>
              <w:right w:w="108" w:type="dxa"/>
            </w:tcMar>
            <w:vAlign w:val="bottom"/>
          </w:tcPr>
          <w:p w14:paraId="57B7169D" w14:textId="6EC76F81" w:rsidR="00022B5F" w:rsidRPr="00C86642" w:rsidRDefault="00022B5F" w:rsidP="00D829A5">
            <w:pPr>
              <w:pStyle w:val="TableTextCA"/>
              <w:keepNext/>
              <w:spacing w:after="0"/>
              <w:rPr>
                <w:color w:val="7F7F7F" w:themeColor="text1" w:themeTint="80"/>
              </w:rPr>
            </w:pPr>
            <w:r>
              <w:rPr>
                <w:color w:val="7F7F7F" w:themeColor="text1" w:themeTint="80"/>
              </w:rPr>
              <w:t xml:space="preserve">ADAR Meta-analysis </w:t>
            </w:r>
            <w:r w:rsidR="009E0381">
              <w:rPr>
                <w:color w:val="7F7F7F" w:themeColor="text1" w:themeTint="80"/>
              </w:rPr>
              <w:t>HTN-3, HTN-ON MED</w:t>
            </w:r>
          </w:p>
        </w:tc>
        <w:tc>
          <w:tcPr>
            <w:tcW w:w="62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5EB6F49" w14:textId="4ACAE023" w:rsidR="00022B5F" w:rsidRPr="00C86642" w:rsidRDefault="0078370B" w:rsidP="00112625">
            <w:pPr>
              <w:pStyle w:val="TableTextCA"/>
              <w:keepNext/>
              <w:rPr>
                <w:color w:val="7F7F7F" w:themeColor="text1" w:themeTint="80"/>
              </w:rPr>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4190CB9" w14:textId="18B673C0" w:rsidR="00022B5F" w:rsidRPr="00C86642" w:rsidRDefault="006A5771" w:rsidP="00112625">
            <w:pPr>
              <w:pStyle w:val="TableTextCA"/>
              <w:keepNext/>
              <w:rPr>
                <w:color w:val="7F7F7F" w:themeColor="text1" w:themeTint="80"/>
              </w:rPr>
            </w:pPr>
            <w:r>
              <w:rPr>
                <w:color w:val="7F7F7F" w:themeColor="text1" w:themeTint="80"/>
              </w:rPr>
              <w:t>708</w:t>
            </w:r>
          </w:p>
        </w:tc>
        <w:tc>
          <w:tcPr>
            <w:tcW w:w="6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00A00CD" w14:textId="70221129" w:rsidR="00022B5F" w:rsidRPr="00C86642" w:rsidRDefault="00F91D8B" w:rsidP="00112625">
            <w:pPr>
              <w:pStyle w:val="TableTextCA"/>
              <w:keepNext/>
              <w:rPr>
                <w:color w:val="7F7F7F" w:themeColor="text1" w:themeTint="80"/>
              </w:rPr>
            </w:pPr>
            <w:r>
              <w:rPr>
                <w:color w:val="7F7F7F" w:themeColor="text1" w:themeTint="80"/>
              </w:rPr>
              <w:t>-</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ACDB261" w14:textId="41737F99" w:rsidR="00022B5F" w:rsidRPr="00C86642" w:rsidRDefault="006A5771" w:rsidP="00112625">
            <w:pPr>
              <w:pStyle w:val="TableTextCA"/>
              <w:keepNext/>
              <w:rPr>
                <w:color w:val="7F7F7F" w:themeColor="text1" w:themeTint="80"/>
              </w:rPr>
            </w:pPr>
            <w:r>
              <w:rPr>
                <w:color w:val="7F7F7F" w:themeColor="text1" w:themeTint="80"/>
              </w:rPr>
              <w:t>447</w:t>
            </w:r>
          </w:p>
        </w:tc>
        <w:tc>
          <w:tcPr>
            <w:tcW w:w="60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412162" w14:textId="0DC12E94" w:rsidR="00022B5F" w:rsidRPr="00C86642" w:rsidRDefault="00F91D8B" w:rsidP="00112625">
            <w:pPr>
              <w:pStyle w:val="TableTextCA"/>
              <w:keepNext/>
              <w:rPr>
                <w:color w:val="7F7F7F" w:themeColor="text1" w:themeTint="80"/>
              </w:rPr>
            </w:pPr>
            <w:r>
              <w:rPr>
                <w:color w:val="7F7F7F" w:themeColor="text1" w:themeTint="80"/>
              </w:rPr>
              <w:t>-</w:t>
            </w:r>
          </w:p>
        </w:tc>
        <w:tc>
          <w:tcPr>
            <w:tcW w:w="951" w:type="pct"/>
            <w:tcBorders>
              <w:top w:val="single" w:sz="4" w:space="0" w:color="auto"/>
              <w:left w:val="nil"/>
              <w:right w:val="single" w:sz="8" w:space="0" w:color="auto"/>
            </w:tcBorders>
            <w:noWrap/>
            <w:tcMar>
              <w:top w:w="0" w:type="dxa"/>
              <w:left w:w="108" w:type="dxa"/>
              <w:bottom w:w="0" w:type="dxa"/>
              <w:right w:w="108" w:type="dxa"/>
            </w:tcMar>
          </w:tcPr>
          <w:p w14:paraId="1DAA870B" w14:textId="247E2104" w:rsidR="00022B5F" w:rsidRPr="00C86642" w:rsidRDefault="00CA449A" w:rsidP="00112625">
            <w:pPr>
              <w:pStyle w:val="Tabletext0"/>
              <w:keepNext/>
              <w:jc w:val="center"/>
              <w:rPr>
                <w:b/>
                <w:bCs/>
                <w:color w:val="7F7F7F" w:themeColor="text1" w:themeTint="80"/>
              </w:rPr>
            </w:pPr>
            <w:r>
              <w:rPr>
                <w:b/>
                <w:bCs/>
                <w:color w:val="7F7F7F" w:themeColor="text1" w:themeTint="80"/>
              </w:rPr>
              <w:t>-5.07 [-7.23, -2.91]</w:t>
            </w:r>
            <w:r w:rsidR="00353536">
              <w:rPr>
                <w:b/>
                <w:bCs/>
                <w:color w:val="7F7F7F" w:themeColor="text1" w:themeTint="80"/>
              </w:rPr>
              <w:br/>
            </w:r>
            <w:r w:rsidR="00405A81">
              <w:rPr>
                <w:b/>
                <w:bCs/>
                <w:color w:val="7F7F7F" w:themeColor="text1" w:themeTint="80"/>
              </w:rPr>
              <w:t>P&lt;0</w:t>
            </w:r>
            <w:r w:rsidR="00504FDE">
              <w:rPr>
                <w:b/>
                <w:bCs/>
                <w:color w:val="7F7F7F" w:themeColor="text1" w:themeTint="80"/>
              </w:rPr>
              <w:t>.00001</w:t>
            </w:r>
          </w:p>
        </w:tc>
      </w:tr>
      <w:tr w:rsidR="0049582C" w:rsidRPr="00E27EAA" w14:paraId="693B2C9F" w14:textId="77777777" w:rsidTr="00D03F62">
        <w:trPr>
          <w:trHeight w:val="159"/>
        </w:trPr>
        <w:tc>
          <w:tcPr>
            <w:tcW w:w="1119" w:type="pct"/>
            <w:tcBorders>
              <w:left w:val="single" w:sz="8" w:space="0" w:color="auto"/>
              <w:bottom w:val="single" w:sz="8" w:space="0" w:color="auto"/>
              <w:right w:val="single" w:sz="8" w:space="0" w:color="auto"/>
            </w:tcBorders>
            <w:tcMar>
              <w:top w:w="0" w:type="dxa"/>
              <w:left w:w="108" w:type="dxa"/>
              <w:bottom w:w="0" w:type="dxa"/>
              <w:right w:w="108" w:type="dxa"/>
            </w:tcMar>
          </w:tcPr>
          <w:p w14:paraId="7F5E610C" w14:textId="5E9AB938" w:rsidR="0049582C" w:rsidRPr="00C86642" w:rsidRDefault="0049582C" w:rsidP="0049582C">
            <w:pPr>
              <w:pStyle w:val="TableTextCA"/>
              <w:keepNext/>
              <w:spacing w:before="0"/>
              <w:rPr>
                <w:color w:val="7F7F7F" w:themeColor="text1" w:themeTint="80"/>
              </w:rPr>
            </w:pPr>
            <w:r>
              <w:rPr>
                <w:color w:val="7F7F7F" w:themeColor="text1" w:themeTint="80"/>
              </w:rPr>
              <w:t>and HTN-OFF MED</w:t>
            </w:r>
          </w:p>
        </w:tc>
        <w:tc>
          <w:tcPr>
            <w:tcW w:w="621" w:type="pct"/>
            <w:tcBorders>
              <w:top w:val="single" w:sz="4" w:space="0" w:color="auto"/>
              <w:left w:val="nil"/>
              <w:bottom w:val="single" w:sz="8" w:space="0" w:color="auto"/>
            </w:tcBorders>
            <w:tcMar>
              <w:top w:w="0" w:type="dxa"/>
              <w:left w:w="108" w:type="dxa"/>
              <w:bottom w:w="0" w:type="dxa"/>
              <w:right w:w="108" w:type="dxa"/>
            </w:tcMar>
          </w:tcPr>
          <w:p w14:paraId="62BE02F7" w14:textId="3DA5CA26" w:rsidR="0049582C" w:rsidRPr="00543017" w:rsidRDefault="0049582C" w:rsidP="0049582C">
            <w:pPr>
              <w:pStyle w:val="TableTextCA"/>
              <w:keepNext/>
              <w:jc w:val="right"/>
              <w:rPr>
                <w:color w:val="7F7F7F" w:themeColor="text1" w:themeTint="80"/>
              </w:rPr>
            </w:pPr>
            <w:r w:rsidRPr="00543017">
              <w:rPr>
                <w:color w:val="7F7F7F" w:themeColor="text1" w:themeTint="80"/>
                <w:lang w:val="it-IT"/>
              </w:rPr>
              <w:t>Het:</w:t>
            </w:r>
          </w:p>
        </w:tc>
        <w:tc>
          <w:tcPr>
            <w:tcW w:w="550" w:type="pct"/>
            <w:gridSpan w:val="2"/>
            <w:tcBorders>
              <w:top w:val="single" w:sz="4" w:space="0" w:color="auto"/>
              <w:left w:val="nil"/>
              <w:bottom w:val="single" w:sz="8" w:space="0" w:color="auto"/>
            </w:tcBorders>
            <w:tcMar>
              <w:top w:w="0" w:type="dxa"/>
              <w:left w:w="0" w:type="dxa"/>
              <w:bottom w:w="0" w:type="dxa"/>
              <w:right w:w="0" w:type="dxa"/>
            </w:tcMar>
          </w:tcPr>
          <w:p w14:paraId="2E84B671" w14:textId="269B4066" w:rsidR="0049582C" w:rsidRPr="00543017" w:rsidRDefault="0049582C" w:rsidP="00296112">
            <w:pPr>
              <w:pStyle w:val="TableTextCA"/>
              <w:keepNext/>
              <w:rPr>
                <w:color w:val="7F7F7F" w:themeColor="text1" w:themeTint="80"/>
              </w:rPr>
            </w:pPr>
            <w:r w:rsidRPr="00543017">
              <w:rPr>
                <w:color w:val="7F7F7F" w:themeColor="text1" w:themeTint="80"/>
                <w:lang w:val="it-IT"/>
              </w:rPr>
              <w:t>Tau²</w:t>
            </w:r>
            <w:r w:rsidR="00857479">
              <w:rPr>
                <w:color w:val="7F7F7F" w:themeColor="text1" w:themeTint="80"/>
                <w:lang w:val="it-IT"/>
              </w:rPr>
              <w:t xml:space="preserve"> </w:t>
            </w:r>
            <w:r w:rsidRPr="00543017">
              <w:rPr>
                <w:color w:val="7F7F7F" w:themeColor="text1" w:themeTint="80"/>
                <w:lang w:val="it-IT"/>
              </w:rPr>
              <w:t>=</w:t>
            </w:r>
            <w:r w:rsidR="00857479">
              <w:rPr>
                <w:color w:val="7F7F7F" w:themeColor="text1" w:themeTint="80"/>
                <w:lang w:val="it-IT"/>
              </w:rPr>
              <w:t xml:space="preserve"> </w:t>
            </w:r>
            <w:r w:rsidRPr="00543017">
              <w:rPr>
                <w:color w:val="7F7F7F" w:themeColor="text1" w:themeTint="80"/>
                <w:lang w:val="it-IT"/>
              </w:rPr>
              <w:t>0.</w:t>
            </w:r>
            <w:r w:rsidR="00CE7C90" w:rsidRPr="00543017">
              <w:rPr>
                <w:color w:val="7F7F7F" w:themeColor="text1" w:themeTint="80"/>
                <w:lang w:val="it-IT"/>
              </w:rPr>
              <w:t>62</w:t>
            </w:r>
            <w:r w:rsidR="00FA26C9">
              <w:rPr>
                <w:color w:val="7F7F7F" w:themeColor="text1" w:themeTint="80"/>
                <w:lang w:val="it-IT"/>
              </w:rPr>
              <w:t>;</w:t>
            </w:r>
          </w:p>
        </w:tc>
        <w:tc>
          <w:tcPr>
            <w:tcW w:w="603" w:type="pct"/>
            <w:tcBorders>
              <w:top w:val="single" w:sz="4" w:space="0" w:color="auto"/>
              <w:left w:val="nil"/>
              <w:bottom w:val="single" w:sz="8" w:space="0" w:color="auto"/>
            </w:tcBorders>
            <w:tcMar>
              <w:top w:w="0" w:type="dxa"/>
              <w:left w:w="108" w:type="dxa"/>
              <w:bottom w:w="0" w:type="dxa"/>
              <w:right w:w="108" w:type="dxa"/>
            </w:tcMar>
          </w:tcPr>
          <w:p w14:paraId="3457D86E" w14:textId="448BC4B3" w:rsidR="0049582C" w:rsidRPr="00543017" w:rsidRDefault="0049582C" w:rsidP="0049582C">
            <w:pPr>
              <w:pStyle w:val="TableTextCA"/>
              <w:keepNext/>
              <w:rPr>
                <w:color w:val="7F7F7F" w:themeColor="text1" w:themeTint="80"/>
              </w:rPr>
            </w:pPr>
            <w:r w:rsidRPr="00543017">
              <w:rPr>
                <w:color w:val="7F7F7F" w:themeColor="text1" w:themeTint="80"/>
                <w:lang w:val="it-IT"/>
              </w:rPr>
              <w:t xml:space="preserve">Chi² = </w:t>
            </w:r>
            <w:r w:rsidR="0012414F" w:rsidRPr="00543017">
              <w:rPr>
                <w:color w:val="7F7F7F" w:themeColor="text1" w:themeTint="80"/>
                <w:lang w:val="it-IT"/>
              </w:rPr>
              <w:t>2.39</w:t>
            </w:r>
            <w:r w:rsidRPr="00543017">
              <w:rPr>
                <w:color w:val="7F7F7F" w:themeColor="text1" w:themeTint="80"/>
                <w:lang w:val="it-IT"/>
              </w:rPr>
              <w:t>,</w:t>
            </w:r>
          </w:p>
        </w:tc>
        <w:tc>
          <w:tcPr>
            <w:tcW w:w="550" w:type="pct"/>
            <w:tcBorders>
              <w:top w:val="single" w:sz="4" w:space="0" w:color="auto"/>
              <w:left w:val="nil"/>
              <w:bottom w:val="single" w:sz="8" w:space="0" w:color="auto"/>
            </w:tcBorders>
            <w:tcMar>
              <w:top w:w="0" w:type="dxa"/>
              <w:left w:w="108" w:type="dxa"/>
              <w:bottom w:w="0" w:type="dxa"/>
              <w:right w:w="108" w:type="dxa"/>
            </w:tcMar>
          </w:tcPr>
          <w:p w14:paraId="2916C376" w14:textId="2A3A895B" w:rsidR="0049582C" w:rsidRPr="00543017" w:rsidRDefault="0049582C" w:rsidP="0049582C">
            <w:pPr>
              <w:pStyle w:val="TableTextCA"/>
              <w:keepNext/>
              <w:rPr>
                <w:color w:val="7F7F7F" w:themeColor="text1" w:themeTint="80"/>
              </w:rPr>
            </w:pPr>
            <w:r w:rsidRPr="00543017">
              <w:rPr>
                <w:color w:val="7F7F7F" w:themeColor="text1" w:themeTint="80"/>
                <w:lang w:val="it-IT"/>
              </w:rPr>
              <w:t>(P = 0.</w:t>
            </w:r>
            <w:r w:rsidR="0012414F" w:rsidRPr="00543017">
              <w:rPr>
                <w:color w:val="7F7F7F" w:themeColor="text1" w:themeTint="80"/>
                <w:lang w:val="it-IT"/>
              </w:rPr>
              <w:t>30</w:t>
            </w:r>
            <w:r w:rsidRPr="00543017">
              <w:rPr>
                <w:color w:val="7F7F7F" w:themeColor="text1" w:themeTint="80"/>
                <w:lang w:val="it-IT"/>
              </w:rPr>
              <w:t>);</w:t>
            </w:r>
          </w:p>
        </w:tc>
        <w:tc>
          <w:tcPr>
            <w:tcW w:w="606" w:type="pct"/>
            <w:tcBorders>
              <w:top w:val="single" w:sz="4" w:space="0" w:color="auto"/>
              <w:left w:val="nil"/>
              <w:bottom w:val="single" w:sz="8" w:space="0" w:color="auto"/>
              <w:right w:val="single" w:sz="8" w:space="0" w:color="auto"/>
            </w:tcBorders>
            <w:tcMar>
              <w:top w:w="0" w:type="dxa"/>
              <w:left w:w="0" w:type="dxa"/>
              <w:bottom w:w="0" w:type="dxa"/>
              <w:right w:w="0" w:type="dxa"/>
            </w:tcMar>
          </w:tcPr>
          <w:p w14:paraId="695554FD" w14:textId="29779CA4" w:rsidR="0049582C" w:rsidRPr="00543017" w:rsidRDefault="0049582C" w:rsidP="00857479">
            <w:pPr>
              <w:pStyle w:val="TableTextCA"/>
              <w:keepNext/>
              <w:jc w:val="left"/>
              <w:rPr>
                <w:color w:val="7F7F7F" w:themeColor="text1" w:themeTint="80"/>
              </w:rPr>
            </w:pPr>
            <w:r w:rsidRPr="00543017">
              <w:rPr>
                <w:color w:val="7F7F7F" w:themeColor="text1" w:themeTint="80"/>
                <w:lang w:val="it-IT"/>
              </w:rPr>
              <w:t xml:space="preserve">I² = </w:t>
            </w:r>
            <w:r w:rsidR="0012414F" w:rsidRPr="00543017">
              <w:rPr>
                <w:color w:val="7F7F7F" w:themeColor="text1" w:themeTint="80"/>
                <w:lang w:val="it-IT"/>
              </w:rPr>
              <w:t>16</w:t>
            </w:r>
            <w:r w:rsidRPr="00543017">
              <w:rPr>
                <w:color w:val="7F7F7F" w:themeColor="text1" w:themeTint="80"/>
                <w:lang w:val="it-IT"/>
              </w:rPr>
              <w:t>%</w:t>
            </w:r>
          </w:p>
        </w:tc>
        <w:tc>
          <w:tcPr>
            <w:tcW w:w="951" w:type="pct"/>
            <w:tcBorders>
              <w:left w:val="nil"/>
              <w:bottom w:val="single" w:sz="8" w:space="0" w:color="auto"/>
              <w:right w:val="single" w:sz="8" w:space="0" w:color="auto"/>
            </w:tcBorders>
            <w:noWrap/>
            <w:tcMar>
              <w:top w:w="0" w:type="dxa"/>
              <w:left w:w="108" w:type="dxa"/>
              <w:bottom w:w="0" w:type="dxa"/>
              <w:right w:w="108" w:type="dxa"/>
            </w:tcMar>
          </w:tcPr>
          <w:p w14:paraId="09AA66EC" w14:textId="77777777" w:rsidR="0049582C" w:rsidRPr="00C86642" w:rsidRDefault="0049582C" w:rsidP="0049582C">
            <w:pPr>
              <w:pStyle w:val="Tabletext0"/>
              <w:keepNext/>
              <w:jc w:val="center"/>
              <w:rPr>
                <w:b/>
                <w:bCs/>
                <w:color w:val="7F7F7F" w:themeColor="text1" w:themeTint="80"/>
              </w:rPr>
            </w:pPr>
          </w:p>
        </w:tc>
      </w:tr>
    </w:tbl>
    <w:p w14:paraId="240E4A64" w14:textId="4B9DF5FC" w:rsidR="003B5BB3" w:rsidRPr="00DD136E" w:rsidRDefault="003B5BB3" w:rsidP="003B5BB3">
      <w:pPr>
        <w:pStyle w:val="Tablenotes0"/>
      </w:pPr>
      <w:r>
        <w:t xml:space="preserve">CI = confidence interval; </w:t>
      </w:r>
      <w:r w:rsidR="002E52E8">
        <w:t xml:space="preserve">GRADE = </w:t>
      </w:r>
      <w:r w:rsidR="0041658D" w:rsidRPr="0041658D">
        <w:t>Grading of Recommendations, Assessment, Development and Evaluation</w:t>
      </w:r>
      <w:r w:rsidR="0041658D">
        <w:t xml:space="preserve">; </w:t>
      </w:r>
      <w:r w:rsidR="00061BF6">
        <w:t xml:space="preserve">Het = heterogeneity; </w:t>
      </w:r>
      <w:r>
        <w:t xml:space="preserve">mmHg= millimetres of mercury; </w:t>
      </w:r>
      <w:r w:rsidR="00DD136E">
        <w:t xml:space="preserve">n = number analysed at endpoint, N = number randomised; </w:t>
      </w:r>
      <w:r>
        <w:t>RDN = renal denervation; SBP = systolic blood pressure; SD = standard deviation</w:t>
      </w:r>
    </w:p>
    <w:p w14:paraId="2B6517D9" w14:textId="7FE19B88" w:rsidR="00A7457F" w:rsidRDefault="003B5BB3" w:rsidP="003B5BB3">
      <w:pPr>
        <w:pStyle w:val="Tablenotes0"/>
        <w:spacing w:after="360"/>
      </w:pPr>
      <w:r w:rsidRPr="00836939">
        <w:t>a</w:t>
      </w:r>
      <w:r>
        <w:t xml:space="preserve"> </w:t>
      </w:r>
      <w:r w:rsidR="00A7457F">
        <w:t xml:space="preserve">GRADE Certainty of evidence </w:t>
      </w:r>
      <w:r w:rsidR="000A3D4F">
        <w:t>as determined in the commentary. The ADAR considered the</w:t>
      </w:r>
      <w:r w:rsidR="00CE1022">
        <w:t xml:space="preserve"> meta-</w:t>
      </w:r>
      <w:r w:rsidR="000A3D4F">
        <w:t xml:space="preserve">analysis </w:t>
      </w:r>
      <w:r w:rsidR="00CE1022">
        <w:t xml:space="preserve">of the </w:t>
      </w:r>
      <w:r w:rsidR="00487077">
        <w:t>3</w:t>
      </w:r>
      <w:r w:rsidR="00CE1022">
        <w:t xml:space="preserve"> trials to be </w:t>
      </w:r>
      <w:r w:rsidR="00D368D4">
        <w:t>‘Moderate’.</w:t>
      </w:r>
    </w:p>
    <w:p w14:paraId="4E731306" w14:textId="2EE774FA" w:rsidR="003B5BB3" w:rsidRDefault="00A7457F" w:rsidP="003B5BB3">
      <w:pPr>
        <w:pStyle w:val="Tablenotes0"/>
        <w:spacing w:after="360"/>
      </w:pPr>
      <w:r w:rsidRPr="00836939">
        <w:t>b</w:t>
      </w:r>
      <w:r>
        <w:t xml:space="preserve"> </w:t>
      </w:r>
      <w:r w:rsidR="003B5BB3">
        <w:t>Post hoc subgroup of SPYRAL HTN-ON MED with ≥3 antihypertensive med</w:t>
      </w:r>
      <w:r w:rsidR="00AC4B62">
        <w:t>ication</w:t>
      </w:r>
      <w:r w:rsidR="003B5BB3">
        <w:t>s including a diuretic (Table 73</w:t>
      </w:r>
      <w:r w:rsidR="00AB28E1">
        <w:t xml:space="preserve"> in MSAC 1659 ADAR</w:t>
      </w:r>
      <w:r w:rsidR="003B5BB3">
        <w:t>)</w:t>
      </w:r>
      <w:r w:rsidR="001A797A">
        <w:t>.</w:t>
      </w:r>
    </w:p>
    <w:p w14:paraId="238BD376" w14:textId="77777777" w:rsidR="00A84808" w:rsidRDefault="00A84808" w:rsidP="00A84808">
      <w:pPr>
        <w:pStyle w:val="Tablenotes0"/>
      </w:pPr>
      <w:r>
        <w:t>Note 1: Statistically significant differences are shown in bold text.</w:t>
      </w:r>
    </w:p>
    <w:p w14:paraId="463C2CEF" w14:textId="36AAA032" w:rsidR="00A84808" w:rsidRDefault="00A84808" w:rsidP="00A84808">
      <w:pPr>
        <w:pStyle w:val="Tablenotes0"/>
        <w:rPr>
          <w:sz w:val="20"/>
          <w:szCs w:val="20"/>
        </w:rPr>
      </w:pPr>
      <w:r>
        <w:t xml:space="preserve">Note 2: SPYRAL HTN-OFF MED was considered </w:t>
      </w:r>
      <w:r w:rsidR="00620A17">
        <w:t xml:space="preserve">supplementary </w:t>
      </w:r>
      <w:r>
        <w:t>evidence in the commentary and is shown in grey text. Follow up was 3 months in SPYRAL HTN-OFF MED and 6 months in SYMPLICITY HTN-3 and SPYRAL HTN-ON MED.</w:t>
      </w:r>
    </w:p>
    <w:p w14:paraId="015FF850" w14:textId="4CE494EF" w:rsidR="00E27EAA" w:rsidRDefault="003B5BB3" w:rsidP="00AD3808">
      <w:pPr>
        <w:pStyle w:val="Tablenotes0"/>
        <w:spacing w:after="360"/>
      </w:pPr>
      <w:r>
        <w:t xml:space="preserve">Source: </w:t>
      </w:r>
      <w:r w:rsidR="0066432C">
        <w:t>Compiled for the commentary from</w:t>
      </w:r>
      <w:r>
        <w:t xml:space="preserve"> </w:t>
      </w:r>
      <w:r w:rsidRPr="003F1D90">
        <w:t>Table 48</w:t>
      </w:r>
      <w:r w:rsidR="0066432C">
        <w:t xml:space="preserve">, </w:t>
      </w:r>
      <w:r w:rsidR="00827AE9" w:rsidRPr="0041484A">
        <w:t>Table 77</w:t>
      </w:r>
      <w:r w:rsidRPr="0041484A">
        <w:t xml:space="preserve"> </w:t>
      </w:r>
      <w:r w:rsidR="0066432C">
        <w:t>and</w:t>
      </w:r>
      <w:r w:rsidRPr="003F1D90">
        <w:t xml:space="preserve"> Commentary</w:t>
      </w:r>
      <w:r>
        <w:t xml:space="preserve"> Figure 11 in MSAC 1659 ADAR+in-line commentary.</w:t>
      </w:r>
    </w:p>
    <w:p w14:paraId="72A61053" w14:textId="3673155A" w:rsidR="0012778C" w:rsidRDefault="00B47B8B" w:rsidP="0089574C">
      <w:pPr>
        <w:pStyle w:val="Heading3"/>
      </w:pPr>
      <w:r>
        <w:t>Cha</w:t>
      </w:r>
      <w:r w:rsidR="0089574C">
        <w:t>n</w:t>
      </w:r>
      <w:r>
        <w:t>ge in</w:t>
      </w:r>
      <w:r w:rsidR="0089574C">
        <w:t xml:space="preserve"> 24-hour ambulatory systolic blood pressure</w:t>
      </w:r>
      <w:r w:rsidR="00223450">
        <w:t xml:space="preserve"> (ASBP)</w:t>
      </w:r>
    </w:p>
    <w:p w14:paraId="24525396" w14:textId="55B3143F" w:rsidR="00F37481" w:rsidRDefault="00F37481" w:rsidP="00F37481">
      <w:r>
        <w:fldChar w:fldCharType="begin"/>
      </w:r>
      <w:r>
        <w:instrText xml:space="preserve"> REF _Ref141876873 \h </w:instrText>
      </w:r>
      <w:r>
        <w:fldChar w:fldCharType="separate"/>
      </w:r>
      <w:r w:rsidR="003D5203">
        <w:t xml:space="preserve">Figure </w:t>
      </w:r>
      <w:r w:rsidR="003D5203">
        <w:rPr>
          <w:noProof/>
        </w:rPr>
        <w:t>2</w:t>
      </w:r>
      <w:r>
        <w:fldChar w:fldCharType="end"/>
      </w:r>
      <w:r>
        <w:t xml:space="preserve"> illustrates </w:t>
      </w:r>
      <w:r w:rsidR="008312A9">
        <w:t xml:space="preserve">sizeable </w:t>
      </w:r>
      <w:r w:rsidR="003F04E9">
        <w:t>reductions from baseline in</w:t>
      </w:r>
      <w:r w:rsidR="00463A16">
        <w:t xml:space="preserve"> </w:t>
      </w:r>
      <w:r w:rsidR="008C5EE4">
        <w:t>24-hour A</w:t>
      </w:r>
      <w:r w:rsidRPr="004B79EA">
        <w:t>SBP in the control arms</w:t>
      </w:r>
      <w:r w:rsidR="003F04E9">
        <w:t xml:space="preserve"> of </w:t>
      </w:r>
      <w:r w:rsidR="004537F1">
        <w:t>the eight trials reporting this outcome</w:t>
      </w:r>
      <w:r w:rsidRPr="004B79EA">
        <w:t>.</w:t>
      </w:r>
      <w:r>
        <w:t xml:space="preserve"> </w:t>
      </w:r>
      <w:r w:rsidR="006F6507">
        <w:t>T</w:t>
      </w:r>
      <w:r>
        <w:t xml:space="preserve">he largest absolute reductions </w:t>
      </w:r>
      <w:r w:rsidR="00464B5B">
        <w:t xml:space="preserve">in ASBP </w:t>
      </w:r>
      <w:r>
        <w:t xml:space="preserve">are seen in </w:t>
      </w:r>
      <w:r w:rsidR="00EE0D5B">
        <w:t xml:space="preserve">the RDN </w:t>
      </w:r>
      <w:r w:rsidR="00C32200">
        <w:t xml:space="preserve">arms of </w:t>
      </w:r>
      <w:r>
        <w:t>open trials.</w:t>
      </w:r>
    </w:p>
    <w:p w14:paraId="59EC2E31" w14:textId="2E3529E3" w:rsidR="005A6793" w:rsidRDefault="005A6793" w:rsidP="005A6793">
      <w:pPr>
        <w:pStyle w:val="Caption"/>
      </w:pPr>
      <w:bookmarkStart w:id="22" w:name="_Ref141876873"/>
      <w:r>
        <w:t xml:space="preserve">Figure </w:t>
      </w:r>
      <w:r>
        <w:fldChar w:fldCharType="begin"/>
      </w:r>
      <w:r>
        <w:instrText>SEQ Figure \* ARABIC</w:instrText>
      </w:r>
      <w:r>
        <w:fldChar w:fldCharType="separate"/>
      </w:r>
      <w:r w:rsidR="003D5203">
        <w:rPr>
          <w:noProof/>
        </w:rPr>
        <w:t>2</w:t>
      </w:r>
      <w:r>
        <w:fldChar w:fldCharType="end"/>
      </w:r>
      <w:bookmarkEnd w:id="22"/>
      <w:r>
        <w:tab/>
        <w:t>Mean change from baseline in</w:t>
      </w:r>
      <w:r w:rsidR="00F23840">
        <w:t xml:space="preserve"> mean</w:t>
      </w:r>
      <w:r>
        <w:t xml:space="preserve"> 24-hour</w:t>
      </w:r>
      <w:r w:rsidR="00E605CD">
        <w:t xml:space="preserve"> ambulatory</w:t>
      </w:r>
      <w:r>
        <w:t xml:space="preserve"> </w:t>
      </w:r>
      <w:r w:rsidR="00006B78">
        <w:t>SBP</w:t>
      </w:r>
      <w:r>
        <w:t xml:space="preserve"> (mmHg) for RDN and control arms of randomised trials (open and sham-controlled) reporting this outcome</w:t>
      </w:r>
    </w:p>
    <w:p w14:paraId="54B4EBE9" w14:textId="76851E15" w:rsidR="005A6793" w:rsidRPr="00A603ED" w:rsidRDefault="00852F98" w:rsidP="005A6793">
      <w:pPr>
        <w:pBdr>
          <w:top w:val="single" w:sz="4" w:space="1" w:color="auto"/>
          <w:left w:val="single" w:sz="4" w:space="4" w:color="auto"/>
          <w:bottom w:val="single" w:sz="4" w:space="1" w:color="auto"/>
          <w:right w:val="single" w:sz="4" w:space="4" w:color="auto"/>
        </w:pBdr>
        <w:spacing w:after="0"/>
      </w:pPr>
      <w:r>
        <w:rPr>
          <w:noProof/>
        </w:rPr>
        <w:drawing>
          <wp:inline distT="0" distB="0" distL="0" distR="0" wp14:anchorId="6BE00BD4" wp14:editId="7FBD4C6E">
            <wp:extent cx="5769671" cy="3854027"/>
            <wp:effectExtent l="0" t="0" r="2540" b="0"/>
            <wp:docPr id="1752135385" name="Picture 1752135385" descr="Graph showing mean change from baseline in mean ASBP in RDN and control arms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35385" name="Picture 1752135385" descr="Graph showing mean change from baseline in mean ASBP in RDN and control arms of each trial"/>
                    <pic:cNvPicPr/>
                  </pic:nvPicPr>
                  <pic:blipFill>
                    <a:blip r:embed="rId12">
                      <a:extLst>
                        <a:ext uri="{28A0092B-C50C-407E-A947-70E740481C1C}">
                          <a14:useLocalDpi xmlns:a14="http://schemas.microsoft.com/office/drawing/2010/main" val="0"/>
                        </a:ext>
                      </a:extLst>
                    </a:blip>
                    <a:stretch>
                      <a:fillRect/>
                    </a:stretch>
                  </pic:blipFill>
                  <pic:spPr>
                    <a:xfrm>
                      <a:off x="0" y="0"/>
                      <a:ext cx="5774088" cy="3856977"/>
                    </a:xfrm>
                    <a:prstGeom prst="rect">
                      <a:avLst/>
                    </a:prstGeom>
                  </pic:spPr>
                </pic:pic>
              </a:graphicData>
            </a:graphic>
          </wp:inline>
        </w:drawing>
      </w:r>
    </w:p>
    <w:p w14:paraId="3BCB28E1" w14:textId="3154BA79" w:rsidR="005A6793" w:rsidRDefault="00C5294E" w:rsidP="005A6793">
      <w:pPr>
        <w:pStyle w:val="Tablenotes0"/>
      </w:pPr>
      <w:r>
        <w:t xml:space="preserve">ASBP = ambulatory systolic blood pressure; </w:t>
      </w:r>
      <w:r w:rsidR="005A6793">
        <w:t xml:space="preserve">HTN = hypertension; </w:t>
      </w:r>
      <w:r w:rsidR="00D74A34">
        <w:t xml:space="preserve">meds = </w:t>
      </w:r>
      <w:r w:rsidR="00141A9F">
        <w:t xml:space="preserve">antihypertensive drugs; </w:t>
      </w:r>
      <w:r w:rsidR="005A6793">
        <w:t>RCT = randomised controlled trial; RDN = renal denervation</w:t>
      </w:r>
      <w:r w:rsidR="008C29B0">
        <w:t>; SBP = systolic blood pressure</w:t>
      </w:r>
    </w:p>
    <w:p w14:paraId="2AD7BD5D" w14:textId="77777777" w:rsidR="005A6793" w:rsidRDefault="005A6793" w:rsidP="005A6793">
      <w:pPr>
        <w:pStyle w:val="Tablenotes0"/>
      </w:pPr>
      <w:r>
        <w:t>† The sample sizes in this study were too small for a robust calculation of confidence intervals, so the ranges shown may not be accurate.</w:t>
      </w:r>
    </w:p>
    <w:p w14:paraId="559D8FF3" w14:textId="521C91CC" w:rsidR="00A84808" w:rsidRDefault="00A84808" w:rsidP="00A84808">
      <w:pPr>
        <w:pStyle w:val="Tablenotes0"/>
      </w:pPr>
      <w:r>
        <w:t>Note: the bars indicate the 95% confidence interval around the mean for each arm. OFF-MED and RDN OSA report at 3 months. All other trials report at 6 months. For simplicity, the subgroup of the SPYRAL HTN-ON MED trial has been classified in the figure as a trial of patients with treatment-resistant HTN, although patients were not required to be treatment-resistant for study entry.</w:t>
      </w:r>
    </w:p>
    <w:p w14:paraId="31885BB3" w14:textId="2D1221F1" w:rsidR="005A6793" w:rsidRDefault="005A6793" w:rsidP="005A6793">
      <w:pPr>
        <w:pStyle w:val="Tablenotes0"/>
        <w:spacing w:after="360"/>
      </w:pPr>
      <w:r>
        <w:t xml:space="preserve">Source: Commentary Figure </w:t>
      </w:r>
      <w:r w:rsidR="00C04F58">
        <w:t>5</w:t>
      </w:r>
      <w:r>
        <w:t xml:space="preserve"> in </w:t>
      </w:r>
      <w:r w:rsidR="00887189">
        <w:t>MSAC 1659 ADAR+in-line commentary</w:t>
      </w:r>
      <w:r w:rsidR="00985C75">
        <w:t>, with addition of</w:t>
      </w:r>
      <w:r w:rsidR="005F3438">
        <w:t xml:space="preserve"> data from</w:t>
      </w:r>
      <w:r w:rsidR="00985C75">
        <w:t xml:space="preserve"> </w:t>
      </w:r>
      <w:r w:rsidR="00301591">
        <w:t xml:space="preserve">SPYRAL </w:t>
      </w:r>
      <w:r w:rsidR="003475E9">
        <w:t xml:space="preserve">HTN-ON MED subgroup </w:t>
      </w:r>
      <w:r w:rsidR="005F3438">
        <w:t xml:space="preserve">taken </w:t>
      </w:r>
      <w:r w:rsidR="003475E9">
        <w:t>from Table 7</w:t>
      </w:r>
      <w:r w:rsidR="00195058">
        <w:t>2</w:t>
      </w:r>
      <w:r w:rsidR="003475E9">
        <w:t xml:space="preserve"> </w:t>
      </w:r>
      <w:r w:rsidR="005F3438">
        <w:t xml:space="preserve">of </w:t>
      </w:r>
      <w:r w:rsidR="003D51C4">
        <w:t xml:space="preserve">MSAC 1659 </w:t>
      </w:r>
      <w:r>
        <w:t>ADAR</w:t>
      </w:r>
      <w:r w:rsidR="00230B04">
        <w:t>+in-line commentary</w:t>
      </w:r>
      <w:r>
        <w:t>.</w:t>
      </w:r>
      <w:r w:rsidR="001A3E9A">
        <w:t xml:space="preserve"> </w:t>
      </w:r>
    </w:p>
    <w:p w14:paraId="4BC01ABE" w14:textId="514F46E0" w:rsidR="00BC4402" w:rsidRDefault="00BC4402" w:rsidP="00BC4402">
      <w:bookmarkStart w:id="23" w:name="_Ref141877971"/>
      <w:r>
        <w:t>Of the</w:t>
      </w:r>
      <w:r w:rsidR="00F103E1">
        <w:t xml:space="preserve"> </w:t>
      </w:r>
      <w:r w:rsidR="003A0212">
        <w:t>three</w:t>
      </w:r>
      <w:r>
        <w:t xml:space="preserve"> key trials</w:t>
      </w:r>
      <w:r w:rsidR="008B6DC2">
        <w:t xml:space="preserve"> selected by the commentary</w:t>
      </w:r>
      <w:r w:rsidR="00C52B84">
        <w:t xml:space="preserve"> (SYMPLICITY HTN-3, ReSET and SPYRAL HTN-ON MED</w:t>
      </w:r>
      <w:r w:rsidR="008B6DC2">
        <w:t>)</w:t>
      </w:r>
      <w:r w:rsidR="002512A0">
        <w:t>,</w:t>
      </w:r>
      <w:r>
        <w:t xml:space="preserve"> </w:t>
      </w:r>
      <w:r w:rsidR="002512A0">
        <w:t>all</w:t>
      </w:r>
      <w:r>
        <w:t xml:space="preserve"> reported mean change </w:t>
      </w:r>
      <w:r w:rsidR="00AA0322">
        <w:t xml:space="preserve">from baseline to 6 months </w:t>
      </w:r>
      <w:r>
        <w:t xml:space="preserve">in </w:t>
      </w:r>
      <w:r w:rsidR="00153603">
        <w:t xml:space="preserve">24-hour </w:t>
      </w:r>
      <w:r w:rsidR="003A0212">
        <w:t>AS</w:t>
      </w:r>
      <w:r>
        <w:t>BP</w:t>
      </w:r>
      <w:r w:rsidR="002512A0">
        <w:t xml:space="preserve"> and</w:t>
      </w:r>
      <w:r>
        <w:t xml:space="preserve"> </w:t>
      </w:r>
      <w:r w:rsidR="00FE4CC4">
        <w:t>none</w:t>
      </w:r>
      <w:r w:rsidR="00B25BB0">
        <w:t xml:space="preserve"> of the trials</w:t>
      </w:r>
      <w:r>
        <w:t xml:space="preserve"> </w:t>
      </w:r>
      <w:r w:rsidR="00FE4CC4">
        <w:t>found</w:t>
      </w:r>
      <w:r>
        <w:t xml:space="preserve"> a statistically significant reduction compared with sham control</w:t>
      </w:r>
      <w:r w:rsidR="00153603">
        <w:t xml:space="preserve"> (</w:t>
      </w:r>
      <w:r w:rsidR="00153603">
        <w:fldChar w:fldCharType="begin"/>
      </w:r>
      <w:r w:rsidR="00153603">
        <w:instrText xml:space="preserve"> REF _Ref141878043 \h </w:instrText>
      </w:r>
      <w:r w:rsidR="00153603">
        <w:fldChar w:fldCharType="separate"/>
      </w:r>
      <w:r w:rsidR="003D5203" w:rsidRPr="00CE28E3">
        <w:t>Table</w:t>
      </w:r>
      <w:r w:rsidR="003D5203">
        <w:t> </w:t>
      </w:r>
      <w:r w:rsidR="003D5203">
        <w:rPr>
          <w:noProof/>
        </w:rPr>
        <w:t>7</w:t>
      </w:r>
      <w:r w:rsidR="00153603">
        <w:fldChar w:fldCharType="end"/>
      </w:r>
      <w:r w:rsidR="00153603">
        <w:t>)</w:t>
      </w:r>
      <w:r>
        <w:t xml:space="preserve">. When the </w:t>
      </w:r>
      <w:r w:rsidR="00FE4CC4">
        <w:t xml:space="preserve">three </w:t>
      </w:r>
      <w:r>
        <w:t xml:space="preserve">trials were meta-analysed, a statistically significant reduction in mean </w:t>
      </w:r>
      <w:r w:rsidR="009018CB">
        <w:t>24-hour AS</w:t>
      </w:r>
      <w:r>
        <w:t>BP was observed</w:t>
      </w:r>
      <w:r w:rsidR="00D53981">
        <w:t>, favouring RDN</w:t>
      </w:r>
      <w:r>
        <w:t xml:space="preserve">; however, the </w:t>
      </w:r>
      <w:r w:rsidR="00314DE5">
        <w:t xml:space="preserve">mean </w:t>
      </w:r>
      <w:r>
        <w:t>reduction of 1.</w:t>
      </w:r>
      <w:r w:rsidR="002449D9">
        <w:t>92 </w:t>
      </w:r>
      <w:r>
        <w:t xml:space="preserve">mmHg </w:t>
      </w:r>
      <w:r w:rsidR="001613DA">
        <w:t>d</w:t>
      </w:r>
      <w:r w:rsidR="00956DAA">
        <w:t>id</w:t>
      </w:r>
      <w:r w:rsidR="001613DA">
        <w:t xml:space="preserve"> not meet the </w:t>
      </w:r>
      <w:r w:rsidR="00402EBC">
        <w:t xml:space="preserve">ECCC </w:t>
      </w:r>
      <w:r w:rsidR="00B43377">
        <w:t xml:space="preserve">or HARC </w:t>
      </w:r>
      <w:r w:rsidR="001613DA">
        <w:t>threshold for a</w:t>
      </w:r>
      <w:r>
        <w:t xml:space="preserve"> clinically meaningful</w:t>
      </w:r>
      <w:r w:rsidR="001613DA">
        <w:t xml:space="preserve"> change</w:t>
      </w:r>
      <w:r>
        <w:t xml:space="preserve">. </w:t>
      </w:r>
      <w:r w:rsidR="0040295E">
        <w:t xml:space="preserve">When the </w:t>
      </w:r>
      <w:r w:rsidR="00CE5A72">
        <w:t xml:space="preserve">commentary restricted the </w:t>
      </w:r>
      <w:r w:rsidR="0040295E">
        <w:t>m</w:t>
      </w:r>
      <w:r w:rsidR="00951961">
        <w:t xml:space="preserve">eta-analysis </w:t>
      </w:r>
      <w:r w:rsidR="0040295E">
        <w:t xml:space="preserve">to the two </w:t>
      </w:r>
      <w:r w:rsidR="00951961">
        <w:t>trials in patients with TRHTN</w:t>
      </w:r>
      <w:r w:rsidR="009213C1">
        <w:t xml:space="preserve"> (SYMPLICITY HTN-3 and ReSET)</w:t>
      </w:r>
      <w:r w:rsidR="0040295E">
        <w:t xml:space="preserve">, </w:t>
      </w:r>
      <w:r w:rsidR="00C879B4">
        <w:t xml:space="preserve">the mean reduction in 24-hour ASBP was </w:t>
      </w:r>
      <w:r w:rsidR="0040295E">
        <w:t>no</w:t>
      </w:r>
      <w:r w:rsidR="00C879B4">
        <w:t>t</w:t>
      </w:r>
      <w:r w:rsidR="0040295E">
        <w:t xml:space="preserve"> </w:t>
      </w:r>
      <w:r w:rsidR="005A20FB">
        <w:t>statistically significant</w:t>
      </w:r>
      <w:r w:rsidR="00822C71">
        <w:t>.</w:t>
      </w:r>
      <w:r w:rsidR="00E624AB">
        <w:t xml:space="preserve"> </w:t>
      </w:r>
      <w:r w:rsidR="00981FAF">
        <w:t>Likewise, m</w:t>
      </w:r>
      <w:r w:rsidR="00E624AB">
        <w:t xml:space="preserve">eta-analysis of SYMPLICITY HTN-3, ReSET and </w:t>
      </w:r>
      <w:r w:rsidR="006D3DA7">
        <w:t xml:space="preserve">the subgroup of </w:t>
      </w:r>
      <w:r w:rsidR="00981FAF">
        <w:t xml:space="preserve">SPYRAL HTN-ON MED </w:t>
      </w:r>
      <w:r w:rsidR="00CE5A72">
        <w:t>resulted in a</w:t>
      </w:r>
      <w:r w:rsidR="006B0B26">
        <w:t xml:space="preserve"> reduction in 24-hour ASBP that was not statistically significant.</w:t>
      </w:r>
      <w:r w:rsidR="00CE5A72">
        <w:t xml:space="preserve"> </w:t>
      </w:r>
    </w:p>
    <w:p w14:paraId="23CECEC1" w14:textId="7EC77138" w:rsidR="00BC4402" w:rsidRDefault="00BC4402" w:rsidP="00BC4402">
      <w:pPr>
        <w:pStyle w:val="Caption"/>
      </w:pPr>
      <w:bookmarkStart w:id="24" w:name="_Ref141878043"/>
      <w:r w:rsidRPr="00CE28E3">
        <w:t>Table</w:t>
      </w:r>
      <w:r>
        <w:t> </w:t>
      </w:r>
      <w:r>
        <w:fldChar w:fldCharType="begin"/>
      </w:r>
      <w:r>
        <w:instrText>SEQ Table \* ARABIC</w:instrText>
      </w:r>
      <w:r>
        <w:fldChar w:fldCharType="separate"/>
      </w:r>
      <w:r w:rsidR="003D5203">
        <w:rPr>
          <w:noProof/>
        </w:rPr>
        <w:t>7</w:t>
      </w:r>
      <w:r>
        <w:fldChar w:fldCharType="end"/>
      </w:r>
      <w:bookmarkEnd w:id="23"/>
      <w:bookmarkEnd w:id="24"/>
      <w:r w:rsidRPr="00CE28E3">
        <w:tab/>
      </w:r>
      <w:r>
        <w:t xml:space="preserve">Change from baseline in mean </w:t>
      </w:r>
      <w:r w:rsidR="001C2B6E">
        <w:t>24-hour ambulatory</w:t>
      </w:r>
      <w:r>
        <w:t xml:space="preserve"> </w:t>
      </w:r>
      <w:r w:rsidR="003A0212">
        <w:t>S</w:t>
      </w:r>
      <w:r>
        <w:t>BP (mmHg) in sham-controlled trials</w:t>
      </w:r>
    </w:p>
    <w:tbl>
      <w:tblPr>
        <w:tblW w:w="5000" w:type="pct"/>
        <w:tblLayout w:type="fixed"/>
        <w:tblCellMar>
          <w:left w:w="0" w:type="dxa"/>
          <w:right w:w="0" w:type="dxa"/>
        </w:tblCellMar>
        <w:tblLook w:val="04A0" w:firstRow="1" w:lastRow="0" w:firstColumn="1" w:lastColumn="0" w:noHBand="0" w:noVBand="1"/>
        <w:tblCaption w:val="Change from baseline in mean 24-hr ASBP in sham-controlled trials"/>
        <w:tblDescription w:val="Results from SYMPLICITY HTN-3, ReSET, SPYRAL HTN-ON MED and SPYRAL HTN-OFF MED, including meta-analyses"/>
      </w:tblPr>
      <w:tblGrid>
        <w:gridCol w:w="2015"/>
        <w:gridCol w:w="1119"/>
        <w:gridCol w:w="7"/>
        <w:gridCol w:w="983"/>
        <w:gridCol w:w="1086"/>
        <w:gridCol w:w="991"/>
        <w:gridCol w:w="1092"/>
        <w:gridCol w:w="1713"/>
      </w:tblGrid>
      <w:tr w:rsidR="00CB52B0" w:rsidRPr="00E27EAA" w14:paraId="5FB8E4B6" w14:textId="77777777">
        <w:trPr>
          <w:trHeight w:val="60"/>
          <w:tblHeader/>
        </w:trPr>
        <w:tc>
          <w:tcPr>
            <w:tcW w:w="1119" w:type="pct"/>
            <w:tcBorders>
              <w:top w:val="single" w:sz="8" w:space="0" w:color="auto"/>
              <w:left w:val="single" w:sz="8" w:space="0" w:color="auto"/>
              <w:right w:val="single" w:sz="8" w:space="0" w:color="auto"/>
            </w:tcBorders>
            <w:tcMar>
              <w:top w:w="0" w:type="dxa"/>
              <w:left w:w="108" w:type="dxa"/>
              <w:bottom w:w="0" w:type="dxa"/>
              <w:right w:w="108" w:type="dxa"/>
            </w:tcMar>
            <w:hideMark/>
          </w:tcPr>
          <w:p w14:paraId="5C6C647C" w14:textId="77777777" w:rsidR="00CB52B0" w:rsidRPr="000739EC" w:rsidRDefault="00CB52B0" w:rsidP="00E07EB1">
            <w:pPr>
              <w:pStyle w:val="TableHeading0"/>
            </w:pPr>
            <w:r w:rsidRPr="000739EC">
              <w:t>Trial ID</w:t>
            </w:r>
          </w:p>
        </w:tc>
        <w:tc>
          <w:tcPr>
            <w:tcW w:w="621" w:type="pct"/>
            <w:tcBorders>
              <w:top w:val="single" w:sz="8" w:space="0" w:color="auto"/>
              <w:left w:val="nil"/>
              <w:right w:val="single" w:sz="8" w:space="0" w:color="auto"/>
            </w:tcBorders>
            <w:tcMar>
              <w:top w:w="0" w:type="dxa"/>
              <w:left w:w="108" w:type="dxa"/>
              <w:bottom w:w="0" w:type="dxa"/>
              <w:right w:w="108" w:type="dxa"/>
            </w:tcMar>
            <w:vAlign w:val="bottom"/>
            <w:hideMark/>
          </w:tcPr>
          <w:p w14:paraId="4557D47E" w14:textId="77777777" w:rsidR="00CB52B0" w:rsidRPr="000739EC" w:rsidRDefault="00CB52B0" w:rsidP="00E07EB1">
            <w:pPr>
              <w:pStyle w:val="TableHeading0"/>
              <w:jc w:val="center"/>
            </w:pPr>
            <w:r>
              <w:t>Certainty</w:t>
            </w:r>
          </w:p>
        </w:tc>
        <w:tc>
          <w:tcPr>
            <w:tcW w:w="550" w:type="pct"/>
            <w:gridSpan w:val="2"/>
            <w:tcBorders>
              <w:top w:val="single" w:sz="8" w:space="0" w:color="auto"/>
              <w:left w:val="nil"/>
              <w:bottom w:val="single" w:sz="4" w:space="0" w:color="auto"/>
            </w:tcBorders>
            <w:noWrap/>
            <w:tcMar>
              <w:top w:w="0" w:type="dxa"/>
              <w:left w:w="108" w:type="dxa"/>
              <w:bottom w:w="0" w:type="dxa"/>
              <w:right w:w="108" w:type="dxa"/>
            </w:tcMar>
            <w:hideMark/>
          </w:tcPr>
          <w:p w14:paraId="557FD1BE" w14:textId="77777777" w:rsidR="00CB52B0" w:rsidRPr="000739EC" w:rsidRDefault="00CB52B0" w:rsidP="00E07EB1">
            <w:pPr>
              <w:pStyle w:val="TableHeading0"/>
              <w:jc w:val="right"/>
            </w:pPr>
            <w:r w:rsidRPr="000739EC">
              <w:t>RDN</w:t>
            </w:r>
          </w:p>
        </w:tc>
        <w:tc>
          <w:tcPr>
            <w:tcW w:w="603" w:type="pct"/>
            <w:tcBorders>
              <w:top w:val="single" w:sz="8" w:space="0" w:color="auto"/>
              <w:left w:val="nil"/>
              <w:bottom w:val="single" w:sz="4" w:space="0" w:color="auto"/>
              <w:right w:val="single" w:sz="8" w:space="0" w:color="000000"/>
            </w:tcBorders>
          </w:tcPr>
          <w:p w14:paraId="239E5C6A" w14:textId="77777777" w:rsidR="00CB52B0" w:rsidRPr="000739EC" w:rsidRDefault="00CB52B0" w:rsidP="00E07EB1">
            <w:pPr>
              <w:pStyle w:val="TableHeading0"/>
              <w:jc w:val="center"/>
            </w:pP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0D4C01B0" w14:textId="77777777" w:rsidR="00CB52B0" w:rsidRPr="000739EC" w:rsidRDefault="00CB52B0" w:rsidP="00E07EB1">
            <w:pPr>
              <w:pStyle w:val="TableHeading0"/>
              <w:jc w:val="right"/>
            </w:pPr>
            <w:r w:rsidRPr="000739EC">
              <w:t>Sham</w:t>
            </w:r>
          </w:p>
        </w:tc>
        <w:tc>
          <w:tcPr>
            <w:tcW w:w="606" w:type="pct"/>
            <w:tcBorders>
              <w:top w:val="single" w:sz="8" w:space="0" w:color="auto"/>
              <w:left w:val="nil"/>
              <w:bottom w:val="single" w:sz="4" w:space="0" w:color="auto"/>
              <w:right w:val="single" w:sz="8" w:space="0" w:color="000000"/>
            </w:tcBorders>
          </w:tcPr>
          <w:p w14:paraId="37E972BD" w14:textId="77777777" w:rsidR="00CB52B0" w:rsidRPr="000739EC" w:rsidRDefault="00CB52B0" w:rsidP="00E07EB1">
            <w:pPr>
              <w:pStyle w:val="TableHeading0"/>
            </w:pPr>
            <w:r w:rsidRPr="000739EC">
              <w:t>control</w:t>
            </w:r>
          </w:p>
        </w:tc>
        <w:tc>
          <w:tcPr>
            <w:tcW w:w="951" w:type="pct"/>
            <w:tcBorders>
              <w:top w:val="single" w:sz="8" w:space="0" w:color="auto"/>
              <w:left w:val="nil"/>
              <w:right w:val="single" w:sz="8" w:space="0" w:color="auto"/>
            </w:tcBorders>
            <w:shd w:val="clear" w:color="auto" w:fill="FFFFFF"/>
            <w:tcMar>
              <w:top w:w="0" w:type="dxa"/>
              <w:left w:w="108" w:type="dxa"/>
              <w:bottom w:w="0" w:type="dxa"/>
              <w:right w:w="108" w:type="dxa"/>
            </w:tcMar>
            <w:vAlign w:val="bottom"/>
            <w:hideMark/>
          </w:tcPr>
          <w:p w14:paraId="11E3802C" w14:textId="77777777" w:rsidR="00CB52B0" w:rsidRPr="000739EC" w:rsidRDefault="00CB52B0" w:rsidP="00E07EB1">
            <w:pPr>
              <w:pStyle w:val="TableHeading0"/>
              <w:jc w:val="center"/>
            </w:pPr>
            <w:r w:rsidRPr="000739EC">
              <w:t>Difference [95% CI]</w:t>
            </w:r>
          </w:p>
        </w:tc>
      </w:tr>
      <w:tr w:rsidR="00CB52B0" w:rsidRPr="00E27EAA" w14:paraId="253ECB95" w14:textId="77777777">
        <w:trPr>
          <w:trHeight w:val="255"/>
          <w:tblHeader/>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AF3F5" w14:textId="77777777" w:rsidR="00CB52B0" w:rsidRPr="000739EC" w:rsidRDefault="00CB52B0" w:rsidP="00E07EB1">
            <w:pPr>
              <w:pStyle w:val="TableHeading0"/>
              <w:spacing w:before="60"/>
            </w:pP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31DDCFAD" w14:textId="0EF58317" w:rsidR="00CB52B0" w:rsidRPr="000739EC" w:rsidRDefault="00CB52B0" w:rsidP="00E07EB1">
            <w:pPr>
              <w:pStyle w:val="TableHeading0"/>
              <w:spacing w:before="60"/>
              <w:jc w:val="center"/>
            </w:pPr>
            <w:r>
              <w:t>(GRADE)</w:t>
            </w:r>
            <w:r w:rsidR="000F7495" w:rsidRPr="000F7495">
              <w:rPr>
                <w:vertAlign w:val="superscript"/>
              </w:rPr>
              <w:t>a</w:t>
            </w:r>
          </w:p>
        </w:tc>
        <w:tc>
          <w:tcPr>
            <w:tcW w:w="55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574F93D" w14:textId="77777777" w:rsidR="00CB52B0" w:rsidRPr="000739EC" w:rsidRDefault="00CB52B0" w:rsidP="00E07EB1">
            <w:pPr>
              <w:pStyle w:val="TableHeading0"/>
              <w:spacing w:before="60"/>
              <w:jc w:val="center"/>
            </w:pPr>
            <w:r w:rsidRPr="000739EC">
              <w:t>n /N (%)</w:t>
            </w:r>
          </w:p>
        </w:tc>
        <w:tc>
          <w:tcPr>
            <w:tcW w:w="603" w:type="pct"/>
            <w:tcBorders>
              <w:top w:val="single" w:sz="4" w:space="0" w:color="auto"/>
              <w:left w:val="nil"/>
              <w:bottom w:val="single" w:sz="8" w:space="0" w:color="auto"/>
              <w:right w:val="nil"/>
            </w:tcBorders>
            <w:tcMar>
              <w:top w:w="0" w:type="dxa"/>
              <w:left w:w="108" w:type="dxa"/>
              <w:bottom w:w="0" w:type="dxa"/>
              <w:right w:w="108" w:type="dxa"/>
            </w:tcMar>
            <w:hideMark/>
          </w:tcPr>
          <w:p w14:paraId="138A6763" w14:textId="77777777" w:rsidR="00CB52B0" w:rsidRPr="000739EC" w:rsidRDefault="00CB52B0" w:rsidP="00E07EB1">
            <w:pPr>
              <w:pStyle w:val="TableHeading0"/>
              <w:spacing w:before="60"/>
              <w:jc w:val="center"/>
            </w:pPr>
            <w:r w:rsidRPr="000739EC">
              <w:t>Change mean</w:t>
            </w:r>
            <w:r>
              <w:t xml:space="preserve"> </w:t>
            </w:r>
            <w:r w:rsidRPr="000739EC">
              <w:t>(SD)</w:t>
            </w:r>
          </w:p>
        </w:tc>
        <w:tc>
          <w:tcPr>
            <w:tcW w:w="5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D0CB8" w14:textId="77777777" w:rsidR="00CB52B0" w:rsidRPr="000739EC" w:rsidRDefault="00CB52B0" w:rsidP="00E07EB1">
            <w:pPr>
              <w:pStyle w:val="TableHeading0"/>
              <w:spacing w:before="60"/>
              <w:jc w:val="center"/>
            </w:pPr>
            <w:r w:rsidRPr="000739EC">
              <w:t>n /N (%)</w:t>
            </w:r>
          </w:p>
        </w:tc>
        <w:tc>
          <w:tcPr>
            <w:tcW w:w="606" w:type="pct"/>
            <w:tcBorders>
              <w:top w:val="single" w:sz="4" w:space="0" w:color="auto"/>
              <w:left w:val="nil"/>
              <w:bottom w:val="single" w:sz="8" w:space="0" w:color="auto"/>
              <w:right w:val="nil"/>
            </w:tcBorders>
            <w:tcMar>
              <w:top w:w="0" w:type="dxa"/>
              <w:left w:w="108" w:type="dxa"/>
              <w:bottom w:w="0" w:type="dxa"/>
              <w:right w:w="108" w:type="dxa"/>
            </w:tcMar>
            <w:hideMark/>
          </w:tcPr>
          <w:p w14:paraId="6CCDBAD2" w14:textId="77777777" w:rsidR="00CB52B0" w:rsidRPr="000739EC" w:rsidRDefault="00CB52B0" w:rsidP="00E07EB1">
            <w:pPr>
              <w:pStyle w:val="TableHeading0"/>
              <w:spacing w:before="60"/>
              <w:jc w:val="center"/>
            </w:pPr>
            <w:r w:rsidRPr="000739EC">
              <w:t>Change mean</w:t>
            </w:r>
            <w:r>
              <w:t xml:space="preserve"> </w:t>
            </w:r>
            <w:r w:rsidRPr="000739EC">
              <w:t>(SD)</w:t>
            </w:r>
          </w:p>
        </w:tc>
        <w:tc>
          <w:tcPr>
            <w:tcW w:w="951"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4EB2C" w14:textId="77777777" w:rsidR="00CB52B0" w:rsidRPr="000739EC" w:rsidRDefault="00CB52B0" w:rsidP="00E07EB1">
            <w:pPr>
              <w:pStyle w:val="TableHeading0"/>
              <w:spacing w:before="60"/>
              <w:jc w:val="center"/>
              <w:rPr>
                <w:i/>
                <w:iCs/>
              </w:rPr>
            </w:pPr>
            <w:r w:rsidRPr="000739EC">
              <w:t>P value</w:t>
            </w:r>
          </w:p>
        </w:tc>
      </w:tr>
      <w:tr w:rsidR="007C4FD8" w:rsidRPr="00E27EAA" w14:paraId="20188E2F" w14:textId="77777777">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4C960" w14:textId="77777777" w:rsidR="007C4FD8" w:rsidRPr="00E27EAA" w:rsidRDefault="007C4FD8" w:rsidP="007C4FD8">
            <w:pPr>
              <w:pStyle w:val="TableTextCA"/>
              <w:keepNext/>
              <w:rPr>
                <w:vertAlign w:val="superscript"/>
              </w:rPr>
            </w:pPr>
            <w:r w:rsidRPr="00E27EAA">
              <w:t>SYMPLICITY HTN-3</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397E5532" w14:textId="77777777" w:rsidR="007C4FD8" w:rsidRPr="00E27EAA" w:rsidRDefault="007C4FD8" w:rsidP="007C4FD8">
            <w:pPr>
              <w:pStyle w:val="TableTextCA"/>
              <w:keepNext/>
            </w:pPr>
            <w:r w:rsidRPr="00E27EAA">
              <w:t>-</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97399A" w14:textId="635CBE33" w:rsidR="007C4FD8" w:rsidRPr="00E27EAA" w:rsidRDefault="007C4FD8" w:rsidP="007C4FD8">
            <w:pPr>
              <w:pStyle w:val="TableTextCA"/>
              <w:keepNext/>
            </w:pPr>
            <w:r w:rsidRPr="00007C34">
              <w:t>329/364</w:t>
            </w:r>
            <w:r>
              <w:br/>
            </w:r>
            <w:r w:rsidRPr="00007C34">
              <w:t>(90.</w:t>
            </w:r>
            <w:r>
              <w:t>4</w:t>
            </w:r>
            <w:r w:rsidRPr="00007C34">
              <w:t>%)</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4A89AC00" w14:textId="3CD5FF1C" w:rsidR="007C4FD8" w:rsidRPr="00E27EAA" w:rsidRDefault="007C4FD8" w:rsidP="007C4FD8">
            <w:pPr>
              <w:pStyle w:val="TableTextCA"/>
              <w:keepNext/>
            </w:pPr>
            <w:r w:rsidRPr="00007C34">
              <w:t>-6.75</w:t>
            </w:r>
            <w:r>
              <w:br/>
            </w:r>
            <w:r w:rsidRPr="00007C34">
              <w:t>(15.11)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E985AC9" w14:textId="7B1DCE72" w:rsidR="007C4FD8" w:rsidRPr="00E27EAA" w:rsidRDefault="007C4FD8" w:rsidP="007C4FD8">
            <w:pPr>
              <w:pStyle w:val="TableTextCA"/>
              <w:keepNext/>
            </w:pPr>
            <w:r w:rsidRPr="00007C34">
              <w:t>162/171</w:t>
            </w:r>
            <w:r>
              <w:br/>
            </w:r>
            <w:r w:rsidRPr="00007C34">
              <w:t>(94.7%)</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55DFA23E" w14:textId="4B284D13" w:rsidR="007C4FD8" w:rsidRPr="00E27EAA" w:rsidRDefault="007C4FD8" w:rsidP="007C4FD8">
            <w:pPr>
              <w:pStyle w:val="TableTextCA"/>
              <w:keepNext/>
            </w:pPr>
            <w:r w:rsidRPr="00007C34">
              <w:t>-4.79</w:t>
            </w:r>
            <w:r>
              <w:br/>
            </w:r>
            <w:r w:rsidRPr="00007C34">
              <w:t>(17.3)</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7F5FFA76" w14:textId="32CBC83E" w:rsidR="007C4FD8" w:rsidRPr="00E27EAA" w:rsidRDefault="007C4FD8" w:rsidP="007C4FD8">
            <w:pPr>
              <w:pStyle w:val="Tabletext0"/>
              <w:keepNext/>
              <w:jc w:val="center"/>
              <w:rPr>
                <w:rFonts w:eastAsiaTheme="minorHAnsi"/>
              </w:rPr>
            </w:pPr>
            <w:r w:rsidRPr="00D32653">
              <w:t>-</w:t>
            </w:r>
            <w:r>
              <w:t>1.96</w:t>
            </w:r>
            <w:r w:rsidRPr="00D32653">
              <w:t xml:space="preserve"> [</w:t>
            </w:r>
            <w:r>
              <w:t>-5.0</w:t>
            </w:r>
            <w:r w:rsidRPr="00D32653">
              <w:t xml:space="preserve">, </w:t>
            </w:r>
            <w:r>
              <w:t>1.1</w:t>
            </w:r>
            <w:r w:rsidRPr="00D32653">
              <w:t>]</w:t>
            </w:r>
            <w:r>
              <w:br/>
            </w:r>
            <w:r w:rsidRPr="00D32653">
              <w:t>P=0.</w:t>
            </w:r>
            <w:r>
              <w:t>98</w:t>
            </w:r>
          </w:p>
        </w:tc>
      </w:tr>
      <w:tr w:rsidR="007C4FD8" w:rsidRPr="00E27EAA" w14:paraId="08BDD245" w14:textId="77777777">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69DAD5" w14:textId="780F07F0" w:rsidR="007C4FD8" w:rsidRPr="00E27EAA" w:rsidRDefault="007C4FD8" w:rsidP="007C4FD8">
            <w:pPr>
              <w:pStyle w:val="TableTextCA"/>
              <w:keepNext/>
            </w:pPr>
            <w:r>
              <w:t>ReSET</w:t>
            </w: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03FD2873" w14:textId="0CA92647" w:rsidR="007C4FD8" w:rsidRPr="00E27EAA" w:rsidRDefault="007C4FD8" w:rsidP="007C4FD8">
            <w:pPr>
              <w:pStyle w:val="TableTextCA"/>
              <w:keepNext/>
            </w:pPr>
            <w:r>
              <w:t>-</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tcPr>
          <w:p w14:paraId="22057C0D" w14:textId="6421AB5D" w:rsidR="007C4FD8" w:rsidRPr="00E27EAA" w:rsidRDefault="007C4FD8" w:rsidP="007C4FD8">
            <w:pPr>
              <w:pStyle w:val="TableTextCA"/>
              <w:keepNext/>
            </w:pPr>
            <w:r w:rsidRPr="00B77139">
              <w:t>35/36</w:t>
            </w:r>
            <w:r>
              <w:br/>
            </w:r>
            <w:r w:rsidRPr="00B77139">
              <w:t>(97.2%)</w:t>
            </w:r>
          </w:p>
        </w:tc>
        <w:tc>
          <w:tcPr>
            <w:tcW w:w="603" w:type="pct"/>
            <w:tcBorders>
              <w:top w:val="nil"/>
              <w:left w:val="nil"/>
              <w:bottom w:val="single" w:sz="8" w:space="0" w:color="auto"/>
              <w:right w:val="single" w:sz="8" w:space="0" w:color="auto"/>
            </w:tcBorders>
            <w:tcMar>
              <w:top w:w="0" w:type="dxa"/>
              <w:left w:w="108" w:type="dxa"/>
              <w:bottom w:w="0" w:type="dxa"/>
              <w:right w:w="108" w:type="dxa"/>
            </w:tcMar>
          </w:tcPr>
          <w:p w14:paraId="4774C202" w14:textId="7AB80A57" w:rsidR="007C4FD8" w:rsidRPr="00E27EAA" w:rsidRDefault="007C4FD8" w:rsidP="007C4FD8">
            <w:pPr>
              <w:pStyle w:val="TableTextCA"/>
              <w:keepNext/>
            </w:pPr>
            <w:r w:rsidRPr="00B77139">
              <w:t>-3.7</w:t>
            </w:r>
            <w:r>
              <w:br/>
            </w:r>
            <w:r w:rsidRPr="00B77139">
              <w:t>(16.40)</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6543A4E9" w14:textId="0171999B" w:rsidR="007C4FD8" w:rsidRPr="00E27EAA" w:rsidRDefault="007C4FD8" w:rsidP="007C4FD8">
            <w:pPr>
              <w:pStyle w:val="TableTextCA"/>
              <w:keepNext/>
            </w:pPr>
            <w:r w:rsidRPr="00B77139">
              <w:t>33/33</w:t>
            </w:r>
            <w:r>
              <w:br/>
            </w:r>
            <w:r w:rsidRPr="00B77139">
              <w:t>(100%)</w:t>
            </w:r>
          </w:p>
        </w:tc>
        <w:tc>
          <w:tcPr>
            <w:tcW w:w="606" w:type="pct"/>
            <w:tcBorders>
              <w:top w:val="nil"/>
              <w:left w:val="nil"/>
              <w:bottom w:val="single" w:sz="8" w:space="0" w:color="auto"/>
              <w:right w:val="single" w:sz="8" w:space="0" w:color="auto"/>
            </w:tcBorders>
            <w:tcMar>
              <w:top w:w="0" w:type="dxa"/>
              <w:left w:w="108" w:type="dxa"/>
              <w:bottom w:w="0" w:type="dxa"/>
              <w:right w:w="108" w:type="dxa"/>
            </w:tcMar>
          </w:tcPr>
          <w:p w14:paraId="6F1A64D8" w14:textId="7E1E754B" w:rsidR="007C4FD8" w:rsidRPr="00E27EAA" w:rsidRDefault="007C4FD8" w:rsidP="007C4FD8">
            <w:pPr>
              <w:pStyle w:val="TableTextCA"/>
              <w:keepNext/>
            </w:pPr>
            <w:r w:rsidRPr="00B77139">
              <w:t>-2.6</w:t>
            </w:r>
            <w:r>
              <w:br/>
            </w:r>
            <w:r w:rsidRPr="00B77139">
              <w:t>(12.8)</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tcPr>
          <w:p w14:paraId="629BA961" w14:textId="4ECDB50F" w:rsidR="007C4FD8" w:rsidRPr="00E27EAA" w:rsidRDefault="007C4FD8" w:rsidP="007C4FD8">
            <w:pPr>
              <w:pStyle w:val="Tabletext0"/>
              <w:keepNext/>
              <w:jc w:val="center"/>
              <w:rPr>
                <w:rFonts w:eastAsiaTheme="minorHAnsi"/>
              </w:rPr>
            </w:pPr>
            <w:r w:rsidRPr="00D32653">
              <w:t>-</w:t>
            </w:r>
            <w:r>
              <w:t>1.82</w:t>
            </w:r>
            <w:r w:rsidRPr="00D32653">
              <w:t xml:space="preserve"> [</w:t>
            </w:r>
            <w:r>
              <w:t>-4.66</w:t>
            </w:r>
            <w:r w:rsidRPr="00D32653">
              <w:t xml:space="preserve">, </w:t>
            </w:r>
            <w:r>
              <w:t>1.03</w:t>
            </w:r>
            <w:r w:rsidRPr="00D32653">
              <w:t>]</w:t>
            </w:r>
            <w:r>
              <w:br/>
            </w:r>
            <w:r w:rsidRPr="00D32653">
              <w:t>P=0.</w:t>
            </w:r>
            <w:r>
              <w:t>21</w:t>
            </w:r>
          </w:p>
        </w:tc>
      </w:tr>
      <w:tr w:rsidR="007C4FD8" w:rsidRPr="00E27EAA" w14:paraId="153D9137" w14:textId="77777777">
        <w:trPr>
          <w:trHeight w:val="255"/>
        </w:trPr>
        <w:tc>
          <w:tcPr>
            <w:tcW w:w="1119" w:type="pct"/>
            <w:tcBorders>
              <w:top w:val="nil"/>
              <w:left w:val="single" w:sz="8" w:space="0" w:color="auto"/>
              <w:bottom w:val="dotted" w:sz="8" w:space="0" w:color="auto"/>
              <w:right w:val="single" w:sz="8" w:space="0" w:color="auto"/>
            </w:tcBorders>
            <w:tcMar>
              <w:top w:w="0" w:type="dxa"/>
              <w:left w:w="108" w:type="dxa"/>
              <w:bottom w:w="0" w:type="dxa"/>
              <w:right w:w="108" w:type="dxa"/>
            </w:tcMar>
            <w:hideMark/>
          </w:tcPr>
          <w:p w14:paraId="69136ABA" w14:textId="77777777" w:rsidR="007C4FD8" w:rsidRPr="00F24BA3" w:rsidRDefault="007C4FD8" w:rsidP="007C4FD8">
            <w:pPr>
              <w:pStyle w:val="TableTextCA"/>
              <w:keepNext/>
            </w:pPr>
            <w:r w:rsidRPr="00E27EAA">
              <w:t>SPYRAL HTN-ON MED all patients</w:t>
            </w:r>
          </w:p>
        </w:tc>
        <w:tc>
          <w:tcPr>
            <w:tcW w:w="621" w:type="pct"/>
            <w:tcBorders>
              <w:top w:val="nil"/>
              <w:left w:val="nil"/>
              <w:bottom w:val="dotted" w:sz="8" w:space="0" w:color="auto"/>
              <w:right w:val="single" w:sz="8" w:space="0" w:color="auto"/>
            </w:tcBorders>
            <w:tcMar>
              <w:top w:w="0" w:type="dxa"/>
              <w:left w:w="108" w:type="dxa"/>
              <w:bottom w:w="0" w:type="dxa"/>
              <w:right w:w="108" w:type="dxa"/>
            </w:tcMar>
            <w:hideMark/>
          </w:tcPr>
          <w:p w14:paraId="28F2509E" w14:textId="77777777" w:rsidR="007C4FD8" w:rsidRPr="00E27EAA" w:rsidRDefault="007C4FD8" w:rsidP="007C4FD8">
            <w:pPr>
              <w:pStyle w:val="TableTextCA"/>
              <w:keepNext/>
            </w:pPr>
            <w:r w:rsidRPr="00E27EAA">
              <w:t>-</w:t>
            </w:r>
          </w:p>
        </w:tc>
        <w:tc>
          <w:tcPr>
            <w:tcW w:w="550" w:type="pct"/>
            <w:gridSpan w:val="2"/>
            <w:tcBorders>
              <w:top w:val="nil"/>
              <w:left w:val="nil"/>
              <w:bottom w:val="dotted" w:sz="8" w:space="0" w:color="auto"/>
              <w:right w:val="single" w:sz="8" w:space="0" w:color="auto"/>
            </w:tcBorders>
            <w:tcMar>
              <w:top w:w="0" w:type="dxa"/>
              <w:left w:w="108" w:type="dxa"/>
              <w:bottom w:w="0" w:type="dxa"/>
              <w:right w:w="108" w:type="dxa"/>
            </w:tcMar>
            <w:hideMark/>
          </w:tcPr>
          <w:p w14:paraId="730B7837" w14:textId="26074F2E" w:rsidR="007C4FD8" w:rsidRPr="00E27EAA" w:rsidRDefault="007C4FD8" w:rsidP="007C4FD8">
            <w:pPr>
              <w:pStyle w:val="TableTextCA"/>
              <w:keepNext/>
            </w:pPr>
            <w:r w:rsidRPr="008C1B4E">
              <w:t>192/206</w:t>
            </w:r>
            <w:r>
              <w:br/>
            </w:r>
            <w:r w:rsidRPr="008C1B4E">
              <w:t>(93.2%)</w:t>
            </w:r>
          </w:p>
        </w:tc>
        <w:tc>
          <w:tcPr>
            <w:tcW w:w="603" w:type="pct"/>
            <w:tcBorders>
              <w:top w:val="nil"/>
              <w:left w:val="nil"/>
              <w:bottom w:val="dotted" w:sz="8" w:space="0" w:color="auto"/>
              <w:right w:val="single" w:sz="8" w:space="0" w:color="auto"/>
            </w:tcBorders>
            <w:tcMar>
              <w:top w:w="0" w:type="dxa"/>
              <w:left w:w="108" w:type="dxa"/>
              <w:bottom w:w="0" w:type="dxa"/>
              <w:right w:w="108" w:type="dxa"/>
            </w:tcMar>
            <w:hideMark/>
          </w:tcPr>
          <w:p w14:paraId="1A0FC660" w14:textId="0E7B8376" w:rsidR="007C4FD8" w:rsidRPr="00E27EAA" w:rsidRDefault="007C4FD8" w:rsidP="007C4FD8">
            <w:pPr>
              <w:pStyle w:val="TableTextCA"/>
              <w:keepNext/>
            </w:pPr>
            <w:r w:rsidRPr="008C1B4E">
              <w:t>-6.5</w:t>
            </w:r>
            <w:r>
              <w:br/>
            </w:r>
            <w:r w:rsidRPr="008C1B4E">
              <w:t>(10.70)</w:t>
            </w:r>
          </w:p>
        </w:tc>
        <w:tc>
          <w:tcPr>
            <w:tcW w:w="550" w:type="pct"/>
            <w:tcBorders>
              <w:top w:val="nil"/>
              <w:left w:val="nil"/>
              <w:bottom w:val="dotted" w:sz="8" w:space="0" w:color="auto"/>
              <w:right w:val="single" w:sz="8" w:space="0" w:color="auto"/>
            </w:tcBorders>
            <w:tcMar>
              <w:top w:w="0" w:type="dxa"/>
              <w:left w:w="108" w:type="dxa"/>
              <w:bottom w:w="0" w:type="dxa"/>
              <w:right w:w="108" w:type="dxa"/>
            </w:tcMar>
            <w:hideMark/>
          </w:tcPr>
          <w:p w14:paraId="6A3A1608" w14:textId="466B7F18" w:rsidR="007C4FD8" w:rsidRPr="00E27EAA" w:rsidRDefault="007C4FD8" w:rsidP="007C4FD8">
            <w:pPr>
              <w:pStyle w:val="TableTextCA"/>
              <w:keepNext/>
            </w:pPr>
            <w:r w:rsidRPr="008C1B4E">
              <w:t>116/131</w:t>
            </w:r>
            <w:r>
              <w:br/>
            </w:r>
            <w:r w:rsidRPr="008C1B4E">
              <w:t>(88.5%)</w:t>
            </w:r>
          </w:p>
        </w:tc>
        <w:tc>
          <w:tcPr>
            <w:tcW w:w="606" w:type="pct"/>
            <w:tcBorders>
              <w:top w:val="nil"/>
              <w:left w:val="nil"/>
              <w:bottom w:val="dotted" w:sz="8" w:space="0" w:color="auto"/>
              <w:right w:val="single" w:sz="8" w:space="0" w:color="auto"/>
            </w:tcBorders>
            <w:tcMar>
              <w:top w:w="0" w:type="dxa"/>
              <w:left w:w="108" w:type="dxa"/>
              <w:bottom w:w="0" w:type="dxa"/>
              <w:right w:w="108" w:type="dxa"/>
            </w:tcMar>
            <w:hideMark/>
          </w:tcPr>
          <w:p w14:paraId="516C23D8" w14:textId="4AAE3F73" w:rsidR="007C4FD8" w:rsidRPr="00E27EAA" w:rsidRDefault="007C4FD8" w:rsidP="007C4FD8">
            <w:pPr>
              <w:pStyle w:val="TableTextCA"/>
              <w:keepNext/>
            </w:pPr>
            <w:r w:rsidRPr="008C1B4E">
              <w:t>-4.5</w:t>
            </w:r>
            <w:r>
              <w:br/>
            </w:r>
            <w:r w:rsidRPr="008C1B4E">
              <w:t>(10.3)</w:t>
            </w:r>
          </w:p>
        </w:tc>
        <w:tc>
          <w:tcPr>
            <w:tcW w:w="951" w:type="pct"/>
            <w:tcBorders>
              <w:top w:val="nil"/>
              <w:left w:val="nil"/>
              <w:bottom w:val="dotted" w:sz="8" w:space="0" w:color="auto"/>
              <w:right w:val="single" w:sz="8" w:space="0" w:color="auto"/>
            </w:tcBorders>
            <w:noWrap/>
            <w:tcMar>
              <w:top w:w="0" w:type="dxa"/>
              <w:left w:w="108" w:type="dxa"/>
              <w:bottom w:w="0" w:type="dxa"/>
              <w:right w:w="108" w:type="dxa"/>
            </w:tcMar>
            <w:hideMark/>
          </w:tcPr>
          <w:p w14:paraId="3CA807BC" w14:textId="74516C9D" w:rsidR="007C4FD8" w:rsidRPr="00F24BA3" w:rsidRDefault="007C4FD8" w:rsidP="007C4FD8">
            <w:pPr>
              <w:pStyle w:val="Tabletext0"/>
              <w:keepNext/>
              <w:jc w:val="center"/>
              <w:rPr>
                <w:rFonts w:eastAsiaTheme="minorHAnsi"/>
                <w:b/>
                <w:bCs/>
              </w:rPr>
            </w:pPr>
            <w:r w:rsidRPr="007B7804">
              <w:t>-</w:t>
            </w:r>
            <w:r>
              <w:t>2.0</w:t>
            </w:r>
            <w:r w:rsidRPr="007B7804">
              <w:t>0 [-</w:t>
            </w:r>
            <w:r>
              <w:t>4.41</w:t>
            </w:r>
            <w:r w:rsidRPr="007B7804">
              <w:t>, 0.</w:t>
            </w:r>
            <w:r>
              <w:t>41</w:t>
            </w:r>
            <w:r w:rsidRPr="007B7804">
              <w:t>]</w:t>
            </w:r>
            <w:r w:rsidRPr="007B7804">
              <w:br/>
              <w:t>P=0.</w:t>
            </w:r>
            <w:r>
              <w:t>11</w:t>
            </w:r>
          </w:p>
        </w:tc>
      </w:tr>
      <w:tr w:rsidR="00CB52B0" w:rsidRPr="00E27EAA" w14:paraId="178CFF0D" w14:textId="77777777" w:rsidTr="00471CE5">
        <w:trPr>
          <w:trHeight w:val="255"/>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89D41" w14:textId="77777777" w:rsidR="00CB52B0" w:rsidRPr="00E27EAA" w:rsidRDefault="00CB52B0">
            <w:pPr>
              <w:pStyle w:val="TableTextCA"/>
              <w:keepNext/>
            </w:pPr>
            <w:r w:rsidRPr="00E27EAA">
              <w:t>SPYRAL HTN-ON MED subgroup</w:t>
            </w:r>
            <w:r w:rsidRPr="00E27EAA">
              <w:rPr>
                <w:vertAlign w:val="superscript"/>
              </w:rPr>
              <w:t>a</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5DB5C23E" w14:textId="77777777" w:rsidR="00CB52B0" w:rsidRPr="00E27EAA" w:rsidRDefault="00CB52B0">
            <w:pPr>
              <w:pStyle w:val="TableTextCA"/>
              <w:keepNext/>
            </w:pPr>
            <w:r w:rsidRPr="00E27EAA">
              <w:t>-</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E9B9A3" w14:textId="39A34D71" w:rsidR="00CB52B0" w:rsidRPr="00652BDA" w:rsidRDefault="00CB52B0">
            <w:pPr>
              <w:pStyle w:val="TableTextCA"/>
              <w:keepNext/>
            </w:pPr>
            <w:r w:rsidRPr="00652BDA">
              <w:t>4</w:t>
            </w:r>
            <w:r w:rsidR="00BE58A6" w:rsidRPr="00652BDA">
              <w:t>5</w:t>
            </w:r>
            <w:r w:rsidRPr="00652BDA">
              <w:t>/47</w:t>
            </w:r>
            <w:r w:rsidRPr="00652BDA">
              <w:br/>
            </w:r>
            <w:r w:rsidR="00550834" w:rsidRPr="00652BDA">
              <w:t>(95.7</w:t>
            </w:r>
            <w:r w:rsidRPr="00652BDA">
              <w:t>%)</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41837862" w14:textId="7DFC1331" w:rsidR="00CB52B0" w:rsidRPr="00652BDA" w:rsidRDefault="00CB52B0">
            <w:pPr>
              <w:pStyle w:val="TableTextCA"/>
              <w:keepNext/>
            </w:pPr>
            <w:r w:rsidRPr="00652BDA">
              <w:t>-</w:t>
            </w:r>
            <w:r w:rsidR="008568B3" w:rsidRPr="00652BDA">
              <w:t>8.8</w:t>
            </w:r>
            <w:r w:rsidRPr="00652BDA">
              <w:br/>
              <w:t>(</w:t>
            </w:r>
            <w:r w:rsidR="008568B3" w:rsidRPr="00652BDA">
              <w:t>11.0</w:t>
            </w:r>
            <w:r w:rsidRPr="00652BDA">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6BAE1D18" w14:textId="44454454" w:rsidR="00CB52B0" w:rsidRPr="00652BDA" w:rsidRDefault="00362DAE">
            <w:pPr>
              <w:pStyle w:val="TableTextCA"/>
              <w:keepNext/>
            </w:pPr>
            <w:r w:rsidRPr="00652BDA">
              <w:t>30</w:t>
            </w:r>
            <w:r w:rsidR="00CB52B0" w:rsidRPr="00652BDA">
              <w:t>/33</w:t>
            </w:r>
            <w:r w:rsidR="00CB52B0" w:rsidRPr="00652BDA">
              <w:br/>
              <w:t>(</w:t>
            </w:r>
            <w:r w:rsidR="008568B3" w:rsidRPr="00652BDA">
              <w:t>90.9</w:t>
            </w:r>
            <w:r w:rsidR="00CB52B0" w:rsidRPr="00652BDA">
              <w:t>%)</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19F053A" w14:textId="21579704" w:rsidR="00CB52B0" w:rsidRPr="00652BDA" w:rsidRDefault="00CB52B0">
            <w:pPr>
              <w:pStyle w:val="TableTextCA"/>
              <w:keepNext/>
            </w:pPr>
            <w:r w:rsidRPr="00652BDA">
              <w:t>-4.</w:t>
            </w:r>
            <w:r w:rsidR="008568B3" w:rsidRPr="00652BDA">
              <w:t>9</w:t>
            </w:r>
            <w:r w:rsidRPr="00652BDA">
              <w:t xml:space="preserve"> </w:t>
            </w:r>
            <w:r w:rsidRPr="00652BDA">
              <w:br/>
              <w:t>(</w:t>
            </w:r>
            <w:r w:rsidR="00C7412A" w:rsidRPr="00652BDA">
              <w:t>9.9</w:t>
            </w:r>
            <w:r w:rsidRPr="00652BDA">
              <w:t>)</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1C983DF1" w14:textId="2E746DD7" w:rsidR="00CB52B0" w:rsidRPr="00652BDA" w:rsidRDefault="00CB52B0">
            <w:pPr>
              <w:pStyle w:val="Tabletext0"/>
              <w:keepNext/>
              <w:jc w:val="center"/>
              <w:rPr>
                <w:rFonts w:eastAsiaTheme="minorHAnsi"/>
              </w:rPr>
            </w:pPr>
            <w:r w:rsidRPr="00652BDA">
              <w:rPr>
                <w:rFonts w:eastAsiaTheme="minorHAnsi"/>
              </w:rPr>
              <w:t>-</w:t>
            </w:r>
            <w:r w:rsidR="00C7412A" w:rsidRPr="00652BDA">
              <w:rPr>
                <w:rFonts w:eastAsiaTheme="minorHAnsi"/>
              </w:rPr>
              <w:t>3.</w:t>
            </w:r>
            <w:r w:rsidR="00825463" w:rsidRPr="00652BDA">
              <w:rPr>
                <w:rFonts w:eastAsiaTheme="minorHAnsi"/>
              </w:rPr>
              <w:t>9</w:t>
            </w:r>
            <w:r w:rsidR="00C7412A" w:rsidRPr="00652BDA">
              <w:rPr>
                <w:rFonts w:eastAsiaTheme="minorHAnsi"/>
              </w:rPr>
              <w:t>0</w:t>
            </w:r>
            <w:r w:rsidRPr="00652BDA">
              <w:rPr>
                <w:rFonts w:eastAsiaTheme="minorHAnsi"/>
              </w:rPr>
              <w:t xml:space="preserve"> [-</w:t>
            </w:r>
            <w:r w:rsidR="00825463" w:rsidRPr="00652BDA">
              <w:rPr>
                <w:rFonts w:eastAsiaTheme="minorHAnsi"/>
              </w:rPr>
              <w:t>8.68</w:t>
            </w:r>
            <w:r w:rsidRPr="00652BDA">
              <w:rPr>
                <w:rFonts w:eastAsiaTheme="minorHAnsi"/>
              </w:rPr>
              <w:t xml:space="preserve">, </w:t>
            </w:r>
            <w:r w:rsidR="00652BDA" w:rsidRPr="00652BDA">
              <w:rPr>
                <w:rFonts w:eastAsiaTheme="minorHAnsi"/>
              </w:rPr>
              <w:t>0.88</w:t>
            </w:r>
            <w:r w:rsidRPr="00652BDA">
              <w:rPr>
                <w:rFonts w:eastAsiaTheme="minorHAnsi"/>
              </w:rPr>
              <w:t>]</w:t>
            </w:r>
            <w:r w:rsidRPr="00652BDA">
              <w:rPr>
                <w:rFonts w:eastAsiaTheme="minorHAnsi"/>
              </w:rPr>
              <w:br/>
            </w:r>
            <w:r w:rsidRPr="00C82DDB">
              <w:rPr>
                <w:rFonts w:eastAsiaTheme="minorHAnsi"/>
              </w:rPr>
              <w:t>P</w:t>
            </w:r>
            <w:r w:rsidR="00A76EE2">
              <w:rPr>
                <w:rFonts w:eastAsiaTheme="minorHAnsi"/>
              </w:rPr>
              <w:t>=</w:t>
            </w:r>
            <w:r w:rsidR="00C82DDB" w:rsidRPr="00C82DDB">
              <w:rPr>
                <w:rFonts w:eastAsiaTheme="minorHAnsi"/>
              </w:rPr>
              <w:t>0.</w:t>
            </w:r>
            <w:r w:rsidR="00A76EE2">
              <w:rPr>
                <w:rFonts w:eastAsiaTheme="minorHAnsi"/>
              </w:rPr>
              <w:t>11</w:t>
            </w:r>
          </w:p>
        </w:tc>
      </w:tr>
      <w:tr w:rsidR="00EB1DDC" w:rsidRPr="00E27EAA" w14:paraId="7DD61FC6" w14:textId="77777777" w:rsidTr="00471CE5">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tcPr>
          <w:p w14:paraId="238653EF" w14:textId="374565F5" w:rsidR="00EB1DDC" w:rsidRDefault="00EB1DDC" w:rsidP="00EB1DDC">
            <w:pPr>
              <w:pStyle w:val="TableTextCA"/>
              <w:keepNext/>
              <w:spacing w:after="0"/>
            </w:pPr>
            <w:r>
              <w:t xml:space="preserve">Commentary </w:t>
            </w:r>
            <w:r w:rsidRPr="000739EC">
              <w:t>Meta-analysis</w:t>
            </w:r>
            <w:r>
              <w:t xml:space="preserve"> HTN-3</w:t>
            </w:r>
            <w:r w:rsidR="000C0EB1">
              <w:t xml:space="preserve"> and</w:t>
            </w:r>
            <w:r>
              <w:t xml:space="preserve"> </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4EB9FC" w14:textId="37EBD732" w:rsidR="00EB1DDC" w:rsidRPr="008C666A" w:rsidRDefault="006B6A97" w:rsidP="00EB1DDC">
            <w:pPr>
              <w:pStyle w:val="TableTextCA"/>
              <w:keepNext/>
              <w:rPr>
                <w:rFonts w:ascii="Cambria Math" w:hAnsi="Cambria Math" w:cs="Cambria Math"/>
              </w:rPr>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41E14C" w14:textId="38AC2F92" w:rsidR="00EB1DDC" w:rsidRPr="000739EC" w:rsidRDefault="00EB1DDC" w:rsidP="00EB1DDC">
            <w:pPr>
              <w:pStyle w:val="TableTextCA"/>
              <w:keepNext/>
            </w:pPr>
            <w:r w:rsidRPr="00736014">
              <w:t>364</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6CF80D" w14:textId="13DF0912" w:rsidR="00EB1DDC" w:rsidRDefault="004021D1" w:rsidP="00EB1DDC">
            <w:pPr>
              <w:pStyle w:val="TableTextCA"/>
              <w:keepNext/>
            </w:pPr>
            <w: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74E396" w14:textId="40A9C21D" w:rsidR="00EB1DDC" w:rsidRDefault="00EB1DDC" w:rsidP="00EB1DDC">
            <w:pPr>
              <w:pStyle w:val="TableTextCA"/>
              <w:keepNext/>
            </w:pPr>
            <w:r w:rsidRPr="00736014">
              <w:t>195</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4BDBAB" w14:textId="42A7586E" w:rsidR="00EB1DDC" w:rsidRDefault="004021D1" w:rsidP="00EB1DDC">
            <w:pPr>
              <w:pStyle w:val="TableTextCA"/>
              <w:keepNext/>
            </w:pPr>
            <w:r>
              <w:t>-</w:t>
            </w:r>
          </w:p>
        </w:tc>
        <w:tc>
          <w:tcPr>
            <w:tcW w:w="951" w:type="pct"/>
            <w:tcBorders>
              <w:top w:val="nil"/>
              <w:left w:val="nil"/>
              <w:right w:val="single" w:sz="8" w:space="0" w:color="auto"/>
            </w:tcBorders>
            <w:shd w:val="clear" w:color="auto" w:fill="auto"/>
            <w:noWrap/>
            <w:tcMar>
              <w:top w:w="0" w:type="dxa"/>
              <w:left w:w="108" w:type="dxa"/>
              <w:bottom w:w="0" w:type="dxa"/>
              <w:right w:w="108" w:type="dxa"/>
            </w:tcMar>
          </w:tcPr>
          <w:p w14:paraId="5336F15B" w14:textId="7B1746D3" w:rsidR="00EB1DDC" w:rsidRPr="00736014" w:rsidRDefault="00EB1DDC" w:rsidP="00EB1DDC">
            <w:pPr>
              <w:pStyle w:val="Tabletext0"/>
              <w:keepNext/>
              <w:jc w:val="center"/>
              <w:rPr>
                <w:b/>
                <w:bCs/>
              </w:rPr>
            </w:pPr>
            <w:r w:rsidRPr="00736014">
              <w:t>-1.82 [-4.66, 1.03]</w:t>
            </w:r>
            <w:r w:rsidRPr="00736014">
              <w:br/>
              <w:t>P=0.21</w:t>
            </w:r>
          </w:p>
        </w:tc>
      </w:tr>
      <w:tr w:rsidR="00773514" w:rsidRPr="00E27EAA" w14:paraId="4AD8401B" w14:textId="77777777" w:rsidTr="006D72DC">
        <w:trPr>
          <w:trHeight w:val="255"/>
        </w:trPr>
        <w:tc>
          <w:tcPr>
            <w:tcW w:w="1119" w:type="pct"/>
            <w:tcBorders>
              <w:left w:val="single" w:sz="8" w:space="0" w:color="auto"/>
              <w:right w:val="single" w:sz="8" w:space="0" w:color="auto"/>
            </w:tcBorders>
            <w:shd w:val="clear" w:color="auto" w:fill="auto"/>
            <w:tcMar>
              <w:top w:w="0" w:type="dxa"/>
              <w:left w:w="108" w:type="dxa"/>
              <w:bottom w:w="0" w:type="dxa"/>
              <w:right w:w="108" w:type="dxa"/>
            </w:tcMar>
          </w:tcPr>
          <w:p w14:paraId="62E43117" w14:textId="4FAABD3D" w:rsidR="00773514" w:rsidRDefault="000C0EB1" w:rsidP="000C0EB1">
            <w:pPr>
              <w:pStyle w:val="TableTextCA"/>
              <w:keepNext/>
              <w:spacing w:before="0" w:after="0"/>
            </w:pPr>
            <w:r>
              <w:t>ReSET</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tcPr>
          <w:p w14:paraId="673C3943" w14:textId="4DCD7A51" w:rsidR="00773514" w:rsidRPr="00471CE5" w:rsidRDefault="00773514" w:rsidP="00773514">
            <w:pPr>
              <w:pStyle w:val="TableTextCA"/>
              <w:keepNext/>
              <w:jc w:val="right"/>
              <w:rPr>
                <w:rFonts w:ascii="Cambria Math" w:hAnsi="Cambria Math" w:cs="Cambria Math"/>
              </w:rPr>
            </w:pPr>
            <w:r w:rsidRPr="003A6225">
              <w:rPr>
                <w:lang w:val="it-IT"/>
              </w:rPr>
              <w:t>Het:</w:t>
            </w:r>
          </w:p>
        </w:tc>
        <w:tc>
          <w:tcPr>
            <w:tcW w:w="550" w:type="pct"/>
            <w:gridSpan w:val="2"/>
            <w:tcBorders>
              <w:top w:val="single" w:sz="8" w:space="0" w:color="auto"/>
              <w:left w:val="nil"/>
              <w:bottom w:val="single" w:sz="8" w:space="0" w:color="auto"/>
            </w:tcBorders>
            <w:shd w:val="clear" w:color="auto" w:fill="auto"/>
            <w:tcMar>
              <w:top w:w="0" w:type="dxa"/>
              <w:left w:w="0" w:type="dxa"/>
              <w:bottom w:w="0" w:type="dxa"/>
              <w:right w:w="0" w:type="dxa"/>
            </w:tcMar>
          </w:tcPr>
          <w:p w14:paraId="0C6DAD7D" w14:textId="5EDA4AB1" w:rsidR="00773514" w:rsidRPr="000739EC" w:rsidRDefault="00773514" w:rsidP="00773514">
            <w:pPr>
              <w:pStyle w:val="TableTextCA"/>
              <w:keepNext/>
            </w:pPr>
            <w:r w:rsidRPr="003A6225">
              <w:rPr>
                <w:lang w:val="it-IT"/>
              </w:rPr>
              <w:t>Tau² = 0.00;</w:t>
            </w:r>
          </w:p>
        </w:tc>
        <w:tc>
          <w:tcPr>
            <w:tcW w:w="603" w:type="pct"/>
            <w:tcBorders>
              <w:top w:val="single" w:sz="8" w:space="0" w:color="auto"/>
              <w:left w:val="nil"/>
              <w:bottom w:val="single" w:sz="8" w:space="0" w:color="auto"/>
            </w:tcBorders>
            <w:shd w:val="clear" w:color="auto" w:fill="auto"/>
            <w:tcMar>
              <w:top w:w="0" w:type="dxa"/>
              <w:left w:w="108" w:type="dxa"/>
              <w:bottom w:w="0" w:type="dxa"/>
              <w:right w:w="108" w:type="dxa"/>
            </w:tcMar>
          </w:tcPr>
          <w:p w14:paraId="66A54855" w14:textId="57E1DB93" w:rsidR="00773514" w:rsidRDefault="00773514" w:rsidP="00773514">
            <w:pPr>
              <w:pStyle w:val="TableTextCA"/>
              <w:keepNext/>
            </w:pPr>
            <w:r w:rsidRPr="003A6225">
              <w:rPr>
                <w:lang w:val="it-IT"/>
              </w:rPr>
              <w:t>Chi² = 0.0</w:t>
            </w:r>
            <w:r w:rsidR="00B50528">
              <w:rPr>
                <w:lang w:val="it-IT"/>
              </w:rPr>
              <w:t>5</w:t>
            </w:r>
            <w:r w:rsidRPr="003A6225">
              <w:rPr>
                <w:lang w:val="it-IT"/>
              </w:rPr>
              <w:t>,</w:t>
            </w:r>
          </w:p>
        </w:tc>
        <w:tc>
          <w:tcPr>
            <w:tcW w:w="550" w:type="pct"/>
            <w:tcBorders>
              <w:top w:val="single" w:sz="8" w:space="0" w:color="auto"/>
              <w:left w:val="nil"/>
              <w:bottom w:val="single" w:sz="8" w:space="0" w:color="auto"/>
            </w:tcBorders>
            <w:shd w:val="clear" w:color="auto" w:fill="auto"/>
            <w:tcMar>
              <w:top w:w="0" w:type="dxa"/>
              <w:left w:w="108" w:type="dxa"/>
              <w:bottom w:w="0" w:type="dxa"/>
              <w:right w:w="108" w:type="dxa"/>
            </w:tcMar>
          </w:tcPr>
          <w:p w14:paraId="6DD4E05C" w14:textId="74B7732A" w:rsidR="00773514" w:rsidRDefault="00773514" w:rsidP="00773514">
            <w:pPr>
              <w:pStyle w:val="TableTextCA"/>
              <w:keepNext/>
            </w:pPr>
            <w:r w:rsidRPr="003A6225">
              <w:rPr>
                <w:lang w:val="it-IT"/>
              </w:rPr>
              <w:t>(P = 0.</w:t>
            </w:r>
            <w:r w:rsidR="00B50528">
              <w:rPr>
                <w:lang w:val="it-IT"/>
              </w:rPr>
              <w:t>83</w:t>
            </w:r>
            <w:r w:rsidRPr="003A6225">
              <w:rPr>
                <w:lang w:val="it-IT"/>
              </w:rPr>
              <w:t>);</w:t>
            </w:r>
          </w:p>
        </w:tc>
        <w:tc>
          <w:tcPr>
            <w:tcW w:w="606" w:type="pct"/>
            <w:tcBorders>
              <w:top w:val="nil"/>
              <w:left w:val="nil"/>
              <w:bottom w:val="single" w:sz="8" w:space="0" w:color="auto"/>
              <w:right w:val="single" w:sz="8" w:space="0" w:color="auto"/>
            </w:tcBorders>
            <w:shd w:val="clear" w:color="auto" w:fill="auto"/>
            <w:tcMar>
              <w:top w:w="0" w:type="dxa"/>
              <w:left w:w="0" w:type="dxa"/>
              <w:bottom w:w="0" w:type="dxa"/>
              <w:right w:w="0" w:type="dxa"/>
            </w:tcMar>
          </w:tcPr>
          <w:p w14:paraId="1AB01073" w14:textId="7A3ACB8E" w:rsidR="00773514" w:rsidRDefault="00773514" w:rsidP="006D72DC">
            <w:pPr>
              <w:pStyle w:val="TableTextCA"/>
              <w:keepNext/>
              <w:jc w:val="left"/>
            </w:pPr>
            <w:r w:rsidRPr="003A6225">
              <w:rPr>
                <w:lang w:val="it-IT"/>
              </w:rPr>
              <w:t>I² = 0%</w:t>
            </w:r>
          </w:p>
        </w:tc>
        <w:tc>
          <w:tcPr>
            <w:tcW w:w="951"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tcPr>
          <w:p w14:paraId="6F73DC53" w14:textId="77777777" w:rsidR="00773514" w:rsidRPr="00736014" w:rsidRDefault="00773514" w:rsidP="00773514">
            <w:pPr>
              <w:pStyle w:val="Tabletext0"/>
              <w:keepNext/>
              <w:jc w:val="center"/>
              <w:rPr>
                <w:b/>
                <w:bCs/>
              </w:rPr>
            </w:pPr>
          </w:p>
        </w:tc>
      </w:tr>
      <w:tr w:rsidR="00CB52B0" w:rsidRPr="00E27EAA" w14:paraId="5D09E6A6" w14:textId="77777777" w:rsidTr="00471CE5">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14:paraId="1721478E" w14:textId="3DB7A08A" w:rsidR="00CB52B0" w:rsidRPr="000739EC" w:rsidRDefault="00CB52B0">
            <w:pPr>
              <w:pStyle w:val="TableTextCA"/>
              <w:keepNext/>
              <w:spacing w:after="0"/>
            </w:pPr>
            <w:r>
              <w:t xml:space="preserve">Commentary </w:t>
            </w:r>
            <w:r w:rsidRPr="000739EC">
              <w:t>Meta-analysis</w:t>
            </w:r>
            <w:r>
              <w:t xml:space="preserve"> HTN-3</w:t>
            </w:r>
            <w:r w:rsidR="0084537E">
              <w:t>, ReSET</w:t>
            </w:r>
            <w:r w:rsidR="009E0D73">
              <w:t>,</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C2BE0B" w14:textId="5D5CD432" w:rsidR="00CB52B0" w:rsidRPr="000739EC" w:rsidRDefault="006B6A97">
            <w:pPr>
              <w:pStyle w:val="TableTextCA"/>
              <w:keepNext/>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19353" w14:textId="5C2E7538" w:rsidR="00CB52B0" w:rsidRPr="000739EC" w:rsidRDefault="00CB52B0">
            <w:pPr>
              <w:pStyle w:val="TableTextCA"/>
              <w:keepNext/>
            </w:pPr>
            <w:r w:rsidRPr="000739EC">
              <w:t>55</w:t>
            </w:r>
            <w:r w:rsidR="0084537E">
              <w:t>6</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7D9D36" w14:textId="77777777" w:rsidR="00CB52B0" w:rsidRPr="000739EC" w:rsidRDefault="00CB52B0">
            <w:pPr>
              <w:pStyle w:val="TableTextCA"/>
              <w:keepNext/>
            </w:pPr>
            <w: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04F416" w14:textId="606D56B0" w:rsidR="00CB52B0" w:rsidRPr="000739EC" w:rsidRDefault="0084537E">
            <w:pPr>
              <w:pStyle w:val="TableTextCA"/>
              <w:keepNext/>
            </w:pPr>
            <w:r>
              <w:t>311</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14D72C" w14:textId="77777777" w:rsidR="00CB52B0" w:rsidRPr="000739EC" w:rsidRDefault="00CB52B0">
            <w:pPr>
              <w:pStyle w:val="TableTextCA"/>
              <w:keepNext/>
            </w:pPr>
            <w:r>
              <w:t>-</w:t>
            </w:r>
          </w:p>
        </w:tc>
        <w:tc>
          <w:tcPr>
            <w:tcW w:w="951" w:type="pct"/>
            <w:tcBorders>
              <w:top w:val="single" w:sz="4" w:space="0" w:color="auto"/>
              <w:left w:val="nil"/>
              <w:bottom w:val="nil"/>
              <w:right w:val="single" w:sz="8" w:space="0" w:color="auto"/>
            </w:tcBorders>
            <w:shd w:val="clear" w:color="auto" w:fill="auto"/>
            <w:noWrap/>
            <w:tcMar>
              <w:top w:w="0" w:type="dxa"/>
              <w:left w:w="108" w:type="dxa"/>
              <w:bottom w:w="0" w:type="dxa"/>
              <w:right w:w="108" w:type="dxa"/>
            </w:tcMar>
            <w:hideMark/>
          </w:tcPr>
          <w:p w14:paraId="148F6B09" w14:textId="14C75E60" w:rsidR="00CB52B0" w:rsidRPr="000739EC" w:rsidRDefault="00D00366">
            <w:pPr>
              <w:pStyle w:val="Tabletext0"/>
              <w:keepNext/>
              <w:jc w:val="center"/>
              <w:rPr>
                <w:rFonts w:eastAsiaTheme="minorHAnsi"/>
                <w:b/>
                <w:bCs/>
              </w:rPr>
            </w:pPr>
            <w:r w:rsidRPr="00736014">
              <w:rPr>
                <w:b/>
                <w:bCs/>
              </w:rPr>
              <w:t>-1.92 [-3.76, -0.08]</w:t>
            </w:r>
            <w:r w:rsidRPr="00736014">
              <w:rPr>
                <w:b/>
                <w:bCs/>
              </w:rPr>
              <w:br/>
              <w:t>P=0.04</w:t>
            </w:r>
          </w:p>
        </w:tc>
      </w:tr>
      <w:tr w:rsidR="00CB52B0" w:rsidRPr="00E27EAA" w14:paraId="6DEB254A" w14:textId="77777777">
        <w:trPr>
          <w:trHeight w:val="255"/>
        </w:trPr>
        <w:tc>
          <w:tcPr>
            <w:tcW w:w="1119" w:type="pct"/>
            <w:tcBorders>
              <w:left w:val="single" w:sz="8" w:space="0" w:color="auto"/>
              <w:bottom w:val="single" w:sz="8" w:space="0" w:color="auto"/>
              <w:right w:val="single" w:sz="8" w:space="0" w:color="auto"/>
            </w:tcBorders>
            <w:shd w:val="clear" w:color="auto" w:fill="auto"/>
            <w:hideMark/>
          </w:tcPr>
          <w:p w14:paraId="5FE258DA" w14:textId="77777777" w:rsidR="00CB52B0" w:rsidRPr="000739EC" w:rsidRDefault="00CB52B0">
            <w:pPr>
              <w:pStyle w:val="TableTextCA"/>
              <w:keepNext/>
              <w:spacing w:before="0"/>
            </w:pPr>
            <w:r w:rsidRPr="000739EC">
              <w:t>HTN-ON MED all patients</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hideMark/>
          </w:tcPr>
          <w:p w14:paraId="09778847" w14:textId="77777777" w:rsidR="00CB52B0" w:rsidRPr="003A6225" w:rsidRDefault="00CB52B0">
            <w:pPr>
              <w:pStyle w:val="TableTextCA"/>
              <w:keepNext/>
              <w:jc w:val="right"/>
            </w:pPr>
            <w:r w:rsidRPr="003A6225">
              <w:rPr>
                <w:lang w:val="it-IT"/>
              </w:rPr>
              <w:t>Het:</w:t>
            </w:r>
          </w:p>
        </w:tc>
        <w:tc>
          <w:tcPr>
            <w:tcW w:w="550" w:type="pct"/>
            <w:gridSpan w:val="2"/>
            <w:tcBorders>
              <w:top w:val="single" w:sz="8" w:space="0" w:color="auto"/>
              <w:left w:val="nil"/>
              <w:bottom w:val="single" w:sz="8" w:space="0" w:color="auto"/>
            </w:tcBorders>
            <w:shd w:val="clear" w:color="auto" w:fill="auto"/>
          </w:tcPr>
          <w:p w14:paraId="49B3C08B" w14:textId="77777777" w:rsidR="00CB52B0" w:rsidRPr="003A6225" w:rsidRDefault="00CB52B0">
            <w:pPr>
              <w:pStyle w:val="TableTextCA"/>
              <w:keepNext/>
            </w:pPr>
            <w:r w:rsidRPr="003A6225">
              <w:rPr>
                <w:lang w:val="it-IT"/>
              </w:rPr>
              <w:t>Tau² = 0.00;</w:t>
            </w:r>
          </w:p>
        </w:tc>
        <w:tc>
          <w:tcPr>
            <w:tcW w:w="603" w:type="pct"/>
            <w:tcBorders>
              <w:top w:val="single" w:sz="8" w:space="0" w:color="auto"/>
              <w:left w:val="nil"/>
              <w:bottom w:val="single" w:sz="8" w:space="0" w:color="auto"/>
            </w:tcBorders>
            <w:shd w:val="clear" w:color="auto" w:fill="auto"/>
          </w:tcPr>
          <w:p w14:paraId="0FEE698B" w14:textId="023178EF" w:rsidR="00CB52B0" w:rsidRPr="003A6225" w:rsidRDefault="00CB52B0">
            <w:pPr>
              <w:pStyle w:val="TableTextCA"/>
              <w:keepNext/>
            </w:pPr>
            <w:r w:rsidRPr="003A6225">
              <w:rPr>
                <w:lang w:val="it-IT"/>
              </w:rPr>
              <w:t>Chi² = 0.</w:t>
            </w:r>
            <w:r w:rsidR="003A6225" w:rsidRPr="003A6225">
              <w:rPr>
                <w:lang w:val="it-IT"/>
              </w:rPr>
              <w:t>06</w:t>
            </w:r>
            <w:r w:rsidRPr="003A6225">
              <w:rPr>
                <w:lang w:val="it-IT"/>
              </w:rPr>
              <w:t>,</w:t>
            </w:r>
          </w:p>
        </w:tc>
        <w:tc>
          <w:tcPr>
            <w:tcW w:w="550" w:type="pct"/>
            <w:tcBorders>
              <w:top w:val="single" w:sz="8" w:space="0" w:color="auto"/>
              <w:left w:val="nil"/>
              <w:bottom w:val="single" w:sz="8" w:space="0" w:color="auto"/>
            </w:tcBorders>
            <w:shd w:val="clear" w:color="auto" w:fill="auto"/>
          </w:tcPr>
          <w:p w14:paraId="4853B331" w14:textId="2325ABB2" w:rsidR="00CB52B0" w:rsidRPr="003A6225" w:rsidRDefault="00CB52B0">
            <w:pPr>
              <w:pStyle w:val="TableTextCA"/>
              <w:keepNext/>
            </w:pPr>
            <w:r w:rsidRPr="003A6225">
              <w:rPr>
                <w:lang w:val="it-IT"/>
              </w:rPr>
              <w:t>(P = 0.</w:t>
            </w:r>
            <w:r w:rsidR="003A6225" w:rsidRPr="003A6225">
              <w:rPr>
                <w:lang w:val="it-IT"/>
              </w:rPr>
              <w:t>97</w:t>
            </w:r>
            <w:r w:rsidRPr="003A6225">
              <w:rPr>
                <w:lang w:val="it-IT"/>
              </w:rPr>
              <w:t>);</w:t>
            </w:r>
          </w:p>
        </w:tc>
        <w:tc>
          <w:tcPr>
            <w:tcW w:w="606" w:type="pct"/>
            <w:tcBorders>
              <w:top w:val="nil"/>
              <w:left w:val="nil"/>
              <w:bottom w:val="single" w:sz="8" w:space="0" w:color="auto"/>
              <w:right w:val="single" w:sz="8" w:space="0" w:color="auto"/>
            </w:tcBorders>
            <w:shd w:val="clear" w:color="auto" w:fill="auto"/>
          </w:tcPr>
          <w:p w14:paraId="4E0E3365" w14:textId="77777777" w:rsidR="00CB52B0" w:rsidRPr="003A6225" w:rsidRDefault="00CB52B0">
            <w:pPr>
              <w:pStyle w:val="TableTextCA"/>
              <w:keepNext/>
              <w:jc w:val="left"/>
            </w:pPr>
            <w:r w:rsidRPr="003A6225">
              <w:rPr>
                <w:lang w:val="it-IT"/>
              </w:rPr>
              <w:t>I² = 0%</w:t>
            </w:r>
          </w:p>
        </w:tc>
        <w:tc>
          <w:tcPr>
            <w:tcW w:w="951" w:type="pct"/>
            <w:tcBorders>
              <w:top w:val="nil"/>
              <w:left w:val="nil"/>
              <w:bottom w:val="single" w:sz="8" w:space="0" w:color="auto"/>
              <w:right w:val="single" w:sz="8" w:space="0" w:color="auto"/>
            </w:tcBorders>
            <w:shd w:val="clear" w:color="auto" w:fill="auto"/>
            <w:vAlign w:val="center"/>
            <w:hideMark/>
          </w:tcPr>
          <w:p w14:paraId="11D6864E" w14:textId="77777777" w:rsidR="00CB52B0" w:rsidRPr="000739EC" w:rsidRDefault="00CB52B0">
            <w:pPr>
              <w:pStyle w:val="Tabletext0"/>
              <w:keepNext/>
              <w:jc w:val="left"/>
              <w:rPr>
                <w:b/>
                <w:bCs/>
              </w:rPr>
            </w:pPr>
          </w:p>
        </w:tc>
      </w:tr>
      <w:tr w:rsidR="00CB52B0" w:rsidRPr="00E27EAA" w14:paraId="44219EF6" w14:textId="77777777">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14:paraId="7102889B" w14:textId="4EA907CA" w:rsidR="00CB52B0" w:rsidRPr="000739EC" w:rsidRDefault="00CB52B0">
            <w:pPr>
              <w:pStyle w:val="TableTextCA"/>
              <w:keepNext/>
              <w:spacing w:after="0"/>
            </w:pPr>
            <w:r>
              <w:t xml:space="preserve">Commentary </w:t>
            </w:r>
            <w:r w:rsidRPr="000739EC">
              <w:t xml:space="preserve">Meta-analysis </w:t>
            </w:r>
            <w:r>
              <w:t>HTN-3</w:t>
            </w:r>
            <w:r w:rsidR="00D965CD">
              <w:t>, ReSET</w:t>
            </w:r>
            <w:r w:rsidR="00773514">
              <w:t>,</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3FA4EA" w14:textId="16B79F70" w:rsidR="00CB52B0" w:rsidRPr="000739EC" w:rsidRDefault="006B6A97">
            <w:pPr>
              <w:pStyle w:val="TableTextCA"/>
              <w:keepNext/>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A64932" w14:textId="2A9B2259" w:rsidR="00CB52B0" w:rsidRPr="000739EC" w:rsidRDefault="00F846C2">
            <w:pPr>
              <w:pStyle w:val="TableTextCA"/>
              <w:keepNext/>
            </w:pPr>
            <w:r>
              <w:t>409</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52F91A" w14:textId="77777777" w:rsidR="00CB52B0" w:rsidRPr="000739EC" w:rsidRDefault="00CB52B0">
            <w:pPr>
              <w:pStyle w:val="TableTextCA"/>
              <w:keepNext/>
            </w:pPr>
            <w: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2B308A" w14:textId="0049D28B" w:rsidR="00CB52B0" w:rsidRPr="000739EC" w:rsidRDefault="00F846C2">
            <w:pPr>
              <w:pStyle w:val="TableTextCA"/>
              <w:keepNext/>
            </w:pPr>
            <w:r>
              <w:t>225</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F1ECA8" w14:textId="77777777" w:rsidR="00CB52B0" w:rsidRPr="000739EC" w:rsidRDefault="00CB52B0">
            <w:pPr>
              <w:pStyle w:val="TableTextCA"/>
              <w:keepNext/>
            </w:pPr>
            <w:r>
              <w:t>-</w:t>
            </w:r>
          </w:p>
        </w:tc>
        <w:tc>
          <w:tcPr>
            <w:tcW w:w="951" w:type="pct"/>
            <w:tcBorders>
              <w:top w:val="single" w:sz="8" w:space="0" w:color="auto"/>
              <w:left w:val="nil"/>
              <w:right w:val="single" w:sz="8" w:space="0" w:color="auto"/>
            </w:tcBorders>
            <w:shd w:val="clear" w:color="auto" w:fill="auto"/>
            <w:noWrap/>
            <w:tcMar>
              <w:top w:w="0" w:type="dxa"/>
              <w:left w:w="108" w:type="dxa"/>
              <w:bottom w:w="0" w:type="dxa"/>
              <w:right w:w="108" w:type="dxa"/>
            </w:tcMar>
            <w:hideMark/>
          </w:tcPr>
          <w:p w14:paraId="7410D0A7" w14:textId="327A46AD" w:rsidR="00CB52B0" w:rsidRPr="005453CA" w:rsidRDefault="00CB52B0">
            <w:pPr>
              <w:pStyle w:val="Tabletext0"/>
              <w:keepNext/>
              <w:jc w:val="center"/>
              <w:rPr>
                <w:rFonts w:eastAsiaTheme="minorHAnsi"/>
              </w:rPr>
            </w:pPr>
            <w:r w:rsidRPr="005453CA">
              <w:rPr>
                <w:rFonts w:eastAsiaTheme="minorHAnsi"/>
              </w:rPr>
              <w:t>-</w:t>
            </w:r>
            <w:r w:rsidR="007647F0" w:rsidRPr="005453CA">
              <w:rPr>
                <w:rFonts w:eastAsiaTheme="minorHAnsi"/>
              </w:rPr>
              <w:t>2.36</w:t>
            </w:r>
            <w:r w:rsidRPr="005453CA">
              <w:rPr>
                <w:rFonts w:eastAsiaTheme="minorHAnsi"/>
              </w:rPr>
              <w:t xml:space="preserve"> [-</w:t>
            </w:r>
            <w:r w:rsidR="007647F0" w:rsidRPr="005453CA">
              <w:rPr>
                <w:rFonts w:eastAsiaTheme="minorHAnsi"/>
              </w:rPr>
              <w:t>4.81</w:t>
            </w:r>
            <w:r w:rsidRPr="005453CA">
              <w:rPr>
                <w:rFonts w:eastAsiaTheme="minorHAnsi"/>
              </w:rPr>
              <w:t>, 0.0</w:t>
            </w:r>
            <w:r w:rsidR="007647F0" w:rsidRPr="005453CA">
              <w:rPr>
                <w:rFonts w:eastAsiaTheme="minorHAnsi"/>
              </w:rPr>
              <w:t>9</w:t>
            </w:r>
            <w:r w:rsidRPr="005453CA">
              <w:rPr>
                <w:rFonts w:eastAsiaTheme="minorHAnsi"/>
              </w:rPr>
              <w:t>]</w:t>
            </w:r>
            <w:r w:rsidRPr="005453CA">
              <w:rPr>
                <w:rFonts w:eastAsiaTheme="minorHAnsi"/>
              </w:rPr>
              <w:br/>
              <w:t>P=0.0</w:t>
            </w:r>
            <w:r w:rsidR="005453CA" w:rsidRPr="005453CA">
              <w:rPr>
                <w:rFonts w:eastAsiaTheme="minorHAnsi"/>
              </w:rPr>
              <w:t>6</w:t>
            </w:r>
          </w:p>
        </w:tc>
      </w:tr>
      <w:tr w:rsidR="00CB52B0" w:rsidRPr="00E27EAA" w14:paraId="253E6DC3" w14:textId="77777777">
        <w:trPr>
          <w:trHeight w:val="60"/>
        </w:trPr>
        <w:tc>
          <w:tcPr>
            <w:tcW w:w="1119" w:type="pct"/>
            <w:tcBorders>
              <w:left w:val="single" w:sz="8" w:space="0" w:color="auto"/>
              <w:bottom w:val="single" w:sz="4" w:space="0" w:color="auto"/>
              <w:right w:val="single" w:sz="8" w:space="0" w:color="auto"/>
            </w:tcBorders>
            <w:shd w:val="clear" w:color="auto" w:fill="auto"/>
            <w:hideMark/>
          </w:tcPr>
          <w:p w14:paraId="58DC2CCA" w14:textId="4F84FA25" w:rsidR="00CB52B0" w:rsidRPr="00E27EAA" w:rsidRDefault="00CB52B0">
            <w:pPr>
              <w:pStyle w:val="TableTextCA"/>
              <w:keepNext/>
              <w:spacing w:before="0"/>
              <w:rPr>
                <w:i/>
                <w:iCs/>
              </w:rPr>
            </w:pPr>
            <w:r w:rsidRPr="000739EC">
              <w:t>HTN-ON MED subgroup</w:t>
            </w:r>
            <w:r w:rsidR="000F7495">
              <w:rPr>
                <w:vertAlign w:val="superscript"/>
              </w:rPr>
              <w:t>b</w:t>
            </w:r>
          </w:p>
        </w:tc>
        <w:tc>
          <w:tcPr>
            <w:tcW w:w="625" w:type="pct"/>
            <w:gridSpan w:val="2"/>
            <w:tcBorders>
              <w:top w:val="nil"/>
              <w:left w:val="nil"/>
              <w:bottom w:val="single" w:sz="4" w:space="0" w:color="auto"/>
            </w:tcBorders>
            <w:shd w:val="clear" w:color="auto" w:fill="auto"/>
            <w:tcMar>
              <w:top w:w="0" w:type="dxa"/>
              <w:left w:w="108" w:type="dxa"/>
              <w:bottom w:w="0" w:type="dxa"/>
              <w:right w:w="108" w:type="dxa"/>
            </w:tcMar>
            <w:hideMark/>
          </w:tcPr>
          <w:p w14:paraId="11AF3107" w14:textId="77777777" w:rsidR="00CB52B0" w:rsidRPr="00D750BD" w:rsidRDefault="00CB52B0">
            <w:pPr>
              <w:pStyle w:val="TableTextCA"/>
              <w:keepNext/>
              <w:jc w:val="right"/>
            </w:pPr>
            <w:r w:rsidRPr="00D750BD">
              <w:rPr>
                <w:lang w:val="it-IT"/>
              </w:rPr>
              <w:t>Het:</w:t>
            </w:r>
          </w:p>
        </w:tc>
        <w:tc>
          <w:tcPr>
            <w:tcW w:w="546" w:type="pct"/>
            <w:tcBorders>
              <w:top w:val="nil"/>
              <w:left w:val="nil"/>
              <w:bottom w:val="single" w:sz="4" w:space="0" w:color="auto"/>
            </w:tcBorders>
            <w:shd w:val="clear" w:color="auto" w:fill="auto"/>
          </w:tcPr>
          <w:p w14:paraId="08F8A5C0" w14:textId="77777777" w:rsidR="00CB52B0" w:rsidRPr="00D750BD" w:rsidRDefault="00CB52B0">
            <w:pPr>
              <w:pStyle w:val="TableTextCA"/>
              <w:keepNext/>
            </w:pPr>
            <w:r w:rsidRPr="00D750BD">
              <w:rPr>
                <w:lang w:val="it-IT"/>
              </w:rPr>
              <w:t>Tau² = 0.00;</w:t>
            </w:r>
          </w:p>
        </w:tc>
        <w:tc>
          <w:tcPr>
            <w:tcW w:w="603" w:type="pct"/>
            <w:tcBorders>
              <w:top w:val="single" w:sz="8" w:space="0" w:color="auto"/>
              <w:left w:val="nil"/>
              <w:bottom w:val="single" w:sz="4" w:space="0" w:color="auto"/>
            </w:tcBorders>
            <w:shd w:val="clear" w:color="auto" w:fill="auto"/>
          </w:tcPr>
          <w:p w14:paraId="45FB5FD0" w14:textId="292E92B6" w:rsidR="00CB52B0" w:rsidRPr="00D750BD" w:rsidRDefault="00CB52B0">
            <w:pPr>
              <w:pStyle w:val="TableTextCA"/>
              <w:keepNext/>
            </w:pPr>
            <w:r w:rsidRPr="00D750BD">
              <w:rPr>
                <w:lang w:val="it-IT"/>
              </w:rPr>
              <w:t>Chi² = 0.</w:t>
            </w:r>
            <w:r w:rsidR="00D750BD" w:rsidRPr="00D750BD">
              <w:rPr>
                <w:lang w:val="it-IT"/>
              </w:rPr>
              <w:t>59</w:t>
            </w:r>
            <w:r w:rsidRPr="00D750BD">
              <w:rPr>
                <w:lang w:val="it-IT"/>
              </w:rPr>
              <w:t>,</w:t>
            </w:r>
          </w:p>
        </w:tc>
        <w:tc>
          <w:tcPr>
            <w:tcW w:w="550" w:type="pct"/>
            <w:tcBorders>
              <w:top w:val="single" w:sz="8" w:space="0" w:color="auto"/>
              <w:left w:val="nil"/>
              <w:bottom w:val="single" w:sz="4" w:space="0" w:color="auto"/>
            </w:tcBorders>
            <w:shd w:val="clear" w:color="auto" w:fill="auto"/>
          </w:tcPr>
          <w:p w14:paraId="579776B8" w14:textId="2AAF95F0" w:rsidR="00CB52B0" w:rsidRPr="00D750BD" w:rsidRDefault="00CB52B0">
            <w:pPr>
              <w:pStyle w:val="TableTextCA"/>
              <w:keepNext/>
            </w:pPr>
            <w:r w:rsidRPr="00D750BD">
              <w:rPr>
                <w:lang w:val="it-IT"/>
              </w:rPr>
              <w:t>(P = 0.</w:t>
            </w:r>
            <w:r w:rsidR="00D750BD" w:rsidRPr="00D750BD">
              <w:rPr>
                <w:lang w:val="it-IT"/>
              </w:rPr>
              <w:t>75</w:t>
            </w:r>
            <w:r w:rsidRPr="00D750BD">
              <w:rPr>
                <w:lang w:val="it-IT"/>
              </w:rPr>
              <w:t>);</w:t>
            </w:r>
          </w:p>
        </w:tc>
        <w:tc>
          <w:tcPr>
            <w:tcW w:w="606" w:type="pct"/>
            <w:tcBorders>
              <w:top w:val="nil"/>
              <w:left w:val="nil"/>
              <w:bottom w:val="single" w:sz="4" w:space="0" w:color="auto"/>
              <w:right w:val="single" w:sz="8" w:space="0" w:color="auto"/>
            </w:tcBorders>
            <w:shd w:val="clear" w:color="auto" w:fill="auto"/>
          </w:tcPr>
          <w:p w14:paraId="68B2479C" w14:textId="77777777" w:rsidR="00CB52B0" w:rsidRPr="00D750BD" w:rsidRDefault="00CB52B0">
            <w:pPr>
              <w:pStyle w:val="TableTextCA"/>
              <w:keepNext/>
              <w:jc w:val="left"/>
            </w:pPr>
            <w:r w:rsidRPr="00D750BD">
              <w:rPr>
                <w:lang w:val="it-IT"/>
              </w:rPr>
              <w:t>I² = 0%</w:t>
            </w:r>
          </w:p>
        </w:tc>
        <w:tc>
          <w:tcPr>
            <w:tcW w:w="951" w:type="pct"/>
            <w:tcBorders>
              <w:left w:val="nil"/>
              <w:bottom w:val="single" w:sz="4" w:space="0" w:color="auto"/>
              <w:right w:val="single" w:sz="8" w:space="0" w:color="auto"/>
            </w:tcBorders>
            <w:shd w:val="clear" w:color="auto" w:fill="auto"/>
            <w:vAlign w:val="center"/>
            <w:hideMark/>
          </w:tcPr>
          <w:p w14:paraId="1A72128D" w14:textId="77777777" w:rsidR="00CB52B0" w:rsidRPr="00446079" w:rsidRDefault="00CB52B0">
            <w:pPr>
              <w:pStyle w:val="Tabletext0"/>
              <w:keepNext/>
              <w:jc w:val="center"/>
              <w:rPr>
                <w:b/>
                <w:bCs/>
              </w:rPr>
            </w:pPr>
          </w:p>
        </w:tc>
      </w:tr>
      <w:tr w:rsidR="00CB52B0" w:rsidRPr="00E27EAA" w14:paraId="3456C870" w14:textId="77777777">
        <w:trPr>
          <w:trHeight w:val="546"/>
        </w:trPr>
        <w:tc>
          <w:tcPr>
            <w:tcW w:w="1119"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670590B4" w14:textId="4520C1A8" w:rsidR="00CB52B0" w:rsidRPr="00C86642" w:rsidRDefault="00CB52B0">
            <w:pPr>
              <w:pStyle w:val="TableTextCA"/>
              <w:keepNext/>
              <w:rPr>
                <w:color w:val="7F7F7F" w:themeColor="text1" w:themeTint="80"/>
              </w:rPr>
            </w:pPr>
            <w:r w:rsidRPr="00C86642">
              <w:rPr>
                <w:color w:val="7F7F7F" w:themeColor="text1" w:themeTint="80"/>
              </w:rPr>
              <w:t>SPYRAL HTN-OFF MED</w:t>
            </w:r>
          </w:p>
        </w:tc>
        <w:tc>
          <w:tcPr>
            <w:tcW w:w="621" w:type="pct"/>
            <w:tcBorders>
              <w:top w:val="nil"/>
              <w:left w:val="nil"/>
              <w:bottom w:val="single" w:sz="4" w:space="0" w:color="auto"/>
              <w:right w:val="single" w:sz="8" w:space="0" w:color="auto"/>
            </w:tcBorders>
            <w:tcMar>
              <w:top w:w="0" w:type="dxa"/>
              <w:left w:w="108" w:type="dxa"/>
              <w:bottom w:w="0" w:type="dxa"/>
              <w:right w:w="108" w:type="dxa"/>
            </w:tcMar>
          </w:tcPr>
          <w:p w14:paraId="5B8D3270" w14:textId="77777777" w:rsidR="00CB52B0" w:rsidRPr="00774C99" w:rsidRDefault="00CB52B0">
            <w:pPr>
              <w:pStyle w:val="TableTextCA"/>
              <w:keepNext/>
              <w:rPr>
                <w:color w:val="7F7F7F" w:themeColor="text1" w:themeTint="80"/>
              </w:rPr>
            </w:pPr>
            <w:r w:rsidRPr="00774C99">
              <w:rPr>
                <w:color w:val="7F7F7F" w:themeColor="text1" w:themeTint="80"/>
              </w:rPr>
              <w:t>-</w:t>
            </w:r>
          </w:p>
        </w:tc>
        <w:tc>
          <w:tcPr>
            <w:tcW w:w="550" w:type="pct"/>
            <w:gridSpan w:val="2"/>
            <w:tcBorders>
              <w:top w:val="nil"/>
              <w:left w:val="nil"/>
              <w:bottom w:val="single" w:sz="4" w:space="0" w:color="auto"/>
              <w:right w:val="single" w:sz="8" w:space="0" w:color="auto"/>
            </w:tcBorders>
            <w:tcMar>
              <w:top w:w="0" w:type="dxa"/>
              <w:left w:w="108" w:type="dxa"/>
              <w:bottom w:w="0" w:type="dxa"/>
              <w:right w:w="108" w:type="dxa"/>
            </w:tcMar>
          </w:tcPr>
          <w:p w14:paraId="52D4E5DA" w14:textId="71518ADB" w:rsidR="00CB52B0" w:rsidRPr="00774C99" w:rsidRDefault="00155A0E">
            <w:pPr>
              <w:pStyle w:val="TableTextCA"/>
              <w:keepNext/>
              <w:rPr>
                <w:color w:val="7F7F7F" w:themeColor="text1" w:themeTint="80"/>
              </w:rPr>
            </w:pPr>
            <w:r w:rsidRPr="00774C99">
              <w:rPr>
                <w:color w:val="7F7F7F" w:themeColor="text1" w:themeTint="80"/>
              </w:rPr>
              <w:t>140/166</w:t>
            </w:r>
            <w:r w:rsidR="00CB52B0" w:rsidRPr="00774C99">
              <w:rPr>
                <w:color w:val="7F7F7F" w:themeColor="text1" w:themeTint="80"/>
              </w:rPr>
              <w:br/>
              <w:t>(</w:t>
            </w:r>
            <w:r w:rsidR="00BB60AF" w:rsidRPr="00774C99">
              <w:rPr>
                <w:color w:val="7F7F7F" w:themeColor="text1" w:themeTint="80"/>
              </w:rPr>
              <w:t>84.3</w:t>
            </w:r>
            <w:r w:rsidR="00CB52B0" w:rsidRPr="00774C99">
              <w:rPr>
                <w:color w:val="7F7F7F" w:themeColor="text1" w:themeTint="80"/>
              </w:rPr>
              <w:t>%)</w:t>
            </w:r>
          </w:p>
        </w:tc>
        <w:tc>
          <w:tcPr>
            <w:tcW w:w="603" w:type="pct"/>
            <w:tcBorders>
              <w:top w:val="nil"/>
              <w:left w:val="nil"/>
              <w:bottom w:val="single" w:sz="4" w:space="0" w:color="auto"/>
              <w:right w:val="single" w:sz="8" w:space="0" w:color="auto"/>
            </w:tcBorders>
            <w:tcMar>
              <w:top w:w="0" w:type="dxa"/>
              <w:left w:w="108" w:type="dxa"/>
              <w:bottom w:w="0" w:type="dxa"/>
              <w:right w:w="108" w:type="dxa"/>
            </w:tcMar>
          </w:tcPr>
          <w:p w14:paraId="4C82BD01" w14:textId="2BD7DBA5" w:rsidR="00CB52B0" w:rsidRPr="00774C99" w:rsidRDefault="00CB52B0">
            <w:pPr>
              <w:pStyle w:val="TableTextCA"/>
              <w:keepNext/>
              <w:rPr>
                <w:color w:val="7F7F7F" w:themeColor="text1" w:themeTint="80"/>
              </w:rPr>
            </w:pPr>
            <w:r w:rsidRPr="00774C99">
              <w:rPr>
                <w:color w:val="7F7F7F" w:themeColor="text1" w:themeTint="80"/>
              </w:rPr>
              <w:t>-</w:t>
            </w:r>
            <w:r w:rsidR="00BB60AF" w:rsidRPr="00774C99">
              <w:rPr>
                <w:color w:val="7F7F7F" w:themeColor="text1" w:themeTint="80"/>
              </w:rPr>
              <w:t>4.7</w:t>
            </w:r>
            <w:r w:rsidRPr="00774C99">
              <w:rPr>
                <w:color w:val="7F7F7F" w:themeColor="text1" w:themeTint="80"/>
              </w:rPr>
              <w:br/>
              <w:t>(</w:t>
            </w:r>
            <w:r w:rsidR="00BB60AF" w:rsidRPr="00774C99">
              <w:rPr>
                <w:color w:val="7F7F7F" w:themeColor="text1" w:themeTint="80"/>
              </w:rPr>
              <w:t>10.40</w:t>
            </w:r>
            <w:r w:rsidRPr="00774C99">
              <w:rPr>
                <w:color w:val="7F7F7F" w:themeColor="text1" w:themeTint="80"/>
              </w:rPr>
              <w:t>)</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4E999CEA" w14:textId="7A69298E" w:rsidR="00CB52B0" w:rsidRPr="00774C99" w:rsidRDefault="00BB60AF">
            <w:pPr>
              <w:pStyle w:val="TableTextCA"/>
              <w:keepNext/>
              <w:rPr>
                <w:color w:val="7F7F7F" w:themeColor="text1" w:themeTint="80"/>
              </w:rPr>
            </w:pPr>
            <w:r w:rsidRPr="00774C99">
              <w:rPr>
                <w:color w:val="7F7F7F" w:themeColor="text1" w:themeTint="80"/>
              </w:rPr>
              <w:t>134/165</w:t>
            </w:r>
            <w:r w:rsidR="00CB52B0" w:rsidRPr="00774C99">
              <w:rPr>
                <w:color w:val="7F7F7F" w:themeColor="text1" w:themeTint="80"/>
              </w:rPr>
              <w:br/>
              <w:t>(</w:t>
            </w:r>
            <w:r w:rsidR="0084085D" w:rsidRPr="00774C99">
              <w:rPr>
                <w:color w:val="7F7F7F" w:themeColor="text1" w:themeTint="80"/>
              </w:rPr>
              <w:t>81.2</w:t>
            </w:r>
            <w:r w:rsidR="00CB52B0" w:rsidRPr="00774C99">
              <w:rPr>
                <w:color w:val="7F7F7F" w:themeColor="text1" w:themeTint="80"/>
              </w:rPr>
              <w:t>%)</w:t>
            </w:r>
          </w:p>
        </w:tc>
        <w:tc>
          <w:tcPr>
            <w:tcW w:w="606" w:type="pct"/>
            <w:tcBorders>
              <w:top w:val="nil"/>
              <w:left w:val="nil"/>
              <w:bottom w:val="single" w:sz="4" w:space="0" w:color="auto"/>
              <w:right w:val="single" w:sz="8" w:space="0" w:color="auto"/>
            </w:tcBorders>
            <w:tcMar>
              <w:top w:w="0" w:type="dxa"/>
              <w:left w:w="108" w:type="dxa"/>
              <w:bottom w:w="0" w:type="dxa"/>
              <w:right w:w="108" w:type="dxa"/>
            </w:tcMar>
          </w:tcPr>
          <w:p w14:paraId="762596C5" w14:textId="7C390643" w:rsidR="00CB52B0" w:rsidRPr="00774C99" w:rsidRDefault="00CB52B0">
            <w:pPr>
              <w:pStyle w:val="TableTextCA"/>
              <w:keepNext/>
              <w:rPr>
                <w:color w:val="7F7F7F" w:themeColor="text1" w:themeTint="80"/>
              </w:rPr>
            </w:pPr>
            <w:r w:rsidRPr="00774C99">
              <w:rPr>
                <w:color w:val="7F7F7F" w:themeColor="text1" w:themeTint="80"/>
              </w:rPr>
              <w:t>-</w:t>
            </w:r>
            <w:r w:rsidR="0084085D" w:rsidRPr="00774C99">
              <w:rPr>
                <w:color w:val="7F7F7F" w:themeColor="text1" w:themeTint="80"/>
              </w:rPr>
              <w:t>0.6</w:t>
            </w:r>
            <w:r w:rsidRPr="00774C99">
              <w:rPr>
                <w:color w:val="7F7F7F" w:themeColor="text1" w:themeTint="80"/>
              </w:rPr>
              <w:br/>
              <w:t>(</w:t>
            </w:r>
            <w:r w:rsidR="0084085D" w:rsidRPr="00774C99">
              <w:rPr>
                <w:color w:val="7F7F7F" w:themeColor="text1" w:themeTint="80"/>
              </w:rPr>
              <w:t>8.60</w:t>
            </w:r>
            <w:r w:rsidRPr="00774C99">
              <w:rPr>
                <w:color w:val="7F7F7F" w:themeColor="text1" w:themeTint="80"/>
              </w:rPr>
              <w:t>)</w:t>
            </w:r>
          </w:p>
        </w:tc>
        <w:tc>
          <w:tcPr>
            <w:tcW w:w="951" w:type="pct"/>
            <w:tcBorders>
              <w:top w:val="nil"/>
              <w:left w:val="nil"/>
              <w:bottom w:val="single" w:sz="4" w:space="0" w:color="auto"/>
              <w:right w:val="single" w:sz="8" w:space="0" w:color="auto"/>
            </w:tcBorders>
            <w:noWrap/>
            <w:tcMar>
              <w:top w:w="0" w:type="dxa"/>
              <w:left w:w="108" w:type="dxa"/>
              <w:bottom w:w="0" w:type="dxa"/>
              <w:right w:w="108" w:type="dxa"/>
            </w:tcMar>
          </w:tcPr>
          <w:p w14:paraId="1B15F4A3" w14:textId="0D1F5479" w:rsidR="00CB52B0" w:rsidRPr="00D916F4" w:rsidRDefault="00CB52B0">
            <w:pPr>
              <w:pStyle w:val="Tabletext0"/>
              <w:keepNext/>
              <w:jc w:val="center"/>
              <w:rPr>
                <w:rFonts w:eastAsiaTheme="minorHAnsi"/>
                <w:b/>
                <w:bCs/>
                <w:color w:val="7F7F7F" w:themeColor="text1" w:themeTint="80"/>
              </w:rPr>
            </w:pPr>
            <w:r w:rsidRPr="00D916F4">
              <w:rPr>
                <w:b/>
                <w:bCs/>
                <w:color w:val="7F7F7F" w:themeColor="text1" w:themeTint="80"/>
              </w:rPr>
              <w:t>-</w:t>
            </w:r>
            <w:r w:rsidR="00604953" w:rsidRPr="00D916F4">
              <w:rPr>
                <w:b/>
                <w:bCs/>
                <w:color w:val="7F7F7F" w:themeColor="text1" w:themeTint="80"/>
              </w:rPr>
              <w:t>4.00</w:t>
            </w:r>
            <w:r w:rsidRPr="00D916F4">
              <w:rPr>
                <w:b/>
                <w:bCs/>
                <w:color w:val="7F7F7F" w:themeColor="text1" w:themeTint="80"/>
              </w:rPr>
              <w:t xml:space="preserve"> [-</w:t>
            </w:r>
            <w:r w:rsidR="00604953" w:rsidRPr="00D916F4">
              <w:rPr>
                <w:b/>
                <w:bCs/>
                <w:color w:val="7F7F7F" w:themeColor="text1" w:themeTint="80"/>
              </w:rPr>
              <w:t>6.2</w:t>
            </w:r>
            <w:r w:rsidRPr="00D916F4">
              <w:rPr>
                <w:b/>
                <w:bCs/>
                <w:color w:val="7F7F7F" w:themeColor="text1" w:themeTint="80"/>
              </w:rPr>
              <w:t>, -</w:t>
            </w:r>
            <w:r w:rsidR="00D916F4" w:rsidRPr="00D916F4">
              <w:rPr>
                <w:b/>
                <w:bCs/>
                <w:color w:val="7F7F7F" w:themeColor="text1" w:themeTint="80"/>
              </w:rPr>
              <w:t>1.8</w:t>
            </w:r>
            <w:r w:rsidRPr="00D916F4">
              <w:rPr>
                <w:b/>
                <w:bCs/>
                <w:color w:val="7F7F7F" w:themeColor="text1" w:themeTint="80"/>
              </w:rPr>
              <w:t>]</w:t>
            </w:r>
            <w:r w:rsidRPr="00D916F4">
              <w:rPr>
                <w:b/>
                <w:bCs/>
                <w:color w:val="7F7F7F" w:themeColor="text1" w:themeTint="80"/>
              </w:rPr>
              <w:br/>
              <w:t>P&lt;0.001</w:t>
            </w:r>
          </w:p>
        </w:tc>
      </w:tr>
      <w:tr w:rsidR="00CB52B0" w:rsidRPr="00E27EAA" w14:paraId="19E1387B" w14:textId="77777777">
        <w:trPr>
          <w:trHeight w:val="546"/>
        </w:trPr>
        <w:tc>
          <w:tcPr>
            <w:tcW w:w="1119" w:type="pct"/>
            <w:tcBorders>
              <w:top w:val="single" w:sz="4" w:space="0" w:color="auto"/>
              <w:left w:val="single" w:sz="8" w:space="0" w:color="auto"/>
              <w:right w:val="single" w:sz="8" w:space="0" w:color="auto"/>
            </w:tcBorders>
            <w:tcMar>
              <w:top w:w="0" w:type="dxa"/>
              <w:left w:w="108" w:type="dxa"/>
              <w:bottom w:w="0" w:type="dxa"/>
              <w:right w:w="108" w:type="dxa"/>
            </w:tcMar>
            <w:vAlign w:val="bottom"/>
          </w:tcPr>
          <w:p w14:paraId="00544583" w14:textId="566C7E37" w:rsidR="00CB52B0" w:rsidRPr="002152A4" w:rsidRDefault="00CB52B0">
            <w:pPr>
              <w:pStyle w:val="TableTextCA"/>
              <w:keepNext/>
              <w:spacing w:after="0"/>
              <w:rPr>
                <w:color w:val="7F7F7F" w:themeColor="text1" w:themeTint="80"/>
                <w:lang w:val="es-ES"/>
              </w:rPr>
            </w:pPr>
            <w:r w:rsidRPr="002152A4">
              <w:rPr>
                <w:color w:val="7F7F7F" w:themeColor="text1" w:themeTint="80"/>
                <w:lang w:val="es-ES"/>
              </w:rPr>
              <w:t xml:space="preserve">ADAR Meta-analysis HTN-3, </w:t>
            </w:r>
            <w:r w:rsidR="00F04BA8" w:rsidRPr="002152A4">
              <w:rPr>
                <w:color w:val="7F7F7F" w:themeColor="text1" w:themeTint="80"/>
                <w:lang w:val="es-ES"/>
              </w:rPr>
              <w:t xml:space="preserve">ReSET, </w:t>
            </w:r>
          </w:p>
        </w:tc>
        <w:tc>
          <w:tcPr>
            <w:tcW w:w="62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FB5761" w14:textId="47BE7287" w:rsidR="00CB52B0" w:rsidRPr="007653D4" w:rsidRDefault="006B6A97">
            <w:pPr>
              <w:pStyle w:val="TableTextCA"/>
              <w:keepNext/>
              <w:rPr>
                <w:color w:val="7F7F7F" w:themeColor="text1" w:themeTint="80"/>
              </w:rPr>
            </w:pPr>
            <w:r w:rsidRPr="007653D4">
              <w:rPr>
                <w:rFonts w:ascii="Cambria Math" w:hAnsi="Cambria Math" w:cs="Cambria Math"/>
                <w:color w:val="00B050"/>
              </w:rPr>
              <w:t>⨁</w:t>
            </w:r>
            <w:r w:rsidR="00DD6D1A" w:rsidRPr="007653D4">
              <w:rPr>
                <w:rFonts w:ascii="Cambria Math" w:hAnsi="Cambria Math" w:cs="Cambria Math"/>
                <w:color w:val="FF0000"/>
              </w:rPr>
              <w:t>⨀</w:t>
            </w:r>
            <w:r w:rsidRPr="007653D4">
              <w:rPr>
                <w:rFonts w:ascii="Cambria Math" w:hAnsi="Cambria Math" w:cs="Cambria Math"/>
                <w:color w:val="FF0000"/>
              </w:rPr>
              <w:t>⨀⨀</w:t>
            </w:r>
            <w:r w:rsidRPr="007653D4">
              <w:br/>
            </w:r>
            <w:r w:rsidR="00DD6D1A" w:rsidRPr="007653D4">
              <w:t>Very l</w:t>
            </w:r>
            <w:r w:rsidRPr="007653D4">
              <w:t>ow</w:t>
            </w:r>
          </w:p>
        </w:tc>
        <w:tc>
          <w:tcPr>
            <w:tcW w:w="55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4540533" w14:textId="62AC8FD6" w:rsidR="00CB52B0" w:rsidRPr="007653D4" w:rsidRDefault="00037B44">
            <w:pPr>
              <w:pStyle w:val="TableTextCA"/>
              <w:keepNext/>
              <w:rPr>
                <w:color w:val="7F7F7F" w:themeColor="text1" w:themeTint="80"/>
              </w:rPr>
            </w:pPr>
            <w:r w:rsidRPr="007653D4">
              <w:rPr>
                <w:color w:val="7F7F7F" w:themeColor="text1" w:themeTint="80"/>
              </w:rPr>
              <w:t>696</w:t>
            </w:r>
          </w:p>
        </w:tc>
        <w:tc>
          <w:tcPr>
            <w:tcW w:w="6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658390A" w14:textId="77777777" w:rsidR="00CB52B0" w:rsidRPr="007653D4" w:rsidRDefault="00CB52B0">
            <w:pPr>
              <w:pStyle w:val="TableTextCA"/>
              <w:keepNext/>
              <w:rPr>
                <w:color w:val="7F7F7F" w:themeColor="text1" w:themeTint="80"/>
              </w:rPr>
            </w:pPr>
            <w:r w:rsidRPr="007653D4">
              <w:rPr>
                <w:color w:val="7F7F7F" w:themeColor="text1" w:themeTint="80"/>
              </w:rPr>
              <w:t>-</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191015C" w14:textId="35A90295" w:rsidR="00CB52B0" w:rsidRPr="007653D4" w:rsidRDefault="00037B44">
            <w:pPr>
              <w:pStyle w:val="TableTextCA"/>
              <w:keepNext/>
              <w:rPr>
                <w:color w:val="7F7F7F" w:themeColor="text1" w:themeTint="80"/>
              </w:rPr>
            </w:pPr>
            <w:r w:rsidRPr="007653D4">
              <w:rPr>
                <w:color w:val="7F7F7F" w:themeColor="text1" w:themeTint="80"/>
              </w:rPr>
              <w:t>445</w:t>
            </w:r>
          </w:p>
        </w:tc>
        <w:tc>
          <w:tcPr>
            <w:tcW w:w="60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2EE0043" w14:textId="77777777" w:rsidR="00CB52B0" w:rsidRPr="007653D4" w:rsidRDefault="00CB52B0">
            <w:pPr>
              <w:pStyle w:val="TableTextCA"/>
              <w:keepNext/>
              <w:rPr>
                <w:color w:val="7F7F7F" w:themeColor="text1" w:themeTint="80"/>
              </w:rPr>
            </w:pPr>
            <w:r w:rsidRPr="007653D4">
              <w:rPr>
                <w:color w:val="7F7F7F" w:themeColor="text1" w:themeTint="80"/>
              </w:rPr>
              <w:t>-</w:t>
            </w:r>
          </w:p>
        </w:tc>
        <w:tc>
          <w:tcPr>
            <w:tcW w:w="951" w:type="pct"/>
            <w:tcBorders>
              <w:top w:val="single" w:sz="4" w:space="0" w:color="auto"/>
              <w:left w:val="nil"/>
              <w:right w:val="single" w:sz="8" w:space="0" w:color="auto"/>
            </w:tcBorders>
            <w:noWrap/>
            <w:tcMar>
              <w:top w:w="0" w:type="dxa"/>
              <w:left w:w="108" w:type="dxa"/>
              <w:bottom w:w="0" w:type="dxa"/>
              <w:right w:w="108" w:type="dxa"/>
            </w:tcMar>
          </w:tcPr>
          <w:p w14:paraId="3F8CDC03" w14:textId="70FF7CB0" w:rsidR="00CB52B0" w:rsidRPr="007653D4" w:rsidRDefault="00CB52B0">
            <w:pPr>
              <w:pStyle w:val="Tabletext0"/>
              <w:keepNext/>
              <w:jc w:val="center"/>
              <w:rPr>
                <w:b/>
                <w:bCs/>
                <w:color w:val="7F7F7F" w:themeColor="text1" w:themeTint="80"/>
              </w:rPr>
            </w:pPr>
            <w:r w:rsidRPr="007653D4">
              <w:rPr>
                <w:b/>
                <w:bCs/>
                <w:color w:val="7F7F7F" w:themeColor="text1" w:themeTint="80"/>
              </w:rPr>
              <w:t>-</w:t>
            </w:r>
            <w:r w:rsidR="006572C7" w:rsidRPr="007653D4">
              <w:rPr>
                <w:b/>
                <w:bCs/>
                <w:color w:val="7F7F7F" w:themeColor="text1" w:themeTint="80"/>
              </w:rPr>
              <w:t>2.79</w:t>
            </w:r>
            <w:r w:rsidRPr="007653D4">
              <w:rPr>
                <w:b/>
                <w:bCs/>
                <w:color w:val="7F7F7F" w:themeColor="text1" w:themeTint="80"/>
              </w:rPr>
              <w:t xml:space="preserve"> [-</w:t>
            </w:r>
            <w:r w:rsidR="00037B44" w:rsidRPr="007653D4">
              <w:rPr>
                <w:b/>
                <w:bCs/>
                <w:color w:val="7F7F7F" w:themeColor="text1" w:themeTint="80"/>
              </w:rPr>
              <w:t>4.22</w:t>
            </w:r>
            <w:r w:rsidRPr="007653D4">
              <w:rPr>
                <w:b/>
                <w:bCs/>
                <w:color w:val="7F7F7F" w:themeColor="text1" w:themeTint="80"/>
              </w:rPr>
              <w:t>, -</w:t>
            </w:r>
            <w:r w:rsidR="00037B44" w:rsidRPr="007653D4">
              <w:rPr>
                <w:b/>
                <w:bCs/>
                <w:color w:val="7F7F7F" w:themeColor="text1" w:themeTint="80"/>
              </w:rPr>
              <w:t>1.3</w:t>
            </w:r>
            <w:r w:rsidR="005B42C0" w:rsidRPr="007653D4">
              <w:rPr>
                <w:b/>
                <w:bCs/>
                <w:color w:val="7F7F7F" w:themeColor="text1" w:themeTint="80"/>
              </w:rPr>
              <w:t>7</w:t>
            </w:r>
            <w:r w:rsidRPr="007653D4">
              <w:rPr>
                <w:b/>
                <w:bCs/>
                <w:color w:val="7F7F7F" w:themeColor="text1" w:themeTint="80"/>
              </w:rPr>
              <w:t>]</w:t>
            </w:r>
            <w:r w:rsidRPr="007653D4">
              <w:rPr>
                <w:b/>
                <w:bCs/>
                <w:color w:val="7F7F7F" w:themeColor="text1" w:themeTint="80"/>
              </w:rPr>
              <w:br/>
              <w:t>P</w:t>
            </w:r>
            <w:r w:rsidR="005B42C0" w:rsidRPr="007653D4">
              <w:rPr>
                <w:b/>
                <w:bCs/>
                <w:color w:val="7F7F7F" w:themeColor="text1" w:themeTint="80"/>
              </w:rPr>
              <w:t>=</w:t>
            </w:r>
            <w:r w:rsidRPr="007653D4">
              <w:rPr>
                <w:b/>
                <w:bCs/>
                <w:color w:val="7F7F7F" w:themeColor="text1" w:themeTint="80"/>
              </w:rPr>
              <w:t>0.0001</w:t>
            </w:r>
          </w:p>
        </w:tc>
      </w:tr>
      <w:tr w:rsidR="00CB52B0" w:rsidRPr="00E27EAA" w14:paraId="16501998" w14:textId="77777777" w:rsidTr="00485732">
        <w:trPr>
          <w:trHeight w:val="159"/>
        </w:trPr>
        <w:tc>
          <w:tcPr>
            <w:tcW w:w="1119" w:type="pct"/>
            <w:tcBorders>
              <w:left w:val="single" w:sz="8" w:space="0" w:color="auto"/>
              <w:bottom w:val="single" w:sz="8" w:space="0" w:color="auto"/>
              <w:right w:val="single" w:sz="8" w:space="0" w:color="auto"/>
            </w:tcBorders>
            <w:tcMar>
              <w:top w:w="0" w:type="dxa"/>
              <w:left w:w="108" w:type="dxa"/>
              <w:bottom w:w="0" w:type="dxa"/>
              <w:right w:w="108" w:type="dxa"/>
            </w:tcMar>
          </w:tcPr>
          <w:p w14:paraId="704094E8" w14:textId="23CAFE1D" w:rsidR="00CB52B0" w:rsidRPr="007653D4" w:rsidRDefault="003A50F3">
            <w:pPr>
              <w:pStyle w:val="TableTextCA"/>
              <w:keepNext/>
              <w:spacing w:before="0"/>
              <w:rPr>
                <w:color w:val="7F7F7F" w:themeColor="text1" w:themeTint="80"/>
              </w:rPr>
            </w:pPr>
            <w:r w:rsidRPr="007653D4">
              <w:rPr>
                <w:color w:val="7F7F7F" w:themeColor="text1" w:themeTint="80"/>
              </w:rPr>
              <w:t xml:space="preserve">HTN-ON MED, </w:t>
            </w:r>
            <w:r w:rsidR="004D16E2" w:rsidRPr="007653D4">
              <w:rPr>
                <w:color w:val="7F7F7F" w:themeColor="text1" w:themeTint="80"/>
              </w:rPr>
              <w:t>HTN-OFF MED</w:t>
            </w:r>
          </w:p>
        </w:tc>
        <w:tc>
          <w:tcPr>
            <w:tcW w:w="621" w:type="pct"/>
            <w:tcBorders>
              <w:top w:val="single" w:sz="4" w:space="0" w:color="auto"/>
              <w:left w:val="nil"/>
              <w:bottom w:val="single" w:sz="8" w:space="0" w:color="auto"/>
            </w:tcBorders>
            <w:tcMar>
              <w:top w:w="0" w:type="dxa"/>
              <w:left w:w="0" w:type="dxa"/>
              <w:bottom w:w="0" w:type="dxa"/>
              <w:right w:w="0" w:type="dxa"/>
            </w:tcMar>
          </w:tcPr>
          <w:p w14:paraId="789D7A65" w14:textId="77777777" w:rsidR="00CB52B0" w:rsidRPr="007653D4" w:rsidRDefault="00CB52B0">
            <w:pPr>
              <w:pStyle w:val="TableTextCA"/>
              <w:keepNext/>
              <w:jc w:val="right"/>
              <w:rPr>
                <w:color w:val="7F7F7F" w:themeColor="text1" w:themeTint="80"/>
              </w:rPr>
            </w:pPr>
            <w:r w:rsidRPr="007653D4">
              <w:rPr>
                <w:color w:val="7F7F7F" w:themeColor="text1" w:themeTint="80"/>
                <w:lang w:val="it-IT"/>
              </w:rPr>
              <w:t>Het:</w:t>
            </w:r>
          </w:p>
        </w:tc>
        <w:tc>
          <w:tcPr>
            <w:tcW w:w="550" w:type="pct"/>
            <w:gridSpan w:val="2"/>
            <w:tcBorders>
              <w:top w:val="single" w:sz="4" w:space="0" w:color="auto"/>
              <w:left w:val="nil"/>
              <w:bottom w:val="single" w:sz="8" w:space="0" w:color="auto"/>
            </w:tcBorders>
            <w:tcMar>
              <w:top w:w="0" w:type="dxa"/>
              <w:left w:w="0" w:type="dxa"/>
              <w:bottom w:w="0" w:type="dxa"/>
              <w:right w:w="0" w:type="dxa"/>
            </w:tcMar>
          </w:tcPr>
          <w:p w14:paraId="4C6D671B" w14:textId="6FDC9B0D" w:rsidR="00CB52B0" w:rsidRPr="007653D4" w:rsidRDefault="00CB52B0">
            <w:pPr>
              <w:pStyle w:val="TableTextCA"/>
              <w:keepNext/>
              <w:rPr>
                <w:color w:val="7F7F7F" w:themeColor="text1" w:themeTint="80"/>
              </w:rPr>
            </w:pPr>
            <w:r w:rsidRPr="007653D4">
              <w:rPr>
                <w:color w:val="7F7F7F" w:themeColor="text1" w:themeTint="80"/>
                <w:lang w:val="it-IT"/>
              </w:rPr>
              <w:t>Tau²=0.</w:t>
            </w:r>
            <w:r w:rsidR="007653D4" w:rsidRPr="007653D4">
              <w:rPr>
                <w:color w:val="7F7F7F" w:themeColor="text1" w:themeTint="80"/>
                <w:lang w:val="it-IT"/>
              </w:rPr>
              <w:t>00</w:t>
            </w:r>
          </w:p>
        </w:tc>
        <w:tc>
          <w:tcPr>
            <w:tcW w:w="603" w:type="pct"/>
            <w:tcBorders>
              <w:top w:val="single" w:sz="4" w:space="0" w:color="auto"/>
              <w:left w:val="nil"/>
              <w:bottom w:val="single" w:sz="8" w:space="0" w:color="auto"/>
            </w:tcBorders>
            <w:tcMar>
              <w:top w:w="0" w:type="dxa"/>
              <w:left w:w="0" w:type="dxa"/>
              <w:bottom w:w="0" w:type="dxa"/>
              <w:right w:w="0" w:type="dxa"/>
            </w:tcMar>
          </w:tcPr>
          <w:p w14:paraId="1C195EBD" w14:textId="3A69B022" w:rsidR="00CB52B0" w:rsidRPr="007653D4" w:rsidRDefault="00CB52B0">
            <w:pPr>
              <w:pStyle w:val="TableTextCA"/>
              <w:keepNext/>
              <w:rPr>
                <w:color w:val="7F7F7F" w:themeColor="text1" w:themeTint="80"/>
              </w:rPr>
            </w:pPr>
            <w:r w:rsidRPr="007653D4">
              <w:rPr>
                <w:color w:val="7F7F7F" w:themeColor="text1" w:themeTint="80"/>
                <w:lang w:val="it-IT"/>
              </w:rPr>
              <w:t>Chi² = 2.</w:t>
            </w:r>
            <w:r w:rsidR="007653D4" w:rsidRPr="007653D4">
              <w:rPr>
                <w:color w:val="7F7F7F" w:themeColor="text1" w:themeTint="80"/>
                <w:lang w:val="it-IT"/>
              </w:rPr>
              <w:t>21</w:t>
            </w:r>
            <w:r w:rsidRPr="007653D4">
              <w:rPr>
                <w:color w:val="7F7F7F" w:themeColor="text1" w:themeTint="80"/>
                <w:lang w:val="it-IT"/>
              </w:rPr>
              <w:t>,</w:t>
            </w:r>
          </w:p>
        </w:tc>
        <w:tc>
          <w:tcPr>
            <w:tcW w:w="550" w:type="pct"/>
            <w:tcBorders>
              <w:top w:val="single" w:sz="4" w:space="0" w:color="auto"/>
              <w:left w:val="nil"/>
              <w:bottom w:val="single" w:sz="8" w:space="0" w:color="auto"/>
            </w:tcBorders>
            <w:tcMar>
              <w:top w:w="0" w:type="dxa"/>
              <w:left w:w="0" w:type="dxa"/>
              <w:bottom w:w="0" w:type="dxa"/>
              <w:right w:w="0" w:type="dxa"/>
            </w:tcMar>
          </w:tcPr>
          <w:p w14:paraId="145429AB" w14:textId="5D207439" w:rsidR="00CB52B0" w:rsidRPr="007653D4" w:rsidRDefault="00CB52B0">
            <w:pPr>
              <w:pStyle w:val="TableTextCA"/>
              <w:keepNext/>
              <w:rPr>
                <w:color w:val="7F7F7F" w:themeColor="text1" w:themeTint="80"/>
              </w:rPr>
            </w:pPr>
            <w:r w:rsidRPr="007653D4">
              <w:rPr>
                <w:color w:val="7F7F7F" w:themeColor="text1" w:themeTint="80"/>
                <w:lang w:val="it-IT"/>
              </w:rPr>
              <w:t>(P = 0.</w:t>
            </w:r>
            <w:r w:rsidR="007653D4" w:rsidRPr="007653D4">
              <w:rPr>
                <w:color w:val="7F7F7F" w:themeColor="text1" w:themeTint="80"/>
                <w:lang w:val="it-IT"/>
              </w:rPr>
              <w:t>53</w:t>
            </w:r>
            <w:r w:rsidRPr="007653D4">
              <w:rPr>
                <w:color w:val="7F7F7F" w:themeColor="text1" w:themeTint="80"/>
                <w:lang w:val="it-IT"/>
              </w:rPr>
              <w:t>);</w:t>
            </w:r>
          </w:p>
        </w:tc>
        <w:tc>
          <w:tcPr>
            <w:tcW w:w="606" w:type="pct"/>
            <w:tcBorders>
              <w:top w:val="single" w:sz="4" w:space="0" w:color="auto"/>
              <w:left w:val="nil"/>
              <w:bottom w:val="single" w:sz="8" w:space="0" w:color="auto"/>
              <w:right w:val="single" w:sz="8" w:space="0" w:color="auto"/>
            </w:tcBorders>
            <w:tcMar>
              <w:top w:w="0" w:type="dxa"/>
              <w:left w:w="0" w:type="dxa"/>
              <w:bottom w:w="0" w:type="dxa"/>
              <w:right w:w="0" w:type="dxa"/>
            </w:tcMar>
          </w:tcPr>
          <w:p w14:paraId="7BCF30A7" w14:textId="7876CF7C" w:rsidR="00CB52B0" w:rsidRPr="007653D4" w:rsidRDefault="00CB52B0" w:rsidP="006D72DC">
            <w:pPr>
              <w:pStyle w:val="TableTextCA"/>
              <w:keepNext/>
              <w:jc w:val="left"/>
              <w:rPr>
                <w:color w:val="7F7F7F" w:themeColor="text1" w:themeTint="80"/>
              </w:rPr>
            </w:pPr>
            <w:r w:rsidRPr="007653D4">
              <w:rPr>
                <w:color w:val="7F7F7F" w:themeColor="text1" w:themeTint="80"/>
                <w:lang w:val="it-IT"/>
              </w:rPr>
              <w:t xml:space="preserve">I² = </w:t>
            </w:r>
            <w:r w:rsidR="007653D4" w:rsidRPr="007653D4">
              <w:rPr>
                <w:color w:val="7F7F7F" w:themeColor="text1" w:themeTint="80"/>
                <w:lang w:val="it-IT"/>
              </w:rPr>
              <w:t>0</w:t>
            </w:r>
            <w:r w:rsidRPr="007653D4">
              <w:rPr>
                <w:color w:val="7F7F7F" w:themeColor="text1" w:themeTint="80"/>
                <w:lang w:val="it-IT"/>
              </w:rPr>
              <w:t>%</w:t>
            </w:r>
          </w:p>
        </w:tc>
        <w:tc>
          <w:tcPr>
            <w:tcW w:w="951" w:type="pct"/>
            <w:tcBorders>
              <w:left w:val="nil"/>
              <w:bottom w:val="single" w:sz="8" w:space="0" w:color="auto"/>
              <w:right w:val="single" w:sz="8" w:space="0" w:color="auto"/>
            </w:tcBorders>
            <w:noWrap/>
            <w:tcMar>
              <w:top w:w="0" w:type="dxa"/>
              <w:left w:w="108" w:type="dxa"/>
              <w:bottom w:w="0" w:type="dxa"/>
              <w:right w:w="108" w:type="dxa"/>
            </w:tcMar>
          </w:tcPr>
          <w:p w14:paraId="568A64F6" w14:textId="77777777" w:rsidR="00CB52B0" w:rsidRPr="007653D4" w:rsidRDefault="00CB52B0">
            <w:pPr>
              <w:pStyle w:val="Tabletext0"/>
              <w:keepNext/>
              <w:jc w:val="center"/>
              <w:rPr>
                <w:b/>
                <w:bCs/>
                <w:color w:val="7F7F7F" w:themeColor="text1" w:themeTint="80"/>
              </w:rPr>
            </w:pPr>
          </w:p>
        </w:tc>
      </w:tr>
    </w:tbl>
    <w:p w14:paraId="3582407F" w14:textId="228F5CBC" w:rsidR="00FB2343" w:rsidRPr="00DD136E" w:rsidRDefault="00FB2343" w:rsidP="00FB2343">
      <w:pPr>
        <w:pStyle w:val="Tablenotes0"/>
      </w:pPr>
      <w:r>
        <w:t xml:space="preserve">CI = confidence interval; </w:t>
      </w:r>
      <w:r w:rsidR="00193DA7">
        <w:t xml:space="preserve">GRADE = </w:t>
      </w:r>
      <w:r w:rsidR="00193DA7" w:rsidRPr="0041658D">
        <w:t>Grading of Recommendations, Assessment, Development and Evaluation</w:t>
      </w:r>
      <w:r w:rsidR="00193DA7">
        <w:t xml:space="preserve">; </w:t>
      </w:r>
      <w:r>
        <w:t>Het = heterogeneity; mmHg= millimetres of mercury; n = number analysed at endpoint, N = number randomised; RDN = renal denervation; SBP = systolic blood pressure; SD = standard deviation</w:t>
      </w:r>
    </w:p>
    <w:p w14:paraId="1DE2234C" w14:textId="36CC6064" w:rsidR="00FB2343" w:rsidRDefault="00FB2343" w:rsidP="00FB2343">
      <w:pPr>
        <w:pStyle w:val="Tablenotes0"/>
        <w:spacing w:after="360"/>
      </w:pPr>
      <w:r w:rsidRPr="00836939">
        <w:t>a</w:t>
      </w:r>
      <w:r>
        <w:t xml:space="preserve"> GRADE Certainty of evidence as determined in the commentary. The ADAR considered the meta-analysis of the </w:t>
      </w:r>
      <w:r w:rsidR="000F7495">
        <w:t>4</w:t>
      </w:r>
      <w:r>
        <w:t xml:space="preserve"> trials to be ‘Moderate’.</w:t>
      </w:r>
    </w:p>
    <w:p w14:paraId="0770D44F" w14:textId="1DE04A9A" w:rsidR="00FB2343" w:rsidRDefault="00FB2343" w:rsidP="00FB2343">
      <w:pPr>
        <w:pStyle w:val="Tablenotes0"/>
        <w:spacing w:after="360"/>
      </w:pPr>
      <w:r w:rsidRPr="00836939">
        <w:t>b</w:t>
      </w:r>
      <w:r>
        <w:t xml:space="preserve"> Post hoc subgroup of SPYRAL HTN-ON MED with ≥3 antihypertensive medications including a diuretic (Table 7</w:t>
      </w:r>
      <w:r w:rsidR="00971D43">
        <w:t>2</w:t>
      </w:r>
      <w:r w:rsidR="00AB28E1">
        <w:t xml:space="preserve"> in MSAC 1659 ADAR</w:t>
      </w:r>
      <w:r>
        <w:t>)</w:t>
      </w:r>
      <w:r w:rsidR="00AB28E1">
        <w:t>.</w:t>
      </w:r>
    </w:p>
    <w:p w14:paraId="54842AFF" w14:textId="77777777" w:rsidR="00A84808" w:rsidRDefault="00A84808" w:rsidP="00A84808">
      <w:pPr>
        <w:pStyle w:val="Tablenotes0"/>
      </w:pPr>
      <w:r>
        <w:t xml:space="preserve">Note 1: Statistically significant differences are shown in bold text. </w:t>
      </w:r>
    </w:p>
    <w:p w14:paraId="6D7260B6" w14:textId="444F7A2A" w:rsidR="00A84808" w:rsidRDefault="00A84808" w:rsidP="00A84808">
      <w:pPr>
        <w:pStyle w:val="Tablenotes0"/>
        <w:rPr>
          <w:sz w:val="20"/>
          <w:szCs w:val="20"/>
        </w:rPr>
      </w:pPr>
      <w:r>
        <w:t xml:space="preserve">Note 2: SPYRAL HTN-OFF MED was considered </w:t>
      </w:r>
      <w:r w:rsidR="00956DAA">
        <w:t xml:space="preserve">supplementary </w:t>
      </w:r>
      <w:r>
        <w:t>evidence in the commentary and is shown in grey text. Follow up was 3 months in SPYRAL HTN-OFF MED and 6 months in SYMPLICITY HTN-3, ReSET and SPYRAL HTN-ON MED.</w:t>
      </w:r>
    </w:p>
    <w:p w14:paraId="0E8D88EF" w14:textId="0FBCAABA" w:rsidR="00FB2343" w:rsidRDefault="00FB2343" w:rsidP="00FB2343">
      <w:pPr>
        <w:pStyle w:val="Tablenotes0"/>
        <w:spacing w:after="360"/>
      </w:pPr>
      <w:r>
        <w:t xml:space="preserve">Source: </w:t>
      </w:r>
      <w:r w:rsidR="00450792">
        <w:t>Compiled for the commentary from</w:t>
      </w:r>
      <w:r>
        <w:t xml:space="preserve"> </w:t>
      </w:r>
      <w:r w:rsidRPr="003F1D90">
        <w:t xml:space="preserve">Table </w:t>
      </w:r>
      <w:r w:rsidR="00566D4F">
        <w:t>50</w:t>
      </w:r>
      <w:r w:rsidR="00450792">
        <w:t xml:space="preserve">, </w:t>
      </w:r>
      <w:r w:rsidRPr="0041484A">
        <w:t xml:space="preserve">Table 77 </w:t>
      </w:r>
      <w:r w:rsidR="00450792">
        <w:t>and</w:t>
      </w:r>
      <w:r w:rsidRPr="003F1D90">
        <w:t xml:space="preserve"> Commentary</w:t>
      </w:r>
      <w:r>
        <w:t xml:space="preserve"> Figure 1</w:t>
      </w:r>
      <w:r w:rsidR="00362DAE">
        <w:t>0</w:t>
      </w:r>
      <w:r>
        <w:t xml:space="preserve"> in MSAC 1659 ADAR+in-line commentary.</w:t>
      </w:r>
    </w:p>
    <w:p w14:paraId="5F47DB8E" w14:textId="67A0E06C" w:rsidR="0012778C" w:rsidRDefault="0012778C" w:rsidP="008C0E3C">
      <w:pPr>
        <w:pStyle w:val="Heading3"/>
      </w:pPr>
      <w:r>
        <w:t xml:space="preserve">Change in </w:t>
      </w:r>
      <w:r w:rsidR="00817D2B">
        <w:t xml:space="preserve">office </w:t>
      </w:r>
      <w:r>
        <w:t>diastolic blood pressure</w:t>
      </w:r>
      <w:r w:rsidR="00223450">
        <w:t xml:space="preserve"> (ODBP)</w:t>
      </w:r>
    </w:p>
    <w:p w14:paraId="4EAB1F16" w14:textId="58B5C03A" w:rsidR="00AA0322" w:rsidRDefault="00722822" w:rsidP="00722822">
      <w:r>
        <w:t>Of the</w:t>
      </w:r>
      <w:r w:rsidR="000D3513" w:rsidRPr="000D3513">
        <w:t xml:space="preserve"> </w:t>
      </w:r>
      <w:r w:rsidR="000D3513">
        <w:t xml:space="preserve">three key trials selected by the commentary, </w:t>
      </w:r>
      <w:r>
        <w:t xml:space="preserve">two trials </w:t>
      </w:r>
      <w:r w:rsidR="00E050DE">
        <w:t xml:space="preserve">(SYMPLICITY HTN-3 and SPYRAL HTN-ON MED) </w:t>
      </w:r>
      <w:r>
        <w:t xml:space="preserve">reported mean change </w:t>
      </w:r>
      <w:r w:rsidR="003D0A27">
        <w:t xml:space="preserve">from baseline to 6 months </w:t>
      </w:r>
      <w:r>
        <w:t>in ODBP</w:t>
      </w:r>
      <w:r w:rsidR="000B761D">
        <w:t>.</w:t>
      </w:r>
      <w:r w:rsidR="00AA4E09">
        <w:t xml:space="preserve"> </w:t>
      </w:r>
      <w:r w:rsidR="000B761D">
        <w:t>N</w:t>
      </w:r>
      <w:r>
        <w:t>either reported a statistically significant reduction compared with sham control, although SPYRAL HTN-ON MED was borderline (</w:t>
      </w:r>
      <w:r>
        <w:fldChar w:fldCharType="begin"/>
      </w:r>
      <w:r>
        <w:instrText xml:space="preserve"> REF _Ref141875968 \h </w:instrText>
      </w:r>
      <w:r>
        <w:fldChar w:fldCharType="separate"/>
      </w:r>
      <w:r w:rsidR="003D5203" w:rsidRPr="00CE28E3">
        <w:t>Table</w:t>
      </w:r>
      <w:r w:rsidR="003D5203">
        <w:t> </w:t>
      </w:r>
      <w:r w:rsidR="003D5203">
        <w:rPr>
          <w:noProof/>
        </w:rPr>
        <w:t>8</w:t>
      </w:r>
      <w:r>
        <w:fldChar w:fldCharType="end"/>
      </w:r>
      <w:r>
        <w:t xml:space="preserve">). When the two trials </w:t>
      </w:r>
      <w:r w:rsidR="00531D66">
        <w:t>were</w:t>
      </w:r>
      <w:r>
        <w:t xml:space="preserve"> meta-analysed, a statistically significant reduction in mean ODBP </w:t>
      </w:r>
      <w:r w:rsidR="00531D66">
        <w:t>was</w:t>
      </w:r>
      <w:r>
        <w:t xml:space="preserve"> observed</w:t>
      </w:r>
      <w:r w:rsidR="001B4EA2">
        <w:t>, favouring RDN</w:t>
      </w:r>
      <w:r>
        <w:t>; however, the reduction of 1.</w:t>
      </w:r>
      <w:r w:rsidR="002449D9">
        <w:t>94 </w:t>
      </w:r>
      <w:r>
        <w:t xml:space="preserve">mmHg </w:t>
      </w:r>
      <w:r w:rsidR="00121B7C">
        <w:t>was</w:t>
      </w:r>
      <w:r w:rsidR="00A65A57">
        <w:t xml:space="preserve"> </w:t>
      </w:r>
      <w:r>
        <w:t xml:space="preserve">not clinically meaningful. </w:t>
      </w:r>
    </w:p>
    <w:p w14:paraId="4BC1A6F2" w14:textId="12F81706" w:rsidR="00722822" w:rsidRDefault="00872F6A" w:rsidP="00722822">
      <w:r>
        <w:t xml:space="preserve">The ADAR did not </w:t>
      </w:r>
      <w:r w:rsidR="002127C1">
        <w:t>report</w:t>
      </w:r>
      <w:r w:rsidR="005B1CA6">
        <w:t xml:space="preserve"> </w:t>
      </w:r>
      <w:r w:rsidR="002127C1">
        <w:t xml:space="preserve">this outcome for </w:t>
      </w:r>
      <w:r w:rsidR="005B1CA6">
        <w:t xml:space="preserve">the subgroup of </w:t>
      </w:r>
      <w:r w:rsidR="0024642C">
        <w:t xml:space="preserve">patients in </w:t>
      </w:r>
      <w:r w:rsidR="005B1CA6">
        <w:t>SPYRAL HTN-ON MED who received at least three antihypertensive medications including a diuretic</w:t>
      </w:r>
      <w:r w:rsidR="002127C1">
        <w:t>.</w:t>
      </w:r>
    </w:p>
    <w:p w14:paraId="5F2E6F0C" w14:textId="3A1ADC82" w:rsidR="00722822" w:rsidRDefault="00722822" w:rsidP="00722822">
      <w:pPr>
        <w:pStyle w:val="Caption"/>
      </w:pPr>
      <w:bookmarkStart w:id="25" w:name="_Ref141875968"/>
      <w:r w:rsidRPr="00CE28E3">
        <w:t>Table</w:t>
      </w:r>
      <w:r>
        <w:t> </w:t>
      </w:r>
      <w:r>
        <w:fldChar w:fldCharType="begin"/>
      </w:r>
      <w:r>
        <w:instrText>SEQ Table \* ARABIC</w:instrText>
      </w:r>
      <w:r>
        <w:fldChar w:fldCharType="separate"/>
      </w:r>
      <w:r w:rsidR="003D5203">
        <w:rPr>
          <w:noProof/>
        </w:rPr>
        <w:t>8</w:t>
      </w:r>
      <w:r>
        <w:fldChar w:fldCharType="end"/>
      </w:r>
      <w:bookmarkEnd w:id="25"/>
      <w:r w:rsidRPr="00CE28E3">
        <w:tab/>
      </w:r>
      <w:r>
        <w:t>Change from baseline in mean office DBP (mmHg) in sham-controlled trials</w:t>
      </w:r>
    </w:p>
    <w:tbl>
      <w:tblPr>
        <w:tblW w:w="5000" w:type="pct"/>
        <w:tblLayout w:type="fixed"/>
        <w:tblCellMar>
          <w:left w:w="0" w:type="dxa"/>
          <w:right w:w="0" w:type="dxa"/>
        </w:tblCellMar>
        <w:tblLook w:val="04A0" w:firstRow="1" w:lastRow="0" w:firstColumn="1" w:lastColumn="0" w:noHBand="0" w:noVBand="1"/>
        <w:tblCaption w:val="Change from baseline in mean ODBP in sham-controlled trials"/>
        <w:tblDescription w:val="Results from SYMPLICITY HTN-3, SPYRAL HTN-ON MED and SPYRAL HTN-OFF MED, including meta-analyses"/>
      </w:tblPr>
      <w:tblGrid>
        <w:gridCol w:w="2015"/>
        <w:gridCol w:w="1118"/>
        <w:gridCol w:w="991"/>
        <w:gridCol w:w="1086"/>
        <w:gridCol w:w="991"/>
        <w:gridCol w:w="1092"/>
        <w:gridCol w:w="1713"/>
      </w:tblGrid>
      <w:tr w:rsidR="0049619E" w:rsidRPr="00E27EAA" w14:paraId="03CBF82C" w14:textId="77777777">
        <w:trPr>
          <w:trHeight w:val="60"/>
          <w:tblHeader/>
        </w:trPr>
        <w:tc>
          <w:tcPr>
            <w:tcW w:w="1119" w:type="pct"/>
            <w:tcBorders>
              <w:top w:val="single" w:sz="8" w:space="0" w:color="auto"/>
              <w:left w:val="single" w:sz="8" w:space="0" w:color="auto"/>
              <w:right w:val="single" w:sz="8" w:space="0" w:color="auto"/>
            </w:tcBorders>
            <w:tcMar>
              <w:top w:w="0" w:type="dxa"/>
              <w:left w:w="108" w:type="dxa"/>
              <w:bottom w:w="0" w:type="dxa"/>
              <w:right w:w="108" w:type="dxa"/>
            </w:tcMar>
            <w:hideMark/>
          </w:tcPr>
          <w:p w14:paraId="4DE39B35" w14:textId="77777777" w:rsidR="0049619E" w:rsidRPr="000739EC" w:rsidRDefault="0049619E" w:rsidP="00E07EB1">
            <w:pPr>
              <w:pStyle w:val="TableHeading0"/>
            </w:pPr>
            <w:r w:rsidRPr="000739EC">
              <w:t>Trial ID</w:t>
            </w:r>
          </w:p>
        </w:tc>
        <w:tc>
          <w:tcPr>
            <w:tcW w:w="621" w:type="pct"/>
            <w:tcBorders>
              <w:top w:val="single" w:sz="8" w:space="0" w:color="auto"/>
              <w:left w:val="nil"/>
              <w:right w:val="single" w:sz="8" w:space="0" w:color="auto"/>
            </w:tcBorders>
            <w:tcMar>
              <w:top w:w="0" w:type="dxa"/>
              <w:left w:w="108" w:type="dxa"/>
              <w:bottom w:w="0" w:type="dxa"/>
              <w:right w:w="108" w:type="dxa"/>
            </w:tcMar>
            <w:vAlign w:val="bottom"/>
            <w:hideMark/>
          </w:tcPr>
          <w:p w14:paraId="2FC61BE4" w14:textId="77777777" w:rsidR="0049619E" w:rsidRPr="000739EC" w:rsidRDefault="0049619E" w:rsidP="00E07EB1">
            <w:pPr>
              <w:pStyle w:val="TableHeading0"/>
              <w:jc w:val="center"/>
            </w:pPr>
            <w:r>
              <w:t>Certainty</w:t>
            </w: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5E28D949" w14:textId="77777777" w:rsidR="0049619E" w:rsidRPr="000739EC" w:rsidRDefault="0049619E" w:rsidP="00E07EB1">
            <w:pPr>
              <w:pStyle w:val="TableHeading0"/>
              <w:jc w:val="right"/>
            </w:pPr>
            <w:r w:rsidRPr="000739EC">
              <w:t>RDN</w:t>
            </w:r>
          </w:p>
        </w:tc>
        <w:tc>
          <w:tcPr>
            <w:tcW w:w="603" w:type="pct"/>
            <w:tcBorders>
              <w:top w:val="single" w:sz="8" w:space="0" w:color="auto"/>
              <w:left w:val="nil"/>
              <w:bottom w:val="single" w:sz="4" w:space="0" w:color="auto"/>
              <w:right w:val="single" w:sz="8" w:space="0" w:color="000000"/>
            </w:tcBorders>
          </w:tcPr>
          <w:p w14:paraId="6024AF18" w14:textId="77777777" w:rsidR="0049619E" w:rsidRPr="000739EC" w:rsidRDefault="0049619E" w:rsidP="00E07EB1">
            <w:pPr>
              <w:pStyle w:val="TableHeading0"/>
              <w:jc w:val="center"/>
            </w:pP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7A5E02EF" w14:textId="77777777" w:rsidR="0049619E" w:rsidRPr="000739EC" w:rsidRDefault="0049619E" w:rsidP="00E07EB1">
            <w:pPr>
              <w:pStyle w:val="TableHeading0"/>
              <w:jc w:val="right"/>
            </w:pPr>
            <w:r w:rsidRPr="000739EC">
              <w:t>Sham</w:t>
            </w:r>
          </w:p>
        </w:tc>
        <w:tc>
          <w:tcPr>
            <w:tcW w:w="606" w:type="pct"/>
            <w:tcBorders>
              <w:top w:val="single" w:sz="8" w:space="0" w:color="auto"/>
              <w:left w:val="nil"/>
              <w:bottom w:val="single" w:sz="4" w:space="0" w:color="auto"/>
              <w:right w:val="single" w:sz="8" w:space="0" w:color="000000"/>
            </w:tcBorders>
          </w:tcPr>
          <w:p w14:paraId="03A37527" w14:textId="77777777" w:rsidR="0049619E" w:rsidRPr="000739EC" w:rsidRDefault="0049619E" w:rsidP="00E07EB1">
            <w:pPr>
              <w:pStyle w:val="TableHeading0"/>
            </w:pPr>
            <w:r w:rsidRPr="000739EC">
              <w:t>control</w:t>
            </w:r>
          </w:p>
        </w:tc>
        <w:tc>
          <w:tcPr>
            <w:tcW w:w="951" w:type="pct"/>
            <w:tcBorders>
              <w:top w:val="single" w:sz="8" w:space="0" w:color="auto"/>
              <w:left w:val="nil"/>
              <w:right w:val="single" w:sz="8" w:space="0" w:color="auto"/>
            </w:tcBorders>
            <w:shd w:val="clear" w:color="auto" w:fill="FFFFFF"/>
            <w:tcMar>
              <w:top w:w="0" w:type="dxa"/>
              <w:left w:w="108" w:type="dxa"/>
              <w:bottom w:w="0" w:type="dxa"/>
              <w:right w:w="108" w:type="dxa"/>
            </w:tcMar>
            <w:vAlign w:val="bottom"/>
            <w:hideMark/>
          </w:tcPr>
          <w:p w14:paraId="30D2030E" w14:textId="77777777" w:rsidR="0049619E" w:rsidRPr="000739EC" w:rsidRDefault="0049619E" w:rsidP="00E07EB1">
            <w:pPr>
              <w:pStyle w:val="TableHeading0"/>
              <w:jc w:val="center"/>
            </w:pPr>
            <w:r w:rsidRPr="000739EC">
              <w:t>Difference [95% CI]</w:t>
            </w:r>
          </w:p>
        </w:tc>
      </w:tr>
      <w:tr w:rsidR="0049619E" w:rsidRPr="00E27EAA" w14:paraId="12213C65" w14:textId="77777777">
        <w:trPr>
          <w:trHeight w:val="255"/>
          <w:tblHeader/>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596B" w14:textId="77777777" w:rsidR="0049619E" w:rsidRPr="000739EC" w:rsidRDefault="0049619E" w:rsidP="00E07EB1">
            <w:pPr>
              <w:pStyle w:val="TableHeading0"/>
              <w:spacing w:before="60"/>
            </w:pP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65FF48DE" w14:textId="77777777" w:rsidR="0049619E" w:rsidRPr="000739EC" w:rsidRDefault="0049619E" w:rsidP="00E07EB1">
            <w:pPr>
              <w:pStyle w:val="TableHeading0"/>
              <w:spacing w:before="60"/>
              <w:jc w:val="center"/>
            </w:pPr>
            <w:r>
              <w:t>(GRADE)</w:t>
            </w:r>
            <w:r w:rsidRPr="000F7495">
              <w:rPr>
                <w:vertAlign w:val="superscript"/>
              </w:rPr>
              <w:t>a</w:t>
            </w:r>
          </w:p>
        </w:tc>
        <w:tc>
          <w:tcPr>
            <w:tcW w:w="55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D9B552D" w14:textId="77777777" w:rsidR="0049619E" w:rsidRPr="000739EC" w:rsidRDefault="0049619E" w:rsidP="00E07EB1">
            <w:pPr>
              <w:pStyle w:val="TableHeading0"/>
              <w:spacing w:before="60"/>
              <w:jc w:val="center"/>
            </w:pPr>
            <w:r w:rsidRPr="000739EC">
              <w:t>n /N (%)</w:t>
            </w:r>
          </w:p>
        </w:tc>
        <w:tc>
          <w:tcPr>
            <w:tcW w:w="603" w:type="pct"/>
            <w:tcBorders>
              <w:top w:val="single" w:sz="4" w:space="0" w:color="auto"/>
              <w:left w:val="nil"/>
              <w:bottom w:val="single" w:sz="8" w:space="0" w:color="auto"/>
              <w:right w:val="nil"/>
            </w:tcBorders>
            <w:tcMar>
              <w:top w:w="0" w:type="dxa"/>
              <w:left w:w="108" w:type="dxa"/>
              <w:bottom w:w="0" w:type="dxa"/>
              <w:right w:w="108" w:type="dxa"/>
            </w:tcMar>
            <w:hideMark/>
          </w:tcPr>
          <w:p w14:paraId="1B1F61BD" w14:textId="77777777" w:rsidR="0049619E" w:rsidRPr="000739EC" w:rsidRDefault="0049619E" w:rsidP="00E07EB1">
            <w:pPr>
              <w:pStyle w:val="TableHeading0"/>
              <w:spacing w:before="60"/>
              <w:jc w:val="center"/>
            </w:pPr>
            <w:r w:rsidRPr="000739EC">
              <w:t>Change mean</w:t>
            </w:r>
            <w:r>
              <w:t xml:space="preserve"> </w:t>
            </w:r>
            <w:r w:rsidRPr="000739EC">
              <w:t>(SD)</w:t>
            </w:r>
          </w:p>
        </w:tc>
        <w:tc>
          <w:tcPr>
            <w:tcW w:w="5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54097" w14:textId="77777777" w:rsidR="0049619E" w:rsidRPr="000739EC" w:rsidRDefault="0049619E" w:rsidP="00E07EB1">
            <w:pPr>
              <w:pStyle w:val="TableHeading0"/>
              <w:spacing w:before="60"/>
              <w:jc w:val="center"/>
            </w:pPr>
            <w:r w:rsidRPr="000739EC">
              <w:t>n /N (%)</w:t>
            </w:r>
          </w:p>
        </w:tc>
        <w:tc>
          <w:tcPr>
            <w:tcW w:w="606" w:type="pct"/>
            <w:tcBorders>
              <w:top w:val="single" w:sz="4" w:space="0" w:color="auto"/>
              <w:left w:val="nil"/>
              <w:bottom w:val="single" w:sz="8" w:space="0" w:color="auto"/>
              <w:right w:val="nil"/>
            </w:tcBorders>
            <w:tcMar>
              <w:top w:w="0" w:type="dxa"/>
              <w:left w:w="108" w:type="dxa"/>
              <w:bottom w:w="0" w:type="dxa"/>
              <w:right w:w="108" w:type="dxa"/>
            </w:tcMar>
            <w:hideMark/>
          </w:tcPr>
          <w:p w14:paraId="64BBABC8" w14:textId="77777777" w:rsidR="0049619E" w:rsidRPr="000739EC" w:rsidRDefault="0049619E" w:rsidP="00E07EB1">
            <w:pPr>
              <w:pStyle w:val="TableHeading0"/>
              <w:spacing w:before="60"/>
              <w:jc w:val="center"/>
            </w:pPr>
            <w:r w:rsidRPr="000739EC">
              <w:t>Change mean</w:t>
            </w:r>
            <w:r>
              <w:t xml:space="preserve"> </w:t>
            </w:r>
            <w:r w:rsidRPr="000739EC">
              <w:t>(SD)</w:t>
            </w:r>
          </w:p>
        </w:tc>
        <w:tc>
          <w:tcPr>
            <w:tcW w:w="951"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0A13" w14:textId="77777777" w:rsidR="0049619E" w:rsidRPr="000739EC" w:rsidRDefault="0049619E" w:rsidP="00E07EB1">
            <w:pPr>
              <w:pStyle w:val="TableHeading0"/>
              <w:spacing w:before="60"/>
              <w:jc w:val="center"/>
              <w:rPr>
                <w:i/>
                <w:iCs/>
              </w:rPr>
            </w:pPr>
            <w:r w:rsidRPr="000739EC">
              <w:t>P value</w:t>
            </w:r>
          </w:p>
        </w:tc>
      </w:tr>
      <w:tr w:rsidR="00776B0D" w:rsidRPr="00E27EAA" w14:paraId="7E9FA39E" w14:textId="77777777" w:rsidTr="0056305C">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698BA" w14:textId="77777777" w:rsidR="00776B0D" w:rsidRPr="007E770A" w:rsidRDefault="00776B0D" w:rsidP="00776B0D">
            <w:pPr>
              <w:pStyle w:val="TableTextCA"/>
              <w:keepNext/>
            </w:pPr>
            <w:r w:rsidRPr="00E27EAA">
              <w:t>SYMPLICITY HTN-3</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1DEDED97" w14:textId="77777777" w:rsidR="00776B0D" w:rsidRPr="00E27EAA" w:rsidRDefault="00776B0D" w:rsidP="00776B0D">
            <w:pPr>
              <w:pStyle w:val="TableTextCA"/>
              <w:keepNext/>
            </w:pPr>
            <w:r w:rsidRPr="00E27EAA">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4BC08169" w14:textId="13307665" w:rsidR="00776B0D" w:rsidRPr="00E27EAA" w:rsidRDefault="00776B0D" w:rsidP="00776B0D">
            <w:pPr>
              <w:pStyle w:val="TableTextCA"/>
              <w:keepNext/>
            </w:pPr>
            <w:r w:rsidRPr="00D32653">
              <w:t>353/364 (9</w:t>
            </w:r>
            <w:r>
              <w:t>7.0</w:t>
            </w:r>
            <w:r w:rsidRPr="00D32653">
              <w:t>%)</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333184E4" w14:textId="786963ED" w:rsidR="00776B0D" w:rsidRPr="00E27EAA" w:rsidRDefault="00776B0D" w:rsidP="00776B0D">
            <w:pPr>
              <w:pStyle w:val="TableTextCA"/>
              <w:keepNext/>
            </w:pPr>
            <w:r w:rsidRPr="00D32653">
              <w:t>-6.6</w:t>
            </w:r>
            <w:r>
              <w:br/>
            </w:r>
            <w:r w:rsidRPr="00D32653">
              <w:t>(11.90)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0DC40050" w14:textId="66457DC9" w:rsidR="00776B0D" w:rsidRPr="00E27EAA" w:rsidRDefault="00776B0D" w:rsidP="00776B0D">
            <w:pPr>
              <w:pStyle w:val="TableTextCA"/>
              <w:keepNext/>
            </w:pPr>
            <w:r w:rsidRPr="00D32653">
              <w:t>171/171 (100%)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34CBC9A" w14:textId="39EA6A25" w:rsidR="00776B0D" w:rsidRPr="00E27EAA" w:rsidRDefault="00776B0D" w:rsidP="00776B0D">
            <w:pPr>
              <w:pStyle w:val="TableTextCA"/>
              <w:keepNext/>
            </w:pPr>
            <w:r w:rsidRPr="00D32653">
              <w:t>-4.6</w:t>
            </w:r>
            <w:r>
              <w:br/>
            </w:r>
            <w:r w:rsidRPr="00D32653">
              <w:t>(13.60)</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21EC3AFC" w14:textId="66929958" w:rsidR="00776B0D" w:rsidRPr="00E27EAA" w:rsidRDefault="00776B0D" w:rsidP="00776B0D">
            <w:pPr>
              <w:pStyle w:val="Tabletext0"/>
              <w:keepNext/>
              <w:jc w:val="center"/>
              <w:rPr>
                <w:rFonts w:eastAsiaTheme="minorHAnsi"/>
              </w:rPr>
            </w:pPr>
            <w:r w:rsidRPr="00D32653">
              <w:t>-2.0</w:t>
            </w:r>
            <w:r>
              <w:t>0</w:t>
            </w:r>
            <w:r w:rsidRPr="00D32653">
              <w:t xml:space="preserve"> [</w:t>
            </w:r>
            <w:r>
              <w:t>-4.39</w:t>
            </w:r>
            <w:r w:rsidRPr="00D32653">
              <w:t>, 0.</w:t>
            </w:r>
            <w:r>
              <w:t>39</w:t>
            </w:r>
            <w:r w:rsidRPr="00D32653">
              <w:t>]</w:t>
            </w:r>
            <w:r>
              <w:br/>
            </w:r>
            <w:r w:rsidRPr="00D32653">
              <w:t>P=0.1</w:t>
            </w:r>
            <w:r>
              <w:t>0</w:t>
            </w:r>
          </w:p>
        </w:tc>
      </w:tr>
      <w:tr w:rsidR="00776B0D" w:rsidRPr="00E27EAA" w14:paraId="7154B321" w14:textId="77777777" w:rsidTr="0056305C">
        <w:trPr>
          <w:trHeight w:val="255"/>
        </w:trPr>
        <w:tc>
          <w:tcPr>
            <w:tcW w:w="111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FE064D" w14:textId="07F911CD" w:rsidR="00776B0D" w:rsidRPr="00F24BA3" w:rsidRDefault="00776B0D" w:rsidP="00776B0D">
            <w:pPr>
              <w:pStyle w:val="TableTextCA"/>
              <w:keepNext/>
            </w:pPr>
            <w:r w:rsidRPr="00E27EAA">
              <w:t>SPYRAL HTN-ON MED</w:t>
            </w:r>
          </w:p>
        </w:tc>
        <w:tc>
          <w:tcPr>
            <w:tcW w:w="62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5448346" w14:textId="77777777" w:rsidR="00776B0D" w:rsidRPr="00E27EAA" w:rsidRDefault="00776B0D" w:rsidP="00776B0D">
            <w:pPr>
              <w:pStyle w:val="TableTextCA"/>
              <w:keepNext/>
            </w:pPr>
            <w:r w:rsidRPr="00E27EAA">
              <w:t>-</w:t>
            </w:r>
          </w:p>
        </w:tc>
        <w:tc>
          <w:tcPr>
            <w:tcW w:w="55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06D0353" w14:textId="3280F7FF" w:rsidR="00776B0D" w:rsidRPr="00E27EAA" w:rsidRDefault="00776B0D" w:rsidP="00776B0D">
            <w:pPr>
              <w:pStyle w:val="TableTextCA"/>
              <w:keepNext/>
            </w:pPr>
            <w:r>
              <w:t>199/206 (96.6%)</w:t>
            </w:r>
          </w:p>
        </w:tc>
        <w:tc>
          <w:tcPr>
            <w:tcW w:w="60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1255A66" w14:textId="35C5EEB8" w:rsidR="00776B0D" w:rsidRPr="00E27EAA" w:rsidRDefault="00776B0D" w:rsidP="00776B0D">
            <w:pPr>
              <w:pStyle w:val="TableTextCA"/>
              <w:keepNext/>
            </w:pPr>
            <w:r>
              <w:t>-5.2</w:t>
            </w:r>
            <w:r>
              <w:br/>
              <w:t>(8.80)</w:t>
            </w:r>
          </w:p>
        </w:tc>
        <w:tc>
          <w:tcPr>
            <w:tcW w:w="55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109CD55" w14:textId="642FE2EB" w:rsidR="00776B0D" w:rsidRPr="00E27EAA" w:rsidRDefault="00776B0D" w:rsidP="00776B0D">
            <w:pPr>
              <w:pStyle w:val="TableTextCA"/>
              <w:keepNext/>
            </w:pPr>
            <w:r w:rsidRPr="00A81286">
              <w:t>126/131 (96.</w:t>
            </w:r>
            <w:r>
              <w:t>2</w:t>
            </w:r>
            <w:r w:rsidRPr="00A81286">
              <w:t>%)</w:t>
            </w:r>
          </w:p>
        </w:tc>
        <w:tc>
          <w:tcPr>
            <w:tcW w:w="60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016D3EC" w14:textId="3FD404AB" w:rsidR="00776B0D" w:rsidRPr="00E27EAA" w:rsidRDefault="00776B0D" w:rsidP="00776B0D">
            <w:pPr>
              <w:pStyle w:val="TableTextCA"/>
              <w:keepNext/>
            </w:pPr>
            <w:r w:rsidRPr="00A81286">
              <w:t>-3.3</w:t>
            </w:r>
            <w:r>
              <w:br/>
            </w:r>
            <w:r w:rsidRPr="00A81286">
              <w:t>(8.2)</w:t>
            </w:r>
          </w:p>
        </w:tc>
        <w:tc>
          <w:tcPr>
            <w:tcW w:w="951" w:type="pct"/>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36CCFEB8" w14:textId="0AACD9D8" w:rsidR="00776B0D" w:rsidRPr="00F24BA3" w:rsidRDefault="00776B0D" w:rsidP="00776B0D">
            <w:pPr>
              <w:pStyle w:val="Tabletext0"/>
              <w:keepNext/>
              <w:jc w:val="center"/>
              <w:rPr>
                <w:rFonts w:eastAsiaTheme="minorHAnsi"/>
                <w:b/>
                <w:bCs/>
              </w:rPr>
            </w:pPr>
            <w:r w:rsidRPr="007B7804">
              <w:t>-1.90 [-3.78, -0.02]</w:t>
            </w:r>
            <w:r w:rsidRPr="007B7804">
              <w:br/>
              <w:t>P=0.053</w:t>
            </w:r>
          </w:p>
        </w:tc>
      </w:tr>
      <w:tr w:rsidR="0049619E" w:rsidRPr="00E27EAA" w14:paraId="7EAE0948" w14:textId="77777777" w:rsidTr="00E91C63">
        <w:trPr>
          <w:trHeight w:val="255"/>
        </w:trPr>
        <w:tc>
          <w:tcPr>
            <w:tcW w:w="1119" w:type="pc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bottom"/>
          </w:tcPr>
          <w:p w14:paraId="4D7D46FA" w14:textId="77777777" w:rsidR="0049619E" w:rsidRDefault="0049619E">
            <w:pPr>
              <w:pStyle w:val="TableTextCA"/>
              <w:keepNext/>
              <w:spacing w:after="0"/>
            </w:pPr>
            <w:r>
              <w:t xml:space="preserve">Commentary </w:t>
            </w:r>
            <w:r w:rsidRPr="000739EC">
              <w:t>Meta-analysis</w:t>
            </w:r>
            <w:r>
              <w:t xml:space="preserve"> HTN-3 and </w:t>
            </w:r>
          </w:p>
        </w:tc>
        <w:tc>
          <w:tcPr>
            <w:tcW w:w="62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18C7A6" w14:textId="77777777" w:rsidR="0049619E" w:rsidRPr="008C666A" w:rsidRDefault="0049619E">
            <w:pPr>
              <w:pStyle w:val="TableTextCA"/>
              <w:keepNext/>
              <w:rPr>
                <w:rFonts w:ascii="Cambria Math" w:hAnsi="Cambria Math" w:cs="Cambria Math"/>
              </w:rPr>
            </w:pPr>
            <w:r w:rsidRPr="0078370B">
              <w:rPr>
                <w:rFonts w:ascii="Cambria Math" w:hAnsi="Cambria Math" w:cs="Cambria Math"/>
                <w:color w:val="00B050"/>
              </w:rPr>
              <w:t>⨁⨁</w:t>
            </w:r>
            <w:r w:rsidRPr="0078370B">
              <w:rPr>
                <w:rFonts w:ascii="Cambria Math" w:hAnsi="Cambria Math" w:cs="Cambria Math"/>
                <w:color w:val="FF0000"/>
              </w:rPr>
              <w:t>⨀⨀</w:t>
            </w:r>
            <w:r w:rsidRPr="000739EC">
              <w:br/>
              <w:t>Low</w:t>
            </w:r>
          </w:p>
        </w:tc>
        <w:tc>
          <w:tcPr>
            <w:tcW w:w="55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B01B8D" w14:textId="6CD16DB5" w:rsidR="0049619E" w:rsidRPr="000739EC" w:rsidRDefault="00EA4A90">
            <w:pPr>
              <w:pStyle w:val="TableTextCA"/>
              <w:keepNext/>
            </w:pPr>
            <w:r>
              <w:t>552</w:t>
            </w:r>
          </w:p>
        </w:tc>
        <w:tc>
          <w:tcPr>
            <w:tcW w:w="60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1DA773" w14:textId="77777777" w:rsidR="0049619E" w:rsidRDefault="0049619E">
            <w:pPr>
              <w:pStyle w:val="TableTextCA"/>
              <w:keepNext/>
            </w:pPr>
            <w:r>
              <w:t>-</w:t>
            </w:r>
          </w:p>
        </w:tc>
        <w:tc>
          <w:tcPr>
            <w:tcW w:w="55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AD953D" w14:textId="60A9815C" w:rsidR="0049619E" w:rsidRDefault="00165F13">
            <w:pPr>
              <w:pStyle w:val="TableTextCA"/>
              <w:keepNext/>
            </w:pPr>
            <w:r>
              <w:t>297</w:t>
            </w:r>
          </w:p>
        </w:tc>
        <w:tc>
          <w:tcPr>
            <w:tcW w:w="60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42E9F3" w14:textId="77777777" w:rsidR="0049619E" w:rsidRDefault="0049619E">
            <w:pPr>
              <w:pStyle w:val="TableTextCA"/>
              <w:keepNext/>
            </w:pPr>
            <w:r>
              <w:t>-</w:t>
            </w:r>
          </w:p>
        </w:tc>
        <w:tc>
          <w:tcPr>
            <w:tcW w:w="951" w:type="pct"/>
            <w:tcBorders>
              <w:top w:val="single" w:sz="4" w:space="0" w:color="auto"/>
              <w:left w:val="nil"/>
              <w:right w:val="single" w:sz="8" w:space="0" w:color="auto"/>
            </w:tcBorders>
            <w:shd w:val="clear" w:color="auto" w:fill="auto"/>
            <w:noWrap/>
            <w:tcMar>
              <w:top w:w="0" w:type="dxa"/>
              <w:left w:w="108" w:type="dxa"/>
              <w:bottom w:w="0" w:type="dxa"/>
              <w:right w:w="108" w:type="dxa"/>
            </w:tcMar>
          </w:tcPr>
          <w:p w14:paraId="6215F03C" w14:textId="6C6E376D" w:rsidR="0049619E" w:rsidRPr="00CE12E1" w:rsidRDefault="0049619E">
            <w:pPr>
              <w:pStyle w:val="Tabletext0"/>
              <w:keepNext/>
              <w:jc w:val="center"/>
              <w:rPr>
                <w:b/>
                <w:bCs/>
              </w:rPr>
            </w:pPr>
            <w:r w:rsidRPr="00CE12E1">
              <w:rPr>
                <w:b/>
                <w:bCs/>
              </w:rPr>
              <w:t>-</w:t>
            </w:r>
            <w:r w:rsidR="00165F13" w:rsidRPr="00CE12E1">
              <w:rPr>
                <w:b/>
                <w:bCs/>
              </w:rPr>
              <w:t>1.94</w:t>
            </w:r>
            <w:r w:rsidRPr="00CE12E1">
              <w:rPr>
                <w:b/>
                <w:bCs/>
              </w:rPr>
              <w:t xml:space="preserve"> [-</w:t>
            </w:r>
            <w:r w:rsidR="00165F13" w:rsidRPr="00CE12E1">
              <w:rPr>
                <w:b/>
                <w:bCs/>
              </w:rPr>
              <w:t>3.42</w:t>
            </w:r>
            <w:r w:rsidRPr="00CE12E1">
              <w:rPr>
                <w:b/>
                <w:bCs/>
              </w:rPr>
              <w:t xml:space="preserve">, </w:t>
            </w:r>
            <w:r w:rsidR="00165F13" w:rsidRPr="00CE12E1">
              <w:rPr>
                <w:b/>
                <w:bCs/>
              </w:rPr>
              <w:t>-0.46</w:t>
            </w:r>
            <w:r w:rsidRPr="00CE12E1">
              <w:rPr>
                <w:b/>
                <w:bCs/>
              </w:rPr>
              <w:t>]</w:t>
            </w:r>
            <w:r w:rsidRPr="00CE12E1">
              <w:rPr>
                <w:b/>
                <w:bCs/>
              </w:rPr>
              <w:br/>
              <w:t>P=0.</w:t>
            </w:r>
            <w:r w:rsidR="00853267" w:rsidRPr="00CE12E1">
              <w:rPr>
                <w:b/>
                <w:bCs/>
              </w:rPr>
              <w:t>01</w:t>
            </w:r>
          </w:p>
        </w:tc>
      </w:tr>
      <w:tr w:rsidR="0049619E" w:rsidRPr="00E27EAA" w14:paraId="3B94BCCD" w14:textId="77777777" w:rsidTr="00E91C63">
        <w:trPr>
          <w:trHeight w:val="255"/>
        </w:trPr>
        <w:tc>
          <w:tcPr>
            <w:tcW w:w="1119" w:type="pct"/>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5A7070A" w14:textId="33B3FC46" w:rsidR="0049619E" w:rsidRDefault="0056305C">
            <w:pPr>
              <w:pStyle w:val="TableTextCA"/>
              <w:keepNext/>
              <w:spacing w:before="0" w:after="0"/>
            </w:pPr>
            <w:r>
              <w:t>HTN-ON MED</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tcPr>
          <w:p w14:paraId="23C5FC73" w14:textId="77777777" w:rsidR="0049619E" w:rsidRPr="00471CE5" w:rsidRDefault="0049619E">
            <w:pPr>
              <w:pStyle w:val="TableTextCA"/>
              <w:keepNext/>
              <w:jc w:val="right"/>
              <w:rPr>
                <w:rFonts w:ascii="Cambria Math" w:hAnsi="Cambria Math" w:cs="Cambria Math"/>
              </w:rPr>
            </w:pPr>
            <w:r w:rsidRPr="003A6225">
              <w:rPr>
                <w:lang w:val="it-IT"/>
              </w:rPr>
              <w:t>Het:</w:t>
            </w:r>
          </w:p>
        </w:tc>
        <w:tc>
          <w:tcPr>
            <w:tcW w:w="550" w:type="pct"/>
            <w:tcBorders>
              <w:top w:val="single" w:sz="8" w:space="0" w:color="auto"/>
              <w:left w:val="nil"/>
              <w:bottom w:val="single" w:sz="8" w:space="0" w:color="auto"/>
            </w:tcBorders>
            <w:shd w:val="clear" w:color="auto" w:fill="auto"/>
            <w:tcMar>
              <w:top w:w="0" w:type="dxa"/>
              <w:left w:w="0" w:type="dxa"/>
              <w:bottom w:w="0" w:type="dxa"/>
              <w:right w:w="0" w:type="dxa"/>
            </w:tcMar>
          </w:tcPr>
          <w:p w14:paraId="7D729E51" w14:textId="77777777" w:rsidR="0049619E" w:rsidRPr="000739EC" w:rsidRDefault="0049619E">
            <w:pPr>
              <w:pStyle w:val="TableTextCA"/>
              <w:keepNext/>
            </w:pPr>
            <w:r w:rsidRPr="003A6225">
              <w:rPr>
                <w:lang w:val="it-IT"/>
              </w:rPr>
              <w:t>Tau² = 0.00;</w:t>
            </w:r>
          </w:p>
        </w:tc>
        <w:tc>
          <w:tcPr>
            <w:tcW w:w="603" w:type="pct"/>
            <w:tcBorders>
              <w:top w:val="single" w:sz="8" w:space="0" w:color="auto"/>
              <w:left w:val="nil"/>
              <w:bottom w:val="single" w:sz="8" w:space="0" w:color="auto"/>
            </w:tcBorders>
            <w:shd w:val="clear" w:color="auto" w:fill="auto"/>
            <w:tcMar>
              <w:top w:w="0" w:type="dxa"/>
              <w:left w:w="108" w:type="dxa"/>
              <w:bottom w:w="0" w:type="dxa"/>
              <w:right w:w="108" w:type="dxa"/>
            </w:tcMar>
          </w:tcPr>
          <w:p w14:paraId="313081C3" w14:textId="1860DEF6" w:rsidR="0049619E" w:rsidRDefault="0049619E">
            <w:pPr>
              <w:pStyle w:val="TableTextCA"/>
              <w:keepNext/>
            </w:pPr>
            <w:r w:rsidRPr="003A6225">
              <w:rPr>
                <w:lang w:val="it-IT"/>
              </w:rPr>
              <w:t>Chi² = 0.0</w:t>
            </w:r>
            <w:r w:rsidR="00853267">
              <w:rPr>
                <w:lang w:val="it-IT"/>
              </w:rPr>
              <w:t>0</w:t>
            </w:r>
            <w:r w:rsidRPr="003A6225">
              <w:rPr>
                <w:lang w:val="it-IT"/>
              </w:rPr>
              <w:t>,</w:t>
            </w:r>
          </w:p>
        </w:tc>
        <w:tc>
          <w:tcPr>
            <w:tcW w:w="550" w:type="pct"/>
            <w:tcBorders>
              <w:top w:val="single" w:sz="8" w:space="0" w:color="auto"/>
              <w:left w:val="nil"/>
              <w:bottom w:val="single" w:sz="8" w:space="0" w:color="auto"/>
            </w:tcBorders>
            <w:shd w:val="clear" w:color="auto" w:fill="auto"/>
            <w:tcMar>
              <w:top w:w="0" w:type="dxa"/>
              <w:left w:w="108" w:type="dxa"/>
              <w:bottom w:w="0" w:type="dxa"/>
              <w:right w:w="108" w:type="dxa"/>
            </w:tcMar>
          </w:tcPr>
          <w:p w14:paraId="2CEEE4E4" w14:textId="45AFFA2E" w:rsidR="0049619E" w:rsidRDefault="0049619E">
            <w:pPr>
              <w:pStyle w:val="TableTextCA"/>
              <w:keepNext/>
            </w:pPr>
            <w:r w:rsidRPr="003A6225">
              <w:rPr>
                <w:lang w:val="it-IT"/>
              </w:rPr>
              <w:t>(P = 0.</w:t>
            </w:r>
            <w:r w:rsidR="00853267">
              <w:rPr>
                <w:lang w:val="it-IT"/>
              </w:rPr>
              <w:t>95</w:t>
            </w:r>
            <w:r w:rsidRPr="003A6225">
              <w:rPr>
                <w:lang w:val="it-IT"/>
              </w:rPr>
              <w:t>);</w:t>
            </w:r>
          </w:p>
        </w:tc>
        <w:tc>
          <w:tcPr>
            <w:tcW w:w="606" w:type="pct"/>
            <w:tcBorders>
              <w:top w:val="nil"/>
              <w:left w:val="nil"/>
              <w:bottom w:val="single" w:sz="8" w:space="0" w:color="auto"/>
              <w:right w:val="single" w:sz="8" w:space="0" w:color="auto"/>
            </w:tcBorders>
            <w:shd w:val="clear" w:color="auto" w:fill="auto"/>
            <w:tcMar>
              <w:top w:w="0" w:type="dxa"/>
              <w:left w:w="0" w:type="dxa"/>
              <w:bottom w:w="0" w:type="dxa"/>
              <w:right w:w="0" w:type="dxa"/>
            </w:tcMar>
          </w:tcPr>
          <w:p w14:paraId="63CFCA81" w14:textId="77777777" w:rsidR="0049619E" w:rsidRDefault="0049619E">
            <w:pPr>
              <w:pStyle w:val="TableTextCA"/>
              <w:keepNext/>
              <w:jc w:val="left"/>
            </w:pPr>
            <w:r w:rsidRPr="003A6225">
              <w:rPr>
                <w:lang w:val="it-IT"/>
              </w:rPr>
              <w:t>I² = 0%</w:t>
            </w:r>
          </w:p>
        </w:tc>
        <w:tc>
          <w:tcPr>
            <w:tcW w:w="951"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tcPr>
          <w:p w14:paraId="3598A23D" w14:textId="77777777" w:rsidR="0049619E" w:rsidRPr="00736014" w:rsidRDefault="0049619E">
            <w:pPr>
              <w:pStyle w:val="Tabletext0"/>
              <w:keepNext/>
              <w:jc w:val="center"/>
              <w:rPr>
                <w:b/>
                <w:bCs/>
              </w:rPr>
            </w:pPr>
          </w:p>
        </w:tc>
      </w:tr>
      <w:tr w:rsidR="0049619E" w:rsidRPr="00E27EAA" w14:paraId="5BB3BF95" w14:textId="77777777" w:rsidTr="00E91C63">
        <w:trPr>
          <w:trHeight w:val="546"/>
        </w:trPr>
        <w:tc>
          <w:tcPr>
            <w:tcW w:w="111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C26687" w14:textId="77777777" w:rsidR="0049619E" w:rsidRPr="00C86642" w:rsidRDefault="0049619E">
            <w:pPr>
              <w:pStyle w:val="TableTextCA"/>
              <w:keepNext/>
              <w:rPr>
                <w:color w:val="7F7F7F" w:themeColor="text1" w:themeTint="80"/>
              </w:rPr>
            </w:pPr>
            <w:r w:rsidRPr="00C86642">
              <w:rPr>
                <w:color w:val="7F7F7F" w:themeColor="text1" w:themeTint="80"/>
              </w:rPr>
              <w:t>SPYRAL HTN-OFF MED</w:t>
            </w:r>
          </w:p>
        </w:tc>
        <w:tc>
          <w:tcPr>
            <w:tcW w:w="621" w:type="pct"/>
            <w:tcBorders>
              <w:top w:val="nil"/>
              <w:left w:val="nil"/>
              <w:bottom w:val="single" w:sz="4" w:space="0" w:color="auto"/>
              <w:right w:val="single" w:sz="8" w:space="0" w:color="auto"/>
            </w:tcBorders>
            <w:tcMar>
              <w:top w:w="0" w:type="dxa"/>
              <w:left w:w="108" w:type="dxa"/>
              <w:bottom w:w="0" w:type="dxa"/>
              <w:right w:w="108" w:type="dxa"/>
            </w:tcMar>
          </w:tcPr>
          <w:p w14:paraId="25E433AB" w14:textId="77777777" w:rsidR="0049619E" w:rsidRPr="00774C99" w:rsidRDefault="0049619E">
            <w:pPr>
              <w:pStyle w:val="TableTextCA"/>
              <w:keepNext/>
              <w:rPr>
                <w:color w:val="7F7F7F" w:themeColor="text1" w:themeTint="80"/>
              </w:rPr>
            </w:pPr>
            <w:r w:rsidRPr="00774C99">
              <w:rPr>
                <w:color w:val="7F7F7F" w:themeColor="text1" w:themeTint="80"/>
              </w:rPr>
              <w:t>-</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3E9EECE1" w14:textId="2DB4BA4E" w:rsidR="0049619E" w:rsidRPr="00774C99" w:rsidRDefault="0049619E">
            <w:pPr>
              <w:pStyle w:val="TableTextCA"/>
              <w:keepNext/>
              <w:rPr>
                <w:color w:val="7F7F7F" w:themeColor="text1" w:themeTint="80"/>
              </w:rPr>
            </w:pPr>
            <w:r w:rsidRPr="00774C99">
              <w:rPr>
                <w:color w:val="7F7F7F" w:themeColor="text1" w:themeTint="80"/>
              </w:rPr>
              <w:t>1</w:t>
            </w:r>
            <w:r w:rsidR="00E91C63">
              <w:rPr>
                <w:color w:val="7F7F7F" w:themeColor="text1" w:themeTint="80"/>
              </w:rPr>
              <w:t>56</w:t>
            </w:r>
            <w:r w:rsidRPr="00774C99">
              <w:rPr>
                <w:color w:val="7F7F7F" w:themeColor="text1" w:themeTint="80"/>
              </w:rPr>
              <w:t>/166</w:t>
            </w:r>
            <w:r w:rsidRPr="00774C99">
              <w:rPr>
                <w:color w:val="7F7F7F" w:themeColor="text1" w:themeTint="80"/>
              </w:rPr>
              <w:br/>
              <w:t>(</w:t>
            </w:r>
            <w:r w:rsidR="002317E2">
              <w:rPr>
                <w:color w:val="7F7F7F" w:themeColor="text1" w:themeTint="80"/>
              </w:rPr>
              <w:t>94.0</w:t>
            </w:r>
            <w:r w:rsidRPr="00774C99">
              <w:rPr>
                <w:color w:val="7F7F7F" w:themeColor="text1" w:themeTint="80"/>
              </w:rPr>
              <w:t>%)</w:t>
            </w:r>
          </w:p>
        </w:tc>
        <w:tc>
          <w:tcPr>
            <w:tcW w:w="603" w:type="pct"/>
            <w:tcBorders>
              <w:top w:val="nil"/>
              <w:left w:val="nil"/>
              <w:bottom w:val="single" w:sz="4" w:space="0" w:color="auto"/>
              <w:right w:val="single" w:sz="8" w:space="0" w:color="auto"/>
            </w:tcBorders>
            <w:tcMar>
              <w:top w:w="0" w:type="dxa"/>
              <w:left w:w="108" w:type="dxa"/>
              <w:bottom w:w="0" w:type="dxa"/>
              <w:right w:w="108" w:type="dxa"/>
            </w:tcMar>
          </w:tcPr>
          <w:p w14:paraId="71F251B2" w14:textId="5EE65247" w:rsidR="0049619E" w:rsidRPr="00774C99" w:rsidRDefault="0049619E">
            <w:pPr>
              <w:pStyle w:val="TableTextCA"/>
              <w:keepNext/>
              <w:rPr>
                <w:color w:val="7F7F7F" w:themeColor="text1" w:themeTint="80"/>
              </w:rPr>
            </w:pPr>
            <w:r w:rsidRPr="00774C99">
              <w:rPr>
                <w:color w:val="7F7F7F" w:themeColor="text1" w:themeTint="80"/>
              </w:rPr>
              <w:t>-</w:t>
            </w:r>
            <w:r w:rsidR="002317E2">
              <w:rPr>
                <w:color w:val="7F7F7F" w:themeColor="text1" w:themeTint="80"/>
              </w:rPr>
              <w:t>5.1</w:t>
            </w:r>
            <w:r w:rsidRPr="00774C99">
              <w:rPr>
                <w:color w:val="7F7F7F" w:themeColor="text1" w:themeTint="80"/>
              </w:rPr>
              <w:br/>
              <w:t>(</w:t>
            </w:r>
            <w:r w:rsidR="002317E2">
              <w:rPr>
                <w:color w:val="7F7F7F" w:themeColor="text1" w:themeTint="80"/>
              </w:rPr>
              <w:t>8.10</w:t>
            </w:r>
            <w:r w:rsidRPr="00774C99">
              <w:rPr>
                <w:color w:val="7F7F7F" w:themeColor="text1" w:themeTint="80"/>
              </w:rPr>
              <w:t>)</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78351152" w14:textId="0E21BCD2" w:rsidR="0049619E" w:rsidRPr="00774C99" w:rsidRDefault="0049619E">
            <w:pPr>
              <w:pStyle w:val="TableTextCA"/>
              <w:keepNext/>
              <w:rPr>
                <w:color w:val="7F7F7F" w:themeColor="text1" w:themeTint="80"/>
              </w:rPr>
            </w:pPr>
            <w:r w:rsidRPr="00774C99">
              <w:rPr>
                <w:color w:val="7F7F7F" w:themeColor="text1" w:themeTint="80"/>
              </w:rPr>
              <w:t>1</w:t>
            </w:r>
            <w:r w:rsidR="002317E2">
              <w:rPr>
                <w:color w:val="7F7F7F" w:themeColor="text1" w:themeTint="80"/>
              </w:rPr>
              <w:t>50</w:t>
            </w:r>
            <w:r w:rsidRPr="00774C99">
              <w:rPr>
                <w:color w:val="7F7F7F" w:themeColor="text1" w:themeTint="80"/>
              </w:rPr>
              <w:t>/165</w:t>
            </w:r>
            <w:r w:rsidRPr="00774C99">
              <w:rPr>
                <w:color w:val="7F7F7F" w:themeColor="text1" w:themeTint="80"/>
              </w:rPr>
              <w:br/>
              <w:t>(</w:t>
            </w:r>
            <w:r w:rsidR="002474F8">
              <w:rPr>
                <w:color w:val="7F7F7F" w:themeColor="text1" w:themeTint="80"/>
              </w:rPr>
              <w:t>90.9</w:t>
            </w:r>
            <w:r w:rsidRPr="00774C99">
              <w:rPr>
                <w:color w:val="7F7F7F" w:themeColor="text1" w:themeTint="80"/>
              </w:rPr>
              <w:t>%)</w:t>
            </w:r>
          </w:p>
        </w:tc>
        <w:tc>
          <w:tcPr>
            <w:tcW w:w="606" w:type="pct"/>
            <w:tcBorders>
              <w:top w:val="nil"/>
              <w:left w:val="nil"/>
              <w:bottom w:val="single" w:sz="4" w:space="0" w:color="auto"/>
              <w:right w:val="single" w:sz="8" w:space="0" w:color="auto"/>
            </w:tcBorders>
            <w:tcMar>
              <w:top w:w="0" w:type="dxa"/>
              <w:left w:w="108" w:type="dxa"/>
              <w:bottom w:w="0" w:type="dxa"/>
              <w:right w:w="108" w:type="dxa"/>
            </w:tcMar>
          </w:tcPr>
          <w:p w14:paraId="26E67A24" w14:textId="0CA8447D" w:rsidR="0049619E" w:rsidRPr="00774C99" w:rsidRDefault="0049619E">
            <w:pPr>
              <w:pStyle w:val="TableTextCA"/>
              <w:keepNext/>
              <w:rPr>
                <w:color w:val="7F7F7F" w:themeColor="text1" w:themeTint="80"/>
              </w:rPr>
            </w:pPr>
            <w:r w:rsidRPr="00774C99">
              <w:rPr>
                <w:color w:val="7F7F7F" w:themeColor="text1" w:themeTint="80"/>
              </w:rPr>
              <w:t>-</w:t>
            </w:r>
            <w:r w:rsidR="002474F8">
              <w:rPr>
                <w:color w:val="7F7F7F" w:themeColor="text1" w:themeTint="80"/>
              </w:rPr>
              <w:t>1</w:t>
            </w:r>
            <w:r w:rsidRPr="00774C99">
              <w:rPr>
                <w:color w:val="7F7F7F" w:themeColor="text1" w:themeTint="80"/>
              </w:rPr>
              <w:br/>
              <w:t>(8.</w:t>
            </w:r>
            <w:r w:rsidR="002474F8">
              <w:rPr>
                <w:color w:val="7F7F7F" w:themeColor="text1" w:themeTint="80"/>
              </w:rPr>
              <w:t>2</w:t>
            </w:r>
            <w:r w:rsidRPr="00774C99">
              <w:rPr>
                <w:color w:val="7F7F7F" w:themeColor="text1" w:themeTint="80"/>
              </w:rPr>
              <w:t>0)</w:t>
            </w:r>
          </w:p>
        </w:tc>
        <w:tc>
          <w:tcPr>
            <w:tcW w:w="951" w:type="pct"/>
            <w:tcBorders>
              <w:top w:val="nil"/>
              <w:left w:val="nil"/>
              <w:bottom w:val="single" w:sz="4" w:space="0" w:color="auto"/>
              <w:right w:val="single" w:sz="8" w:space="0" w:color="auto"/>
            </w:tcBorders>
            <w:noWrap/>
            <w:tcMar>
              <w:top w:w="0" w:type="dxa"/>
              <w:left w:w="108" w:type="dxa"/>
              <w:bottom w:w="0" w:type="dxa"/>
              <w:right w:w="108" w:type="dxa"/>
            </w:tcMar>
          </w:tcPr>
          <w:p w14:paraId="72E87A96" w14:textId="6DD0D53B" w:rsidR="0049619E" w:rsidRPr="00D916F4" w:rsidRDefault="0049619E">
            <w:pPr>
              <w:pStyle w:val="Tabletext0"/>
              <w:keepNext/>
              <w:jc w:val="center"/>
              <w:rPr>
                <w:rFonts w:eastAsiaTheme="minorHAnsi"/>
                <w:b/>
                <w:bCs/>
                <w:color w:val="7F7F7F" w:themeColor="text1" w:themeTint="80"/>
              </w:rPr>
            </w:pPr>
            <w:r w:rsidRPr="00D916F4">
              <w:rPr>
                <w:b/>
                <w:bCs/>
                <w:color w:val="7F7F7F" w:themeColor="text1" w:themeTint="80"/>
              </w:rPr>
              <w:t>-4.</w:t>
            </w:r>
            <w:r w:rsidR="0086758D">
              <w:rPr>
                <w:b/>
                <w:bCs/>
                <w:color w:val="7F7F7F" w:themeColor="text1" w:themeTint="80"/>
              </w:rPr>
              <w:t>1</w:t>
            </w:r>
            <w:r w:rsidRPr="00D916F4">
              <w:rPr>
                <w:b/>
                <w:bCs/>
                <w:color w:val="7F7F7F" w:themeColor="text1" w:themeTint="80"/>
              </w:rPr>
              <w:t>0 [-</w:t>
            </w:r>
            <w:r w:rsidR="0086758D">
              <w:rPr>
                <w:b/>
                <w:bCs/>
                <w:color w:val="7F7F7F" w:themeColor="text1" w:themeTint="80"/>
              </w:rPr>
              <w:t>5.93</w:t>
            </w:r>
            <w:r w:rsidRPr="00D916F4">
              <w:rPr>
                <w:b/>
                <w:bCs/>
                <w:color w:val="7F7F7F" w:themeColor="text1" w:themeTint="80"/>
              </w:rPr>
              <w:t>, -</w:t>
            </w:r>
            <w:r w:rsidR="0086758D">
              <w:rPr>
                <w:b/>
                <w:bCs/>
                <w:color w:val="7F7F7F" w:themeColor="text1" w:themeTint="80"/>
              </w:rPr>
              <w:t>2.27</w:t>
            </w:r>
            <w:r w:rsidRPr="00D916F4">
              <w:rPr>
                <w:b/>
                <w:bCs/>
                <w:color w:val="7F7F7F" w:themeColor="text1" w:themeTint="80"/>
              </w:rPr>
              <w:t>]</w:t>
            </w:r>
            <w:r w:rsidRPr="00D916F4">
              <w:rPr>
                <w:b/>
                <w:bCs/>
                <w:color w:val="7F7F7F" w:themeColor="text1" w:themeTint="80"/>
              </w:rPr>
              <w:br/>
            </w:r>
            <w:r w:rsidRPr="00D66FDB">
              <w:rPr>
                <w:b/>
                <w:bCs/>
                <w:color w:val="7F7F7F" w:themeColor="text1" w:themeTint="80"/>
              </w:rPr>
              <w:t>P&lt;0.00</w:t>
            </w:r>
            <w:r w:rsidR="004C5ABD" w:rsidRPr="00D66FDB">
              <w:rPr>
                <w:b/>
                <w:bCs/>
                <w:color w:val="7F7F7F" w:themeColor="text1" w:themeTint="80"/>
              </w:rPr>
              <w:t>0</w:t>
            </w:r>
            <w:r w:rsidRPr="00D66FDB">
              <w:rPr>
                <w:b/>
                <w:bCs/>
                <w:color w:val="7F7F7F" w:themeColor="text1" w:themeTint="80"/>
              </w:rPr>
              <w:t>1</w:t>
            </w:r>
          </w:p>
        </w:tc>
      </w:tr>
      <w:tr w:rsidR="0049619E" w:rsidRPr="00E27EAA" w14:paraId="4D7C03A4" w14:textId="77777777">
        <w:trPr>
          <w:trHeight w:val="546"/>
        </w:trPr>
        <w:tc>
          <w:tcPr>
            <w:tcW w:w="1119" w:type="pct"/>
            <w:tcBorders>
              <w:top w:val="single" w:sz="4" w:space="0" w:color="auto"/>
              <w:left w:val="single" w:sz="8" w:space="0" w:color="auto"/>
              <w:right w:val="single" w:sz="8" w:space="0" w:color="auto"/>
            </w:tcBorders>
            <w:tcMar>
              <w:top w:w="0" w:type="dxa"/>
              <w:left w:w="108" w:type="dxa"/>
              <w:bottom w:w="0" w:type="dxa"/>
              <w:right w:w="108" w:type="dxa"/>
            </w:tcMar>
            <w:vAlign w:val="bottom"/>
          </w:tcPr>
          <w:p w14:paraId="19C990F8" w14:textId="244251CA" w:rsidR="0049619E" w:rsidRPr="007653D4" w:rsidRDefault="0049619E">
            <w:pPr>
              <w:pStyle w:val="TableTextCA"/>
              <w:keepNext/>
              <w:spacing w:after="0"/>
              <w:rPr>
                <w:color w:val="7F7F7F" w:themeColor="text1" w:themeTint="80"/>
              </w:rPr>
            </w:pPr>
            <w:r w:rsidRPr="007653D4">
              <w:rPr>
                <w:color w:val="7F7F7F" w:themeColor="text1" w:themeTint="80"/>
              </w:rPr>
              <w:t>ADAR Meta-analysis HTN-3</w:t>
            </w:r>
            <w:r w:rsidR="009674D6">
              <w:rPr>
                <w:color w:val="7F7F7F" w:themeColor="text1" w:themeTint="80"/>
              </w:rPr>
              <w:t xml:space="preserve">, </w:t>
            </w:r>
            <w:r w:rsidR="009674D6" w:rsidRPr="007653D4">
              <w:rPr>
                <w:color w:val="7F7F7F" w:themeColor="text1" w:themeTint="80"/>
              </w:rPr>
              <w:t>HTN-ON MED,</w:t>
            </w:r>
          </w:p>
        </w:tc>
        <w:tc>
          <w:tcPr>
            <w:tcW w:w="62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4CB4BC3" w14:textId="77777777" w:rsidR="0049619E" w:rsidRPr="007653D4" w:rsidRDefault="0049619E">
            <w:pPr>
              <w:pStyle w:val="TableTextCA"/>
              <w:keepNext/>
              <w:rPr>
                <w:color w:val="7F7F7F" w:themeColor="text1" w:themeTint="80"/>
              </w:rPr>
            </w:pPr>
            <w:r w:rsidRPr="007653D4">
              <w:rPr>
                <w:rFonts w:ascii="Cambria Math" w:hAnsi="Cambria Math" w:cs="Cambria Math"/>
                <w:color w:val="00B050"/>
              </w:rPr>
              <w:t>⨁</w:t>
            </w:r>
            <w:r w:rsidRPr="007653D4">
              <w:rPr>
                <w:rFonts w:ascii="Cambria Math" w:hAnsi="Cambria Math" w:cs="Cambria Math"/>
                <w:color w:val="FF0000"/>
              </w:rPr>
              <w:t>⨀⨀⨀</w:t>
            </w:r>
            <w:r w:rsidRPr="007653D4">
              <w:br/>
              <w:t>Very low</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6267797" w14:textId="4597CCF0" w:rsidR="0049619E" w:rsidRPr="007653D4" w:rsidRDefault="0086758D">
            <w:pPr>
              <w:pStyle w:val="TableTextCA"/>
              <w:keepNext/>
              <w:rPr>
                <w:color w:val="7F7F7F" w:themeColor="text1" w:themeTint="80"/>
              </w:rPr>
            </w:pPr>
            <w:r>
              <w:rPr>
                <w:color w:val="7F7F7F" w:themeColor="text1" w:themeTint="80"/>
              </w:rPr>
              <w:t>708</w:t>
            </w:r>
          </w:p>
        </w:tc>
        <w:tc>
          <w:tcPr>
            <w:tcW w:w="6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CC6D071" w14:textId="77777777" w:rsidR="0049619E" w:rsidRPr="007653D4" w:rsidRDefault="0049619E">
            <w:pPr>
              <w:pStyle w:val="TableTextCA"/>
              <w:keepNext/>
              <w:rPr>
                <w:color w:val="7F7F7F" w:themeColor="text1" w:themeTint="80"/>
              </w:rPr>
            </w:pPr>
            <w:r w:rsidRPr="007653D4">
              <w:rPr>
                <w:color w:val="7F7F7F" w:themeColor="text1" w:themeTint="80"/>
              </w:rPr>
              <w:t>-</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237712B" w14:textId="5116492E" w:rsidR="0049619E" w:rsidRPr="007653D4" w:rsidRDefault="0086758D">
            <w:pPr>
              <w:pStyle w:val="TableTextCA"/>
              <w:keepNext/>
              <w:rPr>
                <w:color w:val="7F7F7F" w:themeColor="text1" w:themeTint="80"/>
              </w:rPr>
            </w:pPr>
            <w:r>
              <w:rPr>
                <w:color w:val="7F7F7F" w:themeColor="text1" w:themeTint="80"/>
              </w:rPr>
              <w:t>447</w:t>
            </w:r>
          </w:p>
        </w:tc>
        <w:tc>
          <w:tcPr>
            <w:tcW w:w="60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3FD4AAC" w14:textId="77777777" w:rsidR="0049619E" w:rsidRPr="007653D4" w:rsidRDefault="0049619E">
            <w:pPr>
              <w:pStyle w:val="TableTextCA"/>
              <w:keepNext/>
              <w:rPr>
                <w:color w:val="7F7F7F" w:themeColor="text1" w:themeTint="80"/>
              </w:rPr>
            </w:pPr>
            <w:r w:rsidRPr="007653D4">
              <w:rPr>
                <w:color w:val="7F7F7F" w:themeColor="text1" w:themeTint="80"/>
              </w:rPr>
              <w:t>-</w:t>
            </w:r>
          </w:p>
        </w:tc>
        <w:tc>
          <w:tcPr>
            <w:tcW w:w="951" w:type="pct"/>
            <w:tcBorders>
              <w:top w:val="single" w:sz="4" w:space="0" w:color="auto"/>
              <w:left w:val="nil"/>
              <w:right w:val="single" w:sz="8" w:space="0" w:color="auto"/>
            </w:tcBorders>
            <w:noWrap/>
            <w:tcMar>
              <w:top w:w="0" w:type="dxa"/>
              <w:left w:w="108" w:type="dxa"/>
              <w:bottom w:w="0" w:type="dxa"/>
              <w:right w:w="108" w:type="dxa"/>
            </w:tcMar>
          </w:tcPr>
          <w:p w14:paraId="67269055" w14:textId="678A2759" w:rsidR="0049619E" w:rsidRPr="007653D4" w:rsidRDefault="0049619E">
            <w:pPr>
              <w:pStyle w:val="Tabletext0"/>
              <w:keepNext/>
              <w:jc w:val="center"/>
              <w:rPr>
                <w:b/>
                <w:bCs/>
                <w:color w:val="7F7F7F" w:themeColor="text1" w:themeTint="80"/>
              </w:rPr>
            </w:pPr>
            <w:r w:rsidRPr="007653D4">
              <w:rPr>
                <w:b/>
                <w:bCs/>
                <w:color w:val="7F7F7F" w:themeColor="text1" w:themeTint="80"/>
              </w:rPr>
              <w:t>-2.7</w:t>
            </w:r>
            <w:r w:rsidR="00CD2947">
              <w:rPr>
                <w:b/>
                <w:bCs/>
                <w:color w:val="7F7F7F" w:themeColor="text1" w:themeTint="80"/>
              </w:rPr>
              <w:t>5</w:t>
            </w:r>
            <w:r w:rsidRPr="007653D4">
              <w:rPr>
                <w:b/>
                <w:bCs/>
                <w:color w:val="7F7F7F" w:themeColor="text1" w:themeTint="80"/>
              </w:rPr>
              <w:t xml:space="preserve"> [-4.2</w:t>
            </w:r>
            <w:r w:rsidR="009674D6">
              <w:rPr>
                <w:b/>
                <w:bCs/>
                <w:color w:val="7F7F7F" w:themeColor="text1" w:themeTint="80"/>
              </w:rPr>
              <w:t>3</w:t>
            </w:r>
            <w:r w:rsidRPr="007653D4">
              <w:rPr>
                <w:b/>
                <w:bCs/>
                <w:color w:val="7F7F7F" w:themeColor="text1" w:themeTint="80"/>
              </w:rPr>
              <w:t>, -1.</w:t>
            </w:r>
            <w:r w:rsidR="009674D6">
              <w:rPr>
                <w:b/>
                <w:bCs/>
                <w:color w:val="7F7F7F" w:themeColor="text1" w:themeTint="80"/>
              </w:rPr>
              <w:t>2</w:t>
            </w:r>
            <w:r w:rsidRPr="007653D4">
              <w:rPr>
                <w:b/>
                <w:bCs/>
                <w:color w:val="7F7F7F" w:themeColor="text1" w:themeTint="80"/>
              </w:rPr>
              <w:t>7]</w:t>
            </w:r>
            <w:r w:rsidRPr="007653D4">
              <w:rPr>
                <w:b/>
                <w:bCs/>
                <w:color w:val="7F7F7F" w:themeColor="text1" w:themeTint="80"/>
              </w:rPr>
              <w:br/>
              <w:t>P=0.000</w:t>
            </w:r>
            <w:r w:rsidR="00F918CC">
              <w:rPr>
                <w:b/>
                <w:bCs/>
                <w:color w:val="7F7F7F" w:themeColor="text1" w:themeTint="80"/>
              </w:rPr>
              <w:t>3</w:t>
            </w:r>
          </w:p>
        </w:tc>
      </w:tr>
      <w:tr w:rsidR="0049619E" w:rsidRPr="00E27EAA" w14:paraId="6DAC9C41" w14:textId="77777777">
        <w:trPr>
          <w:trHeight w:val="159"/>
        </w:trPr>
        <w:tc>
          <w:tcPr>
            <w:tcW w:w="1119" w:type="pct"/>
            <w:tcBorders>
              <w:left w:val="single" w:sz="8" w:space="0" w:color="auto"/>
              <w:bottom w:val="single" w:sz="8" w:space="0" w:color="auto"/>
              <w:right w:val="single" w:sz="8" w:space="0" w:color="auto"/>
            </w:tcBorders>
            <w:tcMar>
              <w:top w:w="0" w:type="dxa"/>
              <w:left w:w="108" w:type="dxa"/>
              <w:bottom w:w="0" w:type="dxa"/>
              <w:right w:w="108" w:type="dxa"/>
            </w:tcMar>
          </w:tcPr>
          <w:p w14:paraId="29A48099" w14:textId="26DF3E58" w:rsidR="0049619E" w:rsidRPr="007653D4" w:rsidRDefault="0049619E">
            <w:pPr>
              <w:pStyle w:val="TableTextCA"/>
              <w:keepNext/>
              <w:spacing w:before="0"/>
              <w:rPr>
                <w:color w:val="7F7F7F" w:themeColor="text1" w:themeTint="80"/>
              </w:rPr>
            </w:pPr>
            <w:r w:rsidRPr="007653D4">
              <w:rPr>
                <w:color w:val="7F7F7F" w:themeColor="text1" w:themeTint="80"/>
              </w:rPr>
              <w:t>HTN-OFF MED</w:t>
            </w:r>
          </w:p>
        </w:tc>
        <w:tc>
          <w:tcPr>
            <w:tcW w:w="621" w:type="pct"/>
            <w:tcBorders>
              <w:top w:val="single" w:sz="4" w:space="0" w:color="auto"/>
              <w:left w:val="nil"/>
              <w:bottom w:val="single" w:sz="8" w:space="0" w:color="auto"/>
            </w:tcBorders>
            <w:tcMar>
              <w:top w:w="0" w:type="dxa"/>
              <w:left w:w="0" w:type="dxa"/>
              <w:bottom w:w="0" w:type="dxa"/>
              <w:right w:w="0" w:type="dxa"/>
            </w:tcMar>
          </w:tcPr>
          <w:p w14:paraId="26E63524" w14:textId="77777777" w:rsidR="0049619E" w:rsidRPr="007653D4" w:rsidRDefault="0049619E">
            <w:pPr>
              <w:pStyle w:val="TableTextCA"/>
              <w:keepNext/>
              <w:jc w:val="right"/>
              <w:rPr>
                <w:color w:val="7F7F7F" w:themeColor="text1" w:themeTint="80"/>
              </w:rPr>
            </w:pPr>
            <w:r w:rsidRPr="007653D4">
              <w:rPr>
                <w:color w:val="7F7F7F" w:themeColor="text1" w:themeTint="80"/>
                <w:lang w:val="it-IT"/>
              </w:rPr>
              <w:t>Het:</w:t>
            </w:r>
          </w:p>
        </w:tc>
        <w:tc>
          <w:tcPr>
            <w:tcW w:w="550" w:type="pct"/>
            <w:tcBorders>
              <w:top w:val="single" w:sz="4" w:space="0" w:color="auto"/>
              <w:left w:val="nil"/>
              <w:bottom w:val="single" w:sz="8" w:space="0" w:color="auto"/>
            </w:tcBorders>
            <w:tcMar>
              <w:top w:w="0" w:type="dxa"/>
              <w:left w:w="0" w:type="dxa"/>
              <w:bottom w:w="0" w:type="dxa"/>
              <w:right w:w="0" w:type="dxa"/>
            </w:tcMar>
          </w:tcPr>
          <w:p w14:paraId="68916B76" w14:textId="203B375E" w:rsidR="0049619E" w:rsidRPr="007653D4" w:rsidRDefault="0049619E">
            <w:pPr>
              <w:pStyle w:val="TableTextCA"/>
              <w:keepNext/>
              <w:rPr>
                <w:color w:val="7F7F7F" w:themeColor="text1" w:themeTint="80"/>
              </w:rPr>
            </w:pPr>
            <w:r w:rsidRPr="007653D4">
              <w:rPr>
                <w:color w:val="7F7F7F" w:themeColor="text1" w:themeTint="80"/>
                <w:lang w:val="it-IT"/>
              </w:rPr>
              <w:t>Tau²=0.</w:t>
            </w:r>
            <w:r w:rsidR="00805AE7">
              <w:rPr>
                <w:color w:val="7F7F7F" w:themeColor="text1" w:themeTint="80"/>
                <w:lang w:val="it-IT"/>
              </w:rPr>
              <w:t>66</w:t>
            </w:r>
          </w:p>
        </w:tc>
        <w:tc>
          <w:tcPr>
            <w:tcW w:w="603" w:type="pct"/>
            <w:tcBorders>
              <w:top w:val="single" w:sz="4" w:space="0" w:color="auto"/>
              <w:left w:val="nil"/>
              <w:bottom w:val="single" w:sz="8" w:space="0" w:color="auto"/>
            </w:tcBorders>
            <w:tcMar>
              <w:top w:w="0" w:type="dxa"/>
              <w:left w:w="0" w:type="dxa"/>
              <w:bottom w:w="0" w:type="dxa"/>
              <w:right w:w="0" w:type="dxa"/>
            </w:tcMar>
          </w:tcPr>
          <w:p w14:paraId="2DD46F5A" w14:textId="3108B33B" w:rsidR="0049619E" w:rsidRPr="007653D4" w:rsidRDefault="0049619E">
            <w:pPr>
              <w:pStyle w:val="TableTextCA"/>
              <w:keepNext/>
              <w:rPr>
                <w:color w:val="7F7F7F" w:themeColor="text1" w:themeTint="80"/>
              </w:rPr>
            </w:pPr>
            <w:r w:rsidRPr="007653D4">
              <w:rPr>
                <w:color w:val="7F7F7F" w:themeColor="text1" w:themeTint="80"/>
                <w:lang w:val="it-IT"/>
              </w:rPr>
              <w:t xml:space="preserve">Chi² = </w:t>
            </w:r>
            <w:r w:rsidR="00F918CC">
              <w:rPr>
                <w:color w:val="7F7F7F" w:themeColor="text1" w:themeTint="80"/>
                <w:lang w:val="it-IT"/>
              </w:rPr>
              <w:t>3.25</w:t>
            </w:r>
            <w:r w:rsidRPr="007653D4">
              <w:rPr>
                <w:color w:val="7F7F7F" w:themeColor="text1" w:themeTint="80"/>
                <w:lang w:val="it-IT"/>
              </w:rPr>
              <w:t>,</w:t>
            </w:r>
          </w:p>
        </w:tc>
        <w:tc>
          <w:tcPr>
            <w:tcW w:w="550" w:type="pct"/>
            <w:tcBorders>
              <w:top w:val="single" w:sz="4" w:space="0" w:color="auto"/>
              <w:left w:val="nil"/>
              <w:bottom w:val="single" w:sz="8" w:space="0" w:color="auto"/>
            </w:tcBorders>
            <w:tcMar>
              <w:top w:w="0" w:type="dxa"/>
              <w:left w:w="0" w:type="dxa"/>
              <w:bottom w:w="0" w:type="dxa"/>
              <w:right w:w="0" w:type="dxa"/>
            </w:tcMar>
          </w:tcPr>
          <w:p w14:paraId="49C08F3C" w14:textId="1A49C34D" w:rsidR="0049619E" w:rsidRPr="007653D4" w:rsidRDefault="0049619E">
            <w:pPr>
              <w:pStyle w:val="TableTextCA"/>
              <w:keepNext/>
              <w:rPr>
                <w:color w:val="7F7F7F" w:themeColor="text1" w:themeTint="80"/>
              </w:rPr>
            </w:pPr>
            <w:r w:rsidRPr="007653D4">
              <w:rPr>
                <w:color w:val="7F7F7F" w:themeColor="text1" w:themeTint="80"/>
                <w:lang w:val="it-IT"/>
              </w:rPr>
              <w:t>(P = 0.</w:t>
            </w:r>
            <w:r w:rsidR="00F918CC">
              <w:rPr>
                <w:color w:val="7F7F7F" w:themeColor="text1" w:themeTint="80"/>
                <w:lang w:val="it-IT"/>
              </w:rPr>
              <w:t>20</w:t>
            </w:r>
            <w:r w:rsidRPr="007653D4">
              <w:rPr>
                <w:color w:val="7F7F7F" w:themeColor="text1" w:themeTint="80"/>
                <w:lang w:val="it-IT"/>
              </w:rPr>
              <w:t>);</w:t>
            </w:r>
          </w:p>
        </w:tc>
        <w:tc>
          <w:tcPr>
            <w:tcW w:w="606" w:type="pct"/>
            <w:tcBorders>
              <w:top w:val="single" w:sz="4" w:space="0" w:color="auto"/>
              <w:left w:val="nil"/>
              <w:bottom w:val="single" w:sz="8" w:space="0" w:color="auto"/>
              <w:right w:val="single" w:sz="8" w:space="0" w:color="auto"/>
            </w:tcBorders>
            <w:tcMar>
              <w:top w:w="0" w:type="dxa"/>
              <w:left w:w="0" w:type="dxa"/>
              <w:bottom w:w="0" w:type="dxa"/>
              <w:right w:w="0" w:type="dxa"/>
            </w:tcMar>
          </w:tcPr>
          <w:p w14:paraId="7B43CBD5" w14:textId="45E4A1B3" w:rsidR="0049619E" w:rsidRPr="007653D4" w:rsidRDefault="0049619E">
            <w:pPr>
              <w:pStyle w:val="TableTextCA"/>
              <w:keepNext/>
              <w:jc w:val="left"/>
              <w:rPr>
                <w:color w:val="7F7F7F" w:themeColor="text1" w:themeTint="80"/>
              </w:rPr>
            </w:pPr>
            <w:r w:rsidRPr="007653D4">
              <w:rPr>
                <w:color w:val="7F7F7F" w:themeColor="text1" w:themeTint="80"/>
                <w:lang w:val="it-IT"/>
              </w:rPr>
              <w:t xml:space="preserve">I² = </w:t>
            </w:r>
            <w:r w:rsidR="00F918CC">
              <w:rPr>
                <w:color w:val="7F7F7F" w:themeColor="text1" w:themeTint="80"/>
                <w:lang w:val="it-IT"/>
              </w:rPr>
              <w:t>39</w:t>
            </w:r>
            <w:r w:rsidRPr="007653D4">
              <w:rPr>
                <w:color w:val="7F7F7F" w:themeColor="text1" w:themeTint="80"/>
                <w:lang w:val="it-IT"/>
              </w:rPr>
              <w:t>%</w:t>
            </w:r>
          </w:p>
        </w:tc>
        <w:tc>
          <w:tcPr>
            <w:tcW w:w="951" w:type="pct"/>
            <w:tcBorders>
              <w:left w:val="nil"/>
              <w:bottom w:val="single" w:sz="8" w:space="0" w:color="auto"/>
              <w:right w:val="single" w:sz="8" w:space="0" w:color="auto"/>
            </w:tcBorders>
            <w:noWrap/>
            <w:tcMar>
              <w:top w:w="0" w:type="dxa"/>
              <w:left w:w="108" w:type="dxa"/>
              <w:bottom w:w="0" w:type="dxa"/>
              <w:right w:w="108" w:type="dxa"/>
            </w:tcMar>
          </w:tcPr>
          <w:p w14:paraId="72EF9ED1" w14:textId="77777777" w:rsidR="0049619E" w:rsidRPr="007653D4" w:rsidRDefault="0049619E">
            <w:pPr>
              <w:pStyle w:val="Tabletext0"/>
              <w:keepNext/>
              <w:jc w:val="center"/>
              <w:rPr>
                <w:b/>
                <w:bCs/>
                <w:color w:val="7F7F7F" w:themeColor="text1" w:themeTint="80"/>
              </w:rPr>
            </w:pPr>
          </w:p>
        </w:tc>
      </w:tr>
    </w:tbl>
    <w:p w14:paraId="398A599E" w14:textId="32178C7A" w:rsidR="00516BCE" w:rsidRPr="00DD136E" w:rsidRDefault="00516BCE" w:rsidP="00516BCE">
      <w:pPr>
        <w:pStyle w:val="Tablenotes0"/>
      </w:pPr>
      <w:r>
        <w:t xml:space="preserve">CI = confidence interval; DBP = diastolic blood pressure; </w:t>
      </w:r>
      <w:r w:rsidR="00193DA7">
        <w:t xml:space="preserve">GRADE = </w:t>
      </w:r>
      <w:r w:rsidR="00193DA7" w:rsidRPr="0041658D">
        <w:t>Grading of Recommendations, Assessment, Development and Evaluation</w:t>
      </w:r>
      <w:r w:rsidR="00193DA7">
        <w:t xml:space="preserve">; </w:t>
      </w:r>
      <w:r>
        <w:t>Het = heterogeneity; mmHg= millimetres of mercury; n = number analysed at endpoint, N = number randomised; RDN = renal denervation; SD = standard deviation</w:t>
      </w:r>
    </w:p>
    <w:p w14:paraId="00392A82" w14:textId="70BF7D71" w:rsidR="00516BCE" w:rsidRDefault="00516BCE" w:rsidP="00516BCE">
      <w:pPr>
        <w:pStyle w:val="Tablenotes0"/>
        <w:spacing w:after="360"/>
      </w:pPr>
      <w:r w:rsidRPr="00836939">
        <w:t xml:space="preserve">a </w:t>
      </w:r>
      <w:r>
        <w:t xml:space="preserve">GRADE Certainty of evidence as determined in the commentary. The ADAR considered the meta-analysis of the </w:t>
      </w:r>
      <w:r w:rsidR="003511B6">
        <w:t>3</w:t>
      </w:r>
      <w:r>
        <w:t xml:space="preserve"> trials to be ‘</w:t>
      </w:r>
      <w:r w:rsidR="005970D6">
        <w:t>Low</w:t>
      </w:r>
      <w:r>
        <w:t>’.</w:t>
      </w:r>
    </w:p>
    <w:p w14:paraId="590ED128" w14:textId="77777777" w:rsidR="00DA53EF" w:rsidRDefault="00DA53EF" w:rsidP="00DA53EF">
      <w:pPr>
        <w:pStyle w:val="Tablenotes0"/>
      </w:pPr>
      <w:r>
        <w:t xml:space="preserve">Note 1: Statistically significant differences are shown in bold text. </w:t>
      </w:r>
    </w:p>
    <w:p w14:paraId="287ADD94" w14:textId="338A2D49" w:rsidR="00DA53EF" w:rsidRDefault="00DA53EF" w:rsidP="00DA53EF">
      <w:pPr>
        <w:pStyle w:val="Tablenotes0"/>
        <w:rPr>
          <w:sz w:val="20"/>
          <w:szCs w:val="20"/>
        </w:rPr>
      </w:pPr>
      <w:r>
        <w:t xml:space="preserve">Note 2: SPYRAL HTN-OFF MED was considered </w:t>
      </w:r>
      <w:r w:rsidR="0024642C">
        <w:t xml:space="preserve">supplementary </w:t>
      </w:r>
      <w:r>
        <w:t>evidence in the commentary and is shown in grey text. Follow up was 3 months in SPYRAL HTN-OFF MED and 6 months in SYMPLICITY HTN-3 and SPYRAL HTN-ON MED.</w:t>
      </w:r>
    </w:p>
    <w:p w14:paraId="706B9F46" w14:textId="4ECC9031" w:rsidR="00516BCE" w:rsidRDefault="00516BCE" w:rsidP="00516BCE">
      <w:pPr>
        <w:pStyle w:val="Tablenotes0"/>
        <w:spacing w:after="360"/>
      </w:pPr>
      <w:r>
        <w:t xml:space="preserve">Source: </w:t>
      </w:r>
      <w:r w:rsidR="00450792">
        <w:t>Compiled for the commentary from</w:t>
      </w:r>
      <w:r>
        <w:t xml:space="preserve"> </w:t>
      </w:r>
      <w:r w:rsidRPr="003F1D90">
        <w:t xml:space="preserve">Table </w:t>
      </w:r>
      <w:r w:rsidR="0088585C">
        <w:t>49</w:t>
      </w:r>
      <w:r w:rsidR="003511B6">
        <w:t xml:space="preserve"> </w:t>
      </w:r>
      <w:r w:rsidR="000B0007">
        <w:t>and</w:t>
      </w:r>
      <w:r w:rsidR="003511B6">
        <w:t xml:space="preserve"> </w:t>
      </w:r>
      <w:r w:rsidRPr="0041484A">
        <w:t>Table 77</w:t>
      </w:r>
      <w:r w:rsidR="005D2CD3">
        <w:t xml:space="preserve"> in MSAC 1659 ADAR+in-line commentary</w:t>
      </w:r>
      <w:r>
        <w:t>.</w:t>
      </w:r>
    </w:p>
    <w:p w14:paraId="6206A7AB" w14:textId="79DD556A" w:rsidR="00817D2B" w:rsidRDefault="00817D2B" w:rsidP="00067CF2">
      <w:pPr>
        <w:pStyle w:val="Heading3"/>
      </w:pPr>
      <w:r>
        <w:t xml:space="preserve">Change in 24-hour ambulatory </w:t>
      </w:r>
      <w:r w:rsidR="002576B3">
        <w:t>diastolic blood pressure</w:t>
      </w:r>
      <w:r w:rsidR="00223450">
        <w:t xml:space="preserve"> (ADBP)</w:t>
      </w:r>
    </w:p>
    <w:p w14:paraId="211E5788" w14:textId="0D02ED70" w:rsidR="00525061" w:rsidRDefault="00525061" w:rsidP="00525061">
      <w:r>
        <w:t>Of the three key trials</w:t>
      </w:r>
      <w:r w:rsidR="009E121D">
        <w:t xml:space="preserve"> selected by the commentary</w:t>
      </w:r>
      <w:r>
        <w:t xml:space="preserve">, none found a statistically significant reduction </w:t>
      </w:r>
      <w:r w:rsidR="009E121D">
        <w:t xml:space="preserve">in </w:t>
      </w:r>
      <w:r w:rsidR="00D4556B">
        <w:t xml:space="preserve">mean </w:t>
      </w:r>
      <w:r w:rsidR="009E121D">
        <w:t xml:space="preserve">24-hour ADBP </w:t>
      </w:r>
      <w:r w:rsidR="00FC015B">
        <w:t>for</w:t>
      </w:r>
      <w:r w:rsidR="002B3D7E">
        <w:t xml:space="preserve"> RDN </w:t>
      </w:r>
      <w:r>
        <w:t>compared with sham control (</w:t>
      </w:r>
      <w:r>
        <w:fldChar w:fldCharType="begin"/>
      </w:r>
      <w:r>
        <w:instrText xml:space="preserve"> REF _Ref141879298 \h </w:instrText>
      </w:r>
      <w:r>
        <w:fldChar w:fldCharType="separate"/>
      </w:r>
      <w:r w:rsidR="003D5203" w:rsidRPr="00CE28E3">
        <w:t>Table</w:t>
      </w:r>
      <w:r w:rsidR="003D5203">
        <w:t> </w:t>
      </w:r>
      <w:r w:rsidR="003D5203">
        <w:rPr>
          <w:noProof/>
        </w:rPr>
        <w:t>9</w:t>
      </w:r>
      <w:r>
        <w:fldChar w:fldCharType="end"/>
      </w:r>
      <w:r>
        <w:t xml:space="preserve">). </w:t>
      </w:r>
      <w:r w:rsidR="00E345E6">
        <w:t>M</w:t>
      </w:r>
      <w:r>
        <w:t>eta-analys</w:t>
      </w:r>
      <w:r w:rsidR="00E345E6">
        <w:t xml:space="preserve">is also </w:t>
      </w:r>
      <w:r w:rsidR="008960E8">
        <w:t>showed no</w:t>
      </w:r>
      <w:r>
        <w:t xml:space="preserve"> statistically significant </w:t>
      </w:r>
      <w:r w:rsidR="008F31E2">
        <w:t>difference</w:t>
      </w:r>
      <w:r>
        <w:t xml:space="preserve"> </w:t>
      </w:r>
      <w:r w:rsidR="002F22BF">
        <w:t xml:space="preserve">between groups </w:t>
      </w:r>
      <w:r>
        <w:t xml:space="preserve">in </w:t>
      </w:r>
      <w:r w:rsidR="00D4556B">
        <w:t>this outcome</w:t>
      </w:r>
      <w:r w:rsidR="008F31E2">
        <w:t xml:space="preserve"> </w:t>
      </w:r>
      <w:r w:rsidR="008E12EC">
        <w:t>(except when</w:t>
      </w:r>
      <w:r w:rsidR="00C23D53">
        <w:t xml:space="preserve"> data from the</w:t>
      </w:r>
      <w:r w:rsidR="008E12EC">
        <w:t xml:space="preserve"> SPYRAL HTN-OFF MED </w:t>
      </w:r>
      <w:r w:rsidR="00C23D53">
        <w:t xml:space="preserve">supplementary trial </w:t>
      </w:r>
      <w:r w:rsidR="008E12EC">
        <w:t>was included in the meta-analysis)</w:t>
      </w:r>
      <w:r>
        <w:t>.</w:t>
      </w:r>
    </w:p>
    <w:p w14:paraId="2410B6DA" w14:textId="612494BC" w:rsidR="00525061" w:rsidRDefault="00525061" w:rsidP="00525061">
      <w:pPr>
        <w:pStyle w:val="Caption"/>
      </w:pPr>
      <w:bookmarkStart w:id="26" w:name="_Ref141879298"/>
      <w:r w:rsidRPr="00CE28E3">
        <w:t>Table</w:t>
      </w:r>
      <w:r>
        <w:t> </w:t>
      </w:r>
      <w:r>
        <w:fldChar w:fldCharType="begin"/>
      </w:r>
      <w:r>
        <w:instrText>SEQ Table \* ARABIC</w:instrText>
      </w:r>
      <w:r>
        <w:fldChar w:fldCharType="separate"/>
      </w:r>
      <w:r w:rsidR="003D5203">
        <w:rPr>
          <w:noProof/>
        </w:rPr>
        <w:t>9</w:t>
      </w:r>
      <w:r>
        <w:fldChar w:fldCharType="end"/>
      </w:r>
      <w:bookmarkEnd w:id="26"/>
      <w:r w:rsidRPr="00CE28E3">
        <w:tab/>
      </w:r>
      <w:r>
        <w:t xml:space="preserve">Change from baseline in mean 24-hour ambulatory </w:t>
      </w:r>
      <w:r w:rsidR="00604FEB">
        <w:t>D</w:t>
      </w:r>
      <w:r>
        <w:t>BP (mmHg) in sham-controlled trials</w:t>
      </w:r>
    </w:p>
    <w:tbl>
      <w:tblPr>
        <w:tblW w:w="5000" w:type="pct"/>
        <w:tblLayout w:type="fixed"/>
        <w:tblCellMar>
          <w:left w:w="0" w:type="dxa"/>
          <w:right w:w="0" w:type="dxa"/>
        </w:tblCellMar>
        <w:tblLook w:val="04A0" w:firstRow="1" w:lastRow="0" w:firstColumn="1" w:lastColumn="0" w:noHBand="0" w:noVBand="1"/>
        <w:tblCaption w:val="Change from baseline in mean 24-hr ADBP in sham-controlled trials"/>
        <w:tblDescription w:val="Results from SYMPLICITY HTN-3, ReSET, SPYRAL HTN-ON MED and SPYRAL HTN-OFF MED, including meta-analyses"/>
      </w:tblPr>
      <w:tblGrid>
        <w:gridCol w:w="2015"/>
        <w:gridCol w:w="1118"/>
        <w:gridCol w:w="991"/>
        <w:gridCol w:w="1086"/>
        <w:gridCol w:w="991"/>
        <w:gridCol w:w="1092"/>
        <w:gridCol w:w="1713"/>
      </w:tblGrid>
      <w:tr w:rsidR="00E11EFC" w:rsidRPr="00E27EAA" w14:paraId="26E4E309" w14:textId="77777777">
        <w:trPr>
          <w:trHeight w:val="60"/>
          <w:tblHeader/>
        </w:trPr>
        <w:tc>
          <w:tcPr>
            <w:tcW w:w="1119" w:type="pct"/>
            <w:tcBorders>
              <w:top w:val="single" w:sz="8" w:space="0" w:color="auto"/>
              <w:left w:val="single" w:sz="8" w:space="0" w:color="auto"/>
              <w:right w:val="single" w:sz="8" w:space="0" w:color="auto"/>
            </w:tcBorders>
            <w:tcMar>
              <w:top w:w="0" w:type="dxa"/>
              <w:left w:w="108" w:type="dxa"/>
              <w:bottom w:w="0" w:type="dxa"/>
              <w:right w:w="108" w:type="dxa"/>
            </w:tcMar>
            <w:hideMark/>
          </w:tcPr>
          <w:p w14:paraId="090C9926" w14:textId="77777777" w:rsidR="00E11EFC" w:rsidRPr="00466CF7" w:rsidRDefault="00E11EFC" w:rsidP="00F71956">
            <w:pPr>
              <w:pStyle w:val="TableHeading0"/>
            </w:pPr>
            <w:r w:rsidRPr="00466CF7">
              <w:t>Trial ID</w:t>
            </w:r>
          </w:p>
        </w:tc>
        <w:tc>
          <w:tcPr>
            <w:tcW w:w="621" w:type="pct"/>
            <w:tcBorders>
              <w:top w:val="single" w:sz="8" w:space="0" w:color="auto"/>
              <w:left w:val="nil"/>
              <w:right w:val="single" w:sz="8" w:space="0" w:color="auto"/>
            </w:tcBorders>
            <w:tcMar>
              <w:top w:w="0" w:type="dxa"/>
              <w:left w:w="108" w:type="dxa"/>
              <w:bottom w:w="0" w:type="dxa"/>
              <w:right w:w="108" w:type="dxa"/>
            </w:tcMar>
            <w:vAlign w:val="bottom"/>
            <w:hideMark/>
          </w:tcPr>
          <w:p w14:paraId="435BEF7E" w14:textId="77777777" w:rsidR="00E11EFC" w:rsidRPr="00466CF7" w:rsidRDefault="00E11EFC" w:rsidP="00F71956">
            <w:pPr>
              <w:pStyle w:val="TableHeading0"/>
              <w:jc w:val="center"/>
            </w:pPr>
            <w:r w:rsidRPr="00466CF7">
              <w:t>Certainty</w:t>
            </w: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38FF8074" w14:textId="77777777" w:rsidR="00E11EFC" w:rsidRPr="00466CF7" w:rsidRDefault="00E11EFC" w:rsidP="00F71956">
            <w:pPr>
              <w:pStyle w:val="TableHeading0"/>
              <w:jc w:val="right"/>
            </w:pPr>
            <w:r w:rsidRPr="00466CF7">
              <w:t>RDN</w:t>
            </w:r>
          </w:p>
        </w:tc>
        <w:tc>
          <w:tcPr>
            <w:tcW w:w="603" w:type="pct"/>
            <w:tcBorders>
              <w:top w:val="single" w:sz="8" w:space="0" w:color="auto"/>
              <w:left w:val="nil"/>
              <w:bottom w:val="single" w:sz="4" w:space="0" w:color="auto"/>
              <w:right w:val="single" w:sz="8" w:space="0" w:color="000000"/>
            </w:tcBorders>
          </w:tcPr>
          <w:p w14:paraId="3CEFA726" w14:textId="77777777" w:rsidR="00E11EFC" w:rsidRPr="00466CF7" w:rsidRDefault="00E11EFC" w:rsidP="00F71956">
            <w:pPr>
              <w:pStyle w:val="TableHeading0"/>
              <w:jc w:val="center"/>
            </w:pPr>
          </w:p>
        </w:tc>
        <w:tc>
          <w:tcPr>
            <w:tcW w:w="550" w:type="pct"/>
            <w:tcBorders>
              <w:top w:val="single" w:sz="8" w:space="0" w:color="auto"/>
              <w:left w:val="nil"/>
              <w:bottom w:val="single" w:sz="4" w:space="0" w:color="auto"/>
            </w:tcBorders>
            <w:noWrap/>
            <w:tcMar>
              <w:top w:w="0" w:type="dxa"/>
              <w:left w:w="108" w:type="dxa"/>
              <w:bottom w:w="0" w:type="dxa"/>
              <w:right w:w="108" w:type="dxa"/>
            </w:tcMar>
            <w:hideMark/>
          </w:tcPr>
          <w:p w14:paraId="50EC41CF" w14:textId="77777777" w:rsidR="00E11EFC" w:rsidRPr="00466CF7" w:rsidRDefault="00E11EFC" w:rsidP="00F71956">
            <w:pPr>
              <w:pStyle w:val="TableHeading0"/>
              <w:jc w:val="right"/>
            </w:pPr>
            <w:r w:rsidRPr="00466CF7">
              <w:t>Sham</w:t>
            </w:r>
          </w:p>
        </w:tc>
        <w:tc>
          <w:tcPr>
            <w:tcW w:w="606" w:type="pct"/>
            <w:tcBorders>
              <w:top w:val="single" w:sz="8" w:space="0" w:color="auto"/>
              <w:left w:val="nil"/>
              <w:bottom w:val="single" w:sz="4" w:space="0" w:color="auto"/>
              <w:right w:val="single" w:sz="8" w:space="0" w:color="000000"/>
            </w:tcBorders>
          </w:tcPr>
          <w:p w14:paraId="12A57659" w14:textId="77777777" w:rsidR="00E11EFC" w:rsidRPr="00466CF7" w:rsidRDefault="00E11EFC" w:rsidP="00F71956">
            <w:pPr>
              <w:pStyle w:val="TableHeading0"/>
            </w:pPr>
            <w:r w:rsidRPr="00466CF7">
              <w:t>control</w:t>
            </w:r>
          </w:p>
        </w:tc>
        <w:tc>
          <w:tcPr>
            <w:tcW w:w="951" w:type="pct"/>
            <w:tcBorders>
              <w:top w:val="single" w:sz="8" w:space="0" w:color="auto"/>
              <w:left w:val="nil"/>
              <w:right w:val="single" w:sz="8" w:space="0" w:color="auto"/>
            </w:tcBorders>
            <w:shd w:val="clear" w:color="auto" w:fill="FFFFFF"/>
            <w:tcMar>
              <w:top w:w="0" w:type="dxa"/>
              <w:left w:w="108" w:type="dxa"/>
              <w:bottom w:w="0" w:type="dxa"/>
              <w:right w:w="108" w:type="dxa"/>
            </w:tcMar>
            <w:vAlign w:val="bottom"/>
            <w:hideMark/>
          </w:tcPr>
          <w:p w14:paraId="70B9E721" w14:textId="77777777" w:rsidR="00E11EFC" w:rsidRPr="00466CF7" w:rsidRDefault="00E11EFC" w:rsidP="00F71956">
            <w:pPr>
              <w:pStyle w:val="TableHeading0"/>
              <w:jc w:val="center"/>
            </w:pPr>
            <w:r w:rsidRPr="00466CF7">
              <w:t>Difference [95% CI]</w:t>
            </w:r>
          </w:p>
        </w:tc>
      </w:tr>
      <w:tr w:rsidR="00E11EFC" w:rsidRPr="00E27EAA" w14:paraId="14EF10F8" w14:textId="77777777">
        <w:trPr>
          <w:trHeight w:val="255"/>
          <w:tblHeader/>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6A876" w14:textId="77777777" w:rsidR="00E11EFC" w:rsidRPr="00466CF7" w:rsidRDefault="00E11EFC" w:rsidP="00F71956">
            <w:pPr>
              <w:pStyle w:val="TableHeading0"/>
              <w:spacing w:before="60"/>
            </w:pP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6CD988B0" w14:textId="77777777" w:rsidR="00E11EFC" w:rsidRPr="00466CF7" w:rsidRDefault="00E11EFC" w:rsidP="00F71956">
            <w:pPr>
              <w:pStyle w:val="TableHeading0"/>
              <w:spacing w:before="60"/>
              <w:jc w:val="center"/>
            </w:pPr>
            <w:r w:rsidRPr="00466CF7">
              <w:t>(GRADE)a</w:t>
            </w:r>
          </w:p>
        </w:tc>
        <w:tc>
          <w:tcPr>
            <w:tcW w:w="55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05DAF43" w14:textId="77777777" w:rsidR="00E11EFC" w:rsidRPr="00466CF7" w:rsidRDefault="00E11EFC" w:rsidP="00F71956">
            <w:pPr>
              <w:pStyle w:val="TableHeading0"/>
              <w:spacing w:before="60"/>
              <w:jc w:val="center"/>
            </w:pPr>
            <w:r w:rsidRPr="00466CF7">
              <w:t>n /N (%)</w:t>
            </w:r>
          </w:p>
        </w:tc>
        <w:tc>
          <w:tcPr>
            <w:tcW w:w="603" w:type="pct"/>
            <w:tcBorders>
              <w:top w:val="single" w:sz="4" w:space="0" w:color="auto"/>
              <w:left w:val="nil"/>
              <w:bottom w:val="single" w:sz="8" w:space="0" w:color="auto"/>
              <w:right w:val="nil"/>
            </w:tcBorders>
            <w:tcMar>
              <w:top w:w="0" w:type="dxa"/>
              <w:left w:w="108" w:type="dxa"/>
              <w:bottom w:w="0" w:type="dxa"/>
              <w:right w:w="108" w:type="dxa"/>
            </w:tcMar>
            <w:hideMark/>
          </w:tcPr>
          <w:p w14:paraId="551989C3" w14:textId="77777777" w:rsidR="00E11EFC" w:rsidRPr="00466CF7" w:rsidRDefault="00E11EFC" w:rsidP="00F71956">
            <w:pPr>
              <w:pStyle w:val="TableHeading0"/>
              <w:spacing w:before="60"/>
              <w:jc w:val="center"/>
            </w:pPr>
            <w:r w:rsidRPr="00466CF7">
              <w:t>Change mean (SD)</w:t>
            </w:r>
          </w:p>
        </w:tc>
        <w:tc>
          <w:tcPr>
            <w:tcW w:w="5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C6D162" w14:textId="77777777" w:rsidR="00E11EFC" w:rsidRPr="00466CF7" w:rsidRDefault="00E11EFC" w:rsidP="00F71956">
            <w:pPr>
              <w:pStyle w:val="TableHeading0"/>
              <w:spacing w:before="60"/>
              <w:jc w:val="center"/>
            </w:pPr>
            <w:r w:rsidRPr="00466CF7">
              <w:t>n /N (%)</w:t>
            </w:r>
          </w:p>
        </w:tc>
        <w:tc>
          <w:tcPr>
            <w:tcW w:w="606" w:type="pct"/>
            <w:tcBorders>
              <w:top w:val="single" w:sz="4" w:space="0" w:color="auto"/>
              <w:left w:val="nil"/>
              <w:bottom w:val="single" w:sz="8" w:space="0" w:color="auto"/>
              <w:right w:val="nil"/>
            </w:tcBorders>
            <w:tcMar>
              <w:top w:w="0" w:type="dxa"/>
              <w:left w:w="108" w:type="dxa"/>
              <w:bottom w:w="0" w:type="dxa"/>
              <w:right w:w="108" w:type="dxa"/>
            </w:tcMar>
            <w:hideMark/>
          </w:tcPr>
          <w:p w14:paraId="195B8AC0" w14:textId="77777777" w:rsidR="00E11EFC" w:rsidRPr="00466CF7" w:rsidRDefault="00E11EFC" w:rsidP="00F71956">
            <w:pPr>
              <w:pStyle w:val="TableHeading0"/>
              <w:spacing w:before="60"/>
              <w:jc w:val="center"/>
            </w:pPr>
            <w:r w:rsidRPr="00466CF7">
              <w:t>Change mean (SD)</w:t>
            </w:r>
          </w:p>
        </w:tc>
        <w:tc>
          <w:tcPr>
            <w:tcW w:w="951" w:type="pc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E69BAC" w14:textId="77777777" w:rsidR="00E11EFC" w:rsidRPr="00466CF7" w:rsidRDefault="00E11EFC" w:rsidP="00F71956">
            <w:pPr>
              <w:pStyle w:val="TableHeading0"/>
              <w:spacing w:before="60"/>
              <w:jc w:val="center"/>
            </w:pPr>
            <w:r w:rsidRPr="00466CF7">
              <w:t>P value</w:t>
            </w:r>
          </w:p>
        </w:tc>
      </w:tr>
      <w:tr w:rsidR="009B21AD" w:rsidRPr="00E27EAA" w14:paraId="2E0D1A97" w14:textId="77777777">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ABAC2" w14:textId="77777777" w:rsidR="009B21AD" w:rsidRPr="00E27EAA" w:rsidRDefault="009B21AD" w:rsidP="009B21AD">
            <w:pPr>
              <w:pStyle w:val="TableTextCA"/>
              <w:keepNext/>
              <w:rPr>
                <w:vertAlign w:val="superscript"/>
              </w:rPr>
            </w:pPr>
            <w:r w:rsidRPr="00E27EAA">
              <w:t>SYMPLICITY HTN-3</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14:paraId="438B74F3" w14:textId="77777777" w:rsidR="009B21AD" w:rsidRPr="00E27EAA" w:rsidRDefault="009B21AD" w:rsidP="009B21AD">
            <w:pPr>
              <w:pStyle w:val="TableTextCA"/>
              <w:keepNext/>
            </w:pPr>
            <w:r w:rsidRPr="00E27EAA">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58126B43" w14:textId="49A71A91" w:rsidR="009B21AD" w:rsidRPr="00E27EAA" w:rsidRDefault="009B21AD" w:rsidP="009B21AD">
            <w:pPr>
              <w:pStyle w:val="TableTextCA"/>
              <w:keepNext/>
            </w:pPr>
            <w:r w:rsidRPr="00B96137">
              <w:t>329/364 (90.</w:t>
            </w:r>
            <w:r>
              <w:t>4</w:t>
            </w:r>
            <w:r w:rsidRPr="00B96137">
              <w:t>%)</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14:paraId="55A9D323" w14:textId="322A5AD3" w:rsidR="009B21AD" w:rsidRPr="00E27EAA" w:rsidRDefault="009B21AD" w:rsidP="009B21AD">
            <w:pPr>
              <w:pStyle w:val="TableTextCA"/>
              <w:keepNext/>
            </w:pPr>
            <w:r w:rsidRPr="00B96137">
              <w:t>-4.1</w:t>
            </w:r>
            <w:r>
              <w:br/>
            </w:r>
            <w:r w:rsidRPr="00B96137">
              <w:t>(9.20)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6F15D1D5" w14:textId="5E128040" w:rsidR="009B21AD" w:rsidRPr="00E27EAA" w:rsidRDefault="009B21AD" w:rsidP="009B21AD">
            <w:pPr>
              <w:pStyle w:val="TableTextCA"/>
              <w:keepNext/>
            </w:pPr>
            <w:r w:rsidRPr="00B96137">
              <w:t>162/171 (94.7%)</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31FDCB4" w14:textId="4F25CCF2" w:rsidR="009B21AD" w:rsidRPr="00E27EAA" w:rsidRDefault="009B21AD" w:rsidP="009B21AD">
            <w:pPr>
              <w:pStyle w:val="TableTextCA"/>
              <w:keepNext/>
            </w:pPr>
            <w:r w:rsidRPr="00B96137">
              <w:t>-3.1</w:t>
            </w:r>
            <w:r>
              <w:br/>
            </w:r>
            <w:r w:rsidRPr="00B96137">
              <w:t>(10.10)</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hideMark/>
          </w:tcPr>
          <w:p w14:paraId="6862B6D6" w14:textId="4F75351F" w:rsidR="009B21AD" w:rsidRPr="00E27EAA" w:rsidRDefault="009B21AD" w:rsidP="009B21AD">
            <w:pPr>
              <w:pStyle w:val="Tabletext0"/>
              <w:keepNext/>
              <w:jc w:val="center"/>
              <w:rPr>
                <w:rFonts w:eastAsiaTheme="minorHAnsi"/>
              </w:rPr>
            </w:pPr>
            <w:r w:rsidRPr="00D32653">
              <w:t>-</w:t>
            </w:r>
            <w:r>
              <w:t>1.00</w:t>
            </w:r>
            <w:r w:rsidRPr="00D32653">
              <w:t xml:space="preserve"> [</w:t>
            </w:r>
            <w:r>
              <w:t>-2.85</w:t>
            </w:r>
            <w:r w:rsidRPr="00D32653">
              <w:t xml:space="preserve">, </w:t>
            </w:r>
            <w:r>
              <w:t>0.85</w:t>
            </w:r>
            <w:r w:rsidRPr="00D32653">
              <w:t>]</w:t>
            </w:r>
            <w:r>
              <w:br/>
            </w:r>
            <w:r w:rsidRPr="00D32653">
              <w:t>P=0.</w:t>
            </w:r>
            <w:r>
              <w:t>28</w:t>
            </w:r>
          </w:p>
        </w:tc>
      </w:tr>
      <w:tr w:rsidR="009B21AD" w:rsidRPr="00E27EAA" w14:paraId="65211E9B" w14:textId="77777777" w:rsidTr="00E27A01">
        <w:trPr>
          <w:trHeight w:val="546"/>
        </w:trPr>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C1ED72" w14:textId="77777777" w:rsidR="009B21AD" w:rsidRPr="00E27EAA" w:rsidRDefault="009B21AD" w:rsidP="00F71956">
            <w:pPr>
              <w:pStyle w:val="TableTextCA"/>
            </w:pPr>
            <w:r>
              <w:t>ReSET</w:t>
            </w:r>
          </w:p>
        </w:tc>
        <w:tc>
          <w:tcPr>
            <w:tcW w:w="621" w:type="pct"/>
            <w:tcBorders>
              <w:top w:val="nil"/>
              <w:left w:val="nil"/>
              <w:bottom w:val="single" w:sz="8" w:space="0" w:color="auto"/>
              <w:right w:val="single" w:sz="8" w:space="0" w:color="auto"/>
            </w:tcBorders>
            <w:tcMar>
              <w:top w:w="0" w:type="dxa"/>
              <w:left w:w="108" w:type="dxa"/>
              <w:bottom w:w="0" w:type="dxa"/>
              <w:right w:w="108" w:type="dxa"/>
            </w:tcMar>
          </w:tcPr>
          <w:p w14:paraId="75BEF90A" w14:textId="77777777" w:rsidR="009B21AD" w:rsidRPr="00E27EAA" w:rsidRDefault="009B21AD" w:rsidP="00F71956">
            <w:pPr>
              <w:pStyle w:val="TableTextCA"/>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3A64F18A" w14:textId="1D473471" w:rsidR="009B21AD" w:rsidRPr="00E27EAA" w:rsidRDefault="009B21AD" w:rsidP="00F71956">
            <w:pPr>
              <w:pStyle w:val="TableTextCA"/>
            </w:pPr>
            <w:r w:rsidRPr="007C08AB">
              <w:t>35/36 (97.2%)</w:t>
            </w:r>
          </w:p>
        </w:tc>
        <w:tc>
          <w:tcPr>
            <w:tcW w:w="603" w:type="pct"/>
            <w:tcBorders>
              <w:top w:val="nil"/>
              <w:left w:val="nil"/>
              <w:bottom w:val="single" w:sz="8" w:space="0" w:color="auto"/>
              <w:right w:val="single" w:sz="8" w:space="0" w:color="auto"/>
            </w:tcBorders>
            <w:tcMar>
              <w:top w:w="0" w:type="dxa"/>
              <w:left w:w="108" w:type="dxa"/>
              <w:bottom w:w="0" w:type="dxa"/>
              <w:right w:w="108" w:type="dxa"/>
            </w:tcMar>
          </w:tcPr>
          <w:p w14:paraId="4D930D2E" w14:textId="361FD080" w:rsidR="009B21AD" w:rsidRPr="00E27EAA" w:rsidRDefault="009B21AD" w:rsidP="00F71956">
            <w:pPr>
              <w:pStyle w:val="TableTextCA"/>
            </w:pPr>
            <w:r>
              <w:t>-1.7</w:t>
            </w:r>
            <w:r>
              <w:br/>
              <w:t>(8.6)</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1D6D7395" w14:textId="5F9A1441" w:rsidR="009B21AD" w:rsidRPr="00E27EAA" w:rsidRDefault="009B21AD" w:rsidP="00F71956">
            <w:pPr>
              <w:pStyle w:val="TableTextCA"/>
            </w:pPr>
            <w:r>
              <w:t>33/33 (100%)</w:t>
            </w:r>
          </w:p>
        </w:tc>
        <w:tc>
          <w:tcPr>
            <w:tcW w:w="606" w:type="pct"/>
            <w:tcBorders>
              <w:top w:val="nil"/>
              <w:left w:val="nil"/>
              <w:bottom w:val="single" w:sz="8" w:space="0" w:color="auto"/>
              <w:right w:val="single" w:sz="8" w:space="0" w:color="auto"/>
            </w:tcBorders>
            <w:tcMar>
              <w:top w:w="0" w:type="dxa"/>
              <w:left w:w="108" w:type="dxa"/>
              <w:bottom w:w="0" w:type="dxa"/>
              <w:right w:w="108" w:type="dxa"/>
            </w:tcMar>
          </w:tcPr>
          <w:p w14:paraId="0AF7D4C1" w14:textId="0BAE2978" w:rsidR="009B21AD" w:rsidRPr="00E27EAA" w:rsidRDefault="009B21AD" w:rsidP="00F71956">
            <w:pPr>
              <w:pStyle w:val="TableTextCA"/>
            </w:pPr>
            <w:r>
              <w:t>-2.6</w:t>
            </w:r>
            <w:r>
              <w:br/>
              <w:t>(7.5)</w:t>
            </w:r>
          </w:p>
        </w:tc>
        <w:tc>
          <w:tcPr>
            <w:tcW w:w="951" w:type="pct"/>
            <w:tcBorders>
              <w:top w:val="nil"/>
              <w:left w:val="nil"/>
              <w:bottom w:val="single" w:sz="8" w:space="0" w:color="auto"/>
              <w:right w:val="single" w:sz="8" w:space="0" w:color="auto"/>
            </w:tcBorders>
            <w:noWrap/>
            <w:tcMar>
              <w:top w:w="0" w:type="dxa"/>
              <w:left w:w="108" w:type="dxa"/>
              <w:bottom w:w="0" w:type="dxa"/>
              <w:right w:w="108" w:type="dxa"/>
            </w:tcMar>
          </w:tcPr>
          <w:p w14:paraId="60A99760" w14:textId="42645B27" w:rsidR="009B21AD" w:rsidRPr="00E27EAA" w:rsidRDefault="009B21AD" w:rsidP="00F71956">
            <w:pPr>
              <w:pStyle w:val="Tabletext0"/>
              <w:jc w:val="center"/>
              <w:rPr>
                <w:rFonts w:eastAsiaTheme="minorHAnsi"/>
              </w:rPr>
            </w:pPr>
            <w:r>
              <w:t>0.90</w:t>
            </w:r>
            <w:r w:rsidRPr="00D32653">
              <w:t xml:space="preserve"> [</w:t>
            </w:r>
            <w:r>
              <w:t>-2.93, 4.73</w:t>
            </w:r>
            <w:r w:rsidRPr="00D32653">
              <w:t>]</w:t>
            </w:r>
            <w:r>
              <w:br/>
            </w:r>
            <w:r w:rsidRPr="00D32653">
              <w:t>P=0.</w:t>
            </w:r>
            <w:r>
              <w:t>64</w:t>
            </w:r>
          </w:p>
        </w:tc>
      </w:tr>
      <w:tr w:rsidR="009B21AD" w:rsidRPr="00E27EAA" w14:paraId="202AFC1F" w14:textId="77777777" w:rsidTr="00E27A01">
        <w:trPr>
          <w:trHeight w:val="255"/>
        </w:trPr>
        <w:tc>
          <w:tcPr>
            <w:tcW w:w="1119" w:type="pct"/>
            <w:tcBorders>
              <w:top w:val="nil"/>
              <w:left w:val="single" w:sz="8" w:space="0" w:color="auto"/>
              <w:bottom w:val="dotted" w:sz="8" w:space="0" w:color="auto"/>
              <w:right w:val="single" w:sz="8" w:space="0" w:color="auto"/>
            </w:tcBorders>
            <w:tcMar>
              <w:top w:w="0" w:type="dxa"/>
              <w:left w:w="108" w:type="dxa"/>
              <w:bottom w:w="0" w:type="dxa"/>
              <w:right w:w="108" w:type="dxa"/>
            </w:tcMar>
            <w:hideMark/>
          </w:tcPr>
          <w:p w14:paraId="42A00D41" w14:textId="2C8C6078" w:rsidR="009B21AD" w:rsidRPr="00F24BA3" w:rsidRDefault="009B21AD" w:rsidP="00F71956">
            <w:pPr>
              <w:pStyle w:val="TableTextCA"/>
            </w:pPr>
            <w:r w:rsidRPr="00E27EAA">
              <w:t>SPYRAL HTN-ON MED</w:t>
            </w:r>
          </w:p>
        </w:tc>
        <w:tc>
          <w:tcPr>
            <w:tcW w:w="62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1295480" w14:textId="77777777" w:rsidR="009B21AD" w:rsidRPr="00E27EAA" w:rsidRDefault="009B21AD" w:rsidP="00F71956">
            <w:pPr>
              <w:pStyle w:val="TableTextCA"/>
            </w:pPr>
            <w:r w:rsidRPr="00E27EAA">
              <w:t>-</w:t>
            </w:r>
          </w:p>
        </w:tc>
        <w:tc>
          <w:tcPr>
            <w:tcW w:w="55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99B7CD3" w14:textId="3DDB1EE8" w:rsidR="009B21AD" w:rsidRPr="00E27EAA" w:rsidRDefault="009B21AD" w:rsidP="00F71956">
            <w:pPr>
              <w:pStyle w:val="TableTextCA"/>
            </w:pPr>
            <w:r w:rsidRPr="00562BF8">
              <w:t>192/206 (93.2%)</w:t>
            </w:r>
          </w:p>
        </w:tc>
        <w:tc>
          <w:tcPr>
            <w:tcW w:w="60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D10B20C" w14:textId="44A94EF1" w:rsidR="009B21AD" w:rsidRPr="00E27EAA" w:rsidRDefault="009B21AD" w:rsidP="00F71956">
            <w:pPr>
              <w:pStyle w:val="TableTextCA"/>
            </w:pPr>
            <w:r w:rsidRPr="00562BF8">
              <w:t>-4.4</w:t>
            </w:r>
            <w:r>
              <w:br/>
            </w:r>
            <w:r w:rsidRPr="00562BF8">
              <w:t>(7.30)</w:t>
            </w:r>
          </w:p>
        </w:tc>
        <w:tc>
          <w:tcPr>
            <w:tcW w:w="55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48B58E3" w14:textId="5BE851EB" w:rsidR="009B21AD" w:rsidRPr="00E27EAA" w:rsidRDefault="009B21AD" w:rsidP="00F71956">
            <w:pPr>
              <w:pStyle w:val="TableTextCA"/>
            </w:pPr>
            <w:r w:rsidRPr="00562BF8">
              <w:t>116/131 (88.</w:t>
            </w:r>
            <w:r>
              <w:t>5</w:t>
            </w:r>
            <w:r w:rsidRPr="00562BF8">
              <w:t>%)</w:t>
            </w:r>
          </w:p>
        </w:tc>
        <w:tc>
          <w:tcPr>
            <w:tcW w:w="60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0DDF732" w14:textId="3D05EF9B" w:rsidR="009B21AD" w:rsidRPr="00E27EAA" w:rsidRDefault="009B21AD" w:rsidP="00F71956">
            <w:pPr>
              <w:pStyle w:val="TableTextCA"/>
            </w:pPr>
            <w:r w:rsidRPr="00562BF8">
              <w:t>-3.4</w:t>
            </w:r>
            <w:r>
              <w:br/>
            </w:r>
            <w:r w:rsidRPr="00562BF8">
              <w:t>(7.6)</w:t>
            </w:r>
          </w:p>
        </w:tc>
        <w:tc>
          <w:tcPr>
            <w:tcW w:w="951" w:type="pct"/>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6E61273B" w14:textId="732C721E" w:rsidR="009B21AD" w:rsidRPr="00F24BA3" w:rsidRDefault="009B21AD" w:rsidP="00F71956">
            <w:pPr>
              <w:pStyle w:val="Tabletext0"/>
              <w:jc w:val="center"/>
              <w:rPr>
                <w:rFonts w:eastAsiaTheme="minorHAnsi"/>
                <w:b/>
                <w:bCs/>
              </w:rPr>
            </w:pPr>
            <w:r w:rsidRPr="007B7804">
              <w:t>-</w:t>
            </w:r>
            <w:r>
              <w:t>1.0</w:t>
            </w:r>
            <w:r w:rsidRPr="007B7804">
              <w:t>0 [-</w:t>
            </w:r>
            <w:r>
              <w:t>2.73</w:t>
            </w:r>
            <w:r w:rsidRPr="007B7804">
              <w:t>, 0.</w:t>
            </w:r>
            <w:r>
              <w:t>73</w:t>
            </w:r>
            <w:r w:rsidRPr="007B7804">
              <w:t>]</w:t>
            </w:r>
            <w:r w:rsidRPr="007B7804">
              <w:br/>
              <w:t>P=0.</w:t>
            </w:r>
            <w:r>
              <w:t>26</w:t>
            </w:r>
          </w:p>
        </w:tc>
      </w:tr>
      <w:tr w:rsidR="00E11EFC" w:rsidRPr="00E27EAA" w14:paraId="5BB3D68D" w14:textId="77777777" w:rsidTr="00E27A01">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tcPr>
          <w:p w14:paraId="1F3DE8E8" w14:textId="77777777" w:rsidR="00E11EFC" w:rsidRDefault="00E11EFC" w:rsidP="00F71956">
            <w:pPr>
              <w:pStyle w:val="TableTextCA"/>
              <w:spacing w:after="0"/>
            </w:pPr>
            <w:r>
              <w:t xml:space="preserve">Commentary </w:t>
            </w:r>
            <w:r w:rsidRPr="000739EC">
              <w:t>Meta-analysis</w:t>
            </w:r>
            <w:r>
              <w:t xml:space="preserve"> HTN-3 and </w:t>
            </w:r>
          </w:p>
        </w:tc>
        <w:tc>
          <w:tcPr>
            <w:tcW w:w="62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1CD929" w14:textId="46C5DF97" w:rsidR="00E11EFC" w:rsidRPr="008C666A" w:rsidRDefault="009A4606" w:rsidP="00F71956">
            <w:pPr>
              <w:pStyle w:val="TableTextCA"/>
              <w:rPr>
                <w:rFonts w:ascii="Cambria Math" w:hAnsi="Cambria Math" w:cs="Cambria Math"/>
              </w:rPr>
            </w:pPr>
            <w:r w:rsidRPr="007653D4">
              <w:rPr>
                <w:rFonts w:ascii="Cambria Math" w:hAnsi="Cambria Math" w:cs="Cambria Math"/>
                <w:color w:val="00B050"/>
              </w:rPr>
              <w:t>⨁</w:t>
            </w:r>
            <w:r w:rsidRPr="007653D4">
              <w:rPr>
                <w:rFonts w:ascii="Cambria Math" w:hAnsi="Cambria Math" w:cs="Cambria Math"/>
                <w:color w:val="FF0000"/>
              </w:rPr>
              <w:t>⨀⨀⨀</w:t>
            </w:r>
            <w:r w:rsidRPr="007653D4">
              <w:br/>
              <w:t>Very low</w:t>
            </w:r>
          </w:p>
        </w:tc>
        <w:tc>
          <w:tcPr>
            <w:tcW w:w="55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C3BB4E" w14:textId="77777777" w:rsidR="00E11EFC" w:rsidRPr="003E4C4E" w:rsidRDefault="00E11EFC" w:rsidP="00F71956">
            <w:pPr>
              <w:pStyle w:val="TableTextCA"/>
            </w:pPr>
            <w:r w:rsidRPr="003E4C4E">
              <w:t>364</w:t>
            </w:r>
          </w:p>
        </w:tc>
        <w:tc>
          <w:tcPr>
            <w:tcW w:w="60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F58F22" w14:textId="77777777" w:rsidR="00E11EFC" w:rsidRPr="003E4C4E" w:rsidRDefault="00E11EFC" w:rsidP="00F71956">
            <w:pPr>
              <w:pStyle w:val="TableTextCA"/>
            </w:pPr>
            <w:r w:rsidRPr="003E4C4E">
              <w:t>-</w:t>
            </w:r>
          </w:p>
        </w:tc>
        <w:tc>
          <w:tcPr>
            <w:tcW w:w="55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80BF21" w14:textId="77777777" w:rsidR="00E11EFC" w:rsidRPr="003E4C4E" w:rsidRDefault="00E11EFC" w:rsidP="00F71956">
            <w:pPr>
              <w:pStyle w:val="TableTextCA"/>
            </w:pPr>
            <w:r w:rsidRPr="003E4C4E">
              <w:t>195</w:t>
            </w:r>
          </w:p>
        </w:tc>
        <w:tc>
          <w:tcPr>
            <w:tcW w:w="60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311C2B" w14:textId="77777777" w:rsidR="00E11EFC" w:rsidRPr="003E4C4E" w:rsidRDefault="00E11EFC" w:rsidP="00F71956">
            <w:pPr>
              <w:pStyle w:val="TableTextCA"/>
            </w:pPr>
            <w:r w:rsidRPr="003E4C4E">
              <w:t>-</w:t>
            </w:r>
          </w:p>
        </w:tc>
        <w:tc>
          <w:tcPr>
            <w:tcW w:w="951" w:type="pct"/>
            <w:tcBorders>
              <w:top w:val="single" w:sz="4" w:space="0" w:color="auto"/>
              <w:left w:val="nil"/>
              <w:right w:val="single" w:sz="8" w:space="0" w:color="auto"/>
            </w:tcBorders>
            <w:shd w:val="clear" w:color="auto" w:fill="auto"/>
            <w:noWrap/>
            <w:tcMar>
              <w:top w:w="0" w:type="dxa"/>
              <w:left w:w="108" w:type="dxa"/>
              <w:bottom w:w="0" w:type="dxa"/>
              <w:right w:w="108" w:type="dxa"/>
            </w:tcMar>
          </w:tcPr>
          <w:p w14:paraId="4D128CE4" w14:textId="5BE45E82" w:rsidR="00E11EFC" w:rsidRPr="003E4C4E" w:rsidRDefault="003E4C4E" w:rsidP="00F71956">
            <w:pPr>
              <w:pStyle w:val="Tabletext0"/>
              <w:jc w:val="center"/>
              <w:rPr>
                <w:b/>
                <w:bCs/>
                <w:highlight w:val="yellow"/>
              </w:rPr>
            </w:pPr>
            <w:r w:rsidRPr="003E4C4E">
              <w:t>-0.64 [-2.30, 1.02]</w:t>
            </w:r>
            <w:r w:rsidRPr="003E4C4E">
              <w:br/>
              <w:t>P=0.45</w:t>
            </w:r>
          </w:p>
        </w:tc>
      </w:tr>
      <w:tr w:rsidR="00E11EFC" w:rsidRPr="00E27EAA" w14:paraId="5DD200A1" w14:textId="77777777">
        <w:trPr>
          <w:trHeight w:val="255"/>
        </w:trPr>
        <w:tc>
          <w:tcPr>
            <w:tcW w:w="1119" w:type="pct"/>
            <w:tcBorders>
              <w:left w:val="single" w:sz="8" w:space="0" w:color="auto"/>
              <w:right w:val="single" w:sz="8" w:space="0" w:color="auto"/>
            </w:tcBorders>
            <w:shd w:val="clear" w:color="auto" w:fill="auto"/>
            <w:tcMar>
              <w:top w:w="0" w:type="dxa"/>
              <w:left w:w="108" w:type="dxa"/>
              <w:bottom w:w="0" w:type="dxa"/>
              <w:right w:w="108" w:type="dxa"/>
            </w:tcMar>
          </w:tcPr>
          <w:p w14:paraId="1D3AC341" w14:textId="77777777" w:rsidR="00E11EFC" w:rsidRDefault="00E11EFC" w:rsidP="00F71956">
            <w:pPr>
              <w:pStyle w:val="TableTextCA"/>
              <w:spacing w:before="0" w:after="0"/>
            </w:pPr>
            <w:r>
              <w:t>ReSET</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tcPr>
          <w:p w14:paraId="72615AE5" w14:textId="77777777" w:rsidR="00E11EFC" w:rsidRPr="0098768D" w:rsidRDefault="00E11EFC" w:rsidP="00F71956">
            <w:pPr>
              <w:pStyle w:val="TableTextCA"/>
              <w:jc w:val="right"/>
              <w:rPr>
                <w:rFonts w:ascii="Cambria Math" w:hAnsi="Cambria Math" w:cs="Cambria Math"/>
              </w:rPr>
            </w:pPr>
            <w:r w:rsidRPr="0098768D">
              <w:rPr>
                <w:lang w:val="it-IT"/>
              </w:rPr>
              <w:t>Het:</w:t>
            </w:r>
          </w:p>
        </w:tc>
        <w:tc>
          <w:tcPr>
            <w:tcW w:w="550" w:type="pct"/>
            <w:tcBorders>
              <w:top w:val="single" w:sz="8" w:space="0" w:color="auto"/>
              <w:left w:val="nil"/>
              <w:bottom w:val="single" w:sz="8" w:space="0" w:color="auto"/>
            </w:tcBorders>
            <w:shd w:val="clear" w:color="auto" w:fill="auto"/>
            <w:tcMar>
              <w:top w:w="0" w:type="dxa"/>
              <w:left w:w="0" w:type="dxa"/>
              <w:bottom w:w="0" w:type="dxa"/>
              <w:right w:w="0" w:type="dxa"/>
            </w:tcMar>
          </w:tcPr>
          <w:p w14:paraId="1BE8EB92" w14:textId="77777777" w:rsidR="00E11EFC" w:rsidRPr="0098768D" w:rsidRDefault="00E11EFC" w:rsidP="00F71956">
            <w:pPr>
              <w:pStyle w:val="TableTextCA"/>
            </w:pPr>
            <w:r w:rsidRPr="0098768D">
              <w:rPr>
                <w:lang w:val="it-IT"/>
              </w:rPr>
              <w:t>Tau² = 0.00;</w:t>
            </w:r>
          </w:p>
        </w:tc>
        <w:tc>
          <w:tcPr>
            <w:tcW w:w="603" w:type="pct"/>
            <w:tcBorders>
              <w:top w:val="single" w:sz="8" w:space="0" w:color="auto"/>
              <w:left w:val="nil"/>
              <w:bottom w:val="single" w:sz="8" w:space="0" w:color="auto"/>
            </w:tcBorders>
            <w:shd w:val="clear" w:color="auto" w:fill="auto"/>
            <w:tcMar>
              <w:top w:w="0" w:type="dxa"/>
              <w:left w:w="108" w:type="dxa"/>
              <w:bottom w:w="0" w:type="dxa"/>
              <w:right w:w="108" w:type="dxa"/>
            </w:tcMar>
          </w:tcPr>
          <w:p w14:paraId="51A1F490" w14:textId="385BA54B" w:rsidR="00E11EFC" w:rsidRPr="0098768D" w:rsidRDefault="00E11EFC" w:rsidP="00F71956">
            <w:pPr>
              <w:pStyle w:val="TableTextCA"/>
            </w:pPr>
            <w:r w:rsidRPr="0098768D">
              <w:rPr>
                <w:lang w:val="it-IT"/>
              </w:rPr>
              <w:t>Chi² = 0.</w:t>
            </w:r>
            <w:r w:rsidR="0098768D" w:rsidRPr="0098768D">
              <w:rPr>
                <w:lang w:val="it-IT"/>
              </w:rPr>
              <w:t>77</w:t>
            </w:r>
            <w:r w:rsidRPr="0098768D">
              <w:rPr>
                <w:lang w:val="it-IT"/>
              </w:rPr>
              <w:t>,</w:t>
            </w:r>
          </w:p>
        </w:tc>
        <w:tc>
          <w:tcPr>
            <w:tcW w:w="550" w:type="pct"/>
            <w:tcBorders>
              <w:top w:val="single" w:sz="8" w:space="0" w:color="auto"/>
              <w:left w:val="nil"/>
              <w:bottom w:val="single" w:sz="8" w:space="0" w:color="auto"/>
            </w:tcBorders>
            <w:shd w:val="clear" w:color="auto" w:fill="auto"/>
            <w:tcMar>
              <w:top w:w="0" w:type="dxa"/>
              <w:left w:w="108" w:type="dxa"/>
              <w:bottom w:w="0" w:type="dxa"/>
              <w:right w:w="108" w:type="dxa"/>
            </w:tcMar>
          </w:tcPr>
          <w:p w14:paraId="4D301ED0" w14:textId="18636201" w:rsidR="00E11EFC" w:rsidRPr="0098768D" w:rsidRDefault="00E11EFC" w:rsidP="00F71956">
            <w:pPr>
              <w:pStyle w:val="TableTextCA"/>
            </w:pPr>
            <w:r w:rsidRPr="0098768D">
              <w:rPr>
                <w:lang w:val="it-IT"/>
              </w:rPr>
              <w:t>(P = 0.</w:t>
            </w:r>
            <w:r w:rsidR="0098768D" w:rsidRPr="0098768D">
              <w:rPr>
                <w:lang w:val="it-IT"/>
              </w:rPr>
              <w:t>38</w:t>
            </w:r>
            <w:r w:rsidRPr="0098768D">
              <w:rPr>
                <w:lang w:val="it-IT"/>
              </w:rPr>
              <w:t>);</w:t>
            </w:r>
          </w:p>
        </w:tc>
        <w:tc>
          <w:tcPr>
            <w:tcW w:w="606" w:type="pct"/>
            <w:tcBorders>
              <w:top w:val="nil"/>
              <w:left w:val="nil"/>
              <w:bottom w:val="single" w:sz="8" w:space="0" w:color="auto"/>
              <w:right w:val="single" w:sz="8" w:space="0" w:color="auto"/>
            </w:tcBorders>
            <w:shd w:val="clear" w:color="auto" w:fill="auto"/>
            <w:tcMar>
              <w:top w:w="0" w:type="dxa"/>
              <w:left w:w="0" w:type="dxa"/>
              <w:bottom w:w="0" w:type="dxa"/>
              <w:right w:w="0" w:type="dxa"/>
            </w:tcMar>
          </w:tcPr>
          <w:p w14:paraId="4A1AFDFC" w14:textId="77777777" w:rsidR="00E11EFC" w:rsidRPr="0098768D" w:rsidRDefault="00E11EFC" w:rsidP="00F71956">
            <w:pPr>
              <w:pStyle w:val="TableTextCA"/>
              <w:jc w:val="left"/>
            </w:pPr>
            <w:r w:rsidRPr="0098768D">
              <w:rPr>
                <w:lang w:val="it-IT"/>
              </w:rPr>
              <w:t>I² = 0%</w:t>
            </w:r>
          </w:p>
        </w:tc>
        <w:tc>
          <w:tcPr>
            <w:tcW w:w="951"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tcPr>
          <w:p w14:paraId="088E8005" w14:textId="77777777" w:rsidR="00E11EFC" w:rsidRPr="0098768D" w:rsidRDefault="00E11EFC" w:rsidP="00F71956">
            <w:pPr>
              <w:pStyle w:val="Tabletext0"/>
              <w:jc w:val="center"/>
              <w:rPr>
                <w:b/>
                <w:bCs/>
              </w:rPr>
            </w:pPr>
          </w:p>
        </w:tc>
      </w:tr>
      <w:tr w:rsidR="00E11EFC" w:rsidRPr="00E27EAA" w14:paraId="2F06D69B" w14:textId="77777777">
        <w:trPr>
          <w:trHeight w:val="255"/>
        </w:trPr>
        <w:tc>
          <w:tcPr>
            <w:tcW w:w="1119" w:type="pc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14:paraId="5C6EFEE6" w14:textId="77777777" w:rsidR="00E11EFC" w:rsidRPr="000739EC" w:rsidRDefault="00E11EFC" w:rsidP="00F71956">
            <w:pPr>
              <w:pStyle w:val="TableTextCA"/>
              <w:spacing w:after="0"/>
            </w:pPr>
            <w:r>
              <w:t xml:space="preserve">Commentary </w:t>
            </w:r>
            <w:r w:rsidRPr="000739EC">
              <w:t>Meta-analysis</w:t>
            </w:r>
            <w:r>
              <w:t xml:space="preserve"> HTN-3, ReSET,</w:t>
            </w:r>
          </w:p>
        </w:tc>
        <w:tc>
          <w:tcPr>
            <w:tcW w:w="62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35924D" w14:textId="2C0938AF" w:rsidR="00E11EFC" w:rsidRPr="000739EC" w:rsidRDefault="009A4606" w:rsidP="00F71956">
            <w:pPr>
              <w:pStyle w:val="TableTextCA"/>
            </w:pPr>
            <w:r w:rsidRPr="007653D4">
              <w:rPr>
                <w:rFonts w:ascii="Cambria Math" w:hAnsi="Cambria Math" w:cs="Cambria Math"/>
                <w:color w:val="00B050"/>
              </w:rPr>
              <w:t>⨁</w:t>
            </w:r>
            <w:r w:rsidRPr="007653D4">
              <w:rPr>
                <w:rFonts w:ascii="Cambria Math" w:hAnsi="Cambria Math" w:cs="Cambria Math"/>
                <w:color w:val="FF0000"/>
              </w:rPr>
              <w:t>⨀⨀⨀</w:t>
            </w:r>
            <w:r w:rsidRPr="007653D4">
              <w:br/>
              <w:t>Very low</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3A5829" w14:textId="77777777" w:rsidR="00E11EFC" w:rsidRPr="0098768D" w:rsidRDefault="00E11EFC" w:rsidP="00F71956">
            <w:pPr>
              <w:pStyle w:val="TableTextCA"/>
            </w:pPr>
            <w:r w:rsidRPr="0098768D">
              <w:t>556</w:t>
            </w:r>
          </w:p>
        </w:tc>
        <w:tc>
          <w:tcPr>
            <w:tcW w:w="60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54DB9C" w14:textId="77777777" w:rsidR="00E11EFC" w:rsidRPr="0098768D" w:rsidRDefault="00E11EFC" w:rsidP="00F71956">
            <w:pPr>
              <w:pStyle w:val="TableTextCA"/>
            </w:pPr>
            <w:r w:rsidRPr="0098768D">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79CAC9" w14:textId="77777777" w:rsidR="00E11EFC" w:rsidRPr="0098768D" w:rsidRDefault="00E11EFC" w:rsidP="00F71956">
            <w:pPr>
              <w:pStyle w:val="TableTextCA"/>
            </w:pPr>
            <w:r w:rsidRPr="0098768D">
              <w:t>311</w:t>
            </w:r>
          </w:p>
        </w:tc>
        <w:tc>
          <w:tcPr>
            <w:tcW w:w="6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655611" w14:textId="77777777" w:rsidR="00E11EFC" w:rsidRPr="0098768D" w:rsidRDefault="00E11EFC" w:rsidP="00F71956">
            <w:pPr>
              <w:pStyle w:val="TableTextCA"/>
            </w:pPr>
            <w:r w:rsidRPr="0098768D">
              <w:t>-</w:t>
            </w:r>
          </w:p>
        </w:tc>
        <w:tc>
          <w:tcPr>
            <w:tcW w:w="951" w:type="pct"/>
            <w:tcBorders>
              <w:top w:val="single" w:sz="4" w:space="0" w:color="auto"/>
              <w:left w:val="nil"/>
              <w:bottom w:val="nil"/>
              <w:right w:val="single" w:sz="8" w:space="0" w:color="auto"/>
            </w:tcBorders>
            <w:shd w:val="clear" w:color="auto" w:fill="auto"/>
            <w:noWrap/>
            <w:tcMar>
              <w:top w:w="0" w:type="dxa"/>
              <w:left w:w="108" w:type="dxa"/>
              <w:bottom w:w="0" w:type="dxa"/>
              <w:right w:w="108" w:type="dxa"/>
            </w:tcMar>
            <w:hideMark/>
          </w:tcPr>
          <w:p w14:paraId="2FA383DF" w14:textId="3228B366" w:rsidR="00E11EFC" w:rsidRPr="0098768D" w:rsidRDefault="0098768D" w:rsidP="00F71956">
            <w:pPr>
              <w:pStyle w:val="Tabletext0"/>
              <w:jc w:val="center"/>
              <w:rPr>
                <w:rFonts w:eastAsiaTheme="minorHAnsi"/>
                <w:b/>
                <w:bCs/>
                <w:highlight w:val="yellow"/>
              </w:rPr>
            </w:pPr>
            <w:r w:rsidRPr="0098768D">
              <w:t>-0.81 [-2.01, 0.38]</w:t>
            </w:r>
            <w:r w:rsidRPr="0098768D">
              <w:br/>
              <w:t>P=0.18</w:t>
            </w:r>
          </w:p>
        </w:tc>
      </w:tr>
      <w:tr w:rsidR="00E11EFC" w:rsidRPr="00E27EAA" w14:paraId="0382B15E" w14:textId="77777777" w:rsidTr="00C706B8">
        <w:trPr>
          <w:trHeight w:val="255"/>
        </w:trPr>
        <w:tc>
          <w:tcPr>
            <w:tcW w:w="1119" w:type="pct"/>
            <w:tcBorders>
              <w:left w:val="single" w:sz="8" w:space="0" w:color="auto"/>
              <w:bottom w:val="single" w:sz="8" w:space="0" w:color="auto"/>
              <w:right w:val="single" w:sz="8" w:space="0" w:color="auto"/>
            </w:tcBorders>
            <w:shd w:val="clear" w:color="auto" w:fill="auto"/>
            <w:hideMark/>
          </w:tcPr>
          <w:p w14:paraId="3463D4EC" w14:textId="77777777" w:rsidR="00E11EFC" w:rsidRPr="000739EC" w:rsidRDefault="00E11EFC" w:rsidP="00F71956">
            <w:pPr>
              <w:pStyle w:val="TableTextCA"/>
              <w:spacing w:before="0"/>
            </w:pPr>
            <w:r w:rsidRPr="000739EC">
              <w:t>HTN-ON MED all patients</w:t>
            </w:r>
          </w:p>
        </w:tc>
        <w:tc>
          <w:tcPr>
            <w:tcW w:w="621" w:type="pct"/>
            <w:tcBorders>
              <w:top w:val="single" w:sz="8" w:space="0" w:color="auto"/>
              <w:left w:val="nil"/>
              <w:bottom w:val="single" w:sz="8" w:space="0" w:color="auto"/>
            </w:tcBorders>
            <w:shd w:val="clear" w:color="auto" w:fill="auto"/>
            <w:tcMar>
              <w:top w:w="0" w:type="dxa"/>
              <w:left w:w="108" w:type="dxa"/>
              <w:bottom w:w="0" w:type="dxa"/>
              <w:right w:w="108" w:type="dxa"/>
            </w:tcMar>
            <w:hideMark/>
          </w:tcPr>
          <w:p w14:paraId="74EC28B0" w14:textId="77777777" w:rsidR="00E11EFC" w:rsidRPr="00874AA8" w:rsidRDefault="00E11EFC" w:rsidP="00F71956">
            <w:pPr>
              <w:pStyle w:val="TableTextCA"/>
              <w:jc w:val="right"/>
            </w:pPr>
            <w:r w:rsidRPr="00874AA8">
              <w:rPr>
                <w:lang w:val="it-IT"/>
              </w:rPr>
              <w:t>Het:</w:t>
            </w:r>
          </w:p>
        </w:tc>
        <w:tc>
          <w:tcPr>
            <w:tcW w:w="550" w:type="pct"/>
            <w:tcBorders>
              <w:top w:val="single" w:sz="8" w:space="0" w:color="auto"/>
              <w:left w:val="nil"/>
              <w:bottom w:val="single" w:sz="8" w:space="0" w:color="auto"/>
            </w:tcBorders>
            <w:shd w:val="clear" w:color="auto" w:fill="auto"/>
          </w:tcPr>
          <w:p w14:paraId="22E1E8AB" w14:textId="77777777" w:rsidR="00E11EFC" w:rsidRPr="00874AA8" w:rsidRDefault="00E11EFC" w:rsidP="00F71956">
            <w:pPr>
              <w:pStyle w:val="TableTextCA"/>
            </w:pPr>
            <w:r w:rsidRPr="00874AA8">
              <w:rPr>
                <w:lang w:val="it-IT"/>
              </w:rPr>
              <w:t>Tau² = 0.00;</w:t>
            </w:r>
          </w:p>
        </w:tc>
        <w:tc>
          <w:tcPr>
            <w:tcW w:w="603" w:type="pct"/>
            <w:tcBorders>
              <w:top w:val="single" w:sz="8" w:space="0" w:color="auto"/>
              <w:left w:val="nil"/>
              <w:bottom w:val="single" w:sz="8" w:space="0" w:color="auto"/>
            </w:tcBorders>
            <w:shd w:val="clear" w:color="auto" w:fill="auto"/>
          </w:tcPr>
          <w:p w14:paraId="4FA79DFE" w14:textId="298B6AC6" w:rsidR="00E11EFC" w:rsidRPr="00874AA8" w:rsidRDefault="00E11EFC" w:rsidP="00F71956">
            <w:pPr>
              <w:pStyle w:val="TableTextCA"/>
            </w:pPr>
            <w:r w:rsidRPr="00874AA8">
              <w:rPr>
                <w:lang w:val="it-IT"/>
              </w:rPr>
              <w:t>Chi² = 0.</w:t>
            </w:r>
            <w:r w:rsidR="00874AA8" w:rsidRPr="00874AA8">
              <w:rPr>
                <w:lang w:val="it-IT"/>
              </w:rPr>
              <w:t>85</w:t>
            </w:r>
            <w:r w:rsidRPr="00874AA8">
              <w:rPr>
                <w:lang w:val="it-IT"/>
              </w:rPr>
              <w:t>,</w:t>
            </w:r>
          </w:p>
        </w:tc>
        <w:tc>
          <w:tcPr>
            <w:tcW w:w="550" w:type="pct"/>
            <w:tcBorders>
              <w:top w:val="single" w:sz="8" w:space="0" w:color="auto"/>
              <w:left w:val="nil"/>
              <w:bottom w:val="single" w:sz="8" w:space="0" w:color="auto"/>
            </w:tcBorders>
            <w:shd w:val="clear" w:color="auto" w:fill="auto"/>
          </w:tcPr>
          <w:p w14:paraId="6C650A1D" w14:textId="3A6A246C" w:rsidR="00E11EFC" w:rsidRPr="00874AA8" w:rsidRDefault="00E11EFC" w:rsidP="00F71956">
            <w:pPr>
              <w:pStyle w:val="TableTextCA"/>
            </w:pPr>
            <w:r w:rsidRPr="00874AA8">
              <w:rPr>
                <w:lang w:val="it-IT"/>
              </w:rPr>
              <w:t>(P = 0.</w:t>
            </w:r>
            <w:r w:rsidR="00874AA8" w:rsidRPr="00874AA8">
              <w:rPr>
                <w:lang w:val="it-IT"/>
              </w:rPr>
              <w:t>65</w:t>
            </w:r>
            <w:r w:rsidRPr="00874AA8">
              <w:rPr>
                <w:lang w:val="it-IT"/>
              </w:rPr>
              <w:t>);</w:t>
            </w:r>
          </w:p>
        </w:tc>
        <w:tc>
          <w:tcPr>
            <w:tcW w:w="606" w:type="pct"/>
            <w:tcBorders>
              <w:top w:val="nil"/>
              <w:left w:val="nil"/>
              <w:bottom w:val="single" w:sz="8" w:space="0" w:color="auto"/>
              <w:right w:val="single" w:sz="8" w:space="0" w:color="auto"/>
            </w:tcBorders>
            <w:shd w:val="clear" w:color="auto" w:fill="auto"/>
          </w:tcPr>
          <w:p w14:paraId="7B41E980" w14:textId="77777777" w:rsidR="00E11EFC" w:rsidRPr="00874AA8" w:rsidRDefault="00E11EFC" w:rsidP="00F71956">
            <w:pPr>
              <w:pStyle w:val="TableTextCA"/>
              <w:jc w:val="left"/>
            </w:pPr>
            <w:r w:rsidRPr="00874AA8">
              <w:rPr>
                <w:lang w:val="it-IT"/>
              </w:rPr>
              <w:t>I² = 0%</w:t>
            </w:r>
          </w:p>
        </w:tc>
        <w:tc>
          <w:tcPr>
            <w:tcW w:w="951" w:type="pct"/>
            <w:tcBorders>
              <w:top w:val="nil"/>
              <w:left w:val="nil"/>
              <w:bottom w:val="single" w:sz="8" w:space="0" w:color="auto"/>
              <w:right w:val="single" w:sz="8" w:space="0" w:color="auto"/>
            </w:tcBorders>
            <w:shd w:val="clear" w:color="auto" w:fill="auto"/>
            <w:vAlign w:val="center"/>
            <w:hideMark/>
          </w:tcPr>
          <w:p w14:paraId="2AA7D427" w14:textId="77777777" w:rsidR="00E11EFC" w:rsidRPr="00874AA8" w:rsidRDefault="00E11EFC" w:rsidP="00F71956">
            <w:pPr>
              <w:pStyle w:val="Tabletext0"/>
              <w:jc w:val="center"/>
              <w:rPr>
                <w:b/>
                <w:bCs/>
              </w:rPr>
            </w:pPr>
          </w:p>
        </w:tc>
      </w:tr>
      <w:tr w:rsidR="00E11EFC" w:rsidRPr="00E27EAA" w14:paraId="6EE99E2C" w14:textId="77777777">
        <w:trPr>
          <w:trHeight w:val="546"/>
        </w:trPr>
        <w:tc>
          <w:tcPr>
            <w:tcW w:w="1119"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9079DA" w14:textId="77777777" w:rsidR="00E11EFC" w:rsidRPr="00C86642" w:rsidRDefault="00E11EFC">
            <w:pPr>
              <w:pStyle w:val="TableTextCA"/>
              <w:keepNext/>
              <w:rPr>
                <w:color w:val="7F7F7F" w:themeColor="text1" w:themeTint="80"/>
              </w:rPr>
            </w:pPr>
            <w:r w:rsidRPr="00C86642">
              <w:rPr>
                <w:color w:val="7F7F7F" w:themeColor="text1" w:themeTint="80"/>
              </w:rPr>
              <w:t>SPYRAL HTN-OFF MED</w:t>
            </w:r>
          </w:p>
        </w:tc>
        <w:tc>
          <w:tcPr>
            <w:tcW w:w="621" w:type="pct"/>
            <w:tcBorders>
              <w:top w:val="nil"/>
              <w:left w:val="nil"/>
              <w:bottom w:val="single" w:sz="4" w:space="0" w:color="auto"/>
              <w:right w:val="single" w:sz="8" w:space="0" w:color="auto"/>
            </w:tcBorders>
            <w:tcMar>
              <w:top w:w="0" w:type="dxa"/>
              <w:left w:w="108" w:type="dxa"/>
              <w:bottom w:w="0" w:type="dxa"/>
              <w:right w:w="108" w:type="dxa"/>
            </w:tcMar>
          </w:tcPr>
          <w:p w14:paraId="659F8AE4" w14:textId="77777777" w:rsidR="00E11EFC" w:rsidRPr="00774C99" w:rsidRDefault="00E11EFC">
            <w:pPr>
              <w:pStyle w:val="TableTextCA"/>
              <w:keepNext/>
              <w:rPr>
                <w:color w:val="7F7F7F" w:themeColor="text1" w:themeTint="80"/>
              </w:rPr>
            </w:pPr>
            <w:r w:rsidRPr="00774C99">
              <w:rPr>
                <w:color w:val="7F7F7F" w:themeColor="text1" w:themeTint="80"/>
              </w:rPr>
              <w:t>-</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34A03FD8" w14:textId="77777777" w:rsidR="00E11EFC" w:rsidRPr="00774C99" w:rsidRDefault="00E11EFC">
            <w:pPr>
              <w:pStyle w:val="TableTextCA"/>
              <w:keepNext/>
              <w:rPr>
                <w:color w:val="7F7F7F" w:themeColor="text1" w:themeTint="80"/>
              </w:rPr>
            </w:pPr>
            <w:r w:rsidRPr="00774C99">
              <w:rPr>
                <w:color w:val="7F7F7F" w:themeColor="text1" w:themeTint="80"/>
              </w:rPr>
              <w:t>140/166</w:t>
            </w:r>
            <w:r w:rsidRPr="00774C99">
              <w:rPr>
                <w:color w:val="7F7F7F" w:themeColor="text1" w:themeTint="80"/>
              </w:rPr>
              <w:br/>
              <w:t>(84.3%)</w:t>
            </w:r>
          </w:p>
        </w:tc>
        <w:tc>
          <w:tcPr>
            <w:tcW w:w="603" w:type="pct"/>
            <w:tcBorders>
              <w:top w:val="nil"/>
              <w:left w:val="nil"/>
              <w:bottom w:val="single" w:sz="4" w:space="0" w:color="auto"/>
              <w:right w:val="single" w:sz="8" w:space="0" w:color="auto"/>
            </w:tcBorders>
            <w:tcMar>
              <w:top w:w="0" w:type="dxa"/>
              <w:left w:w="108" w:type="dxa"/>
              <w:bottom w:w="0" w:type="dxa"/>
              <w:right w:w="108" w:type="dxa"/>
            </w:tcMar>
          </w:tcPr>
          <w:p w14:paraId="02BE1458" w14:textId="034C1140" w:rsidR="00E11EFC" w:rsidRPr="00774C99" w:rsidRDefault="00E11EFC">
            <w:pPr>
              <w:pStyle w:val="TableTextCA"/>
              <w:keepNext/>
              <w:rPr>
                <w:color w:val="7F7F7F" w:themeColor="text1" w:themeTint="80"/>
              </w:rPr>
            </w:pPr>
            <w:r w:rsidRPr="00774C99">
              <w:rPr>
                <w:color w:val="7F7F7F" w:themeColor="text1" w:themeTint="80"/>
              </w:rPr>
              <w:t>-</w:t>
            </w:r>
            <w:r w:rsidR="0026770C">
              <w:rPr>
                <w:color w:val="7F7F7F" w:themeColor="text1" w:themeTint="80"/>
              </w:rPr>
              <w:t>3</w:t>
            </w:r>
            <w:r w:rsidRPr="00774C99">
              <w:rPr>
                <w:color w:val="7F7F7F" w:themeColor="text1" w:themeTint="80"/>
              </w:rPr>
              <w:t>.7</w:t>
            </w:r>
            <w:r w:rsidRPr="00774C99">
              <w:rPr>
                <w:color w:val="7F7F7F" w:themeColor="text1" w:themeTint="80"/>
              </w:rPr>
              <w:br/>
              <w:t>(</w:t>
            </w:r>
            <w:r w:rsidR="0026770C">
              <w:rPr>
                <w:color w:val="7F7F7F" w:themeColor="text1" w:themeTint="80"/>
              </w:rPr>
              <w:t>6.60</w:t>
            </w:r>
            <w:r w:rsidRPr="00774C99">
              <w:rPr>
                <w:color w:val="7F7F7F" w:themeColor="text1" w:themeTint="80"/>
              </w:rPr>
              <w:t>)</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14:paraId="511F2366" w14:textId="77777777" w:rsidR="00E11EFC" w:rsidRPr="00774C99" w:rsidRDefault="00E11EFC">
            <w:pPr>
              <w:pStyle w:val="TableTextCA"/>
              <w:keepNext/>
              <w:rPr>
                <w:color w:val="7F7F7F" w:themeColor="text1" w:themeTint="80"/>
              </w:rPr>
            </w:pPr>
            <w:r w:rsidRPr="00774C99">
              <w:rPr>
                <w:color w:val="7F7F7F" w:themeColor="text1" w:themeTint="80"/>
              </w:rPr>
              <w:t>134/165</w:t>
            </w:r>
            <w:r w:rsidRPr="00774C99">
              <w:rPr>
                <w:color w:val="7F7F7F" w:themeColor="text1" w:themeTint="80"/>
              </w:rPr>
              <w:br/>
              <w:t>(81.2%)</w:t>
            </w:r>
          </w:p>
        </w:tc>
        <w:tc>
          <w:tcPr>
            <w:tcW w:w="606" w:type="pct"/>
            <w:tcBorders>
              <w:top w:val="nil"/>
              <w:left w:val="nil"/>
              <w:bottom w:val="single" w:sz="4" w:space="0" w:color="auto"/>
              <w:right w:val="single" w:sz="8" w:space="0" w:color="auto"/>
            </w:tcBorders>
            <w:tcMar>
              <w:top w:w="0" w:type="dxa"/>
              <w:left w:w="108" w:type="dxa"/>
              <w:bottom w:w="0" w:type="dxa"/>
              <w:right w:w="108" w:type="dxa"/>
            </w:tcMar>
          </w:tcPr>
          <w:p w14:paraId="329DD913" w14:textId="03AC7DE3" w:rsidR="00E11EFC" w:rsidRPr="00774C99" w:rsidRDefault="00E11EFC">
            <w:pPr>
              <w:pStyle w:val="TableTextCA"/>
              <w:keepNext/>
              <w:rPr>
                <w:color w:val="7F7F7F" w:themeColor="text1" w:themeTint="80"/>
              </w:rPr>
            </w:pPr>
            <w:r w:rsidRPr="00774C99">
              <w:rPr>
                <w:color w:val="7F7F7F" w:themeColor="text1" w:themeTint="80"/>
              </w:rPr>
              <w:t>-</w:t>
            </w:r>
            <w:r w:rsidR="005975C5">
              <w:rPr>
                <w:color w:val="7F7F7F" w:themeColor="text1" w:themeTint="80"/>
              </w:rPr>
              <w:t>0.8</w:t>
            </w:r>
            <w:r w:rsidRPr="00774C99">
              <w:rPr>
                <w:color w:val="7F7F7F" w:themeColor="text1" w:themeTint="80"/>
              </w:rPr>
              <w:br/>
              <w:t>(</w:t>
            </w:r>
            <w:r w:rsidR="005975C5">
              <w:rPr>
                <w:color w:val="7F7F7F" w:themeColor="text1" w:themeTint="80"/>
              </w:rPr>
              <w:t>5.30</w:t>
            </w:r>
            <w:r w:rsidRPr="00774C99">
              <w:rPr>
                <w:color w:val="7F7F7F" w:themeColor="text1" w:themeTint="80"/>
              </w:rPr>
              <w:t>)</w:t>
            </w:r>
          </w:p>
        </w:tc>
        <w:tc>
          <w:tcPr>
            <w:tcW w:w="951" w:type="pct"/>
            <w:tcBorders>
              <w:top w:val="nil"/>
              <w:left w:val="nil"/>
              <w:bottom w:val="single" w:sz="4" w:space="0" w:color="auto"/>
              <w:right w:val="single" w:sz="8" w:space="0" w:color="auto"/>
            </w:tcBorders>
            <w:noWrap/>
            <w:tcMar>
              <w:top w:w="0" w:type="dxa"/>
              <w:left w:w="108" w:type="dxa"/>
              <w:bottom w:w="0" w:type="dxa"/>
              <w:right w:w="108" w:type="dxa"/>
            </w:tcMar>
          </w:tcPr>
          <w:p w14:paraId="6C9D7049" w14:textId="77777777" w:rsidR="00E11EFC" w:rsidRPr="00D916F4" w:rsidRDefault="00E11EFC">
            <w:pPr>
              <w:pStyle w:val="Tabletext0"/>
              <w:keepNext/>
              <w:jc w:val="center"/>
              <w:rPr>
                <w:rFonts w:eastAsiaTheme="minorHAnsi"/>
                <w:b/>
                <w:bCs/>
                <w:color w:val="7F7F7F" w:themeColor="text1" w:themeTint="80"/>
              </w:rPr>
            </w:pPr>
            <w:r w:rsidRPr="00D916F4">
              <w:rPr>
                <w:b/>
                <w:bCs/>
                <w:color w:val="7F7F7F" w:themeColor="text1" w:themeTint="80"/>
              </w:rPr>
              <w:t>-4.00 [-6.2, -1.8]</w:t>
            </w:r>
            <w:r w:rsidRPr="00D916F4">
              <w:rPr>
                <w:b/>
                <w:bCs/>
                <w:color w:val="7F7F7F" w:themeColor="text1" w:themeTint="80"/>
              </w:rPr>
              <w:br/>
              <w:t>P&lt;0.001</w:t>
            </w:r>
          </w:p>
        </w:tc>
      </w:tr>
      <w:tr w:rsidR="00E11EFC" w:rsidRPr="00E27EAA" w14:paraId="1FB3D8BA" w14:textId="77777777">
        <w:trPr>
          <w:trHeight w:val="546"/>
        </w:trPr>
        <w:tc>
          <w:tcPr>
            <w:tcW w:w="1119" w:type="pct"/>
            <w:tcBorders>
              <w:top w:val="single" w:sz="4" w:space="0" w:color="auto"/>
              <w:left w:val="single" w:sz="8" w:space="0" w:color="auto"/>
              <w:right w:val="single" w:sz="8" w:space="0" w:color="auto"/>
            </w:tcBorders>
            <w:tcMar>
              <w:top w:w="0" w:type="dxa"/>
              <w:left w:w="108" w:type="dxa"/>
              <w:bottom w:w="0" w:type="dxa"/>
              <w:right w:w="108" w:type="dxa"/>
            </w:tcMar>
            <w:vAlign w:val="bottom"/>
          </w:tcPr>
          <w:p w14:paraId="1365EF5B" w14:textId="77777777" w:rsidR="00E11EFC" w:rsidRPr="002152A4" w:rsidRDefault="00E11EFC">
            <w:pPr>
              <w:pStyle w:val="TableTextCA"/>
              <w:keepNext/>
              <w:spacing w:after="0"/>
              <w:rPr>
                <w:color w:val="7F7F7F" w:themeColor="text1" w:themeTint="80"/>
                <w:lang w:val="es-ES"/>
              </w:rPr>
            </w:pPr>
            <w:r w:rsidRPr="002152A4">
              <w:rPr>
                <w:color w:val="7F7F7F" w:themeColor="text1" w:themeTint="80"/>
                <w:lang w:val="es-ES"/>
              </w:rPr>
              <w:t xml:space="preserve">ADAR Meta-analysis HTN-3, ReSET, </w:t>
            </w:r>
          </w:p>
        </w:tc>
        <w:tc>
          <w:tcPr>
            <w:tcW w:w="62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9C22CA" w14:textId="77777777" w:rsidR="00E11EFC" w:rsidRPr="007653D4" w:rsidRDefault="00E11EFC">
            <w:pPr>
              <w:pStyle w:val="TableTextCA"/>
              <w:keepNext/>
              <w:rPr>
                <w:color w:val="7F7F7F" w:themeColor="text1" w:themeTint="80"/>
              </w:rPr>
            </w:pPr>
            <w:r w:rsidRPr="007653D4">
              <w:rPr>
                <w:rFonts w:ascii="Cambria Math" w:hAnsi="Cambria Math" w:cs="Cambria Math"/>
                <w:color w:val="00B050"/>
              </w:rPr>
              <w:t>⨁</w:t>
            </w:r>
            <w:r w:rsidRPr="007653D4">
              <w:rPr>
                <w:rFonts w:ascii="Cambria Math" w:hAnsi="Cambria Math" w:cs="Cambria Math"/>
                <w:color w:val="FF0000"/>
              </w:rPr>
              <w:t>⨀⨀⨀</w:t>
            </w:r>
            <w:r w:rsidRPr="007653D4">
              <w:br/>
              <w:t>Very low</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8EF8A15" w14:textId="77777777" w:rsidR="00E11EFC" w:rsidRPr="00817A75" w:rsidRDefault="00E11EFC">
            <w:pPr>
              <w:pStyle w:val="TableTextCA"/>
              <w:keepNext/>
              <w:rPr>
                <w:color w:val="7F7F7F" w:themeColor="text1" w:themeTint="80"/>
              </w:rPr>
            </w:pPr>
            <w:r w:rsidRPr="00817A75">
              <w:rPr>
                <w:color w:val="7F7F7F" w:themeColor="text1" w:themeTint="80"/>
              </w:rPr>
              <w:t>696</w:t>
            </w:r>
          </w:p>
        </w:tc>
        <w:tc>
          <w:tcPr>
            <w:tcW w:w="6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8911449" w14:textId="77777777" w:rsidR="00E11EFC" w:rsidRPr="00817A75" w:rsidRDefault="00E11EFC">
            <w:pPr>
              <w:pStyle w:val="TableTextCA"/>
              <w:keepNext/>
              <w:rPr>
                <w:color w:val="7F7F7F" w:themeColor="text1" w:themeTint="80"/>
              </w:rPr>
            </w:pPr>
            <w:r w:rsidRPr="00817A75">
              <w:rPr>
                <w:color w:val="7F7F7F" w:themeColor="text1" w:themeTint="80"/>
              </w:rPr>
              <w:t>-</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C3E107" w14:textId="77777777" w:rsidR="00E11EFC" w:rsidRPr="00817A75" w:rsidRDefault="00E11EFC">
            <w:pPr>
              <w:pStyle w:val="TableTextCA"/>
              <w:keepNext/>
              <w:rPr>
                <w:color w:val="7F7F7F" w:themeColor="text1" w:themeTint="80"/>
              </w:rPr>
            </w:pPr>
            <w:r w:rsidRPr="00817A75">
              <w:rPr>
                <w:color w:val="7F7F7F" w:themeColor="text1" w:themeTint="80"/>
              </w:rPr>
              <w:t>445</w:t>
            </w:r>
          </w:p>
        </w:tc>
        <w:tc>
          <w:tcPr>
            <w:tcW w:w="60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59C9F56" w14:textId="77777777" w:rsidR="00E11EFC" w:rsidRPr="00817A75" w:rsidRDefault="00E11EFC">
            <w:pPr>
              <w:pStyle w:val="TableTextCA"/>
              <w:keepNext/>
              <w:rPr>
                <w:color w:val="7F7F7F" w:themeColor="text1" w:themeTint="80"/>
              </w:rPr>
            </w:pPr>
            <w:r w:rsidRPr="00817A75">
              <w:rPr>
                <w:color w:val="7F7F7F" w:themeColor="text1" w:themeTint="80"/>
              </w:rPr>
              <w:t>-</w:t>
            </w:r>
          </w:p>
        </w:tc>
        <w:tc>
          <w:tcPr>
            <w:tcW w:w="951" w:type="pct"/>
            <w:tcBorders>
              <w:top w:val="single" w:sz="4" w:space="0" w:color="auto"/>
              <w:left w:val="nil"/>
              <w:right w:val="single" w:sz="8" w:space="0" w:color="auto"/>
            </w:tcBorders>
            <w:noWrap/>
            <w:tcMar>
              <w:top w:w="0" w:type="dxa"/>
              <w:left w:w="108" w:type="dxa"/>
              <w:bottom w:w="0" w:type="dxa"/>
              <w:right w:w="108" w:type="dxa"/>
            </w:tcMar>
          </w:tcPr>
          <w:p w14:paraId="54997F42" w14:textId="1D61E762" w:rsidR="00E11EFC" w:rsidRPr="00817A75" w:rsidRDefault="00E11EFC">
            <w:pPr>
              <w:pStyle w:val="Tabletext0"/>
              <w:keepNext/>
              <w:jc w:val="center"/>
              <w:rPr>
                <w:b/>
                <w:bCs/>
                <w:color w:val="7F7F7F" w:themeColor="text1" w:themeTint="80"/>
              </w:rPr>
            </w:pPr>
            <w:r w:rsidRPr="00817A75">
              <w:rPr>
                <w:b/>
                <w:bCs/>
                <w:color w:val="7F7F7F" w:themeColor="text1" w:themeTint="80"/>
              </w:rPr>
              <w:t>-</w:t>
            </w:r>
            <w:r w:rsidR="009014D3" w:rsidRPr="00817A75">
              <w:rPr>
                <w:b/>
                <w:bCs/>
                <w:color w:val="7F7F7F" w:themeColor="text1" w:themeTint="80"/>
              </w:rPr>
              <w:t>1.</w:t>
            </w:r>
            <w:r w:rsidR="00AB4779">
              <w:rPr>
                <w:b/>
                <w:bCs/>
                <w:color w:val="7F7F7F" w:themeColor="text1" w:themeTint="80"/>
              </w:rPr>
              <w:t>46</w:t>
            </w:r>
            <w:r w:rsidRPr="00817A75">
              <w:rPr>
                <w:b/>
                <w:bCs/>
                <w:color w:val="7F7F7F" w:themeColor="text1" w:themeTint="80"/>
              </w:rPr>
              <w:t xml:space="preserve"> [-</w:t>
            </w:r>
            <w:r w:rsidR="009014D3" w:rsidRPr="00817A75">
              <w:rPr>
                <w:b/>
                <w:bCs/>
                <w:color w:val="7F7F7F" w:themeColor="text1" w:themeTint="80"/>
              </w:rPr>
              <w:t>2.</w:t>
            </w:r>
            <w:r w:rsidR="00AB4779">
              <w:rPr>
                <w:b/>
                <w:bCs/>
                <w:color w:val="7F7F7F" w:themeColor="text1" w:themeTint="80"/>
              </w:rPr>
              <w:t>8</w:t>
            </w:r>
            <w:r w:rsidR="009014D3" w:rsidRPr="00817A75">
              <w:rPr>
                <w:b/>
                <w:bCs/>
                <w:color w:val="7F7F7F" w:themeColor="text1" w:themeTint="80"/>
              </w:rPr>
              <w:t>0</w:t>
            </w:r>
            <w:r w:rsidRPr="00817A75">
              <w:rPr>
                <w:b/>
                <w:bCs/>
                <w:color w:val="7F7F7F" w:themeColor="text1" w:themeTint="80"/>
              </w:rPr>
              <w:t>, -</w:t>
            </w:r>
            <w:r w:rsidR="004B7EED" w:rsidRPr="00817A75">
              <w:rPr>
                <w:b/>
                <w:bCs/>
                <w:color w:val="7F7F7F" w:themeColor="text1" w:themeTint="80"/>
              </w:rPr>
              <w:t>0.</w:t>
            </w:r>
            <w:r w:rsidR="00AB4779">
              <w:rPr>
                <w:b/>
                <w:bCs/>
                <w:color w:val="7F7F7F" w:themeColor="text1" w:themeTint="80"/>
              </w:rPr>
              <w:t>11</w:t>
            </w:r>
            <w:r w:rsidRPr="00817A75">
              <w:rPr>
                <w:b/>
                <w:bCs/>
                <w:color w:val="7F7F7F" w:themeColor="text1" w:themeTint="80"/>
              </w:rPr>
              <w:t>]</w:t>
            </w:r>
            <w:r w:rsidRPr="00817A75">
              <w:rPr>
                <w:b/>
                <w:bCs/>
                <w:color w:val="7F7F7F" w:themeColor="text1" w:themeTint="80"/>
              </w:rPr>
              <w:br/>
              <w:t>P=0.0</w:t>
            </w:r>
            <w:r w:rsidR="004B7EED" w:rsidRPr="00817A75">
              <w:rPr>
                <w:b/>
                <w:bCs/>
                <w:color w:val="7F7F7F" w:themeColor="text1" w:themeTint="80"/>
              </w:rPr>
              <w:t>3</w:t>
            </w:r>
          </w:p>
        </w:tc>
      </w:tr>
      <w:tr w:rsidR="00E11EFC" w:rsidRPr="00E27EAA" w14:paraId="54538DB3" w14:textId="77777777">
        <w:trPr>
          <w:trHeight w:val="159"/>
        </w:trPr>
        <w:tc>
          <w:tcPr>
            <w:tcW w:w="1119" w:type="pct"/>
            <w:tcBorders>
              <w:left w:val="single" w:sz="8" w:space="0" w:color="auto"/>
              <w:bottom w:val="single" w:sz="8" w:space="0" w:color="auto"/>
              <w:right w:val="single" w:sz="8" w:space="0" w:color="auto"/>
            </w:tcBorders>
            <w:tcMar>
              <w:top w:w="0" w:type="dxa"/>
              <w:left w:w="108" w:type="dxa"/>
              <w:bottom w:w="0" w:type="dxa"/>
              <w:right w:w="108" w:type="dxa"/>
            </w:tcMar>
          </w:tcPr>
          <w:p w14:paraId="518E1190" w14:textId="77777777" w:rsidR="00E11EFC" w:rsidRPr="007653D4" w:rsidRDefault="00E11EFC">
            <w:pPr>
              <w:pStyle w:val="TableTextCA"/>
              <w:keepNext/>
              <w:spacing w:before="0"/>
              <w:rPr>
                <w:color w:val="7F7F7F" w:themeColor="text1" w:themeTint="80"/>
              </w:rPr>
            </w:pPr>
            <w:r w:rsidRPr="007653D4">
              <w:rPr>
                <w:color w:val="7F7F7F" w:themeColor="text1" w:themeTint="80"/>
              </w:rPr>
              <w:t>HTN-ON MED, HTN-OFF MED</w:t>
            </w:r>
          </w:p>
        </w:tc>
        <w:tc>
          <w:tcPr>
            <w:tcW w:w="621" w:type="pct"/>
            <w:tcBorders>
              <w:top w:val="single" w:sz="4" w:space="0" w:color="auto"/>
              <w:left w:val="nil"/>
              <w:bottom w:val="single" w:sz="8" w:space="0" w:color="auto"/>
            </w:tcBorders>
            <w:tcMar>
              <w:top w:w="0" w:type="dxa"/>
              <w:left w:w="0" w:type="dxa"/>
              <w:bottom w:w="0" w:type="dxa"/>
              <w:right w:w="0" w:type="dxa"/>
            </w:tcMar>
          </w:tcPr>
          <w:p w14:paraId="5244B1C7" w14:textId="77777777" w:rsidR="00E11EFC" w:rsidRPr="00817A75" w:rsidRDefault="00E11EFC">
            <w:pPr>
              <w:pStyle w:val="TableTextCA"/>
              <w:keepNext/>
              <w:jc w:val="right"/>
              <w:rPr>
                <w:color w:val="7F7F7F" w:themeColor="text1" w:themeTint="80"/>
              </w:rPr>
            </w:pPr>
            <w:r w:rsidRPr="00817A75">
              <w:rPr>
                <w:color w:val="7F7F7F" w:themeColor="text1" w:themeTint="80"/>
                <w:lang w:val="it-IT"/>
              </w:rPr>
              <w:t>Het:</w:t>
            </w:r>
          </w:p>
        </w:tc>
        <w:tc>
          <w:tcPr>
            <w:tcW w:w="550" w:type="pct"/>
            <w:tcBorders>
              <w:top w:val="single" w:sz="4" w:space="0" w:color="auto"/>
              <w:left w:val="nil"/>
              <w:bottom w:val="single" w:sz="8" w:space="0" w:color="auto"/>
            </w:tcBorders>
            <w:tcMar>
              <w:top w:w="0" w:type="dxa"/>
              <w:left w:w="0" w:type="dxa"/>
              <w:bottom w:w="0" w:type="dxa"/>
              <w:right w:w="0" w:type="dxa"/>
            </w:tcMar>
          </w:tcPr>
          <w:p w14:paraId="306511C9" w14:textId="6F3ACF14" w:rsidR="00E11EFC" w:rsidRPr="00817A75" w:rsidRDefault="00E11EFC">
            <w:pPr>
              <w:pStyle w:val="TableTextCA"/>
              <w:keepNext/>
              <w:rPr>
                <w:color w:val="7F7F7F" w:themeColor="text1" w:themeTint="80"/>
              </w:rPr>
            </w:pPr>
            <w:r w:rsidRPr="00817A75">
              <w:rPr>
                <w:color w:val="7F7F7F" w:themeColor="text1" w:themeTint="80"/>
                <w:lang w:val="it-IT"/>
              </w:rPr>
              <w:t>Tau²=0.</w:t>
            </w:r>
            <w:r w:rsidR="00817A75" w:rsidRPr="00817A75">
              <w:rPr>
                <w:color w:val="7F7F7F" w:themeColor="text1" w:themeTint="80"/>
                <w:lang w:val="it-IT"/>
              </w:rPr>
              <w:t>86</w:t>
            </w:r>
          </w:p>
        </w:tc>
        <w:tc>
          <w:tcPr>
            <w:tcW w:w="603" w:type="pct"/>
            <w:tcBorders>
              <w:top w:val="single" w:sz="4" w:space="0" w:color="auto"/>
              <w:left w:val="nil"/>
              <w:bottom w:val="single" w:sz="8" w:space="0" w:color="auto"/>
            </w:tcBorders>
            <w:tcMar>
              <w:top w:w="0" w:type="dxa"/>
              <w:left w:w="0" w:type="dxa"/>
              <w:bottom w:w="0" w:type="dxa"/>
              <w:right w:w="0" w:type="dxa"/>
            </w:tcMar>
          </w:tcPr>
          <w:p w14:paraId="3068147A" w14:textId="38FF55FF" w:rsidR="00E11EFC" w:rsidRPr="00817A75" w:rsidRDefault="00E11EFC">
            <w:pPr>
              <w:pStyle w:val="TableTextCA"/>
              <w:keepNext/>
              <w:rPr>
                <w:color w:val="7F7F7F" w:themeColor="text1" w:themeTint="80"/>
              </w:rPr>
            </w:pPr>
            <w:r w:rsidRPr="00817A75">
              <w:rPr>
                <w:color w:val="7F7F7F" w:themeColor="text1" w:themeTint="80"/>
                <w:lang w:val="it-IT"/>
              </w:rPr>
              <w:t xml:space="preserve">Chi² = </w:t>
            </w:r>
            <w:r w:rsidR="00817A75" w:rsidRPr="00817A75">
              <w:rPr>
                <w:color w:val="7F7F7F" w:themeColor="text1" w:themeTint="80"/>
                <w:lang w:val="it-IT"/>
              </w:rPr>
              <w:t>5.72</w:t>
            </w:r>
            <w:r w:rsidRPr="00817A75">
              <w:rPr>
                <w:color w:val="7F7F7F" w:themeColor="text1" w:themeTint="80"/>
                <w:lang w:val="it-IT"/>
              </w:rPr>
              <w:t>,</w:t>
            </w:r>
          </w:p>
        </w:tc>
        <w:tc>
          <w:tcPr>
            <w:tcW w:w="550" w:type="pct"/>
            <w:tcBorders>
              <w:top w:val="single" w:sz="4" w:space="0" w:color="auto"/>
              <w:left w:val="nil"/>
              <w:bottom w:val="single" w:sz="8" w:space="0" w:color="auto"/>
            </w:tcBorders>
            <w:tcMar>
              <w:top w:w="0" w:type="dxa"/>
              <w:left w:w="0" w:type="dxa"/>
              <w:bottom w:w="0" w:type="dxa"/>
              <w:right w:w="0" w:type="dxa"/>
            </w:tcMar>
          </w:tcPr>
          <w:p w14:paraId="23E65899" w14:textId="1D01D12E" w:rsidR="00E11EFC" w:rsidRPr="00817A75" w:rsidRDefault="00E11EFC">
            <w:pPr>
              <w:pStyle w:val="TableTextCA"/>
              <w:keepNext/>
              <w:rPr>
                <w:color w:val="7F7F7F" w:themeColor="text1" w:themeTint="80"/>
              </w:rPr>
            </w:pPr>
            <w:r w:rsidRPr="00817A75">
              <w:rPr>
                <w:color w:val="7F7F7F" w:themeColor="text1" w:themeTint="80"/>
                <w:lang w:val="it-IT"/>
              </w:rPr>
              <w:t>(P = 0.</w:t>
            </w:r>
            <w:r w:rsidR="00817A75" w:rsidRPr="00817A75">
              <w:rPr>
                <w:color w:val="7F7F7F" w:themeColor="text1" w:themeTint="80"/>
                <w:lang w:val="it-IT"/>
              </w:rPr>
              <w:t>1</w:t>
            </w:r>
            <w:r w:rsidRPr="00817A75">
              <w:rPr>
                <w:color w:val="7F7F7F" w:themeColor="text1" w:themeTint="80"/>
                <w:lang w:val="it-IT"/>
              </w:rPr>
              <w:t>3);</w:t>
            </w:r>
          </w:p>
        </w:tc>
        <w:tc>
          <w:tcPr>
            <w:tcW w:w="606" w:type="pct"/>
            <w:tcBorders>
              <w:top w:val="single" w:sz="4" w:space="0" w:color="auto"/>
              <w:left w:val="nil"/>
              <w:bottom w:val="single" w:sz="8" w:space="0" w:color="auto"/>
              <w:right w:val="single" w:sz="8" w:space="0" w:color="auto"/>
            </w:tcBorders>
            <w:tcMar>
              <w:top w:w="0" w:type="dxa"/>
              <w:left w:w="0" w:type="dxa"/>
              <w:bottom w:w="0" w:type="dxa"/>
              <w:right w:w="0" w:type="dxa"/>
            </w:tcMar>
          </w:tcPr>
          <w:p w14:paraId="56E1BBF9" w14:textId="26C75314" w:rsidR="00E11EFC" w:rsidRPr="00817A75" w:rsidRDefault="00E11EFC">
            <w:pPr>
              <w:pStyle w:val="TableTextCA"/>
              <w:keepNext/>
              <w:jc w:val="left"/>
              <w:rPr>
                <w:color w:val="7F7F7F" w:themeColor="text1" w:themeTint="80"/>
              </w:rPr>
            </w:pPr>
            <w:r w:rsidRPr="00817A75">
              <w:rPr>
                <w:color w:val="7F7F7F" w:themeColor="text1" w:themeTint="80"/>
                <w:lang w:val="it-IT"/>
              </w:rPr>
              <w:t xml:space="preserve">I² = </w:t>
            </w:r>
            <w:r w:rsidR="00817A75" w:rsidRPr="00817A75">
              <w:rPr>
                <w:color w:val="7F7F7F" w:themeColor="text1" w:themeTint="80"/>
                <w:lang w:val="it-IT"/>
              </w:rPr>
              <w:t>48</w:t>
            </w:r>
            <w:r w:rsidRPr="00817A75">
              <w:rPr>
                <w:color w:val="7F7F7F" w:themeColor="text1" w:themeTint="80"/>
                <w:lang w:val="it-IT"/>
              </w:rPr>
              <w:t>%</w:t>
            </w:r>
          </w:p>
        </w:tc>
        <w:tc>
          <w:tcPr>
            <w:tcW w:w="951" w:type="pct"/>
            <w:tcBorders>
              <w:left w:val="nil"/>
              <w:bottom w:val="single" w:sz="8" w:space="0" w:color="auto"/>
              <w:right w:val="single" w:sz="8" w:space="0" w:color="auto"/>
            </w:tcBorders>
            <w:noWrap/>
            <w:tcMar>
              <w:top w:w="0" w:type="dxa"/>
              <w:left w:w="108" w:type="dxa"/>
              <w:bottom w:w="0" w:type="dxa"/>
              <w:right w:w="108" w:type="dxa"/>
            </w:tcMar>
          </w:tcPr>
          <w:p w14:paraId="2CF529DB" w14:textId="77777777" w:rsidR="00E11EFC" w:rsidRPr="00817A75" w:rsidRDefault="00E11EFC">
            <w:pPr>
              <w:pStyle w:val="Tabletext0"/>
              <w:keepNext/>
              <w:jc w:val="center"/>
              <w:rPr>
                <w:b/>
                <w:bCs/>
                <w:color w:val="7F7F7F" w:themeColor="text1" w:themeTint="80"/>
              </w:rPr>
            </w:pPr>
          </w:p>
        </w:tc>
      </w:tr>
    </w:tbl>
    <w:p w14:paraId="64F00D40" w14:textId="10BB72D7" w:rsidR="000F34FC" w:rsidRPr="00DD136E" w:rsidRDefault="000F34FC" w:rsidP="000F34FC">
      <w:pPr>
        <w:pStyle w:val="Tablenotes0"/>
      </w:pPr>
      <w:r>
        <w:t xml:space="preserve">CI = confidence interval; DBP = diastolic blood pressure; </w:t>
      </w:r>
      <w:r w:rsidR="00193DA7">
        <w:t xml:space="preserve">GRADE = </w:t>
      </w:r>
      <w:r w:rsidR="00193DA7" w:rsidRPr="0041658D">
        <w:t>Grading of Recommendations, Assessment, Development and Evaluation</w:t>
      </w:r>
      <w:r w:rsidR="00193DA7">
        <w:t xml:space="preserve">; </w:t>
      </w:r>
      <w:r>
        <w:t>Het = heterogeneity; mmHg= millimetres of mercury; n = number analysed at endpoint, N = number randomised; RDN = renal denervation; SD = standard deviation</w:t>
      </w:r>
    </w:p>
    <w:p w14:paraId="5A40A1DF" w14:textId="77777777" w:rsidR="000F34FC" w:rsidRDefault="000F34FC" w:rsidP="000F34FC">
      <w:pPr>
        <w:pStyle w:val="Tablenotes0"/>
        <w:spacing w:after="360"/>
      </w:pPr>
      <w:r w:rsidRPr="00836939">
        <w:t>a</w:t>
      </w:r>
      <w:r>
        <w:t xml:space="preserve"> GRADE Certainty of evidence as determined in the commentary. The ADAR considered the meta-analysis of the 3 trials to be ‘Low’.</w:t>
      </w:r>
    </w:p>
    <w:p w14:paraId="4031F405" w14:textId="77777777" w:rsidR="00DA53EF" w:rsidRDefault="00DA53EF" w:rsidP="00DA53EF">
      <w:pPr>
        <w:pStyle w:val="Tablenotes0"/>
      </w:pPr>
      <w:r>
        <w:t xml:space="preserve">Note 1: Statistically significant differences are shown in bold text. </w:t>
      </w:r>
    </w:p>
    <w:p w14:paraId="576B3E54" w14:textId="691B6472" w:rsidR="00DA53EF" w:rsidRDefault="00DA53EF" w:rsidP="00DA53EF">
      <w:pPr>
        <w:pStyle w:val="Tablenotes0"/>
        <w:rPr>
          <w:sz w:val="20"/>
          <w:szCs w:val="20"/>
        </w:rPr>
      </w:pPr>
      <w:r>
        <w:t xml:space="preserve">Note 2: SPYRAL HTN-OFF MED was considered </w:t>
      </w:r>
      <w:r w:rsidR="006E2509">
        <w:t xml:space="preserve">supplementary </w:t>
      </w:r>
      <w:r>
        <w:t>evidence in the commentary and is shown in grey text. Follow up was 3 months in SPYRAL HTN-OFF MED and 6 months in SYMPLICITY HTN-3, ReSET and SPYRAL HTN-ON MED.</w:t>
      </w:r>
    </w:p>
    <w:p w14:paraId="7C8ED8C7" w14:textId="000B4517" w:rsidR="000F34FC" w:rsidRDefault="000F34FC" w:rsidP="000F34FC">
      <w:pPr>
        <w:pStyle w:val="Tablenotes0"/>
        <w:spacing w:after="360"/>
      </w:pPr>
      <w:r>
        <w:t xml:space="preserve">Source: </w:t>
      </w:r>
      <w:r w:rsidR="00450792">
        <w:t>Compiled for the commentary from</w:t>
      </w:r>
      <w:r>
        <w:t xml:space="preserve"> </w:t>
      </w:r>
      <w:r w:rsidRPr="003F1D90">
        <w:t xml:space="preserve">Table </w:t>
      </w:r>
      <w:r w:rsidR="00F16B1B">
        <w:t>51</w:t>
      </w:r>
      <w:r>
        <w:t xml:space="preserve"> </w:t>
      </w:r>
      <w:r w:rsidR="000B0007">
        <w:t>and</w:t>
      </w:r>
      <w:r>
        <w:t xml:space="preserve"> </w:t>
      </w:r>
      <w:r w:rsidRPr="0041484A">
        <w:t xml:space="preserve">Table 77 </w:t>
      </w:r>
      <w:r>
        <w:t>in MSAC 1659 ADAR+in-line commentary.</w:t>
      </w:r>
    </w:p>
    <w:p w14:paraId="2CBFDE9D" w14:textId="4C4C60AC" w:rsidR="007D7D0F" w:rsidRDefault="009F77D0" w:rsidP="00823E8D">
      <w:pPr>
        <w:pStyle w:val="Heading3"/>
      </w:pPr>
      <w:r>
        <w:t>Achievement of</w:t>
      </w:r>
      <w:r w:rsidR="00365109">
        <w:t xml:space="preserve"> target </w:t>
      </w:r>
      <w:r w:rsidR="007B21CF">
        <w:t>systolic blood pressure</w:t>
      </w:r>
      <w:r w:rsidR="00730CFD">
        <w:t xml:space="preserve"> </w:t>
      </w:r>
      <w:r w:rsidR="00823E8D">
        <w:t>(&lt;140 mmHg)</w:t>
      </w:r>
    </w:p>
    <w:p w14:paraId="493650CA" w14:textId="174DFD6C" w:rsidR="007D7D0F" w:rsidRDefault="00036E7C" w:rsidP="0012778C">
      <w:r>
        <w:t xml:space="preserve">Of the </w:t>
      </w:r>
      <w:r w:rsidR="00EA4580">
        <w:t xml:space="preserve">three key trials selected by the commentary, </w:t>
      </w:r>
      <w:r>
        <w:t xml:space="preserve">two </w:t>
      </w:r>
      <w:r w:rsidR="005B3F58">
        <w:t>trials</w:t>
      </w:r>
      <w:r w:rsidR="006E2509">
        <w:t xml:space="preserve"> </w:t>
      </w:r>
      <w:r w:rsidR="005B3F58">
        <w:t xml:space="preserve">reported </w:t>
      </w:r>
      <w:r w:rsidR="008C1826">
        <w:t xml:space="preserve">the proportion of </w:t>
      </w:r>
      <w:r w:rsidR="00A37040">
        <w:t xml:space="preserve">patients achieving </w:t>
      </w:r>
      <w:r w:rsidR="00CD1381">
        <w:t>target OSBP (&lt;</w:t>
      </w:r>
      <w:r w:rsidR="00BF33CA">
        <w:t>140 </w:t>
      </w:r>
      <w:r w:rsidR="00CD1381">
        <w:t xml:space="preserve">mmHg) at 6 months, </w:t>
      </w:r>
      <w:r w:rsidR="00EA4580">
        <w:t xml:space="preserve">and </w:t>
      </w:r>
      <w:r w:rsidR="00AB6EEC">
        <w:t>only SPYRAL HTN-ON MED</w:t>
      </w:r>
      <w:r w:rsidR="00145E65">
        <w:t xml:space="preserve"> reported a statistically significant difference</w:t>
      </w:r>
      <w:r w:rsidR="00090D3B">
        <w:t xml:space="preserve">, favouring the RDN </w:t>
      </w:r>
      <w:r w:rsidR="00B04806">
        <w:t xml:space="preserve">arm </w:t>
      </w:r>
      <w:r w:rsidR="00256AC4">
        <w:t>(</w:t>
      </w:r>
      <w:r w:rsidR="002313DE">
        <w:fldChar w:fldCharType="begin"/>
      </w:r>
      <w:r w:rsidR="002313DE">
        <w:instrText xml:space="preserve"> REF _Ref143977384 \h </w:instrText>
      </w:r>
      <w:r w:rsidR="002313DE">
        <w:fldChar w:fldCharType="separate"/>
      </w:r>
      <w:r w:rsidR="003D5203" w:rsidRPr="00CE28E3">
        <w:t>Table</w:t>
      </w:r>
      <w:r w:rsidR="003D5203">
        <w:t> </w:t>
      </w:r>
      <w:r w:rsidR="003D5203">
        <w:rPr>
          <w:noProof/>
        </w:rPr>
        <w:t>10</w:t>
      </w:r>
      <w:r w:rsidR="002313DE">
        <w:fldChar w:fldCharType="end"/>
      </w:r>
      <w:r w:rsidR="002313DE">
        <w:t>)</w:t>
      </w:r>
      <w:r w:rsidR="00090D3B">
        <w:t xml:space="preserve">. </w:t>
      </w:r>
      <w:r w:rsidR="00281F0A">
        <w:t>However, t</w:t>
      </w:r>
      <w:r w:rsidR="00DF57B5" w:rsidRPr="00DF57B5">
        <w:t xml:space="preserve">he meta-analysis showed no statistically significant difference </w:t>
      </w:r>
      <w:r w:rsidR="003B545B">
        <w:t xml:space="preserve">between groups </w:t>
      </w:r>
      <w:r w:rsidR="00DF57B5" w:rsidRPr="00DF57B5">
        <w:t>in achievement of target OSBP</w:t>
      </w:r>
      <w:r w:rsidR="00AC3CC2">
        <w:t>.</w:t>
      </w:r>
    </w:p>
    <w:p w14:paraId="56605EE0" w14:textId="25FFDBD2" w:rsidR="00651D37" w:rsidRDefault="00651D37" w:rsidP="00651D37">
      <w:r>
        <w:t>The ADAR</w:t>
      </w:r>
      <w:r w:rsidR="006A3668">
        <w:t xml:space="preserve"> also</w:t>
      </w:r>
      <w:r>
        <w:t xml:space="preserve"> included data for SPYRAL HTN-OFF MED, which showed no statistically significant difference between RDN and sham control </w:t>
      </w:r>
      <w:r w:rsidR="00873C08">
        <w:t>for</w:t>
      </w:r>
      <w:r>
        <w:t xml:space="preserve"> this outcome.</w:t>
      </w:r>
    </w:p>
    <w:p w14:paraId="63311523" w14:textId="427073DB" w:rsidR="00C24D18" w:rsidRDefault="007C1F3A" w:rsidP="00651D37">
      <w:r>
        <w:t xml:space="preserve">None of the sham-controlled trials reported the proportion of patients achieving </w:t>
      </w:r>
      <w:r w:rsidR="009C0D11">
        <w:t xml:space="preserve">target </w:t>
      </w:r>
      <w:r w:rsidR="00791FE5">
        <w:t>O</w:t>
      </w:r>
      <w:r w:rsidR="000D696D">
        <w:t>DBP</w:t>
      </w:r>
      <w:r w:rsidR="00791FE5">
        <w:t xml:space="preserve"> (&lt;90</w:t>
      </w:r>
      <w:r w:rsidR="00BF33CA">
        <w:t> </w:t>
      </w:r>
      <w:r w:rsidR="00791FE5">
        <w:t>mmHg)</w:t>
      </w:r>
      <w:r w:rsidR="00970388">
        <w:t xml:space="preserve"> or </w:t>
      </w:r>
      <w:r w:rsidR="00536CE5">
        <w:t xml:space="preserve">target </w:t>
      </w:r>
      <w:r w:rsidR="009C0D11">
        <w:t xml:space="preserve">mean 24-hour </w:t>
      </w:r>
      <w:r w:rsidR="008E3730">
        <w:t>AS</w:t>
      </w:r>
      <w:r w:rsidR="00536CE5">
        <w:t>BP</w:t>
      </w:r>
      <w:r w:rsidR="00715DE0">
        <w:t xml:space="preserve"> (&lt;130</w:t>
      </w:r>
      <w:r w:rsidR="00BF33CA">
        <w:t> </w:t>
      </w:r>
      <w:r w:rsidR="00715DE0">
        <w:t>mmHg)</w:t>
      </w:r>
      <w:r w:rsidR="008E3730">
        <w:t>/ADBP</w:t>
      </w:r>
      <w:r w:rsidR="00536CE5">
        <w:t xml:space="preserve"> (</w:t>
      </w:r>
      <w:r w:rsidR="00190AF7">
        <w:t>&lt;80</w:t>
      </w:r>
      <w:r w:rsidR="00BF33CA">
        <w:t> </w:t>
      </w:r>
      <w:r w:rsidR="00190AF7">
        <w:t>mmHg)</w:t>
      </w:r>
      <w:r w:rsidR="007254DC">
        <w:t>.</w:t>
      </w:r>
    </w:p>
    <w:p w14:paraId="1DACCF12" w14:textId="4468C71A" w:rsidR="00564289" w:rsidRDefault="00564289" w:rsidP="00564289">
      <w:pPr>
        <w:pStyle w:val="Caption"/>
      </w:pPr>
      <w:bookmarkStart w:id="27" w:name="_Ref143977384"/>
      <w:r w:rsidRPr="00CE28E3">
        <w:t>Table</w:t>
      </w:r>
      <w:r>
        <w:t> </w:t>
      </w:r>
      <w:r>
        <w:fldChar w:fldCharType="begin"/>
      </w:r>
      <w:r>
        <w:instrText>SEQ Table \* ARABIC</w:instrText>
      </w:r>
      <w:r>
        <w:fldChar w:fldCharType="separate"/>
      </w:r>
      <w:r w:rsidR="003D5203">
        <w:rPr>
          <w:noProof/>
        </w:rPr>
        <w:t>10</w:t>
      </w:r>
      <w:r>
        <w:fldChar w:fldCharType="end"/>
      </w:r>
      <w:bookmarkEnd w:id="27"/>
      <w:r w:rsidRPr="00CE28E3">
        <w:tab/>
      </w:r>
      <w:r>
        <w:t xml:space="preserve">Proportion of patients achieving </w:t>
      </w:r>
      <w:r w:rsidR="00C838F3">
        <w:t>target office SBP (&lt;140 mmHg)</w:t>
      </w:r>
      <w:r>
        <w:t xml:space="preserve"> </w:t>
      </w:r>
      <w:r w:rsidR="00E61C02">
        <w:t xml:space="preserve">at 6 months </w:t>
      </w:r>
      <w:r>
        <w:t>in key sham-controlled trials</w:t>
      </w:r>
      <w:r w:rsidR="006540F8">
        <w:t xml:space="preserve"> (selected </w:t>
      </w:r>
      <w:r w:rsidR="002D10AF">
        <w:t>by the</w:t>
      </w:r>
      <w:r w:rsidR="006540F8">
        <w:t xml:space="preserve"> commentary)</w:t>
      </w:r>
    </w:p>
    <w:tbl>
      <w:tblPr>
        <w:tblW w:w="5000" w:type="pct"/>
        <w:tblLook w:val="04A0" w:firstRow="1" w:lastRow="0" w:firstColumn="1" w:lastColumn="0" w:noHBand="0" w:noVBand="1"/>
        <w:tblCaption w:val="Proportion achieving target OSBP in sham-controlled trials"/>
        <w:tblDescription w:val="Results from SYMPLICITY HTN-3 and SPYRAL HTN-ON MED, including meta-analyses"/>
      </w:tblPr>
      <w:tblGrid>
        <w:gridCol w:w="1345"/>
        <w:gridCol w:w="1080"/>
        <w:gridCol w:w="990"/>
        <w:gridCol w:w="992"/>
        <w:gridCol w:w="1531"/>
        <w:gridCol w:w="1529"/>
        <w:gridCol w:w="1549"/>
      </w:tblGrid>
      <w:tr w:rsidR="00AF3684" w:rsidRPr="009B29A9" w14:paraId="32BC0C76" w14:textId="77777777" w:rsidTr="00F71956">
        <w:trPr>
          <w:trHeight w:val="77"/>
          <w:tblHeader/>
        </w:trPr>
        <w:tc>
          <w:tcPr>
            <w:tcW w:w="746" w:type="pct"/>
            <w:tcBorders>
              <w:top w:val="single" w:sz="4" w:space="0" w:color="auto"/>
              <w:left w:val="single" w:sz="4" w:space="0" w:color="auto"/>
              <w:right w:val="single" w:sz="4" w:space="0" w:color="auto"/>
            </w:tcBorders>
            <w:shd w:val="clear" w:color="auto" w:fill="auto"/>
            <w:hideMark/>
          </w:tcPr>
          <w:p w14:paraId="0990B50B" w14:textId="77777777" w:rsidR="00C1699C" w:rsidRPr="009B29A9" w:rsidRDefault="00C1699C" w:rsidP="00F71956">
            <w:pPr>
              <w:pStyle w:val="TableHeading0"/>
              <w:spacing w:before="40" w:after="40"/>
              <w:jc w:val="center"/>
            </w:pPr>
            <w:r w:rsidRPr="009B29A9">
              <w:t>Trial ID</w:t>
            </w:r>
          </w:p>
        </w:tc>
        <w:tc>
          <w:tcPr>
            <w:tcW w:w="599" w:type="pct"/>
            <w:tcBorders>
              <w:top w:val="single" w:sz="4" w:space="0" w:color="auto"/>
              <w:left w:val="single" w:sz="4" w:space="0" w:color="auto"/>
              <w:right w:val="single" w:sz="4" w:space="0" w:color="auto"/>
            </w:tcBorders>
          </w:tcPr>
          <w:p w14:paraId="0F7E0FC3" w14:textId="6438817D" w:rsidR="00C1699C" w:rsidRPr="009B29A9" w:rsidRDefault="006C0E85" w:rsidP="00F71956">
            <w:pPr>
              <w:pStyle w:val="TableHeading0"/>
              <w:spacing w:before="40" w:after="40"/>
              <w:jc w:val="center"/>
            </w:pPr>
            <w:r>
              <w:t>Certainty (GRADE)</w:t>
            </w:r>
            <w:r w:rsidR="007254DC" w:rsidRPr="00F71956">
              <w:rPr>
                <w:vertAlign w:val="superscript"/>
              </w:rPr>
              <w:t>a</w:t>
            </w:r>
          </w:p>
        </w:tc>
        <w:tc>
          <w:tcPr>
            <w:tcW w:w="549" w:type="pct"/>
            <w:tcBorders>
              <w:top w:val="single" w:sz="4" w:space="0" w:color="auto"/>
              <w:left w:val="single" w:sz="4" w:space="0" w:color="auto"/>
              <w:bottom w:val="single" w:sz="4" w:space="0" w:color="000000"/>
              <w:right w:val="single" w:sz="4" w:space="0" w:color="000000"/>
            </w:tcBorders>
            <w:shd w:val="clear" w:color="auto" w:fill="auto"/>
            <w:noWrap/>
            <w:hideMark/>
          </w:tcPr>
          <w:p w14:paraId="634849F0" w14:textId="77777777" w:rsidR="00C1699C" w:rsidRPr="009B29A9" w:rsidRDefault="00C1699C" w:rsidP="00F71956">
            <w:pPr>
              <w:pStyle w:val="TableHeading0"/>
              <w:spacing w:before="40" w:after="40"/>
              <w:jc w:val="center"/>
            </w:pPr>
            <w:r w:rsidRPr="009B29A9">
              <w:t>RDN</w:t>
            </w:r>
          </w:p>
        </w:tc>
        <w:tc>
          <w:tcPr>
            <w:tcW w:w="550" w:type="pct"/>
            <w:tcBorders>
              <w:top w:val="single" w:sz="4" w:space="0" w:color="auto"/>
              <w:left w:val="single" w:sz="4" w:space="0" w:color="auto"/>
              <w:bottom w:val="single" w:sz="4" w:space="0" w:color="000000"/>
              <w:right w:val="single" w:sz="4" w:space="0" w:color="000000"/>
            </w:tcBorders>
            <w:shd w:val="clear" w:color="auto" w:fill="auto"/>
          </w:tcPr>
          <w:p w14:paraId="722F581F" w14:textId="12A8416B" w:rsidR="00C1699C" w:rsidRPr="009B29A9" w:rsidRDefault="00C1699C" w:rsidP="00F71956">
            <w:pPr>
              <w:pStyle w:val="TableHeading0"/>
              <w:spacing w:before="40" w:after="40"/>
              <w:jc w:val="center"/>
            </w:pPr>
            <w:r>
              <w:t>Control</w:t>
            </w:r>
          </w:p>
        </w:tc>
        <w:tc>
          <w:tcPr>
            <w:tcW w:w="849" w:type="pct"/>
            <w:tcBorders>
              <w:top w:val="single" w:sz="4" w:space="0" w:color="auto"/>
              <w:left w:val="single" w:sz="4" w:space="0" w:color="auto"/>
              <w:bottom w:val="single" w:sz="4" w:space="0" w:color="000000"/>
              <w:right w:val="single" w:sz="4" w:space="0" w:color="000000"/>
            </w:tcBorders>
            <w:shd w:val="clear" w:color="auto" w:fill="auto"/>
            <w:noWrap/>
            <w:hideMark/>
          </w:tcPr>
          <w:p w14:paraId="5D8AC6CF" w14:textId="22D45405" w:rsidR="00C1699C" w:rsidRPr="009B29A9" w:rsidRDefault="00F11021" w:rsidP="00F71956">
            <w:pPr>
              <w:pStyle w:val="TableHeading0"/>
              <w:spacing w:before="40" w:after="40"/>
              <w:jc w:val="center"/>
            </w:pPr>
            <w:r>
              <w:t>OR</w:t>
            </w:r>
            <w:r>
              <w:br/>
            </w:r>
            <w:r w:rsidRPr="009B29A9">
              <w:t>[95% CI]</w:t>
            </w:r>
          </w:p>
        </w:tc>
        <w:tc>
          <w:tcPr>
            <w:tcW w:w="848" w:type="pct"/>
            <w:tcBorders>
              <w:top w:val="single" w:sz="4" w:space="0" w:color="auto"/>
              <w:left w:val="single" w:sz="4" w:space="0" w:color="auto"/>
              <w:bottom w:val="single" w:sz="4" w:space="0" w:color="000000"/>
              <w:right w:val="single" w:sz="4" w:space="0" w:color="000000"/>
            </w:tcBorders>
            <w:shd w:val="clear" w:color="auto" w:fill="auto"/>
          </w:tcPr>
          <w:p w14:paraId="1D548484" w14:textId="6019F7BE" w:rsidR="00C1699C" w:rsidRPr="009B29A9" w:rsidRDefault="00F11021" w:rsidP="00F71956">
            <w:pPr>
              <w:pStyle w:val="TableHeading0"/>
              <w:spacing w:before="40" w:after="40"/>
              <w:jc w:val="center"/>
            </w:pPr>
            <w:r>
              <w:t>RR</w:t>
            </w:r>
            <w:r>
              <w:br/>
            </w:r>
            <w:r w:rsidRPr="009B29A9">
              <w:t>[95% CI]</w:t>
            </w:r>
          </w:p>
        </w:tc>
        <w:tc>
          <w:tcPr>
            <w:tcW w:w="859" w:type="pct"/>
            <w:tcBorders>
              <w:top w:val="single" w:sz="4" w:space="0" w:color="auto"/>
              <w:left w:val="nil"/>
              <w:bottom w:val="single" w:sz="4" w:space="0" w:color="auto"/>
              <w:right w:val="single" w:sz="4" w:space="0" w:color="auto"/>
            </w:tcBorders>
            <w:shd w:val="clear" w:color="000000" w:fill="FFFFFF"/>
            <w:vAlign w:val="bottom"/>
            <w:hideMark/>
          </w:tcPr>
          <w:p w14:paraId="4E6C7B1E" w14:textId="66246F73" w:rsidR="00C1699C" w:rsidRPr="009B29A9" w:rsidRDefault="003703DF" w:rsidP="00F71956">
            <w:pPr>
              <w:pStyle w:val="TableHeading0"/>
              <w:spacing w:before="40" w:after="40"/>
              <w:jc w:val="center"/>
            </w:pPr>
            <w:r>
              <w:t>RD</w:t>
            </w:r>
            <w:r>
              <w:br/>
            </w:r>
            <w:r w:rsidR="00C1699C" w:rsidRPr="009B29A9">
              <w:t>[95% CI]</w:t>
            </w:r>
          </w:p>
        </w:tc>
      </w:tr>
      <w:tr w:rsidR="003E4D67" w:rsidRPr="009B29A9" w14:paraId="0F64A78E" w14:textId="77777777" w:rsidTr="00F71956">
        <w:trPr>
          <w:trHeight w:val="255"/>
          <w:tblHeader/>
        </w:trPr>
        <w:tc>
          <w:tcPr>
            <w:tcW w:w="746" w:type="pct"/>
            <w:tcBorders>
              <w:top w:val="nil"/>
              <w:left w:val="single" w:sz="4" w:space="0" w:color="auto"/>
              <w:bottom w:val="single" w:sz="4" w:space="0" w:color="auto"/>
              <w:right w:val="single" w:sz="4" w:space="0" w:color="auto"/>
            </w:tcBorders>
            <w:shd w:val="clear" w:color="auto" w:fill="auto"/>
            <w:hideMark/>
          </w:tcPr>
          <w:p w14:paraId="7336C72F" w14:textId="77777777" w:rsidR="003E4D67" w:rsidRPr="009B29A9" w:rsidRDefault="003E4D67" w:rsidP="00F71956">
            <w:pPr>
              <w:pStyle w:val="TableHeading0"/>
              <w:spacing w:before="20" w:after="20"/>
              <w:jc w:val="center"/>
            </w:pPr>
          </w:p>
        </w:tc>
        <w:tc>
          <w:tcPr>
            <w:tcW w:w="599" w:type="pct"/>
            <w:tcBorders>
              <w:top w:val="nil"/>
              <w:left w:val="nil"/>
              <w:bottom w:val="single" w:sz="4" w:space="0" w:color="auto"/>
              <w:right w:val="single" w:sz="4" w:space="0" w:color="auto"/>
            </w:tcBorders>
          </w:tcPr>
          <w:p w14:paraId="17843862" w14:textId="77777777" w:rsidR="003E4D67" w:rsidRPr="009B29A9" w:rsidRDefault="003E4D67" w:rsidP="00F71956">
            <w:pPr>
              <w:pStyle w:val="TableHeading0"/>
              <w:spacing w:before="20" w:after="20"/>
              <w:jc w:val="center"/>
            </w:pP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673C711" w14:textId="1612C16F" w:rsidR="003E4D67" w:rsidRPr="009B29A9" w:rsidRDefault="003E4D67" w:rsidP="00F71956">
            <w:pPr>
              <w:pStyle w:val="TableHeading0"/>
              <w:spacing w:before="20" w:after="20"/>
              <w:jc w:val="center"/>
            </w:pPr>
            <w:r>
              <w:t>n/N (%)</w:t>
            </w:r>
          </w:p>
        </w:tc>
        <w:tc>
          <w:tcPr>
            <w:tcW w:w="550" w:type="pct"/>
            <w:tcBorders>
              <w:top w:val="nil"/>
              <w:left w:val="nil"/>
              <w:bottom w:val="single" w:sz="4" w:space="0" w:color="auto"/>
              <w:right w:val="nil"/>
            </w:tcBorders>
            <w:shd w:val="clear" w:color="auto" w:fill="auto"/>
          </w:tcPr>
          <w:p w14:paraId="62A8AB3E" w14:textId="4ADE50B8" w:rsidR="003E4D67" w:rsidRPr="009B29A9" w:rsidRDefault="003E4D67" w:rsidP="00F71956">
            <w:pPr>
              <w:pStyle w:val="TableHeading0"/>
              <w:spacing w:before="20" w:after="20"/>
              <w:jc w:val="center"/>
            </w:pPr>
            <w:r>
              <w:t>n/N (%)</w:t>
            </w:r>
          </w:p>
        </w:tc>
        <w:tc>
          <w:tcPr>
            <w:tcW w:w="848" w:type="pct"/>
            <w:tcBorders>
              <w:top w:val="single" w:sz="4" w:space="0" w:color="000000"/>
              <w:left w:val="single" w:sz="4" w:space="0" w:color="auto"/>
              <w:bottom w:val="single" w:sz="4" w:space="0" w:color="auto"/>
            </w:tcBorders>
            <w:shd w:val="clear" w:color="auto" w:fill="auto"/>
            <w:tcMar>
              <w:left w:w="0" w:type="dxa"/>
              <w:right w:w="0" w:type="dxa"/>
            </w:tcMar>
          </w:tcPr>
          <w:p w14:paraId="66769393" w14:textId="7424BFFA" w:rsidR="003E4D67" w:rsidRPr="009B29A9" w:rsidRDefault="003E4D67" w:rsidP="00F71956">
            <w:pPr>
              <w:pStyle w:val="TableHeading0"/>
              <w:spacing w:before="20" w:after="20"/>
              <w:jc w:val="right"/>
            </w:pPr>
            <w:r>
              <w:t>Results &gt;1</w:t>
            </w:r>
          </w:p>
        </w:tc>
        <w:tc>
          <w:tcPr>
            <w:tcW w:w="848" w:type="pct"/>
            <w:tcBorders>
              <w:top w:val="nil"/>
              <w:left w:val="nil"/>
              <w:bottom w:val="single" w:sz="4" w:space="0" w:color="auto"/>
              <w:right w:val="single" w:sz="4" w:space="0" w:color="auto"/>
            </w:tcBorders>
            <w:shd w:val="clear" w:color="auto" w:fill="auto"/>
            <w:tcMar>
              <w:left w:w="0" w:type="dxa"/>
              <w:right w:w="0" w:type="dxa"/>
            </w:tcMar>
          </w:tcPr>
          <w:p w14:paraId="51C5A36F" w14:textId="00DACD11" w:rsidR="003E4D67" w:rsidRPr="009B29A9" w:rsidRDefault="00F63B45" w:rsidP="00F71956">
            <w:pPr>
              <w:pStyle w:val="TableHeading0"/>
              <w:spacing w:before="20" w:after="20"/>
            </w:pPr>
            <w:r>
              <w:t xml:space="preserve"> </w:t>
            </w:r>
            <w:r w:rsidR="003E4D67">
              <w:t>favours RDN</w:t>
            </w:r>
          </w:p>
        </w:tc>
        <w:tc>
          <w:tcPr>
            <w:tcW w:w="859" w:type="pct"/>
            <w:tcBorders>
              <w:top w:val="single" w:sz="4" w:space="0" w:color="auto"/>
              <w:left w:val="single" w:sz="4" w:space="0" w:color="auto"/>
              <w:bottom w:val="single" w:sz="4" w:space="0" w:color="auto"/>
              <w:right w:val="single" w:sz="4" w:space="0" w:color="auto"/>
            </w:tcBorders>
            <w:shd w:val="clear" w:color="000000" w:fill="FFFFFF"/>
          </w:tcPr>
          <w:p w14:paraId="261BB111" w14:textId="594931F9" w:rsidR="003E4D67" w:rsidRPr="009B29A9" w:rsidRDefault="003E4D67" w:rsidP="00F71956">
            <w:pPr>
              <w:pStyle w:val="TableHeading0"/>
              <w:spacing w:before="20" w:after="20"/>
              <w:jc w:val="center"/>
              <w:rPr>
                <w:i/>
                <w:iCs/>
              </w:rPr>
            </w:pPr>
            <w:r>
              <w:t>Results &gt;0 favours RDN</w:t>
            </w:r>
          </w:p>
        </w:tc>
      </w:tr>
      <w:tr w:rsidR="00250A45" w:rsidRPr="009B29A9" w14:paraId="2C57C59A" w14:textId="77777777" w:rsidTr="003E4D67">
        <w:trPr>
          <w:trHeight w:val="255"/>
        </w:trPr>
        <w:tc>
          <w:tcPr>
            <w:tcW w:w="746" w:type="pct"/>
            <w:tcBorders>
              <w:top w:val="nil"/>
              <w:left w:val="single" w:sz="4" w:space="0" w:color="auto"/>
              <w:bottom w:val="single" w:sz="4" w:space="0" w:color="auto"/>
              <w:right w:val="single" w:sz="4" w:space="0" w:color="auto"/>
            </w:tcBorders>
            <w:shd w:val="clear" w:color="auto" w:fill="auto"/>
            <w:hideMark/>
          </w:tcPr>
          <w:p w14:paraId="2585A30F" w14:textId="77777777" w:rsidR="00250A45" w:rsidRPr="00250A45" w:rsidRDefault="00250A45" w:rsidP="007F032D">
            <w:pPr>
              <w:pStyle w:val="Tabletext0"/>
              <w:jc w:val="center"/>
            </w:pPr>
            <w:r w:rsidRPr="009B29A9">
              <w:t>SYMPLICITY HTN-3</w:t>
            </w:r>
          </w:p>
        </w:tc>
        <w:tc>
          <w:tcPr>
            <w:tcW w:w="599" w:type="pct"/>
            <w:tcBorders>
              <w:top w:val="single" w:sz="4" w:space="0" w:color="auto"/>
              <w:left w:val="nil"/>
              <w:bottom w:val="single" w:sz="4" w:space="0" w:color="auto"/>
              <w:right w:val="single" w:sz="4" w:space="0" w:color="auto"/>
            </w:tcBorders>
          </w:tcPr>
          <w:p w14:paraId="12CD3458" w14:textId="77777777" w:rsidR="00250A45" w:rsidRPr="009B29A9" w:rsidRDefault="00250A45" w:rsidP="00F873C1">
            <w:pPr>
              <w:pStyle w:val="Tabletext0"/>
              <w:jc w:val="center"/>
            </w:pPr>
            <w:r>
              <w:t>-</w:t>
            </w:r>
          </w:p>
        </w:tc>
        <w:tc>
          <w:tcPr>
            <w:tcW w:w="549" w:type="pct"/>
            <w:tcBorders>
              <w:top w:val="nil"/>
              <w:left w:val="single" w:sz="4" w:space="0" w:color="auto"/>
              <w:bottom w:val="single" w:sz="4" w:space="0" w:color="auto"/>
              <w:right w:val="single" w:sz="4" w:space="0" w:color="auto"/>
            </w:tcBorders>
            <w:shd w:val="clear" w:color="auto" w:fill="auto"/>
          </w:tcPr>
          <w:p w14:paraId="655DC8CB" w14:textId="662E08A9" w:rsidR="00250A45" w:rsidRPr="009B29A9" w:rsidRDefault="00250A45" w:rsidP="00F873C1">
            <w:pPr>
              <w:pStyle w:val="Tabletext0"/>
              <w:jc w:val="center"/>
            </w:pPr>
            <w:r w:rsidRPr="008D2BDD">
              <w:t>38/350</w:t>
            </w:r>
            <w:r>
              <w:br/>
            </w:r>
            <w:r w:rsidRPr="008D2BDD">
              <w:t>(10.</w:t>
            </w:r>
            <w:r w:rsidR="00F55677">
              <w:t>9</w:t>
            </w:r>
            <w:r w:rsidRPr="008D2BDD">
              <w:t>%)</w:t>
            </w:r>
          </w:p>
        </w:tc>
        <w:tc>
          <w:tcPr>
            <w:tcW w:w="550" w:type="pct"/>
            <w:tcBorders>
              <w:top w:val="nil"/>
              <w:left w:val="nil"/>
              <w:bottom w:val="single" w:sz="4" w:space="0" w:color="auto"/>
              <w:right w:val="single" w:sz="4" w:space="0" w:color="auto"/>
            </w:tcBorders>
            <w:shd w:val="clear" w:color="auto" w:fill="auto"/>
          </w:tcPr>
          <w:p w14:paraId="59ECEFC2" w14:textId="25A0B40D" w:rsidR="00250A45" w:rsidRPr="009B29A9" w:rsidRDefault="00250A45" w:rsidP="00F873C1">
            <w:pPr>
              <w:pStyle w:val="Tabletext0"/>
              <w:jc w:val="center"/>
            </w:pPr>
            <w:r w:rsidRPr="008D2BDD">
              <w:t>22/169</w:t>
            </w:r>
            <w:r>
              <w:br/>
            </w:r>
            <w:r w:rsidRPr="008D2BDD">
              <w:t>(13.0%)</w:t>
            </w:r>
          </w:p>
        </w:tc>
        <w:tc>
          <w:tcPr>
            <w:tcW w:w="849" w:type="pct"/>
            <w:tcBorders>
              <w:top w:val="nil"/>
              <w:left w:val="nil"/>
              <w:bottom w:val="single" w:sz="4" w:space="0" w:color="auto"/>
              <w:right w:val="single" w:sz="4" w:space="0" w:color="auto"/>
            </w:tcBorders>
            <w:shd w:val="clear" w:color="auto" w:fill="auto"/>
          </w:tcPr>
          <w:p w14:paraId="71B6C169" w14:textId="77777777" w:rsidR="00250A45" w:rsidRPr="009B29A9" w:rsidRDefault="00250A45" w:rsidP="00F873C1">
            <w:pPr>
              <w:pStyle w:val="Tabletext0"/>
              <w:jc w:val="center"/>
            </w:pPr>
            <w:r w:rsidRPr="00EC665D">
              <w:rPr>
                <w:color w:val="000000" w:themeColor="text1"/>
              </w:rPr>
              <w:t>0.81</w:t>
            </w:r>
            <w:r>
              <w:rPr>
                <w:color w:val="000000" w:themeColor="text1"/>
              </w:rPr>
              <w:br/>
            </w:r>
            <w:r w:rsidRPr="00EC665D">
              <w:rPr>
                <w:color w:val="000000" w:themeColor="text1"/>
              </w:rPr>
              <w:t>[0.46, 1.43]</w:t>
            </w:r>
          </w:p>
        </w:tc>
        <w:tc>
          <w:tcPr>
            <w:tcW w:w="848" w:type="pct"/>
            <w:tcBorders>
              <w:top w:val="nil"/>
              <w:left w:val="nil"/>
              <w:bottom w:val="single" w:sz="4" w:space="0" w:color="auto"/>
              <w:right w:val="single" w:sz="4" w:space="0" w:color="auto"/>
            </w:tcBorders>
            <w:shd w:val="clear" w:color="auto" w:fill="auto"/>
          </w:tcPr>
          <w:p w14:paraId="0B26D47B" w14:textId="77777777" w:rsidR="00250A45" w:rsidRPr="009B29A9" w:rsidRDefault="00250A45" w:rsidP="00F873C1">
            <w:pPr>
              <w:pStyle w:val="Tabletext0"/>
              <w:jc w:val="center"/>
            </w:pPr>
            <w:r w:rsidRPr="00EC665D">
              <w:rPr>
                <w:color w:val="000000" w:themeColor="text1"/>
              </w:rPr>
              <w:t>0.83</w:t>
            </w:r>
            <w:r>
              <w:rPr>
                <w:color w:val="000000" w:themeColor="text1"/>
              </w:rPr>
              <w:br/>
            </w:r>
            <w:r w:rsidRPr="00EC665D">
              <w:rPr>
                <w:color w:val="000000" w:themeColor="text1"/>
              </w:rPr>
              <w:t>[0.51, 1.36]</w:t>
            </w:r>
          </w:p>
        </w:tc>
        <w:tc>
          <w:tcPr>
            <w:tcW w:w="859" w:type="pct"/>
            <w:tcBorders>
              <w:top w:val="single" w:sz="4" w:space="0" w:color="auto"/>
              <w:left w:val="nil"/>
              <w:bottom w:val="single" w:sz="4" w:space="0" w:color="auto"/>
              <w:right w:val="single" w:sz="4" w:space="0" w:color="auto"/>
            </w:tcBorders>
            <w:shd w:val="clear" w:color="auto" w:fill="auto"/>
            <w:noWrap/>
          </w:tcPr>
          <w:p w14:paraId="6BB2258F" w14:textId="77777777" w:rsidR="00250A45" w:rsidRPr="009B29A9" w:rsidRDefault="00250A45" w:rsidP="00F873C1">
            <w:pPr>
              <w:pStyle w:val="Tabletext0"/>
              <w:jc w:val="center"/>
            </w:pPr>
            <w:r w:rsidRPr="00EC665D">
              <w:rPr>
                <w:color w:val="000000" w:themeColor="text1"/>
              </w:rPr>
              <w:t>-0.02</w:t>
            </w:r>
            <w:r>
              <w:rPr>
                <w:color w:val="000000" w:themeColor="text1"/>
              </w:rPr>
              <w:br/>
            </w:r>
            <w:r w:rsidRPr="00EC665D">
              <w:rPr>
                <w:color w:val="000000" w:themeColor="text1"/>
              </w:rPr>
              <w:t>[-0.08, 0.04</w:t>
            </w:r>
            <w:r>
              <w:rPr>
                <w:color w:val="000000" w:themeColor="text1"/>
              </w:rPr>
              <w:t>]</w:t>
            </w:r>
          </w:p>
        </w:tc>
      </w:tr>
      <w:tr w:rsidR="00434240" w:rsidRPr="009B29A9" w14:paraId="465CB28A" w14:textId="77777777" w:rsidTr="003E4D67">
        <w:trPr>
          <w:trHeight w:val="255"/>
        </w:trPr>
        <w:tc>
          <w:tcPr>
            <w:tcW w:w="746" w:type="pct"/>
            <w:tcBorders>
              <w:top w:val="nil"/>
              <w:left w:val="single" w:sz="4" w:space="0" w:color="auto"/>
              <w:bottom w:val="single" w:sz="4" w:space="0" w:color="auto"/>
              <w:right w:val="single" w:sz="4" w:space="0" w:color="auto"/>
            </w:tcBorders>
            <w:shd w:val="clear" w:color="auto" w:fill="auto"/>
            <w:hideMark/>
          </w:tcPr>
          <w:p w14:paraId="237CA5EA" w14:textId="77777777" w:rsidR="00C94D65" w:rsidRPr="00250A45" w:rsidRDefault="00C94D65" w:rsidP="007F032D">
            <w:pPr>
              <w:pStyle w:val="Tabletext0"/>
              <w:jc w:val="center"/>
            </w:pPr>
            <w:r w:rsidRPr="009B29A9">
              <w:t>SPYRAL HTN-ON MED</w:t>
            </w:r>
          </w:p>
        </w:tc>
        <w:tc>
          <w:tcPr>
            <w:tcW w:w="599" w:type="pct"/>
            <w:tcBorders>
              <w:top w:val="single" w:sz="4" w:space="0" w:color="auto"/>
              <w:left w:val="nil"/>
              <w:bottom w:val="single" w:sz="4" w:space="0" w:color="auto"/>
              <w:right w:val="single" w:sz="4" w:space="0" w:color="auto"/>
            </w:tcBorders>
          </w:tcPr>
          <w:p w14:paraId="7FF5C5BD" w14:textId="77777777" w:rsidR="00C94D65" w:rsidRPr="009B29A9" w:rsidRDefault="00C94D65" w:rsidP="00C94D65">
            <w:pPr>
              <w:pStyle w:val="Tabletext0"/>
              <w:jc w:val="center"/>
            </w:pPr>
            <w:r>
              <w:t>-</w:t>
            </w:r>
          </w:p>
        </w:tc>
        <w:tc>
          <w:tcPr>
            <w:tcW w:w="549" w:type="pct"/>
            <w:tcBorders>
              <w:top w:val="nil"/>
              <w:left w:val="single" w:sz="4" w:space="0" w:color="auto"/>
              <w:bottom w:val="single" w:sz="4" w:space="0" w:color="auto"/>
              <w:right w:val="single" w:sz="4" w:space="0" w:color="auto"/>
            </w:tcBorders>
            <w:shd w:val="clear" w:color="auto" w:fill="auto"/>
          </w:tcPr>
          <w:p w14:paraId="12AFEBA8" w14:textId="643D5F34" w:rsidR="00C94D65" w:rsidRPr="009B29A9" w:rsidRDefault="00C94D65" w:rsidP="00C94D65">
            <w:pPr>
              <w:pStyle w:val="Tabletext0"/>
              <w:jc w:val="center"/>
            </w:pPr>
            <w:r w:rsidRPr="00C93175">
              <w:t>39/199</w:t>
            </w:r>
            <w:r w:rsidR="00676CA5">
              <w:br/>
            </w:r>
            <w:r w:rsidRPr="00C93175">
              <w:t>(19.6%)</w:t>
            </w:r>
          </w:p>
        </w:tc>
        <w:tc>
          <w:tcPr>
            <w:tcW w:w="550" w:type="pct"/>
            <w:tcBorders>
              <w:top w:val="nil"/>
              <w:left w:val="nil"/>
              <w:bottom w:val="single" w:sz="4" w:space="0" w:color="auto"/>
              <w:right w:val="single" w:sz="4" w:space="0" w:color="auto"/>
            </w:tcBorders>
            <w:shd w:val="clear" w:color="auto" w:fill="auto"/>
          </w:tcPr>
          <w:p w14:paraId="01F05996" w14:textId="71063CFB" w:rsidR="00C94D65" w:rsidRPr="009B29A9" w:rsidRDefault="00C94D65" w:rsidP="00C94D65">
            <w:pPr>
              <w:pStyle w:val="Tabletext0"/>
              <w:jc w:val="center"/>
            </w:pPr>
            <w:r w:rsidRPr="00C93175">
              <w:t>8/126</w:t>
            </w:r>
            <w:r w:rsidR="00676CA5">
              <w:br/>
            </w:r>
            <w:r w:rsidRPr="00C93175">
              <w:t>(6.3%)</w:t>
            </w:r>
          </w:p>
        </w:tc>
        <w:tc>
          <w:tcPr>
            <w:tcW w:w="849" w:type="pct"/>
            <w:tcBorders>
              <w:top w:val="nil"/>
              <w:left w:val="nil"/>
              <w:bottom w:val="single" w:sz="4" w:space="0" w:color="auto"/>
              <w:right w:val="single" w:sz="4" w:space="0" w:color="auto"/>
            </w:tcBorders>
            <w:shd w:val="clear" w:color="auto" w:fill="auto"/>
          </w:tcPr>
          <w:p w14:paraId="7CA982E4" w14:textId="1CAA2DA2" w:rsidR="00C94D65" w:rsidRPr="00F46A7C" w:rsidRDefault="00C94D65" w:rsidP="00C94D65">
            <w:pPr>
              <w:pStyle w:val="Tabletext0"/>
              <w:jc w:val="center"/>
              <w:rPr>
                <w:b/>
                <w:bCs/>
              </w:rPr>
            </w:pPr>
            <w:r w:rsidRPr="00F46A7C">
              <w:rPr>
                <w:b/>
                <w:bCs/>
              </w:rPr>
              <w:t>3.60</w:t>
            </w:r>
            <w:r w:rsidR="00690BFA" w:rsidRPr="00F46A7C">
              <w:rPr>
                <w:b/>
                <w:bCs/>
              </w:rPr>
              <w:br/>
              <w:t>[1.62, 7.98]</w:t>
            </w:r>
          </w:p>
        </w:tc>
        <w:tc>
          <w:tcPr>
            <w:tcW w:w="848" w:type="pct"/>
            <w:tcBorders>
              <w:top w:val="nil"/>
              <w:left w:val="nil"/>
              <w:bottom w:val="single" w:sz="4" w:space="0" w:color="auto"/>
              <w:right w:val="single" w:sz="4" w:space="0" w:color="auto"/>
            </w:tcBorders>
            <w:shd w:val="clear" w:color="auto" w:fill="auto"/>
          </w:tcPr>
          <w:p w14:paraId="0E0F55E7" w14:textId="440C350F" w:rsidR="00C94D65" w:rsidRPr="00F46A7C" w:rsidRDefault="00464B67" w:rsidP="00C94D65">
            <w:pPr>
              <w:pStyle w:val="Tabletext0"/>
              <w:jc w:val="center"/>
              <w:rPr>
                <w:b/>
                <w:bCs/>
              </w:rPr>
            </w:pPr>
            <w:r w:rsidRPr="00F46A7C">
              <w:rPr>
                <w:b/>
                <w:bCs/>
              </w:rPr>
              <w:t>3.09</w:t>
            </w:r>
            <w:r w:rsidRPr="00F46A7C">
              <w:rPr>
                <w:b/>
                <w:bCs/>
              </w:rPr>
              <w:br/>
              <w:t>[1.49, 6.39]</w:t>
            </w:r>
          </w:p>
        </w:tc>
        <w:tc>
          <w:tcPr>
            <w:tcW w:w="859" w:type="pct"/>
            <w:tcBorders>
              <w:top w:val="single" w:sz="4" w:space="0" w:color="auto"/>
              <w:left w:val="nil"/>
              <w:bottom w:val="single" w:sz="4" w:space="0" w:color="auto"/>
              <w:right w:val="single" w:sz="4" w:space="0" w:color="auto"/>
            </w:tcBorders>
            <w:shd w:val="clear" w:color="auto" w:fill="auto"/>
            <w:noWrap/>
          </w:tcPr>
          <w:p w14:paraId="7D5F26B4" w14:textId="123A472E" w:rsidR="00C94D65" w:rsidRPr="00234B38" w:rsidRDefault="00520801" w:rsidP="00C94D65">
            <w:pPr>
              <w:pStyle w:val="Tabletext0"/>
              <w:jc w:val="center"/>
              <w:rPr>
                <w:b/>
                <w:bCs/>
              </w:rPr>
            </w:pPr>
            <w:r w:rsidRPr="00234B38">
              <w:rPr>
                <w:b/>
                <w:bCs/>
              </w:rPr>
              <w:t>0.13</w:t>
            </w:r>
            <w:r w:rsidRPr="00234B38">
              <w:rPr>
                <w:b/>
                <w:bCs/>
              </w:rPr>
              <w:br/>
              <w:t>[0.05, 0.21]</w:t>
            </w:r>
            <w:r w:rsidR="00234B38" w:rsidRPr="00234B38">
              <w:rPr>
                <w:b/>
                <w:bCs/>
              </w:rPr>
              <w:br/>
              <w:t>P=0.001</w:t>
            </w:r>
          </w:p>
        </w:tc>
      </w:tr>
      <w:tr w:rsidR="007F032D" w:rsidRPr="009B29A9" w14:paraId="016A1E0F" w14:textId="77777777" w:rsidTr="003E4D67">
        <w:trPr>
          <w:trHeight w:val="255"/>
        </w:trPr>
        <w:tc>
          <w:tcPr>
            <w:tcW w:w="746" w:type="pct"/>
            <w:tcBorders>
              <w:top w:val="single" w:sz="4" w:space="0" w:color="auto"/>
              <w:left w:val="single" w:sz="4" w:space="0" w:color="auto"/>
              <w:right w:val="single" w:sz="4" w:space="0" w:color="auto"/>
            </w:tcBorders>
            <w:shd w:val="clear" w:color="auto" w:fill="auto"/>
            <w:vAlign w:val="bottom"/>
          </w:tcPr>
          <w:p w14:paraId="507C271D" w14:textId="26914EE0" w:rsidR="00564289" w:rsidRPr="00142DB7" w:rsidRDefault="007F032D" w:rsidP="008348ED">
            <w:pPr>
              <w:pStyle w:val="CommentaryTabletextleft"/>
              <w:keepNext/>
              <w:spacing w:after="0"/>
              <w:jc w:val="center"/>
              <w:rPr>
                <w:color w:val="auto"/>
              </w:rPr>
            </w:pPr>
            <w:r>
              <w:rPr>
                <w:color w:val="auto"/>
              </w:rPr>
              <w:t xml:space="preserve">Commentary </w:t>
            </w:r>
            <w:r w:rsidR="00564289" w:rsidRPr="00142DB7">
              <w:rPr>
                <w:color w:val="auto"/>
              </w:rPr>
              <w:t>Meta</w:t>
            </w:r>
            <w:r w:rsidR="00FE28D1" w:rsidRPr="00142DB7">
              <w:rPr>
                <w:color w:val="auto"/>
              </w:rPr>
              <w:t>-</w:t>
            </w:r>
            <w:r w:rsidR="00564289" w:rsidRPr="00142DB7">
              <w:rPr>
                <w:color w:val="auto"/>
              </w:rPr>
              <w:t>analysis</w:t>
            </w:r>
            <w:r>
              <w:rPr>
                <w:color w:val="auto"/>
              </w:rPr>
              <w:t xml:space="preserve"> </w:t>
            </w:r>
          </w:p>
        </w:tc>
        <w:tc>
          <w:tcPr>
            <w:tcW w:w="599" w:type="pct"/>
            <w:tcBorders>
              <w:top w:val="single" w:sz="4" w:space="0" w:color="auto"/>
              <w:left w:val="nil"/>
              <w:right w:val="single" w:sz="4" w:space="0" w:color="auto"/>
            </w:tcBorders>
            <w:shd w:val="clear" w:color="auto" w:fill="auto"/>
          </w:tcPr>
          <w:p w14:paraId="45F57068" w14:textId="652371B1" w:rsidR="00564289" w:rsidRPr="00142DB7" w:rsidRDefault="00564289" w:rsidP="00ED47E1">
            <w:pPr>
              <w:pStyle w:val="CommentaryTabletextleft"/>
              <w:keepNext/>
              <w:spacing w:after="20"/>
              <w:jc w:val="center"/>
              <w:rPr>
                <w:color w:val="auto"/>
              </w:rPr>
            </w:pPr>
            <w:r w:rsidRPr="00C65209">
              <w:rPr>
                <w:rStyle w:val="quality-sign"/>
                <w:rFonts w:ascii="Cambria Math" w:eastAsia="Times New Roman" w:hAnsi="Cambria Math" w:cs="Cambria Math"/>
                <w:color w:val="00B050"/>
              </w:rPr>
              <w:t>⨁⨁</w:t>
            </w:r>
            <w:r w:rsidR="002021DF" w:rsidRPr="00C65209">
              <w:rPr>
                <w:rStyle w:val="quality-sign"/>
                <w:rFonts w:ascii="Cambria Math" w:eastAsia="Times New Roman" w:hAnsi="Cambria Math" w:cs="Cambria Math"/>
                <w:color w:val="00B050"/>
              </w:rPr>
              <w:t>⨁</w:t>
            </w:r>
            <w:r w:rsidRPr="00C65209">
              <w:rPr>
                <w:rFonts w:ascii="Cambria Math" w:hAnsi="Cambria Math" w:cs="Cambria Math"/>
                <w:color w:val="C00000"/>
              </w:rPr>
              <w:t>⨀</w:t>
            </w:r>
            <w:r w:rsidRPr="00142DB7">
              <w:rPr>
                <w:rStyle w:val="quality-text"/>
                <w:rFonts w:eastAsia="Times New Roman"/>
                <w:color w:val="auto"/>
              </w:rPr>
              <w:br/>
            </w:r>
            <w:r w:rsidR="002021DF" w:rsidRPr="00142DB7">
              <w:rPr>
                <w:rStyle w:val="quality-text"/>
                <w:rFonts w:eastAsia="Times New Roman"/>
                <w:color w:val="auto"/>
              </w:rPr>
              <w:t>Moderate</w:t>
            </w:r>
          </w:p>
        </w:tc>
        <w:tc>
          <w:tcPr>
            <w:tcW w:w="549" w:type="pct"/>
            <w:tcBorders>
              <w:top w:val="single" w:sz="4" w:space="0" w:color="auto"/>
              <w:left w:val="single" w:sz="4" w:space="0" w:color="auto"/>
              <w:right w:val="single" w:sz="4" w:space="0" w:color="auto"/>
            </w:tcBorders>
            <w:shd w:val="clear" w:color="auto" w:fill="auto"/>
          </w:tcPr>
          <w:p w14:paraId="73E61CB2" w14:textId="59DA5094" w:rsidR="00564289" w:rsidRPr="00142DB7" w:rsidRDefault="00E20CB7" w:rsidP="00ED47E1">
            <w:pPr>
              <w:pStyle w:val="CommentaryTabletextleft"/>
              <w:keepNext/>
              <w:spacing w:after="20"/>
              <w:jc w:val="center"/>
              <w:rPr>
                <w:color w:val="auto"/>
              </w:rPr>
            </w:pPr>
            <w:r w:rsidRPr="00142DB7">
              <w:rPr>
                <w:color w:val="auto"/>
              </w:rPr>
              <w:t>77/549</w:t>
            </w:r>
            <w:r w:rsidRPr="00142DB7">
              <w:rPr>
                <w:color w:val="auto"/>
              </w:rPr>
              <w:br/>
              <w:t>(14.0%)</w:t>
            </w:r>
          </w:p>
        </w:tc>
        <w:tc>
          <w:tcPr>
            <w:tcW w:w="550" w:type="pct"/>
            <w:tcBorders>
              <w:top w:val="single" w:sz="4" w:space="0" w:color="auto"/>
              <w:left w:val="nil"/>
              <w:right w:val="single" w:sz="4" w:space="0" w:color="auto"/>
            </w:tcBorders>
            <w:shd w:val="clear" w:color="auto" w:fill="auto"/>
          </w:tcPr>
          <w:p w14:paraId="5DE7CD7A" w14:textId="57C69EC9" w:rsidR="00564289" w:rsidRPr="00142DB7" w:rsidRDefault="000B3794" w:rsidP="00ED47E1">
            <w:pPr>
              <w:pStyle w:val="CommentaryTabletextleft"/>
              <w:keepNext/>
              <w:spacing w:after="20"/>
              <w:jc w:val="center"/>
              <w:rPr>
                <w:color w:val="auto"/>
              </w:rPr>
            </w:pPr>
            <w:r w:rsidRPr="00142DB7">
              <w:rPr>
                <w:color w:val="auto"/>
              </w:rPr>
              <w:t>30/295</w:t>
            </w:r>
            <w:r w:rsidRPr="00142DB7">
              <w:rPr>
                <w:color w:val="auto"/>
              </w:rPr>
              <w:br/>
              <w:t>(10.2%)</w:t>
            </w:r>
          </w:p>
        </w:tc>
        <w:tc>
          <w:tcPr>
            <w:tcW w:w="849" w:type="pct"/>
            <w:tcBorders>
              <w:top w:val="single" w:sz="4" w:space="0" w:color="auto"/>
              <w:left w:val="nil"/>
              <w:bottom w:val="single" w:sz="4" w:space="0" w:color="auto"/>
              <w:right w:val="single" w:sz="4" w:space="0" w:color="auto"/>
            </w:tcBorders>
            <w:shd w:val="clear" w:color="auto" w:fill="auto"/>
          </w:tcPr>
          <w:p w14:paraId="20C2A20E" w14:textId="4AA2CA83" w:rsidR="00564289" w:rsidRPr="00142DB7" w:rsidRDefault="000B3794" w:rsidP="00ED47E1">
            <w:pPr>
              <w:pStyle w:val="CommentaryTabletextleft"/>
              <w:keepNext/>
              <w:spacing w:after="20"/>
              <w:jc w:val="center"/>
              <w:rPr>
                <w:color w:val="auto"/>
              </w:rPr>
            </w:pPr>
            <w:r w:rsidRPr="00142DB7">
              <w:rPr>
                <w:color w:val="auto"/>
              </w:rPr>
              <w:t>1.66</w:t>
            </w:r>
            <w:r w:rsidRPr="00142DB7">
              <w:rPr>
                <w:color w:val="auto"/>
              </w:rPr>
              <w:br/>
            </w:r>
            <w:r w:rsidR="00095BFC" w:rsidRPr="00142DB7">
              <w:rPr>
                <w:color w:val="auto"/>
              </w:rPr>
              <w:t>[0.38, 7.21]</w:t>
            </w:r>
            <w:r w:rsidR="00410DBC" w:rsidRPr="00142DB7">
              <w:rPr>
                <w:color w:val="auto"/>
              </w:rPr>
              <w:br/>
              <w:t>P=0.</w:t>
            </w:r>
            <w:r w:rsidR="009E6BF7" w:rsidRPr="00142DB7">
              <w:rPr>
                <w:color w:val="auto"/>
              </w:rPr>
              <w:t>50</w:t>
            </w:r>
          </w:p>
        </w:tc>
        <w:tc>
          <w:tcPr>
            <w:tcW w:w="848" w:type="pct"/>
            <w:tcBorders>
              <w:top w:val="single" w:sz="4" w:space="0" w:color="auto"/>
              <w:left w:val="nil"/>
              <w:bottom w:val="single" w:sz="4" w:space="0" w:color="auto"/>
              <w:right w:val="single" w:sz="4" w:space="0" w:color="auto"/>
            </w:tcBorders>
            <w:shd w:val="clear" w:color="auto" w:fill="auto"/>
          </w:tcPr>
          <w:p w14:paraId="65CFB9AB" w14:textId="24C8F684" w:rsidR="00564289" w:rsidRPr="00142DB7" w:rsidRDefault="00697855" w:rsidP="00ED47E1">
            <w:pPr>
              <w:pStyle w:val="CommentaryTabletextleft"/>
              <w:keepNext/>
              <w:spacing w:after="20"/>
              <w:jc w:val="center"/>
              <w:rPr>
                <w:color w:val="auto"/>
              </w:rPr>
            </w:pPr>
            <w:r w:rsidRPr="00142DB7">
              <w:rPr>
                <w:color w:val="auto"/>
              </w:rPr>
              <w:t>1.56</w:t>
            </w:r>
            <w:r w:rsidRPr="00142DB7">
              <w:rPr>
                <w:color w:val="auto"/>
              </w:rPr>
              <w:br/>
            </w:r>
            <w:r w:rsidR="00095BFC" w:rsidRPr="00142DB7">
              <w:rPr>
                <w:color w:val="auto"/>
              </w:rPr>
              <w:t>[0.43, 5.72]</w:t>
            </w:r>
            <w:r w:rsidR="00AB1598" w:rsidRPr="00142DB7">
              <w:rPr>
                <w:color w:val="auto"/>
              </w:rPr>
              <w:br/>
              <w:t>P=0.</w:t>
            </w:r>
            <w:r w:rsidR="00410DBC" w:rsidRPr="00142DB7">
              <w:rPr>
                <w:color w:val="auto"/>
              </w:rPr>
              <w:t>50</w:t>
            </w:r>
          </w:p>
        </w:tc>
        <w:tc>
          <w:tcPr>
            <w:tcW w:w="859" w:type="pct"/>
            <w:tcBorders>
              <w:top w:val="single" w:sz="4" w:space="0" w:color="auto"/>
              <w:left w:val="nil"/>
              <w:bottom w:val="single" w:sz="4" w:space="0" w:color="auto"/>
              <w:right w:val="single" w:sz="4" w:space="0" w:color="auto"/>
            </w:tcBorders>
            <w:shd w:val="clear" w:color="auto" w:fill="auto"/>
            <w:noWrap/>
          </w:tcPr>
          <w:p w14:paraId="6D12B301" w14:textId="2156C4A0" w:rsidR="00564289" w:rsidRPr="00142DB7" w:rsidRDefault="00C239C0" w:rsidP="00ED47E1">
            <w:pPr>
              <w:pStyle w:val="CommentaryTabletextleft"/>
              <w:keepNext/>
              <w:spacing w:after="20"/>
              <w:jc w:val="center"/>
              <w:rPr>
                <w:b/>
                <w:bCs/>
                <w:color w:val="auto"/>
              </w:rPr>
            </w:pPr>
            <w:r w:rsidRPr="00142DB7">
              <w:rPr>
                <w:color w:val="auto"/>
              </w:rPr>
              <w:t>0.05</w:t>
            </w:r>
            <w:r w:rsidRPr="00142DB7">
              <w:rPr>
                <w:color w:val="auto"/>
              </w:rPr>
              <w:br/>
            </w:r>
            <w:r w:rsidR="00095BFC" w:rsidRPr="00142DB7">
              <w:rPr>
                <w:color w:val="auto"/>
              </w:rPr>
              <w:t>[</w:t>
            </w:r>
            <w:r w:rsidR="00B248F3" w:rsidRPr="00142DB7">
              <w:rPr>
                <w:color w:val="auto"/>
              </w:rPr>
              <w:t>-0.10,</w:t>
            </w:r>
            <w:r w:rsidR="00095BFC" w:rsidRPr="00142DB7">
              <w:rPr>
                <w:color w:val="auto"/>
              </w:rPr>
              <w:t xml:space="preserve"> </w:t>
            </w:r>
            <w:r w:rsidR="00B248F3" w:rsidRPr="00142DB7">
              <w:rPr>
                <w:color w:val="auto"/>
              </w:rPr>
              <w:t>0.</w:t>
            </w:r>
            <w:r w:rsidR="00095BFC" w:rsidRPr="00142DB7">
              <w:rPr>
                <w:color w:val="auto"/>
              </w:rPr>
              <w:t>21]</w:t>
            </w:r>
            <w:r w:rsidR="00B248F3" w:rsidRPr="00142DB7">
              <w:rPr>
                <w:color w:val="auto"/>
              </w:rPr>
              <w:br/>
            </w:r>
            <w:r w:rsidR="00215080" w:rsidRPr="00142DB7">
              <w:rPr>
                <w:color w:val="auto"/>
              </w:rPr>
              <w:t>P=0.</w:t>
            </w:r>
            <w:r w:rsidR="00AB1598" w:rsidRPr="00142DB7">
              <w:rPr>
                <w:color w:val="auto"/>
              </w:rPr>
              <w:t>48</w:t>
            </w:r>
          </w:p>
        </w:tc>
      </w:tr>
      <w:tr w:rsidR="007F032D" w:rsidRPr="009B29A9" w14:paraId="642603FE" w14:textId="77777777" w:rsidTr="003E4D67">
        <w:trPr>
          <w:trHeight w:val="255"/>
        </w:trPr>
        <w:tc>
          <w:tcPr>
            <w:tcW w:w="746" w:type="pct"/>
            <w:tcBorders>
              <w:left w:val="single" w:sz="4" w:space="0" w:color="auto"/>
              <w:bottom w:val="single" w:sz="4" w:space="0" w:color="auto"/>
              <w:right w:val="single" w:sz="4" w:space="0" w:color="auto"/>
            </w:tcBorders>
            <w:shd w:val="clear" w:color="auto" w:fill="auto"/>
          </w:tcPr>
          <w:p w14:paraId="043383E4" w14:textId="78BD10DA" w:rsidR="00434240" w:rsidRPr="00142DB7" w:rsidRDefault="003958B2" w:rsidP="008348ED">
            <w:pPr>
              <w:pStyle w:val="CommentaryTabletextleft"/>
              <w:keepNext/>
              <w:spacing w:before="0"/>
              <w:jc w:val="center"/>
              <w:rPr>
                <w:color w:val="auto"/>
              </w:rPr>
            </w:pPr>
            <w:r>
              <w:rPr>
                <w:color w:val="auto"/>
              </w:rPr>
              <w:t xml:space="preserve">HTN-3 and </w:t>
            </w:r>
            <w:r w:rsidR="007F032D">
              <w:rPr>
                <w:color w:val="auto"/>
              </w:rPr>
              <w:t>HTN-ON MED</w:t>
            </w:r>
          </w:p>
        </w:tc>
        <w:tc>
          <w:tcPr>
            <w:tcW w:w="599" w:type="pct"/>
            <w:tcBorders>
              <w:left w:val="nil"/>
              <w:bottom w:val="single" w:sz="4" w:space="0" w:color="auto"/>
              <w:right w:val="single" w:sz="4" w:space="0" w:color="auto"/>
            </w:tcBorders>
            <w:shd w:val="clear" w:color="auto" w:fill="auto"/>
          </w:tcPr>
          <w:p w14:paraId="4757693E" w14:textId="77777777" w:rsidR="00434240" w:rsidRPr="00142DB7" w:rsidRDefault="00434240" w:rsidP="003A1952">
            <w:pPr>
              <w:pStyle w:val="CommentaryTabletextleft"/>
              <w:keepNext/>
              <w:spacing w:before="20"/>
              <w:jc w:val="center"/>
              <w:rPr>
                <w:rStyle w:val="quality-sign"/>
                <w:rFonts w:ascii="Cambria Math" w:eastAsia="Times New Roman" w:hAnsi="Cambria Math" w:cs="Cambria Math"/>
                <w:color w:val="auto"/>
                <w:sz w:val="16"/>
                <w:szCs w:val="16"/>
              </w:rPr>
            </w:pPr>
          </w:p>
        </w:tc>
        <w:tc>
          <w:tcPr>
            <w:tcW w:w="549" w:type="pct"/>
            <w:tcBorders>
              <w:left w:val="single" w:sz="4" w:space="0" w:color="auto"/>
              <w:bottom w:val="single" w:sz="4" w:space="0" w:color="auto"/>
              <w:right w:val="single" w:sz="4" w:space="0" w:color="auto"/>
            </w:tcBorders>
            <w:shd w:val="clear" w:color="auto" w:fill="auto"/>
          </w:tcPr>
          <w:p w14:paraId="1BA82AB5" w14:textId="77777777" w:rsidR="00434240" w:rsidRPr="00142DB7" w:rsidRDefault="00434240" w:rsidP="003A1952">
            <w:pPr>
              <w:pStyle w:val="CommentaryTabletextleft"/>
              <w:keepNext/>
              <w:spacing w:before="20"/>
              <w:jc w:val="right"/>
              <w:rPr>
                <w:color w:val="auto"/>
              </w:rPr>
            </w:pPr>
          </w:p>
        </w:tc>
        <w:tc>
          <w:tcPr>
            <w:tcW w:w="550" w:type="pct"/>
            <w:tcBorders>
              <w:left w:val="single" w:sz="4" w:space="0" w:color="auto"/>
              <w:bottom w:val="single" w:sz="4" w:space="0" w:color="auto"/>
              <w:right w:val="single" w:sz="4" w:space="0" w:color="auto"/>
            </w:tcBorders>
            <w:shd w:val="clear" w:color="auto" w:fill="auto"/>
          </w:tcPr>
          <w:p w14:paraId="1C03A4B9" w14:textId="478D25F1" w:rsidR="00434240" w:rsidRPr="00142DB7" w:rsidRDefault="00434240" w:rsidP="003A1952">
            <w:pPr>
              <w:pStyle w:val="CommentaryTabletextleft"/>
              <w:keepNext/>
              <w:spacing w:before="20"/>
              <w:jc w:val="right"/>
              <w:rPr>
                <w:color w:val="auto"/>
              </w:rPr>
            </w:pPr>
          </w:p>
        </w:tc>
        <w:tc>
          <w:tcPr>
            <w:tcW w:w="849" w:type="pct"/>
            <w:tcBorders>
              <w:top w:val="single" w:sz="4" w:space="0" w:color="auto"/>
              <w:left w:val="nil"/>
              <w:bottom w:val="single" w:sz="4" w:space="0" w:color="auto"/>
              <w:right w:val="single" w:sz="4" w:space="0" w:color="auto"/>
            </w:tcBorders>
            <w:shd w:val="clear" w:color="auto" w:fill="auto"/>
          </w:tcPr>
          <w:p w14:paraId="52D3057A" w14:textId="5306A8F0" w:rsidR="00434240" w:rsidRPr="00142DB7" w:rsidRDefault="00434240" w:rsidP="003A1952">
            <w:pPr>
              <w:pStyle w:val="CommentaryTabletextleft"/>
              <w:keepNext/>
              <w:spacing w:before="20"/>
              <w:jc w:val="center"/>
              <w:rPr>
                <w:color w:val="auto"/>
              </w:rPr>
            </w:pPr>
            <w:r w:rsidRPr="00142DB7">
              <w:rPr>
                <w:color w:val="auto"/>
              </w:rPr>
              <w:t>Heterogeneity:</w:t>
            </w:r>
            <w:r w:rsidRPr="00142DB7">
              <w:rPr>
                <w:color w:val="auto"/>
              </w:rPr>
              <w:br/>
              <w:t>I</w:t>
            </w:r>
            <w:r w:rsidRPr="00142DB7">
              <w:rPr>
                <w:color w:val="auto"/>
                <w:vertAlign w:val="superscript"/>
              </w:rPr>
              <w:t>2</w:t>
            </w:r>
            <w:r w:rsidRPr="00142DB7">
              <w:rPr>
                <w:color w:val="auto"/>
              </w:rPr>
              <w:t>=89%</w:t>
            </w:r>
            <w:r w:rsidRPr="00142DB7">
              <w:rPr>
                <w:color w:val="auto"/>
              </w:rPr>
              <w:br/>
              <w:t>(P=0.003)</w:t>
            </w:r>
          </w:p>
        </w:tc>
        <w:tc>
          <w:tcPr>
            <w:tcW w:w="848" w:type="pct"/>
            <w:tcBorders>
              <w:top w:val="single" w:sz="4" w:space="0" w:color="auto"/>
              <w:left w:val="nil"/>
              <w:bottom w:val="single" w:sz="4" w:space="0" w:color="auto"/>
              <w:right w:val="single" w:sz="4" w:space="0" w:color="auto"/>
            </w:tcBorders>
            <w:shd w:val="clear" w:color="auto" w:fill="auto"/>
          </w:tcPr>
          <w:p w14:paraId="048602F9" w14:textId="025DF365" w:rsidR="00434240" w:rsidRPr="00142DB7" w:rsidRDefault="00434240" w:rsidP="003A1952">
            <w:pPr>
              <w:pStyle w:val="CommentaryTabletextleft"/>
              <w:keepNext/>
              <w:spacing w:before="20"/>
              <w:jc w:val="center"/>
              <w:rPr>
                <w:color w:val="auto"/>
              </w:rPr>
            </w:pPr>
            <w:r w:rsidRPr="00142DB7">
              <w:rPr>
                <w:color w:val="auto"/>
              </w:rPr>
              <w:t>Heterogeneity:</w:t>
            </w:r>
            <w:r w:rsidRPr="00142DB7">
              <w:rPr>
                <w:color w:val="auto"/>
              </w:rPr>
              <w:br/>
              <w:t>I</w:t>
            </w:r>
            <w:r w:rsidRPr="00142DB7">
              <w:rPr>
                <w:color w:val="auto"/>
                <w:vertAlign w:val="superscript"/>
              </w:rPr>
              <w:t>2</w:t>
            </w:r>
            <w:r w:rsidRPr="00142DB7">
              <w:rPr>
                <w:color w:val="auto"/>
              </w:rPr>
              <w:t>=89%</w:t>
            </w:r>
            <w:r w:rsidRPr="00142DB7">
              <w:rPr>
                <w:color w:val="auto"/>
              </w:rPr>
              <w:br/>
              <w:t>(P=0.003)</w:t>
            </w:r>
          </w:p>
        </w:tc>
        <w:tc>
          <w:tcPr>
            <w:tcW w:w="859" w:type="pct"/>
            <w:tcBorders>
              <w:top w:val="single" w:sz="4" w:space="0" w:color="auto"/>
              <w:left w:val="nil"/>
              <w:bottom w:val="single" w:sz="4" w:space="0" w:color="auto"/>
              <w:right w:val="single" w:sz="4" w:space="0" w:color="auto"/>
            </w:tcBorders>
            <w:shd w:val="clear" w:color="auto" w:fill="auto"/>
            <w:noWrap/>
          </w:tcPr>
          <w:p w14:paraId="242CC248" w14:textId="1F140092" w:rsidR="00434240" w:rsidRPr="00142DB7" w:rsidRDefault="00434240" w:rsidP="003A1952">
            <w:pPr>
              <w:pStyle w:val="CommentaryTabletextleft"/>
              <w:keepNext/>
              <w:spacing w:before="20"/>
              <w:jc w:val="center"/>
              <w:rPr>
                <w:color w:val="auto"/>
              </w:rPr>
            </w:pPr>
            <w:r w:rsidRPr="00142DB7">
              <w:rPr>
                <w:color w:val="auto"/>
              </w:rPr>
              <w:t>Heterogeneity:</w:t>
            </w:r>
            <w:r w:rsidRPr="00142DB7">
              <w:rPr>
                <w:color w:val="auto"/>
              </w:rPr>
              <w:br/>
              <w:t>I</w:t>
            </w:r>
            <w:r w:rsidRPr="00142DB7">
              <w:rPr>
                <w:color w:val="auto"/>
                <w:vertAlign w:val="superscript"/>
              </w:rPr>
              <w:t>2</w:t>
            </w:r>
            <w:r w:rsidRPr="00142DB7">
              <w:rPr>
                <w:color w:val="auto"/>
              </w:rPr>
              <w:t>=91%</w:t>
            </w:r>
            <w:r w:rsidRPr="00142DB7">
              <w:rPr>
                <w:color w:val="auto"/>
              </w:rPr>
              <w:br/>
              <w:t>(P=0.001)</w:t>
            </w:r>
          </w:p>
        </w:tc>
      </w:tr>
    </w:tbl>
    <w:p w14:paraId="4D178FA0" w14:textId="4D5BFE58" w:rsidR="00564289" w:rsidRDefault="00564289" w:rsidP="00564289">
      <w:pPr>
        <w:pStyle w:val="Tablenotes0"/>
      </w:pPr>
      <w:r>
        <w:t xml:space="preserve">CI = confidence interval; </w:t>
      </w:r>
      <w:r w:rsidR="00193DA7">
        <w:t xml:space="preserve">GRADE = </w:t>
      </w:r>
      <w:r w:rsidR="00193DA7" w:rsidRPr="0041658D">
        <w:t>Grading of Recommendations, Assessment, Development and Evaluation</w:t>
      </w:r>
      <w:r w:rsidR="00193DA7">
        <w:t xml:space="preserve">; </w:t>
      </w:r>
      <w:r>
        <w:t xml:space="preserve">mmHg= millimetres of mercury; </w:t>
      </w:r>
      <w:r w:rsidR="000A1901">
        <w:t xml:space="preserve">OR = odds ratio; </w:t>
      </w:r>
      <w:r w:rsidR="003F0537">
        <w:t xml:space="preserve">RD = risk difference; </w:t>
      </w:r>
      <w:r>
        <w:t xml:space="preserve">RDN = renal denervation; </w:t>
      </w:r>
      <w:r w:rsidR="000A1901">
        <w:t xml:space="preserve">RR = risk ratio; </w:t>
      </w:r>
      <w:r w:rsidR="003703DF">
        <w:t>SBP = systolic blood pressure</w:t>
      </w:r>
    </w:p>
    <w:p w14:paraId="31020213" w14:textId="5C3C17E3" w:rsidR="00CE0F7E" w:rsidRDefault="00E307C3" w:rsidP="00564289">
      <w:pPr>
        <w:pStyle w:val="Tablenotes0"/>
        <w:spacing w:after="360"/>
      </w:pPr>
      <w:r w:rsidRPr="00836939">
        <w:t>a</w:t>
      </w:r>
      <w:r>
        <w:t xml:space="preserve"> GRADE Certainty of evidence as determined in the commentary.</w:t>
      </w:r>
    </w:p>
    <w:p w14:paraId="3DB27DFE" w14:textId="77777777" w:rsidR="00DA53EF" w:rsidRDefault="00DA53EF" w:rsidP="00DA53EF">
      <w:pPr>
        <w:pStyle w:val="Tablenotes0"/>
      </w:pPr>
      <w:r>
        <w:t>Note: Statistically significant differences are shown in bold text.</w:t>
      </w:r>
    </w:p>
    <w:p w14:paraId="5603E929" w14:textId="6E4C4768" w:rsidR="00564289" w:rsidRDefault="00564289" w:rsidP="00564289">
      <w:pPr>
        <w:pStyle w:val="Tablenotes0"/>
        <w:spacing w:after="360"/>
      </w:pPr>
      <w:r>
        <w:t xml:space="preserve">Source: </w:t>
      </w:r>
      <w:r w:rsidR="007D4D87">
        <w:t xml:space="preserve">Excerpt of </w:t>
      </w:r>
      <w:r>
        <w:t xml:space="preserve">Table </w:t>
      </w:r>
      <w:r w:rsidR="003C4D43">
        <w:t>52</w:t>
      </w:r>
      <w:r>
        <w:t xml:space="preserve"> in </w:t>
      </w:r>
      <w:r w:rsidR="00CE0F7E">
        <w:t>MSAC 1659 ADAR+in-line commentary</w:t>
      </w:r>
      <w:r>
        <w:t>.</w:t>
      </w:r>
    </w:p>
    <w:p w14:paraId="1F32C504" w14:textId="77777777" w:rsidR="00CA4197" w:rsidRDefault="00CA4197" w:rsidP="00CA4197">
      <w:pPr>
        <w:pStyle w:val="Heading3"/>
      </w:pPr>
      <w:r>
        <w:t>Achievement of a reduction in systolic blood pressure (5, 10, 15, 20 mmHg)</w:t>
      </w:r>
    </w:p>
    <w:p w14:paraId="79BCF694" w14:textId="119AA7FE" w:rsidR="00CA4197" w:rsidRDefault="00CA4197" w:rsidP="00CA4197">
      <w:r>
        <w:t>Although not a PICO outcome, the proportion of patients achieving a reduction in OSBP of at least 5, 10, 15 and 20</w:t>
      </w:r>
      <w:r w:rsidR="00BF33CA">
        <w:t> </w:t>
      </w:r>
      <w:r>
        <w:t>mmHg was reported in the ADAR. SYMPLICITY HTN-3 and SPYRAL HTN-ON MED were the only sham-controlled trials reporting these outcomes. In SYMPLICITY HTN-3, statistically significant difference</w:t>
      </w:r>
      <w:r w:rsidR="00454426">
        <w:t>s</w:t>
      </w:r>
      <w:r>
        <w:t xml:space="preserve"> w</w:t>
      </w:r>
      <w:r w:rsidR="00454426">
        <w:t>ere</w:t>
      </w:r>
      <w:r>
        <w:t xml:space="preserve"> seen in the proportion</w:t>
      </w:r>
      <w:r w:rsidR="00454426">
        <w:t>s</w:t>
      </w:r>
      <w:r>
        <w:t xml:space="preserve"> of TRHTN patients achieving 5 </w:t>
      </w:r>
      <w:r w:rsidR="00AB03B8">
        <w:t>and</w:t>
      </w:r>
      <w:r>
        <w:t xml:space="preserve"> 10</w:t>
      </w:r>
      <w:r w:rsidR="00BF33CA">
        <w:t> </w:t>
      </w:r>
      <w:r>
        <w:t>mmHg reduction</w:t>
      </w:r>
      <w:r w:rsidR="00454426">
        <w:t>s</w:t>
      </w:r>
      <w:r>
        <w:t xml:space="preserve"> in OSBP, favouring RDN over sham control (approximately 10% higher </w:t>
      </w:r>
      <w:r w:rsidR="00B87602">
        <w:t xml:space="preserve">proportion </w:t>
      </w:r>
      <w:r>
        <w:t>in the RDN arm). There w</w:t>
      </w:r>
      <w:r w:rsidR="00AA09F2">
        <w:t xml:space="preserve">ere </w:t>
      </w:r>
      <w:r>
        <w:t xml:space="preserve">no </w:t>
      </w:r>
      <w:r w:rsidR="00AA09F2">
        <w:t xml:space="preserve">statistically significant </w:t>
      </w:r>
      <w:r>
        <w:t>difference</w:t>
      </w:r>
      <w:r w:rsidR="00AA09F2">
        <w:t>s</w:t>
      </w:r>
      <w:r>
        <w:t xml:space="preserve"> between arms for achievement of 15 or 20</w:t>
      </w:r>
      <w:r w:rsidR="00BF33CA">
        <w:t> </w:t>
      </w:r>
      <w:r>
        <w:t>mmHg reduction</w:t>
      </w:r>
      <w:r w:rsidR="00AB03B8">
        <w:t>s</w:t>
      </w:r>
      <w:r>
        <w:t xml:space="preserve"> in OSBP.</w:t>
      </w:r>
      <w:r w:rsidR="00223C59">
        <w:t xml:space="preserve"> </w:t>
      </w:r>
      <w:r w:rsidR="00FD27B4">
        <w:t xml:space="preserve">In </w:t>
      </w:r>
      <w:r w:rsidR="00223C59">
        <w:t>SPYRAL HTN-ON MED</w:t>
      </w:r>
      <w:r w:rsidR="00FD27B4">
        <w:t xml:space="preserve">, statistically significant differences were seen between arms for achievement of </w:t>
      </w:r>
      <w:r w:rsidR="00AC6DF6">
        <w:t xml:space="preserve">OSBP reductions of </w:t>
      </w:r>
      <w:r w:rsidR="00FD27B4">
        <w:t>10, 15 and 20</w:t>
      </w:r>
      <w:r w:rsidR="00BF33CA">
        <w:t> </w:t>
      </w:r>
      <w:r w:rsidR="00FD27B4">
        <w:t>mmHg</w:t>
      </w:r>
      <w:r w:rsidR="00AC6DF6">
        <w:t xml:space="preserve"> (not 5</w:t>
      </w:r>
      <w:r w:rsidR="0008574F">
        <w:t> </w:t>
      </w:r>
      <w:r w:rsidR="00AC6DF6">
        <w:t>mmHg)</w:t>
      </w:r>
      <w:r w:rsidR="00454426">
        <w:t>.</w:t>
      </w:r>
    </w:p>
    <w:p w14:paraId="04D4685E" w14:textId="39440CF5" w:rsidR="00941BD7" w:rsidRDefault="00F0595E" w:rsidP="008C0E3C">
      <w:pPr>
        <w:pStyle w:val="Heading3"/>
      </w:pPr>
      <w:r>
        <w:t xml:space="preserve">Longer term </w:t>
      </w:r>
      <w:r w:rsidR="0012778C">
        <w:t>blood pressure</w:t>
      </w:r>
      <w:r>
        <w:t xml:space="preserve"> outcomes from trials</w:t>
      </w:r>
    </w:p>
    <w:p w14:paraId="1A98417C" w14:textId="19FF506F" w:rsidR="00D26EA0" w:rsidRPr="00D07149" w:rsidRDefault="001D283A" w:rsidP="00D46D79">
      <w:r w:rsidRPr="001D283A">
        <w:t xml:space="preserve">Long-term (three year) follow up on BP outcomes </w:t>
      </w:r>
      <w:r w:rsidR="00DA253A">
        <w:t>we</w:t>
      </w:r>
      <w:r w:rsidR="00B225D8">
        <w:t xml:space="preserve">re presented in the ADAR for </w:t>
      </w:r>
      <w:r w:rsidR="00351890">
        <w:t xml:space="preserve">the </w:t>
      </w:r>
      <w:r w:rsidRPr="00D07149">
        <w:t xml:space="preserve">SYMPLICITY HTN-3 </w:t>
      </w:r>
      <w:r w:rsidR="004609EF" w:rsidRPr="00D07149">
        <w:t>trial</w:t>
      </w:r>
      <w:r w:rsidR="00351890">
        <w:t xml:space="preserve"> and </w:t>
      </w:r>
      <w:r w:rsidR="00351890" w:rsidRPr="001D283A">
        <w:t xml:space="preserve">the </w:t>
      </w:r>
      <w:r w:rsidR="00351890">
        <w:t>SPYRAL</w:t>
      </w:r>
      <w:r w:rsidR="00351890" w:rsidRPr="001D283A">
        <w:t xml:space="preserve"> H</w:t>
      </w:r>
      <w:r w:rsidR="00351890" w:rsidRPr="00D07149">
        <w:t xml:space="preserve">TN-ON MED Pilot </w:t>
      </w:r>
      <w:r w:rsidR="00351890">
        <w:t>cohort</w:t>
      </w:r>
      <w:r w:rsidR="004609EF" w:rsidRPr="00D07149">
        <w:t>.</w:t>
      </w:r>
      <w:r w:rsidR="0039211A" w:rsidRPr="00D07149">
        <w:t xml:space="preserve"> </w:t>
      </w:r>
      <w:r w:rsidR="0014083A" w:rsidRPr="00D07149">
        <w:t xml:space="preserve">Data </w:t>
      </w:r>
      <w:r w:rsidR="00DC4B4F">
        <w:t>were</w:t>
      </w:r>
      <w:r w:rsidR="0014083A" w:rsidRPr="00D07149">
        <w:t xml:space="preserve"> imputed (using last observation carried forward) for patients </w:t>
      </w:r>
      <w:r w:rsidR="009A713E">
        <w:t xml:space="preserve">in the </w:t>
      </w:r>
      <w:r w:rsidR="00CC7B42">
        <w:t xml:space="preserve">sham control group </w:t>
      </w:r>
      <w:r w:rsidR="0014083A" w:rsidRPr="00D07149">
        <w:t xml:space="preserve">who crossed over to receive RDN </w:t>
      </w:r>
      <w:r w:rsidR="00CC7B42">
        <w:t>after 6</w:t>
      </w:r>
      <w:r w:rsidR="00B9670D">
        <w:t> </w:t>
      </w:r>
      <w:r w:rsidR="00CC7B42">
        <w:t>months</w:t>
      </w:r>
      <w:r w:rsidR="0014083A" w:rsidRPr="00D07149">
        <w:t>.</w:t>
      </w:r>
      <w:r w:rsidR="00207FDD" w:rsidRPr="00D07149">
        <w:t xml:space="preserve"> </w:t>
      </w:r>
      <w:r w:rsidR="007C4630" w:rsidRPr="00D07149">
        <w:t>The</w:t>
      </w:r>
      <w:r w:rsidR="008337F8" w:rsidRPr="00D07149">
        <w:t xml:space="preserve"> </w:t>
      </w:r>
      <w:r w:rsidR="007C4630" w:rsidRPr="00D07149">
        <w:t>data show</w:t>
      </w:r>
      <w:r w:rsidR="00A60D34">
        <w:t>ed</w:t>
      </w:r>
      <w:r w:rsidR="007C4630" w:rsidRPr="00D07149">
        <w:t xml:space="preserve"> that SBP and DBP </w:t>
      </w:r>
      <w:r w:rsidR="005B3F05" w:rsidRPr="00D07149">
        <w:t>reduction</w:t>
      </w:r>
      <w:r w:rsidR="009F169F" w:rsidRPr="00D07149">
        <w:t>s</w:t>
      </w:r>
      <w:r w:rsidR="005B3F05" w:rsidRPr="00D07149">
        <w:t xml:space="preserve"> after RDN appeared to be </w:t>
      </w:r>
      <w:r w:rsidR="007C4630" w:rsidRPr="00D07149">
        <w:t>maintained, if not progressively increase</w:t>
      </w:r>
      <w:r w:rsidR="005B3F05" w:rsidRPr="00D07149">
        <w:t>d</w:t>
      </w:r>
      <w:r w:rsidR="007C4630" w:rsidRPr="00D07149">
        <w:t>, over time.</w:t>
      </w:r>
    </w:p>
    <w:p w14:paraId="38F362FC" w14:textId="14E6B0E9" w:rsidR="00DC5DF6" w:rsidRPr="00D07149" w:rsidRDefault="006613D8" w:rsidP="006613D8">
      <w:r w:rsidRPr="00D07149">
        <w:t xml:space="preserve">The </w:t>
      </w:r>
      <w:r w:rsidR="001A6E80">
        <w:t>commentary note</w:t>
      </w:r>
      <w:r w:rsidR="000C7FC9">
        <w:t>d</w:t>
      </w:r>
      <w:r w:rsidR="001A6E80">
        <w:t xml:space="preserve"> that </w:t>
      </w:r>
      <w:r w:rsidRPr="00D07149">
        <w:t>long-term trial follow</w:t>
      </w:r>
      <w:r w:rsidR="001C5932">
        <w:t>-</w:t>
      </w:r>
      <w:r w:rsidRPr="00D07149">
        <w:t xml:space="preserve">up data are useful for </w:t>
      </w:r>
      <w:r w:rsidR="006A03AA">
        <w:t xml:space="preserve">safety </w:t>
      </w:r>
      <w:r w:rsidR="00FD4C46">
        <w:t xml:space="preserve">and for </w:t>
      </w:r>
      <w:r w:rsidRPr="00D07149">
        <w:t xml:space="preserve">detecting any potential signals of poor durability. However, it </w:t>
      </w:r>
      <w:r w:rsidR="004761B5">
        <w:t>may</w:t>
      </w:r>
      <w:r w:rsidRPr="00D07149">
        <w:t xml:space="preserve"> not </w:t>
      </w:r>
      <w:r w:rsidR="004761B5">
        <w:t xml:space="preserve">be </w:t>
      </w:r>
      <w:r w:rsidRPr="00D07149">
        <w:t>valid to attribute any observed sustained durability to RDN from such data</w:t>
      </w:r>
      <w:r w:rsidR="00C753AF">
        <w:t xml:space="preserve"> because</w:t>
      </w:r>
      <w:r w:rsidRPr="00D07149">
        <w:t xml:space="preserve"> ongoing BP reductions will also be influenced by patient behaviour</w:t>
      </w:r>
      <w:r w:rsidR="00146A20" w:rsidRPr="00D07149">
        <w:t xml:space="preserve"> and medication changes (particularly for patients in SPYRAL HTN-ON MED who were not on </w:t>
      </w:r>
      <w:r w:rsidR="001953A4">
        <w:t>OMM</w:t>
      </w:r>
      <w:r w:rsidR="00146A20" w:rsidRPr="00D07149">
        <w:t xml:space="preserve"> at baseline)</w:t>
      </w:r>
      <w:r w:rsidRPr="00D07149">
        <w:t xml:space="preserve">. </w:t>
      </w:r>
      <w:r w:rsidR="00146A20" w:rsidRPr="00D07149">
        <w:t>T</w:t>
      </w:r>
      <w:r w:rsidR="00DC5DF6" w:rsidRPr="00D07149">
        <w:t>he ADAR presented four different calculations of antihypertensive medication burden</w:t>
      </w:r>
      <w:r w:rsidR="00DF5B3F" w:rsidRPr="00D07149">
        <w:t xml:space="preserve"> for patients in </w:t>
      </w:r>
      <w:r w:rsidR="00B42E75">
        <w:t xml:space="preserve">SPYRAL </w:t>
      </w:r>
      <w:r w:rsidR="00DF5B3F" w:rsidRPr="00D07149">
        <w:t>HTN-ON MED</w:t>
      </w:r>
      <w:r w:rsidR="00DC5DF6" w:rsidRPr="00D07149">
        <w:t>, all of which showed a gradual increase in medication burden over time</w:t>
      </w:r>
      <w:r w:rsidR="0047270F">
        <w:t>,</w:t>
      </w:r>
      <w:r w:rsidR="00DC5DF6" w:rsidRPr="00D07149">
        <w:t xml:space="preserve"> in </w:t>
      </w:r>
      <w:r w:rsidR="00DF5B3F" w:rsidRPr="00D07149">
        <w:t xml:space="preserve">both </w:t>
      </w:r>
      <w:r w:rsidR="00DC5DF6" w:rsidRPr="00D07149">
        <w:t xml:space="preserve">the RDN and the sham control </w:t>
      </w:r>
      <w:r w:rsidR="00F02F10">
        <w:t>arm</w:t>
      </w:r>
      <w:r w:rsidR="00F02F10" w:rsidRPr="00D07149">
        <w:t>s</w:t>
      </w:r>
      <w:r w:rsidR="007935C1">
        <w:t xml:space="preserve">, that could at least partly account for the maintenance in treatment </w:t>
      </w:r>
      <w:r w:rsidR="00335872">
        <w:t>effect</w:t>
      </w:r>
      <w:r w:rsidR="00DC5DF6" w:rsidRPr="00D07149">
        <w:t>.</w:t>
      </w:r>
    </w:p>
    <w:p w14:paraId="49682202" w14:textId="5D0A783F" w:rsidR="006613D8" w:rsidRDefault="006613D8" w:rsidP="006613D8">
      <w:r w:rsidRPr="00D07149">
        <w:t xml:space="preserve">The </w:t>
      </w:r>
      <w:r w:rsidR="006B3E8D">
        <w:t xml:space="preserve">commentary </w:t>
      </w:r>
      <w:r w:rsidR="0001504F">
        <w:t>assert</w:t>
      </w:r>
      <w:r w:rsidR="00CE06F2">
        <w:t>ed</w:t>
      </w:r>
      <w:r w:rsidR="006B3E8D">
        <w:t xml:space="preserve"> that the </w:t>
      </w:r>
      <w:r w:rsidRPr="00D07149">
        <w:t xml:space="preserve">long-term data </w:t>
      </w:r>
      <w:r w:rsidR="00CE06F2">
        <w:t>we</w:t>
      </w:r>
      <w:r w:rsidRPr="00D07149">
        <w:t>re consistent with, but do not establish, durability of effect. Furthermore, the</w:t>
      </w:r>
      <w:r w:rsidR="00A861A7">
        <w:t xml:space="preserve"> long</w:t>
      </w:r>
      <w:r w:rsidR="00886C0E">
        <w:t>-</w:t>
      </w:r>
      <w:r w:rsidR="00A861A7">
        <w:t>term data</w:t>
      </w:r>
      <w:r w:rsidRPr="00D07149">
        <w:t xml:space="preserve"> do not represent an unbiased sampling – patients who may not have experienced sustained BP reductions after RDN may </w:t>
      </w:r>
      <w:r w:rsidR="00B11194">
        <w:t xml:space="preserve">have </w:t>
      </w:r>
      <w:r w:rsidRPr="00D07149">
        <w:t>be</w:t>
      </w:r>
      <w:r w:rsidR="00B11194">
        <w:t>en</w:t>
      </w:r>
      <w:r w:rsidRPr="00D07149">
        <w:t xml:space="preserve"> less inclined than others to persist in long-term follow up.</w:t>
      </w:r>
    </w:p>
    <w:p w14:paraId="4F8FAAFB" w14:textId="3AC89F3F" w:rsidR="008C0E3C" w:rsidRPr="008C0E3C" w:rsidRDefault="008C0E3C" w:rsidP="008C0E3C">
      <w:pPr>
        <w:pStyle w:val="Heading3"/>
      </w:pPr>
      <w:r>
        <w:t xml:space="preserve">Longer term </w:t>
      </w:r>
      <w:r w:rsidR="0012778C">
        <w:t>blood pressure</w:t>
      </w:r>
      <w:r>
        <w:t xml:space="preserve"> outcomes from other sources</w:t>
      </w:r>
    </w:p>
    <w:p w14:paraId="601B3A23" w14:textId="51346CCA" w:rsidR="00B1663E" w:rsidRDefault="000A5D3D" w:rsidP="00C60C6F">
      <w:r>
        <w:t>The ADAR present</w:t>
      </w:r>
      <w:r w:rsidR="00587847">
        <w:t>ed</w:t>
      </w:r>
      <w:r>
        <w:t xml:space="preserve"> </w:t>
      </w:r>
      <w:r w:rsidR="006E23BA" w:rsidRPr="006E23BA">
        <w:t>longer term data from the G</w:t>
      </w:r>
      <w:r w:rsidR="00D642FA">
        <w:t xml:space="preserve">lobal </w:t>
      </w:r>
      <w:r w:rsidR="006E23BA" w:rsidRPr="006E23BA">
        <w:t>S</w:t>
      </w:r>
      <w:r w:rsidR="00D642FA">
        <w:t xml:space="preserve">YMPLICITY </w:t>
      </w:r>
      <w:r w:rsidR="006E23BA" w:rsidRPr="006E23BA">
        <w:t>R</w:t>
      </w:r>
      <w:r w:rsidR="00D642FA">
        <w:t>egistry</w:t>
      </w:r>
      <w:r w:rsidR="006E23BA" w:rsidRPr="006E23BA">
        <w:t xml:space="preserve"> </w:t>
      </w:r>
      <w:r w:rsidR="001648E8">
        <w:t xml:space="preserve">and several other single-arm observational studies </w:t>
      </w:r>
      <w:r w:rsidR="00EC572D">
        <w:t xml:space="preserve">as </w:t>
      </w:r>
      <w:r w:rsidR="007162F4">
        <w:t xml:space="preserve">supplementary </w:t>
      </w:r>
      <w:r w:rsidR="006E23BA" w:rsidRPr="006E23BA">
        <w:t xml:space="preserve">evidence </w:t>
      </w:r>
      <w:r w:rsidR="0030436F">
        <w:t>for</w:t>
      </w:r>
      <w:r w:rsidR="006E23BA" w:rsidRPr="006E23BA">
        <w:t xml:space="preserve"> the durability of the RDN BP</w:t>
      </w:r>
      <w:r w:rsidR="00096AA7">
        <w:t>-</w:t>
      </w:r>
      <w:r w:rsidR="006E23BA" w:rsidRPr="006E23BA">
        <w:t>lowering treatment effect</w:t>
      </w:r>
      <w:r w:rsidR="00172E17">
        <w:t>.</w:t>
      </w:r>
      <w:r w:rsidR="00346B70">
        <w:t xml:space="preserve"> </w:t>
      </w:r>
      <w:r w:rsidR="001648E8">
        <w:t>A</w:t>
      </w:r>
      <w:r w:rsidR="006D3F02" w:rsidRPr="0080328D">
        <w:t>s for the long-term RCT follow up,</w:t>
      </w:r>
      <w:r w:rsidR="00C60C6F">
        <w:t xml:space="preserve"> </w:t>
      </w:r>
      <w:r w:rsidR="005949EB">
        <w:t>the commentary note</w:t>
      </w:r>
      <w:r w:rsidR="005E1FEF">
        <w:t>d</w:t>
      </w:r>
      <w:r w:rsidR="005949EB">
        <w:t xml:space="preserve"> that </w:t>
      </w:r>
      <w:r w:rsidR="006D3F02" w:rsidRPr="0080328D">
        <w:t xml:space="preserve">all </w:t>
      </w:r>
      <w:r w:rsidR="003C44FC">
        <w:t xml:space="preserve">observed </w:t>
      </w:r>
      <w:r w:rsidR="006D3F02" w:rsidRPr="0080328D">
        <w:t xml:space="preserve">BP </w:t>
      </w:r>
      <w:r w:rsidR="003C44FC">
        <w:t xml:space="preserve">improvements </w:t>
      </w:r>
      <w:r w:rsidR="006D3F02" w:rsidRPr="0080328D">
        <w:t>can</w:t>
      </w:r>
      <w:r w:rsidR="001239C6">
        <w:t>not</w:t>
      </w:r>
      <w:r w:rsidR="006D3F02" w:rsidRPr="0080328D">
        <w:t xml:space="preserve"> be attributed to RDN – patients </w:t>
      </w:r>
      <w:r w:rsidR="0041181D">
        <w:t xml:space="preserve">may </w:t>
      </w:r>
      <w:r w:rsidR="00D72A91">
        <w:t>have been</w:t>
      </w:r>
      <w:r w:rsidR="00D72A91" w:rsidRPr="0080328D">
        <w:t xml:space="preserve"> </w:t>
      </w:r>
      <w:r w:rsidR="006D3F02" w:rsidRPr="0080328D">
        <w:t>subject to other ongoing factors that reduce BP</w:t>
      </w:r>
      <w:r w:rsidR="00FA0AC4">
        <w:t xml:space="preserve"> (</w:t>
      </w:r>
      <w:r w:rsidR="006D3F02" w:rsidRPr="0080328D">
        <w:t>such as improved medical management, improved adherence to antihypertensive medication and changes in lifestyle</w:t>
      </w:r>
      <w:r w:rsidR="00096743">
        <w:t>)</w:t>
      </w:r>
      <w:r w:rsidR="006D3F02" w:rsidRPr="0080328D">
        <w:t xml:space="preserve"> and </w:t>
      </w:r>
      <w:r w:rsidR="00B173EE">
        <w:t>it is not possible to account for these confounding factors in</w:t>
      </w:r>
      <w:r w:rsidR="006D3F02" w:rsidRPr="0080328D">
        <w:t xml:space="preserve"> single cohort observational stud</w:t>
      </w:r>
      <w:r w:rsidR="00B173EE">
        <w:t>ies.</w:t>
      </w:r>
    </w:p>
    <w:p w14:paraId="3AD8CB92" w14:textId="77777777" w:rsidR="009B3E33" w:rsidRDefault="009B3E33" w:rsidP="009B3E33">
      <w:pPr>
        <w:pStyle w:val="Heading3"/>
      </w:pPr>
      <w:r>
        <w:t>Incidence of cardiovascular disease</w:t>
      </w:r>
    </w:p>
    <w:p w14:paraId="2A067DDA" w14:textId="5CC3C843" w:rsidR="009B3E33" w:rsidRDefault="009B3E33" w:rsidP="009B3E33">
      <w:r>
        <w:t>The incidence of CV</w:t>
      </w:r>
      <w:r w:rsidR="007F13EA">
        <w:t>D</w:t>
      </w:r>
      <w:r>
        <w:t xml:space="preserve">-related </w:t>
      </w:r>
      <w:r w:rsidR="00CD485B">
        <w:t>outcomes</w:t>
      </w:r>
      <w:r>
        <w:t xml:space="preserve"> was reported in the clinical trials and the ADAR as chronic safety events. Data to </w:t>
      </w:r>
      <w:r w:rsidR="00574D74">
        <w:t>60</w:t>
      </w:r>
      <w:r w:rsidR="00B74EDE">
        <w:t> </w:t>
      </w:r>
      <w:r>
        <w:t xml:space="preserve">months were available from SYMPLICITY HTN-3 and </w:t>
      </w:r>
      <w:r w:rsidR="00416A59">
        <w:t>to 36</w:t>
      </w:r>
      <w:r w:rsidR="00B74EDE">
        <w:t> </w:t>
      </w:r>
      <w:r w:rsidR="00416A59">
        <w:t>months</w:t>
      </w:r>
      <w:r w:rsidR="00913817">
        <w:t xml:space="preserve"> from</w:t>
      </w:r>
      <w:r w:rsidR="00416A59">
        <w:t xml:space="preserve"> </w:t>
      </w:r>
      <w:r>
        <w:t>SPYRAL HTN-ON MED; however, i</w:t>
      </w:r>
      <w:r w:rsidRPr="008D1CF5">
        <w:t xml:space="preserve">nterpretation </w:t>
      </w:r>
      <w:r>
        <w:t>is</w:t>
      </w:r>
      <w:r w:rsidRPr="008D1CF5">
        <w:t xml:space="preserve"> limited by crossover after </w:t>
      </w:r>
      <w:r w:rsidR="00B74EDE" w:rsidRPr="008D1CF5">
        <w:t>6</w:t>
      </w:r>
      <w:r w:rsidR="00B74EDE">
        <w:t> </w:t>
      </w:r>
      <w:r w:rsidRPr="008D1CF5">
        <w:t>months and dwindling patient numbers over time</w:t>
      </w:r>
      <w:r>
        <w:t xml:space="preserve">. In SYMPLICITY HTN-3, there were no statistically significant differences in </w:t>
      </w:r>
      <w:r w:rsidR="00A8129C">
        <w:t xml:space="preserve">individual </w:t>
      </w:r>
      <w:r>
        <w:t xml:space="preserve">CV-related events </w:t>
      </w:r>
      <w:r w:rsidR="000719C3">
        <w:t>to 60</w:t>
      </w:r>
      <w:r w:rsidR="00B74EDE">
        <w:t> </w:t>
      </w:r>
      <w:r>
        <w:t>months between patients who received RDN and those who did not (</w:t>
      </w:r>
      <w:r>
        <w:fldChar w:fldCharType="begin"/>
      </w:r>
      <w:r>
        <w:instrText xml:space="preserve"> REF _Ref143988124 \h </w:instrText>
      </w:r>
      <w:r>
        <w:fldChar w:fldCharType="separate"/>
      </w:r>
      <w:r w:rsidR="003D5203" w:rsidRPr="00CE28E3">
        <w:t>Table</w:t>
      </w:r>
      <w:r w:rsidR="003D5203">
        <w:t> </w:t>
      </w:r>
      <w:r w:rsidR="003D5203">
        <w:rPr>
          <w:noProof/>
        </w:rPr>
        <w:t>11</w:t>
      </w:r>
      <w:r>
        <w:fldChar w:fldCharType="end"/>
      </w:r>
      <w:r>
        <w:t xml:space="preserve">). New ESRD only occurred in patients allocated to RDN. </w:t>
      </w:r>
    </w:p>
    <w:p w14:paraId="5616D78E" w14:textId="332AA72A" w:rsidR="009B3E33" w:rsidRDefault="009B3E33" w:rsidP="009B3E33">
      <w:r>
        <w:t xml:space="preserve">In SPYRAL HTN-ON MED, there was one CV death (sham control arm) and one stroke (RDN arm) by 36 months. The </w:t>
      </w:r>
      <w:r w:rsidR="00B70E78">
        <w:t xml:space="preserve">commentary speculates that the </w:t>
      </w:r>
      <w:r>
        <w:t xml:space="preserve">lower overall rate of CV-related events in the </w:t>
      </w:r>
      <w:r w:rsidR="0003228C">
        <w:t>SPYRAL</w:t>
      </w:r>
      <w:r>
        <w:t xml:space="preserve"> trial </w:t>
      </w:r>
      <w:r w:rsidR="00B70E78">
        <w:t>may be</w:t>
      </w:r>
      <w:r>
        <w:t xml:space="preserve"> due to </w:t>
      </w:r>
      <w:r w:rsidR="008E4298">
        <w:t xml:space="preserve">this </w:t>
      </w:r>
      <w:r>
        <w:t>population</w:t>
      </w:r>
      <w:r w:rsidR="008E4298">
        <w:t xml:space="preserve"> having </w:t>
      </w:r>
      <w:r w:rsidR="007A4D10">
        <w:t xml:space="preserve">hypertension of </w:t>
      </w:r>
      <w:r w:rsidR="006F1AFC">
        <w:t xml:space="preserve">lower severity </w:t>
      </w:r>
      <w:r w:rsidR="0044403E">
        <w:t xml:space="preserve">than </w:t>
      </w:r>
      <w:r w:rsidR="00F832E0">
        <w:t xml:space="preserve">the population in the </w:t>
      </w:r>
      <w:r w:rsidR="00081EB6">
        <w:t>SYMPLICITY HTN-3</w:t>
      </w:r>
      <w:r>
        <w:t>.</w:t>
      </w:r>
    </w:p>
    <w:p w14:paraId="455847BD" w14:textId="0BB78AC4" w:rsidR="009B3E33" w:rsidRDefault="009B3E33" w:rsidP="009B3E33">
      <w:pPr>
        <w:pStyle w:val="Caption"/>
      </w:pPr>
      <w:bookmarkStart w:id="28" w:name="_Ref143988124"/>
      <w:r w:rsidRPr="00CE28E3">
        <w:t>Table</w:t>
      </w:r>
      <w:r>
        <w:t> </w:t>
      </w:r>
      <w:r>
        <w:fldChar w:fldCharType="begin"/>
      </w:r>
      <w:r>
        <w:instrText>SEQ Table \* ARABIC</w:instrText>
      </w:r>
      <w:r>
        <w:fldChar w:fldCharType="separate"/>
      </w:r>
      <w:r w:rsidR="003D5203">
        <w:rPr>
          <w:noProof/>
        </w:rPr>
        <w:t>11</w:t>
      </w:r>
      <w:r>
        <w:fldChar w:fldCharType="end"/>
      </w:r>
      <w:bookmarkEnd w:id="28"/>
      <w:r w:rsidRPr="00CE28E3">
        <w:tab/>
      </w:r>
      <w:r w:rsidR="00B03DDE">
        <w:t xml:space="preserve">Longer term cardiovascular </w:t>
      </w:r>
      <w:r w:rsidR="001870CB">
        <w:t>disease</w:t>
      </w:r>
      <w:r>
        <w:t xml:space="preserve"> outcomes reported in SYMPLCITY HTN-3</w:t>
      </w:r>
    </w:p>
    <w:tbl>
      <w:tblPr>
        <w:tblStyle w:val="TableGrid"/>
        <w:tblW w:w="5000" w:type="pct"/>
        <w:tblCellMar>
          <w:left w:w="57" w:type="dxa"/>
          <w:right w:w="57" w:type="dxa"/>
        </w:tblCellMar>
        <w:tblLook w:val="04A0" w:firstRow="1" w:lastRow="0" w:firstColumn="1" w:lastColumn="0" w:noHBand="0" w:noVBand="1"/>
        <w:tblCaption w:val="CVD outcomes reported in SYMPLICITY HTN-3"/>
        <w:tblDescription w:val="Results for CVD outcomes to 36 and 60 months"/>
      </w:tblPr>
      <w:tblGrid>
        <w:gridCol w:w="1697"/>
        <w:gridCol w:w="1843"/>
        <w:gridCol w:w="1700"/>
        <w:gridCol w:w="2126"/>
        <w:gridCol w:w="1650"/>
      </w:tblGrid>
      <w:tr w:rsidR="009B3E33" w14:paraId="7C6D95F3" w14:textId="77777777" w:rsidTr="00E21668">
        <w:trPr>
          <w:tblHeader/>
        </w:trPr>
        <w:tc>
          <w:tcPr>
            <w:tcW w:w="941" w:type="pct"/>
            <w:tcBorders>
              <w:bottom w:val="single" w:sz="4" w:space="0" w:color="auto"/>
            </w:tcBorders>
          </w:tcPr>
          <w:p w14:paraId="66C4FFBD" w14:textId="309F8331" w:rsidR="009B3E33" w:rsidRPr="004D3D47" w:rsidRDefault="009B3E33" w:rsidP="00F71956">
            <w:pPr>
              <w:pStyle w:val="TableHeading0"/>
            </w:pPr>
            <w:r>
              <w:t>CV</w:t>
            </w:r>
            <w:r w:rsidR="00BB3F57">
              <w:t>D</w:t>
            </w:r>
            <w:r>
              <w:t xml:space="preserve">-related event </w:t>
            </w:r>
            <w:r>
              <w:br/>
              <w:t>– n (%)</w:t>
            </w:r>
          </w:p>
        </w:tc>
        <w:tc>
          <w:tcPr>
            <w:tcW w:w="1022" w:type="pct"/>
            <w:tcBorders>
              <w:bottom w:val="single" w:sz="4" w:space="0" w:color="auto"/>
            </w:tcBorders>
          </w:tcPr>
          <w:p w14:paraId="2E93ECF3" w14:textId="31C44034" w:rsidR="009B3E33" w:rsidRPr="004D3D47" w:rsidRDefault="009B3E33" w:rsidP="00F71956">
            <w:pPr>
              <w:pStyle w:val="TableHeading0"/>
              <w:jc w:val="center"/>
            </w:pPr>
            <w:r>
              <w:t>Allocated RDN</w:t>
            </w:r>
            <w:r w:rsidR="00020A57">
              <w:br/>
              <w:t>N=</w:t>
            </w:r>
            <w:r w:rsidR="00811B49">
              <w:t>364</w:t>
            </w:r>
          </w:p>
        </w:tc>
        <w:tc>
          <w:tcPr>
            <w:tcW w:w="943" w:type="pct"/>
            <w:tcBorders>
              <w:bottom w:val="single" w:sz="4" w:space="0" w:color="auto"/>
            </w:tcBorders>
          </w:tcPr>
          <w:p w14:paraId="7BF5E058" w14:textId="3BAF5A31" w:rsidR="009B3E33" w:rsidRPr="004D3D47" w:rsidRDefault="009B3E33" w:rsidP="00F71956">
            <w:pPr>
              <w:pStyle w:val="TableHeading0"/>
              <w:jc w:val="center"/>
            </w:pPr>
            <w:r>
              <w:t>Crossover group</w:t>
            </w:r>
            <w:r w:rsidR="00811B49">
              <w:br/>
              <w:t>N=101</w:t>
            </w:r>
          </w:p>
        </w:tc>
        <w:tc>
          <w:tcPr>
            <w:tcW w:w="1179" w:type="pct"/>
            <w:tcBorders>
              <w:bottom w:val="single" w:sz="4" w:space="0" w:color="auto"/>
            </w:tcBorders>
          </w:tcPr>
          <w:p w14:paraId="22AC8768" w14:textId="3A79ED58" w:rsidR="009B3E33" w:rsidRDefault="009B3E33" w:rsidP="00F71956">
            <w:pPr>
              <w:pStyle w:val="TableHeading0"/>
              <w:jc w:val="center"/>
            </w:pPr>
            <w:r>
              <w:t>Combined RDN</w:t>
            </w:r>
            <w:r>
              <w:br/>
              <w:t>(allocated and crossover)</w:t>
            </w:r>
            <w:r w:rsidR="00811B49">
              <w:br/>
              <w:t>N=465</w:t>
            </w:r>
          </w:p>
        </w:tc>
        <w:tc>
          <w:tcPr>
            <w:tcW w:w="915" w:type="pct"/>
          </w:tcPr>
          <w:p w14:paraId="4FD368F0" w14:textId="3086C2DE" w:rsidR="009B3E33" w:rsidRDefault="009B3E33" w:rsidP="00F71956">
            <w:pPr>
              <w:pStyle w:val="TableHeading0"/>
              <w:jc w:val="center"/>
            </w:pPr>
            <w:r>
              <w:t>Non crossover patients</w:t>
            </w:r>
            <w:r w:rsidR="00811B49">
              <w:br/>
              <w:t>N=70</w:t>
            </w:r>
          </w:p>
        </w:tc>
      </w:tr>
      <w:tr w:rsidR="0003156D" w14:paraId="5F91DA38" w14:textId="77777777" w:rsidTr="00E21668">
        <w:tc>
          <w:tcPr>
            <w:tcW w:w="941" w:type="pct"/>
            <w:tcBorders>
              <w:right w:val="single" w:sz="4" w:space="0" w:color="auto"/>
            </w:tcBorders>
          </w:tcPr>
          <w:p w14:paraId="141537A0" w14:textId="3FDD425B" w:rsidR="0003156D" w:rsidRPr="0003156D" w:rsidRDefault="0003156D" w:rsidP="00E21668">
            <w:pPr>
              <w:pStyle w:val="Tabletext0"/>
              <w:jc w:val="left"/>
              <w:rPr>
                <w:b/>
                <w:bCs/>
              </w:rPr>
            </w:pPr>
            <w:r w:rsidRPr="0003156D">
              <w:rPr>
                <w:b/>
                <w:bCs/>
              </w:rPr>
              <w:t>To 36 months</w:t>
            </w:r>
          </w:p>
        </w:tc>
        <w:tc>
          <w:tcPr>
            <w:tcW w:w="1022" w:type="pct"/>
            <w:tcBorders>
              <w:left w:val="single" w:sz="4" w:space="0" w:color="auto"/>
              <w:right w:val="single" w:sz="4" w:space="0" w:color="auto"/>
            </w:tcBorders>
          </w:tcPr>
          <w:p w14:paraId="0D03A994" w14:textId="5842AE93" w:rsidR="0003156D" w:rsidRPr="0003156D" w:rsidRDefault="007B1DF0">
            <w:pPr>
              <w:pStyle w:val="Tabletext0"/>
              <w:jc w:val="center"/>
              <w:rPr>
                <w:rFonts w:eastAsia="Calibri" w:cstheme="minorBidi"/>
                <w:b/>
                <w:bCs/>
                <w:lang w:eastAsia="en-US"/>
              </w:rPr>
            </w:pPr>
            <w:r>
              <w:rPr>
                <w:b/>
                <w:bCs/>
              </w:rPr>
              <w:t>N=290</w:t>
            </w:r>
          </w:p>
        </w:tc>
        <w:tc>
          <w:tcPr>
            <w:tcW w:w="943" w:type="pct"/>
            <w:tcBorders>
              <w:left w:val="single" w:sz="4" w:space="0" w:color="auto"/>
              <w:right w:val="single" w:sz="4" w:space="0" w:color="auto"/>
            </w:tcBorders>
          </w:tcPr>
          <w:p w14:paraId="608D4BEF" w14:textId="16F1389A" w:rsidR="0003156D" w:rsidRPr="0003156D" w:rsidRDefault="007B1DF0">
            <w:pPr>
              <w:pStyle w:val="Tabletext0"/>
              <w:jc w:val="center"/>
              <w:rPr>
                <w:rFonts w:eastAsia="Calibri" w:cstheme="minorBidi"/>
                <w:b/>
                <w:bCs/>
                <w:lang w:eastAsia="en-US"/>
              </w:rPr>
            </w:pPr>
            <w:r>
              <w:rPr>
                <w:b/>
                <w:bCs/>
              </w:rPr>
              <w:t>N=68</w:t>
            </w:r>
          </w:p>
        </w:tc>
        <w:tc>
          <w:tcPr>
            <w:tcW w:w="1179" w:type="pct"/>
            <w:tcBorders>
              <w:left w:val="single" w:sz="4" w:space="0" w:color="auto"/>
              <w:right w:val="single" w:sz="4" w:space="0" w:color="auto"/>
            </w:tcBorders>
          </w:tcPr>
          <w:p w14:paraId="27A7005E" w14:textId="2E9E716A" w:rsidR="0003156D" w:rsidRPr="0003156D" w:rsidRDefault="007B1DF0">
            <w:pPr>
              <w:pStyle w:val="Tabletext0"/>
              <w:jc w:val="center"/>
              <w:rPr>
                <w:rFonts w:eastAsia="Calibri" w:cstheme="minorBidi"/>
                <w:b/>
                <w:bCs/>
                <w:lang w:eastAsia="en-US"/>
              </w:rPr>
            </w:pPr>
            <w:r>
              <w:rPr>
                <w:b/>
                <w:bCs/>
              </w:rPr>
              <w:t>N=358</w:t>
            </w:r>
          </w:p>
        </w:tc>
        <w:tc>
          <w:tcPr>
            <w:tcW w:w="915" w:type="pct"/>
            <w:tcBorders>
              <w:left w:val="single" w:sz="4" w:space="0" w:color="auto"/>
            </w:tcBorders>
          </w:tcPr>
          <w:p w14:paraId="4CC5E93E" w14:textId="29625299" w:rsidR="0003156D" w:rsidRPr="0003156D" w:rsidRDefault="007B1DF0">
            <w:pPr>
              <w:pStyle w:val="Tabletext0"/>
              <w:jc w:val="center"/>
              <w:rPr>
                <w:rFonts w:eastAsia="Calibri" w:cstheme="minorBidi"/>
                <w:b/>
                <w:bCs/>
                <w:lang w:eastAsia="en-US"/>
              </w:rPr>
            </w:pPr>
            <w:r>
              <w:rPr>
                <w:b/>
                <w:bCs/>
              </w:rPr>
              <w:t>N=46</w:t>
            </w:r>
          </w:p>
        </w:tc>
      </w:tr>
      <w:tr w:rsidR="009B3E33" w14:paraId="43CDBB1E" w14:textId="77777777" w:rsidTr="00E21668">
        <w:tc>
          <w:tcPr>
            <w:tcW w:w="941" w:type="pct"/>
          </w:tcPr>
          <w:p w14:paraId="131E9885" w14:textId="77777777" w:rsidR="009B3E33" w:rsidRDefault="009B3E33" w:rsidP="00E21668">
            <w:pPr>
              <w:pStyle w:val="Tabletext0"/>
              <w:jc w:val="left"/>
            </w:pPr>
            <w:r>
              <w:t>CV death</w:t>
            </w:r>
          </w:p>
        </w:tc>
        <w:tc>
          <w:tcPr>
            <w:tcW w:w="1022" w:type="pct"/>
          </w:tcPr>
          <w:p w14:paraId="17CDE8EE" w14:textId="77777777" w:rsidR="009B3E33" w:rsidRPr="00913818" w:rsidRDefault="009B3E33">
            <w:pPr>
              <w:pStyle w:val="Tabletext0"/>
              <w:jc w:val="center"/>
            </w:pPr>
            <w:r w:rsidRPr="00913818">
              <w:rPr>
                <w:rFonts w:eastAsia="Calibri" w:cstheme="minorBidi"/>
                <w:lang w:eastAsia="en-US"/>
              </w:rPr>
              <w:t>8 (2.76%)</w:t>
            </w:r>
          </w:p>
        </w:tc>
        <w:tc>
          <w:tcPr>
            <w:tcW w:w="943" w:type="pct"/>
          </w:tcPr>
          <w:p w14:paraId="516DB84B" w14:textId="77777777" w:rsidR="009B3E33" w:rsidRPr="00913818" w:rsidRDefault="009B3E33">
            <w:pPr>
              <w:pStyle w:val="Tabletext0"/>
              <w:jc w:val="center"/>
            </w:pPr>
            <w:r w:rsidRPr="00913818">
              <w:rPr>
                <w:rFonts w:eastAsia="Calibri" w:cstheme="minorBidi"/>
                <w:lang w:eastAsia="en-US"/>
              </w:rPr>
              <w:t>4 (5.88%)</w:t>
            </w:r>
          </w:p>
        </w:tc>
        <w:tc>
          <w:tcPr>
            <w:tcW w:w="1179" w:type="pct"/>
          </w:tcPr>
          <w:p w14:paraId="7943FA2C" w14:textId="77777777" w:rsidR="009B3E33" w:rsidRPr="00913818" w:rsidRDefault="009B3E33">
            <w:pPr>
              <w:pStyle w:val="Tabletext0"/>
              <w:jc w:val="center"/>
            </w:pPr>
            <w:r w:rsidRPr="00913818">
              <w:rPr>
                <w:rFonts w:eastAsia="Calibri" w:cstheme="minorBidi"/>
                <w:lang w:eastAsia="en-US"/>
              </w:rPr>
              <w:t>12 (3.35%)</w:t>
            </w:r>
          </w:p>
        </w:tc>
        <w:tc>
          <w:tcPr>
            <w:tcW w:w="915" w:type="pct"/>
          </w:tcPr>
          <w:p w14:paraId="3FE15D86" w14:textId="77777777" w:rsidR="009B3E33" w:rsidRPr="00913818" w:rsidRDefault="009B3E33">
            <w:pPr>
              <w:pStyle w:val="Tabletext0"/>
              <w:jc w:val="center"/>
            </w:pPr>
            <w:r w:rsidRPr="00913818">
              <w:rPr>
                <w:rFonts w:eastAsia="Calibri" w:cstheme="minorBidi"/>
                <w:lang w:eastAsia="en-US"/>
              </w:rPr>
              <w:t>2 (4.35%)</w:t>
            </w:r>
          </w:p>
        </w:tc>
      </w:tr>
      <w:tr w:rsidR="009B3E33" w14:paraId="5805EB84" w14:textId="77777777" w:rsidTr="00E21668">
        <w:tc>
          <w:tcPr>
            <w:tcW w:w="941" w:type="pct"/>
          </w:tcPr>
          <w:p w14:paraId="469034C8" w14:textId="77777777" w:rsidR="009B3E33" w:rsidRDefault="009B3E33" w:rsidP="00E21668">
            <w:pPr>
              <w:pStyle w:val="Tabletext0"/>
              <w:jc w:val="left"/>
            </w:pPr>
            <w:r>
              <w:t>New ESRD</w:t>
            </w:r>
          </w:p>
        </w:tc>
        <w:tc>
          <w:tcPr>
            <w:tcW w:w="1022" w:type="pct"/>
          </w:tcPr>
          <w:p w14:paraId="2545B00E" w14:textId="77777777" w:rsidR="009B3E33" w:rsidRDefault="009B3E33">
            <w:pPr>
              <w:pStyle w:val="Tabletext0"/>
              <w:jc w:val="center"/>
            </w:pPr>
            <w:r w:rsidRPr="00DC345A">
              <w:t>10 (3.45%)</w:t>
            </w:r>
          </w:p>
        </w:tc>
        <w:tc>
          <w:tcPr>
            <w:tcW w:w="943" w:type="pct"/>
          </w:tcPr>
          <w:p w14:paraId="7D7FC2ED" w14:textId="77777777" w:rsidR="009B3E33" w:rsidRDefault="009B3E33">
            <w:pPr>
              <w:pStyle w:val="Tabletext0"/>
              <w:jc w:val="center"/>
            </w:pPr>
            <w:r w:rsidRPr="00DC345A">
              <w:t>0 (0.00%)</w:t>
            </w:r>
          </w:p>
        </w:tc>
        <w:tc>
          <w:tcPr>
            <w:tcW w:w="1179" w:type="pct"/>
          </w:tcPr>
          <w:p w14:paraId="296606FE" w14:textId="77777777" w:rsidR="009B3E33" w:rsidRPr="0097653F" w:rsidRDefault="009B3E33">
            <w:pPr>
              <w:pStyle w:val="Tabletext0"/>
              <w:jc w:val="center"/>
            </w:pPr>
            <w:r w:rsidRPr="00DC345A">
              <w:t>10 (2.79%)</w:t>
            </w:r>
          </w:p>
        </w:tc>
        <w:tc>
          <w:tcPr>
            <w:tcW w:w="915" w:type="pct"/>
          </w:tcPr>
          <w:p w14:paraId="4A2712B8" w14:textId="77777777" w:rsidR="009B3E33" w:rsidRPr="0097653F" w:rsidRDefault="009B3E33">
            <w:pPr>
              <w:pStyle w:val="Tabletext0"/>
              <w:jc w:val="center"/>
            </w:pPr>
            <w:r w:rsidRPr="00DC345A">
              <w:t>0 (0.00%)</w:t>
            </w:r>
          </w:p>
        </w:tc>
      </w:tr>
      <w:tr w:rsidR="009B3E33" w14:paraId="16AD7853" w14:textId="77777777" w:rsidTr="00E21668">
        <w:tc>
          <w:tcPr>
            <w:tcW w:w="941" w:type="pct"/>
          </w:tcPr>
          <w:p w14:paraId="76291C83" w14:textId="77777777" w:rsidR="009B3E33" w:rsidRDefault="009B3E33" w:rsidP="00E21668">
            <w:pPr>
              <w:pStyle w:val="Tabletext0"/>
              <w:jc w:val="left"/>
            </w:pPr>
            <w:r>
              <w:t>New stroke</w:t>
            </w:r>
          </w:p>
        </w:tc>
        <w:tc>
          <w:tcPr>
            <w:tcW w:w="1022" w:type="pct"/>
          </w:tcPr>
          <w:p w14:paraId="2237CD92" w14:textId="77777777" w:rsidR="009B3E33" w:rsidRDefault="009B3E33">
            <w:pPr>
              <w:pStyle w:val="Tabletext0"/>
              <w:jc w:val="center"/>
            </w:pPr>
            <w:r w:rsidRPr="00DC345A">
              <w:t>17 (5.86%)</w:t>
            </w:r>
          </w:p>
        </w:tc>
        <w:tc>
          <w:tcPr>
            <w:tcW w:w="943" w:type="pct"/>
          </w:tcPr>
          <w:p w14:paraId="51D616CE" w14:textId="77777777" w:rsidR="009B3E33" w:rsidRDefault="009B3E33">
            <w:pPr>
              <w:pStyle w:val="Tabletext0"/>
              <w:jc w:val="center"/>
            </w:pPr>
            <w:r w:rsidRPr="00DC345A">
              <w:t>7 (10.29%)</w:t>
            </w:r>
          </w:p>
        </w:tc>
        <w:tc>
          <w:tcPr>
            <w:tcW w:w="1179" w:type="pct"/>
          </w:tcPr>
          <w:p w14:paraId="1D35C297" w14:textId="77777777" w:rsidR="009B3E33" w:rsidRPr="0097653F" w:rsidRDefault="009B3E33">
            <w:pPr>
              <w:pStyle w:val="Tabletext0"/>
              <w:jc w:val="center"/>
            </w:pPr>
            <w:r w:rsidRPr="00DC345A">
              <w:t>24 (6.70%)</w:t>
            </w:r>
          </w:p>
        </w:tc>
        <w:tc>
          <w:tcPr>
            <w:tcW w:w="915" w:type="pct"/>
          </w:tcPr>
          <w:p w14:paraId="3276E7F5" w14:textId="77777777" w:rsidR="009B3E33" w:rsidRPr="0097653F" w:rsidRDefault="009B3E33">
            <w:pPr>
              <w:pStyle w:val="Tabletext0"/>
              <w:jc w:val="center"/>
            </w:pPr>
            <w:r w:rsidRPr="00DC345A">
              <w:t>4 (8.70%)</w:t>
            </w:r>
          </w:p>
        </w:tc>
      </w:tr>
      <w:tr w:rsidR="009B3E33" w14:paraId="35CC5915" w14:textId="77777777" w:rsidTr="00E21668">
        <w:tc>
          <w:tcPr>
            <w:tcW w:w="941" w:type="pct"/>
            <w:tcBorders>
              <w:bottom w:val="single" w:sz="4" w:space="0" w:color="auto"/>
            </w:tcBorders>
          </w:tcPr>
          <w:p w14:paraId="17EDC539" w14:textId="77777777" w:rsidR="009B3E33" w:rsidRDefault="009B3E33" w:rsidP="00E21668">
            <w:pPr>
              <w:pStyle w:val="Tabletext0"/>
              <w:jc w:val="left"/>
            </w:pPr>
            <w:r>
              <w:t>New MI</w:t>
            </w:r>
          </w:p>
        </w:tc>
        <w:tc>
          <w:tcPr>
            <w:tcW w:w="1022" w:type="pct"/>
            <w:tcBorders>
              <w:bottom w:val="single" w:sz="4" w:space="0" w:color="auto"/>
            </w:tcBorders>
          </w:tcPr>
          <w:p w14:paraId="17B3D09C" w14:textId="77777777" w:rsidR="009B3E33" w:rsidRDefault="009B3E33">
            <w:pPr>
              <w:pStyle w:val="Tabletext0"/>
              <w:jc w:val="center"/>
            </w:pPr>
            <w:r w:rsidRPr="00DC345A">
              <w:t>17 (5.86%)</w:t>
            </w:r>
          </w:p>
        </w:tc>
        <w:tc>
          <w:tcPr>
            <w:tcW w:w="943" w:type="pct"/>
            <w:tcBorders>
              <w:bottom w:val="single" w:sz="4" w:space="0" w:color="auto"/>
            </w:tcBorders>
          </w:tcPr>
          <w:p w14:paraId="6856AD49" w14:textId="77777777" w:rsidR="009B3E33" w:rsidRDefault="009B3E33">
            <w:pPr>
              <w:pStyle w:val="Tabletext0"/>
              <w:jc w:val="center"/>
            </w:pPr>
            <w:r w:rsidRPr="00DC345A">
              <w:t>4 (5.88%)</w:t>
            </w:r>
          </w:p>
        </w:tc>
        <w:tc>
          <w:tcPr>
            <w:tcW w:w="1179" w:type="pct"/>
            <w:tcBorders>
              <w:bottom w:val="single" w:sz="4" w:space="0" w:color="auto"/>
            </w:tcBorders>
          </w:tcPr>
          <w:p w14:paraId="6042C7B2" w14:textId="77777777" w:rsidR="009B3E33" w:rsidRPr="0097653F" w:rsidRDefault="009B3E33">
            <w:pPr>
              <w:pStyle w:val="Tabletext0"/>
              <w:jc w:val="center"/>
            </w:pPr>
            <w:r w:rsidRPr="00DC345A">
              <w:t>21 (5.87%)</w:t>
            </w:r>
          </w:p>
        </w:tc>
        <w:tc>
          <w:tcPr>
            <w:tcW w:w="915" w:type="pct"/>
          </w:tcPr>
          <w:p w14:paraId="7CF3F35E" w14:textId="77777777" w:rsidR="009B3E33" w:rsidRPr="0097653F" w:rsidRDefault="009B3E33">
            <w:pPr>
              <w:pStyle w:val="Tabletext0"/>
              <w:jc w:val="center"/>
            </w:pPr>
            <w:r w:rsidRPr="00DC345A">
              <w:t>2 (4.35%)</w:t>
            </w:r>
          </w:p>
        </w:tc>
      </w:tr>
      <w:tr w:rsidR="00E21668" w14:paraId="51C89BE9" w14:textId="77777777" w:rsidTr="00E21668">
        <w:tc>
          <w:tcPr>
            <w:tcW w:w="941" w:type="pct"/>
            <w:tcBorders>
              <w:bottom w:val="single" w:sz="4" w:space="0" w:color="auto"/>
            </w:tcBorders>
          </w:tcPr>
          <w:p w14:paraId="27CB05D4" w14:textId="44E1937D" w:rsidR="00E21668" w:rsidRDefault="00E21668" w:rsidP="00E21668">
            <w:pPr>
              <w:pStyle w:val="Tabletext0"/>
              <w:jc w:val="left"/>
            </w:pPr>
            <w:r w:rsidRPr="00774861">
              <w:t xml:space="preserve">Hospitalisation for </w:t>
            </w:r>
            <w:r>
              <w:t>HF</w:t>
            </w:r>
          </w:p>
        </w:tc>
        <w:tc>
          <w:tcPr>
            <w:tcW w:w="1022" w:type="pct"/>
            <w:tcBorders>
              <w:bottom w:val="single" w:sz="4" w:space="0" w:color="auto"/>
            </w:tcBorders>
          </w:tcPr>
          <w:p w14:paraId="32AB4CDD" w14:textId="1F22A67C" w:rsidR="00E21668" w:rsidRPr="00DC345A" w:rsidRDefault="00E21668" w:rsidP="00E21668">
            <w:pPr>
              <w:pStyle w:val="Tabletext0"/>
              <w:jc w:val="center"/>
            </w:pPr>
            <w:r w:rsidRPr="00774861">
              <w:t>39 (13.4%)</w:t>
            </w:r>
          </w:p>
        </w:tc>
        <w:tc>
          <w:tcPr>
            <w:tcW w:w="943" w:type="pct"/>
            <w:tcBorders>
              <w:bottom w:val="single" w:sz="4" w:space="0" w:color="auto"/>
            </w:tcBorders>
          </w:tcPr>
          <w:p w14:paraId="70B0929F" w14:textId="0F59B818" w:rsidR="00E21668" w:rsidRPr="00DC345A" w:rsidRDefault="00E21668" w:rsidP="00E21668">
            <w:pPr>
              <w:pStyle w:val="Tabletext0"/>
              <w:jc w:val="center"/>
            </w:pPr>
            <w:r w:rsidRPr="00774861">
              <w:t>3 (4.4%)</w:t>
            </w:r>
          </w:p>
        </w:tc>
        <w:tc>
          <w:tcPr>
            <w:tcW w:w="1179" w:type="pct"/>
            <w:tcBorders>
              <w:bottom w:val="single" w:sz="4" w:space="0" w:color="auto"/>
            </w:tcBorders>
          </w:tcPr>
          <w:p w14:paraId="40F5E3E2" w14:textId="7FF82A69" w:rsidR="00E21668" w:rsidRPr="00DC345A" w:rsidRDefault="00E21668" w:rsidP="00E21668">
            <w:pPr>
              <w:pStyle w:val="Tabletext0"/>
              <w:jc w:val="center"/>
            </w:pPr>
            <w:r w:rsidRPr="00774861">
              <w:t>42 (11.7%)</w:t>
            </w:r>
          </w:p>
        </w:tc>
        <w:tc>
          <w:tcPr>
            <w:tcW w:w="915" w:type="pct"/>
          </w:tcPr>
          <w:p w14:paraId="34343456" w14:textId="6E7FF919" w:rsidR="00E21668" w:rsidRPr="00DC345A" w:rsidRDefault="00E21668" w:rsidP="00E21668">
            <w:pPr>
              <w:pStyle w:val="Tabletext0"/>
              <w:jc w:val="center"/>
            </w:pPr>
            <w:r w:rsidRPr="00774861">
              <w:t>6 (13.0%)</w:t>
            </w:r>
          </w:p>
        </w:tc>
      </w:tr>
      <w:tr w:rsidR="00E21668" w14:paraId="6A9D08B6" w14:textId="77777777" w:rsidTr="00E21668">
        <w:tc>
          <w:tcPr>
            <w:tcW w:w="941" w:type="pct"/>
            <w:tcBorders>
              <w:bottom w:val="single" w:sz="4" w:space="0" w:color="auto"/>
            </w:tcBorders>
          </w:tcPr>
          <w:p w14:paraId="18121D3A" w14:textId="644B483A" w:rsidR="00E21668" w:rsidRDefault="00E21668" w:rsidP="00E21668">
            <w:pPr>
              <w:pStyle w:val="Tabletext0"/>
              <w:jc w:val="left"/>
            </w:pPr>
            <w:r w:rsidRPr="00774861">
              <w:t xml:space="preserve">Hospitalisation for </w:t>
            </w:r>
            <w:r>
              <w:t>AF</w:t>
            </w:r>
          </w:p>
        </w:tc>
        <w:tc>
          <w:tcPr>
            <w:tcW w:w="1022" w:type="pct"/>
            <w:tcBorders>
              <w:bottom w:val="single" w:sz="4" w:space="0" w:color="auto"/>
            </w:tcBorders>
          </w:tcPr>
          <w:p w14:paraId="09F7FCE9" w14:textId="7143E159" w:rsidR="00E21668" w:rsidRPr="00DC345A" w:rsidRDefault="00E21668" w:rsidP="00E21668">
            <w:pPr>
              <w:pStyle w:val="Tabletext0"/>
              <w:jc w:val="center"/>
            </w:pPr>
            <w:r w:rsidRPr="00774861">
              <w:t>14 (4.8%)</w:t>
            </w:r>
          </w:p>
        </w:tc>
        <w:tc>
          <w:tcPr>
            <w:tcW w:w="943" w:type="pct"/>
            <w:tcBorders>
              <w:bottom w:val="single" w:sz="4" w:space="0" w:color="auto"/>
            </w:tcBorders>
          </w:tcPr>
          <w:p w14:paraId="09AE2B06" w14:textId="542916E8" w:rsidR="00E21668" w:rsidRPr="00DC345A" w:rsidRDefault="00E21668" w:rsidP="00E21668">
            <w:pPr>
              <w:pStyle w:val="Tabletext0"/>
              <w:jc w:val="center"/>
            </w:pPr>
            <w:r w:rsidRPr="00774861">
              <w:t>3 (4.4%)</w:t>
            </w:r>
          </w:p>
        </w:tc>
        <w:tc>
          <w:tcPr>
            <w:tcW w:w="1179" w:type="pct"/>
            <w:tcBorders>
              <w:bottom w:val="single" w:sz="4" w:space="0" w:color="auto"/>
            </w:tcBorders>
          </w:tcPr>
          <w:p w14:paraId="79B53761" w14:textId="47609A9F" w:rsidR="00E21668" w:rsidRPr="00DC345A" w:rsidRDefault="00E21668" w:rsidP="00E21668">
            <w:pPr>
              <w:pStyle w:val="Tabletext0"/>
              <w:jc w:val="center"/>
            </w:pPr>
            <w:r w:rsidRPr="00774861">
              <w:t>17 (4.7%)</w:t>
            </w:r>
          </w:p>
        </w:tc>
        <w:tc>
          <w:tcPr>
            <w:tcW w:w="915" w:type="pct"/>
          </w:tcPr>
          <w:p w14:paraId="381A78E7" w14:textId="6018A585" w:rsidR="00E21668" w:rsidRPr="00DC345A" w:rsidRDefault="00E21668" w:rsidP="00E21668">
            <w:pPr>
              <w:pStyle w:val="Tabletext0"/>
              <w:jc w:val="center"/>
            </w:pPr>
            <w:r w:rsidRPr="00774861">
              <w:t>2 (4.3%)</w:t>
            </w:r>
          </w:p>
        </w:tc>
      </w:tr>
      <w:tr w:rsidR="000F732E" w14:paraId="223408B2" w14:textId="77777777" w:rsidTr="00E21668">
        <w:tc>
          <w:tcPr>
            <w:tcW w:w="941" w:type="pct"/>
            <w:tcBorders>
              <w:right w:val="single" w:sz="4" w:space="0" w:color="auto"/>
            </w:tcBorders>
          </w:tcPr>
          <w:p w14:paraId="35F08D6C" w14:textId="77777777" w:rsidR="000F732E" w:rsidRPr="0003156D" w:rsidRDefault="000F732E" w:rsidP="00E21668">
            <w:pPr>
              <w:pStyle w:val="Tabletext0"/>
              <w:jc w:val="left"/>
              <w:rPr>
                <w:b/>
                <w:bCs/>
              </w:rPr>
            </w:pPr>
            <w:r>
              <w:rPr>
                <w:b/>
                <w:bCs/>
              </w:rPr>
              <w:t>To 60 months</w:t>
            </w:r>
          </w:p>
        </w:tc>
        <w:tc>
          <w:tcPr>
            <w:tcW w:w="1022" w:type="pct"/>
            <w:tcBorders>
              <w:left w:val="single" w:sz="4" w:space="0" w:color="auto"/>
              <w:right w:val="single" w:sz="4" w:space="0" w:color="auto"/>
            </w:tcBorders>
          </w:tcPr>
          <w:p w14:paraId="686E2BD1" w14:textId="225568D4" w:rsidR="000F732E" w:rsidRPr="0003156D" w:rsidRDefault="0036540E">
            <w:pPr>
              <w:pStyle w:val="Tabletext0"/>
              <w:jc w:val="center"/>
              <w:rPr>
                <w:rFonts w:eastAsia="Calibri" w:cstheme="minorBidi"/>
                <w:b/>
                <w:bCs/>
                <w:lang w:eastAsia="en-US"/>
              </w:rPr>
            </w:pPr>
            <w:r>
              <w:rPr>
                <w:rFonts w:eastAsia="Calibri" w:cstheme="minorBidi"/>
                <w:b/>
                <w:bCs/>
                <w:lang w:eastAsia="en-US"/>
              </w:rPr>
              <w:t>N=154</w:t>
            </w:r>
          </w:p>
        </w:tc>
        <w:tc>
          <w:tcPr>
            <w:tcW w:w="943" w:type="pct"/>
            <w:tcBorders>
              <w:left w:val="single" w:sz="4" w:space="0" w:color="auto"/>
              <w:right w:val="single" w:sz="4" w:space="0" w:color="auto"/>
            </w:tcBorders>
          </w:tcPr>
          <w:p w14:paraId="6593EAFB" w14:textId="0BAD7163" w:rsidR="000F732E" w:rsidRPr="0003156D" w:rsidRDefault="0036540E">
            <w:pPr>
              <w:pStyle w:val="Tabletext0"/>
              <w:jc w:val="center"/>
              <w:rPr>
                <w:rFonts w:eastAsia="Calibri" w:cstheme="minorBidi"/>
                <w:b/>
                <w:bCs/>
                <w:lang w:eastAsia="en-US"/>
              </w:rPr>
            </w:pPr>
            <w:r>
              <w:rPr>
                <w:rFonts w:eastAsia="Calibri" w:cstheme="minorBidi"/>
                <w:b/>
                <w:bCs/>
                <w:lang w:eastAsia="en-US"/>
              </w:rPr>
              <w:t>NR</w:t>
            </w:r>
          </w:p>
        </w:tc>
        <w:tc>
          <w:tcPr>
            <w:tcW w:w="1179" w:type="pct"/>
            <w:tcBorders>
              <w:left w:val="single" w:sz="4" w:space="0" w:color="auto"/>
              <w:right w:val="single" w:sz="4" w:space="0" w:color="auto"/>
            </w:tcBorders>
          </w:tcPr>
          <w:p w14:paraId="76AA9B43" w14:textId="31B487B5" w:rsidR="000F732E" w:rsidRPr="0003156D" w:rsidRDefault="0036540E">
            <w:pPr>
              <w:pStyle w:val="Tabletext0"/>
              <w:jc w:val="center"/>
              <w:rPr>
                <w:rFonts w:eastAsia="Calibri" w:cstheme="minorBidi"/>
                <w:b/>
                <w:bCs/>
                <w:lang w:eastAsia="en-US"/>
              </w:rPr>
            </w:pPr>
            <w:r>
              <w:rPr>
                <w:rFonts w:eastAsia="Calibri" w:cstheme="minorBidi"/>
                <w:b/>
                <w:bCs/>
                <w:lang w:eastAsia="en-US"/>
              </w:rPr>
              <w:t>NR</w:t>
            </w:r>
          </w:p>
        </w:tc>
        <w:tc>
          <w:tcPr>
            <w:tcW w:w="915" w:type="pct"/>
            <w:tcBorders>
              <w:left w:val="single" w:sz="4" w:space="0" w:color="auto"/>
            </w:tcBorders>
          </w:tcPr>
          <w:p w14:paraId="0A1351C1" w14:textId="1C1F1CB5" w:rsidR="000F732E" w:rsidRPr="0003156D" w:rsidRDefault="0036540E">
            <w:pPr>
              <w:pStyle w:val="Tabletext0"/>
              <w:jc w:val="center"/>
              <w:rPr>
                <w:rFonts w:eastAsia="Calibri" w:cstheme="minorBidi"/>
                <w:b/>
                <w:bCs/>
                <w:lang w:eastAsia="en-US"/>
              </w:rPr>
            </w:pPr>
            <w:r>
              <w:rPr>
                <w:rFonts w:eastAsia="Calibri" w:cstheme="minorBidi"/>
                <w:b/>
                <w:bCs/>
                <w:lang w:eastAsia="en-US"/>
              </w:rPr>
              <w:t>N=27</w:t>
            </w:r>
          </w:p>
        </w:tc>
      </w:tr>
      <w:tr w:rsidR="000F732E" w14:paraId="7333D7DF" w14:textId="77777777" w:rsidTr="00E21668">
        <w:tc>
          <w:tcPr>
            <w:tcW w:w="941" w:type="pct"/>
          </w:tcPr>
          <w:p w14:paraId="6AFC3EE2" w14:textId="2C6B7F7E" w:rsidR="000F732E" w:rsidRDefault="000F732E" w:rsidP="00E21668">
            <w:pPr>
              <w:pStyle w:val="Tabletext0"/>
              <w:jc w:val="left"/>
            </w:pPr>
            <w:r>
              <w:t>CV death</w:t>
            </w:r>
          </w:p>
        </w:tc>
        <w:tc>
          <w:tcPr>
            <w:tcW w:w="1022" w:type="pct"/>
          </w:tcPr>
          <w:p w14:paraId="6A055A69" w14:textId="4E32B7BA" w:rsidR="000F732E" w:rsidRPr="00DC345A" w:rsidRDefault="0036540E" w:rsidP="000F732E">
            <w:pPr>
              <w:pStyle w:val="Tabletext0"/>
              <w:jc w:val="center"/>
            </w:pPr>
            <w:r>
              <w:t>12 (7.79%)</w:t>
            </w:r>
          </w:p>
        </w:tc>
        <w:tc>
          <w:tcPr>
            <w:tcW w:w="943" w:type="pct"/>
          </w:tcPr>
          <w:p w14:paraId="6A6A6727" w14:textId="5726FB77" w:rsidR="000F732E" w:rsidRPr="00DC345A" w:rsidRDefault="008E5CA9" w:rsidP="000F732E">
            <w:pPr>
              <w:pStyle w:val="Tabletext0"/>
              <w:jc w:val="center"/>
            </w:pPr>
            <w:r>
              <w:t>NR</w:t>
            </w:r>
          </w:p>
        </w:tc>
        <w:tc>
          <w:tcPr>
            <w:tcW w:w="1179" w:type="pct"/>
          </w:tcPr>
          <w:p w14:paraId="0F042A6C" w14:textId="102A246C" w:rsidR="000F732E" w:rsidRPr="00DC345A" w:rsidRDefault="008E5CA9" w:rsidP="000F732E">
            <w:pPr>
              <w:pStyle w:val="Tabletext0"/>
              <w:jc w:val="center"/>
            </w:pPr>
            <w:r>
              <w:t>NR</w:t>
            </w:r>
          </w:p>
        </w:tc>
        <w:tc>
          <w:tcPr>
            <w:tcW w:w="915" w:type="pct"/>
          </w:tcPr>
          <w:p w14:paraId="2DDC3040" w14:textId="032ADCC6" w:rsidR="000F732E" w:rsidRPr="00DC345A" w:rsidRDefault="0036540E" w:rsidP="000F732E">
            <w:pPr>
              <w:pStyle w:val="Tabletext0"/>
              <w:jc w:val="center"/>
            </w:pPr>
            <w:r>
              <w:t>3 (11.11%)</w:t>
            </w:r>
          </w:p>
        </w:tc>
      </w:tr>
      <w:tr w:rsidR="008E5CA9" w14:paraId="17EF0BA6" w14:textId="77777777" w:rsidTr="00E21668">
        <w:tc>
          <w:tcPr>
            <w:tcW w:w="941" w:type="pct"/>
          </w:tcPr>
          <w:p w14:paraId="26ED70F0" w14:textId="3306D1A7" w:rsidR="008E5CA9" w:rsidRDefault="008E5CA9" w:rsidP="00E21668">
            <w:pPr>
              <w:pStyle w:val="Tabletext0"/>
              <w:jc w:val="left"/>
            </w:pPr>
            <w:r>
              <w:t>New ESRD</w:t>
            </w:r>
          </w:p>
        </w:tc>
        <w:tc>
          <w:tcPr>
            <w:tcW w:w="1022" w:type="pct"/>
          </w:tcPr>
          <w:p w14:paraId="7E126274" w14:textId="1DCD9256" w:rsidR="008E5CA9" w:rsidRPr="00DC345A" w:rsidRDefault="008E5CA9" w:rsidP="008E5CA9">
            <w:pPr>
              <w:pStyle w:val="Tabletext0"/>
              <w:jc w:val="center"/>
            </w:pPr>
            <w:r>
              <w:t>11 (7.14%)</w:t>
            </w:r>
          </w:p>
        </w:tc>
        <w:tc>
          <w:tcPr>
            <w:tcW w:w="943" w:type="pct"/>
          </w:tcPr>
          <w:p w14:paraId="2257EFFB" w14:textId="0737C147" w:rsidR="008E5CA9" w:rsidRPr="00DC345A" w:rsidRDefault="008E5CA9" w:rsidP="008E5CA9">
            <w:pPr>
              <w:pStyle w:val="Tabletext0"/>
              <w:jc w:val="center"/>
            </w:pPr>
            <w:r>
              <w:t>NR</w:t>
            </w:r>
          </w:p>
        </w:tc>
        <w:tc>
          <w:tcPr>
            <w:tcW w:w="1179" w:type="pct"/>
          </w:tcPr>
          <w:p w14:paraId="229E4322" w14:textId="00FE6536" w:rsidR="008E5CA9" w:rsidRPr="00DC345A" w:rsidRDefault="008E5CA9" w:rsidP="008E5CA9">
            <w:pPr>
              <w:pStyle w:val="Tabletext0"/>
              <w:jc w:val="center"/>
            </w:pPr>
            <w:r>
              <w:t>NR</w:t>
            </w:r>
          </w:p>
        </w:tc>
        <w:tc>
          <w:tcPr>
            <w:tcW w:w="915" w:type="pct"/>
          </w:tcPr>
          <w:p w14:paraId="2C8225C0" w14:textId="17248659" w:rsidR="008E5CA9" w:rsidRPr="00DC345A" w:rsidRDefault="008E5CA9" w:rsidP="008E5CA9">
            <w:pPr>
              <w:pStyle w:val="Tabletext0"/>
              <w:jc w:val="center"/>
            </w:pPr>
            <w:r>
              <w:t>0 (0%)</w:t>
            </w:r>
          </w:p>
        </w:tc>
      </w:tr>
      <w:tr w:rsidR="008E5CA9" w14:paraId="76C2ACAA" w14:textId="77777777" w:rsidTr="00E21668">
        <w:tc>
          <w:tcPr>
            <w:tcW w:w="941" w:type="pct"/>
          </w:tcPr>
          <w:p w14:paraId="489E8B10" w14:textId="27A5B515" w:rsidR="008E5CA9" w:rsidRDefault="008E5CA9" w:rsidP="00E21668">
            <w:pPr>
              <w:pStyle w:val="Tabletext0"/>
              <w:jc w:val="left"/>
            </w:pPr>
            <w:r>
              <w:t>New stroke</w:t>
            </w:r>
          </w:p>
        </w:tc>
        <w:tc>
          <w:tcPr>
            <w:tcW w:w="1022" w:type="pct"/>
          </w:tcPr>
          <w:p w14:paraId="0549C1A7" w14:textId="751BBE8D" w:rsidR="008E5CA9" w:rsidRPr="00DC345A" w:rsidRDefault="008E5CA9" w:rsidP="008E5CA9">
            <w:pPr>
              <w:pStyle w:val="Tabletext0"/>
              <w:jc w:val="center"/>
            </w:pPr>
            <w:r>
              <w:t>22 (14.29%)</w:t>
            </w:r>
          </w:p>
        </w:tc>
        <w:tc>
          <w:tcPr>
            <w:tcW w:w="943" w:type="pct"/>
          </w:tcPr>
          <w:p w14:paraId="7996D92A" w14:textId="3A7D86BC" w:rsidR="008E5CA9" w:rsidRPr="00DC345A" w:rsidRDefault="008E5CA9" w:rsidP="008E5CA9">
            <w:pPr>
              <w:pStyle w:val="Tabletext0"/>
              <w:jc w:val="center"/>
            </w:pPr>
            <w:r>
              <w:t>NR</w:t>
            </w:r>
          </w:p>
        </w:tc>
        <w:tc>
          <w:tcPr>
            <w:tcW w:w="1179" w:type="pct"/>
          </w:tcPr>
          <w:p w14:paraId="2B1614A0" w14:textId="7CA6A406" w:rsidR="008E5CA9" w:rsidRPr="00DC345A" w:rsidRDefault="008E5CA9" w:rsidP="008E5CA9">
            <w:pPr>
              <w:pStyle w:val="Tabletext0"/>
              <w:jc w:val="center"/>
            </w:pPr>
            <w:r>
              <w:t>NR</w:t>
            </w:r>
          </w:p>
        </w:tc>
        <w:tc>
          <w:tcPr>
            <w:tcW w:w="915" w:type="pct"/>
          </w:tcPr>
          <w:p w14:paraId="0921F50D" w14:textId="38E86895" w:rsidR="008E5CA9" w:rsidRPr="00DC345A" w:rsidRDefault="008E5CA9" w:rsidP="008E5CA9">
            <w:pPr>
              <w:pStyle w:val="Tabletext0"/>
              <w:jc w:val="center"/>
            </w:pPr>
            <w:r>
              <w:t>4 (14.81%)</w:t>
            </w:r>
          </w:p>
        </w:tc>
      </w:tr>
      <w:tr w:rsidR="008E5CA9" w14:paraId="6A4642A7" w14:textId="77777777" w:rsidTr="00E21668">
        <w:tc>
          <w:tcPr>
            <w:tcW w:w="941" w:type="pct"/>
          </w:tcPr>
          <w:p w14:paraId="2566F7C3" w14:textId="1B20B010" w:rsidR="008E5CA9" w:rsidRDefault="008E5CA9" w:rsidP="00E21668">
            <w:pPr>
              <w:pStyle w:val="Tabletext0"/>
              <w:jc w:val="left"/>
            </w:pPr>
            <w:r>
              <w:t>New MI</w:t>
            </w:r>
          </w:p>
        </w:tc>
        <w:tc>
          <w:tcPr>
            <w:tcW w:w="1022" w:type="pct"/>
          </w:tcPr>
          <w:p w14:paraId="7A3BAD02" w14:textId="0D38A945" w:rsidR="008E5CA9" w:rsidRPr="00DC345A" w:rsidRDefault="008E5CA9" w:rsidP="008E5CA9">
            <w:pPr>
              <w:pStyle w:val="Tabletext0"/>
              <w:jc w:val="center"/>
            </w:pPr>
            <w:r>
              <w:t>19 (12.34%)</w:t>
            </w:r>
          </w:p>
        </w:tc>
        <w:tc>
          <w:tcPr>
            <w:tcW w:w="943" w:type="pct"/>
          </w:tcPr>
          <w:p w14:paraId="5E691644" w14:textId="1FEF7BA8" w:rsidR="008E5CA9" w:rsidRPr="00DC345A" w:rsidRDefault="008E5CA9" w:rsidP="008E5CA9">
            <w:pPr>
              <w:pStyle w:val="Tabletext0"/>
              <w:jc w:val="center"/>
            </w:pPr>
            <w:r>
              <w:t>NR</w:t>
            </w:r>
          </w:p>
        </w:tc>
        <w:tc>
          <w:tcPr>
            <w:tcW w:w="1179" w:type="pct"/>
          </w:tcPr>
          <w:p w14:paraId="00882851" w14:textId="4167B113" w:rsidR="008E5CA9" w:rsidRPr="00DC345A" w:rsidRDefault="008E5CA9" w:rsidP="008E5CA9">
            <w:pPr>
              <w:pStyle w:val="Tabletext0"/>
              <w:jc w:val="center"/>
            </w:pPr>
            <w:r>
              <w:t>NR</w:t>
            </w:r>
          </w:p>
        </w:tc>
        <w:tc>
          <w:tcPr>
            <w:tcW w:w="915" w:type="pct"/>
          </w:tcPr>
          <w:p w14:paraId="027F5756" w14:textId="7BBBDB5E" w:rsidR="008E5CA9" w:rsidRPr="00DC345A" w:rsidRDefault="008E5CA9" w:rsidP="008E5CA9">
            <w:pPr>
              <w:pStyle w:val="Tabletext0"/>
              <w:jc w:val="center"/>
            </w:pPr>
            <w:r>
              <w:t>2 (7.41%)</w:t>
            </w:r>
          </w:p>
        </w:tc>
      </w:tr>
      <w:tr w:rsidR="008240EB" w14:paraId="36C14976" w14:textId="77777777" w:rsidTr="00E21668">
        <w:tc>
          <w:tcPr>
            <w:tcW w:w="941" w:type="pct"/>
          </w:tcPr>
          <w:p w14:paraId="09AFEE94" w14:textId="32D76B2F" w:rsidR="008240EB" w:rsidRDefault="008240EB" w:rsidP="00E21668">
            <w:pPr>
              <w:pStyle w:val="Tabletext0"/>
              <w:jc w:val="left"/>
            </w:pPr>
            <w:r w:rsidRPr="00645BBF">
              <w:t xml:space="preserve">Hospitalisation for </w:t>
            </w:r>
            <w:r w:rsidR="00E21668">
              <w:t>HF</w:t>
            </w:r>
          </w:p>
        </w:tc>
        <w:tc>
          <w:tcPr>
            <w:tcW w:w="1022" w:type="pct"/>
          </w:tcPr>
          <w:p w14:paraId="3D605572" w14:textId="347524C5" w:rsidR="008240EB" w:rsidRDefault="008240EB" w:rsidP="008240EB">
            <w:pPr>
              <w:pStyle w:val="Tabletext0"/>
              <w:jc w:val="center"/>
            </w:pPr>
            <w:r w:rsidRPr="00645BBF">
              <w:t>42 (27.3%)</w:t>
            </w:r>
          </w:p>
        </w:tc>
        <w:tc>
          <w:tcPr>
            <w:tcW w:w="943" w:type="pct"/>
          </w:tcPr>
          <w:p w14:paraId="33BABA4D" w14:textId="0D105FED" w:rsidR="008240EB" w:rsidRDefault="008240EB" w:rsidP="008240EB">
            <w:pPr>
              <w:pStyle w:val="Tabletext0"/>
              <w:jc w:val="center"/>
            </w:pPr>
            <w:r w:rsidRPr="00645BBF">
              <w:t>NR</w:t>
            </w:r>
          </w:p>
        </w:tc>
        <w:tc>
          <w:tcPr>
            <w:tcW w:w="1179" w:type="pct"/>
          </w:tcPr>
          <w:p w14:paraId="1D89E52E" w14:textId="483CD014" w:rsidR="008240EB" w:rsidRDefault="008240EB" w:rsidP="008240EB">
            <w:pPr>
              <w:pStyle w:val="Tabletext0"/>
              <w:jc w:val="center"/>
            </w:pPr>
            <w:r w:rsidRPr="00645BBF">
              <w:t>NR</w:t>
            </w:r>
          </w:p>
        </w:tc>
        <w:tc>
          <w:tcPr>
            <w:tcW w:w="915" w:type="pct"/>
          </w:tcPr>
          <w:p w14:paraId="4E29DAF2" w14:textId="600765F5" w:rsidR="008240EB" w:rsidRDefault="008240EB" w:rsidP="008240EB">
            <w:pPr>
              <w:pStyle w:val="Tabletext0"/>
              <w:jc w:val="center"/>
            </w:pPr>
            <w:r w:rsidRPr="00645BBF">
              <w:t>7 (25.9%)</w:t>
            </w:r>
          </w:p>
        </w:tc>
      </w:tr>
      <w:tr w:rsidR="008240EB" w14:paraId="6DF6951E" w14:textId="77777777" w:rsidTr="00E21668">
        <w:tc>
          <w:tcPr>
            <w:tcW w:w="941" w:type="pct"/>
          </w:tcPr>
          <w:p w14:paraId="302BFBA6" w14:textId="778A23CD" w:rsidR="008240EB" w:rsidRDefault="008240EB" w:rsidP="00E21668">
            <w:pPr>
              <w:pStyle w:val="Tabletext0"/>
              <w:jc w:val="left"/>
            </w:pPr>
            <w:r w:rsidRPr="00645BBF">
              <w:t xml:space="preserve">Hospitalisation for </w:t>
            </w:r>
            <w:r w:rsidR="00E21668">
              <w:t>AF</w:t>
            </w:r>
          </w:p>
        </w:tc>
        <w:tc>
          <w:tcPr>
            <w:tcW w:w="1022" w:type="pct"/>
          </w:tcPr>
          <w:p w14:paraId="2261E998" w14:textId="0ED6A2AB" w:rsidR="008240EB" w:rsidRDefault="008240EB" w:rsidP="008240EB">
            <w:pPr>
              <w:pStyle w:val="Tabletext0"/>
              <w:jc w:val="center"/>
            </w:pPr>
            <w:r w:rsidRPr="00645BBF">
              <w:t>15 (9.7%)</w:t>
            </w:r>
          </w:p>
        </w:tc>
        <w:tc>
          <w:tcPr>
            <w:tcW w:w="943" w:type="pct"/>
          </w:tcPr>
          <w:p w14:paraId="214B4157" w14:textId="5B2B389C" w:rsidR="008240EB" w:rsidRDefault="008240EB" w:rsidP="008240EB">
            <w:pPr>
              <w:pStyle w:val="Tabletext0"/>
              <w:jc w:val="center"/>
            </w:pPr>
            <w:r w:rsidRPr="00645BBF">
              <w:t>NR</w:t>
            </w:r>
          </w:p>
        </w:tc>
        <w:tc>
          <w:tcPr>
            <w:tcW w:w="1179" w:type="pct"/>
          </w:tcPr>
          <w:p w14:paraId="5F166744" w14:textId="2427A53F" w:rsidR="008240EB" w:rsidRDefault="008240EB" w:rsidP="008240EB">
            <w:pPr>
              <w:pStyle w:val="Tabletext0"/>
              <w:jc w:val="center"/>
            </w:pPr>
            <w:r w:rsidRPr="00645BBF">
              <w:t>NR</w:t>
            </w:r>
          </w:p>
        </w:tc>
        <w:tc>
          <w:tcPr>
            <w:tcW w:w="915" w:type="pct"/>
          </w:tcPr>
          <w:p w14:paraId="79849289" w14:textId="1FFB1CEF" w:rsidR="008240EB" w:rsidRDefault="008240EB" w:rsidP="008240EB">
            <w:pPr>
              <w:pStyle w:val="Tabletext0"/>
              <w:jc w:val="center"/>
            </w:pPr>
            <w:r w:rsidRPr="00645BBF">
              <w:t>4 (14.8%)</w:t>
            </w:r>
          </w:p>
        </w:tc>
      </w:tr>
    </w:tbl>
    <w:p w14:paraId="7B823EE3" w14:textId="031621C8" w:rsidR="009B3E33" w:rsidRDefault="00E21668" w:rsidP="009B3E33">
      <w:pPr>
        <w:pStyle w:val="Tablenotes0"/>
      </w:pPr>
      <w:r>
        <w:t xml:space="preserve">AF = atrial fibrillation; </w:t>
      </w:r>
      <w:r w:rsidR="009B3E33">
        <w:t xml:space="preserve">CV = cardiovascular; ESRD = end-stage renal disease; </w:t>
      </w:r>
      <w:r>
        <w:t xml:space="preserve">HF = heart failure; </w:t>
      </w:r>
      <w:r w:rsidR="009B3E33">
        <w:t xml:space="preserve">MI = myocardial infarction; </w:t>
      </w:r>
      <w:r w:rsidR="008E5CA9">
        <w:t>NR = not reported</w:t>
      </w:r>
      <w:r w:rsidR="00A8129C">
        <w:t xml:space="preserve">; </w:t>
      </w:r>
      <w:r w:rsidR="009B3E33">
        <w:t>RDN = renal denervation</w:t>
      </w:r>
    </w:p>
    <w:p w14:paraId="4EB37683" w14:textId="77777777" w:rsidR="009B3E33" w:rsidRDefault="009B3E33" w:rsidP="009B3E33">
      <w:pPr>
        <w:pStyle w:val="Tablenotes0"/>
        <w:spacing w:after="360"/>
      </w:pPr>
      <w:r>
        <w:t>Source: Excerpt of Table 35 in MSAC 1659 ADAR+in-line commentary.</w:t>
      </w:r>
    </w:p>
    <w:p w14:paraId="55D656BB" w14:textId="0864C524" w:rsidR="009B3E33" w:rsidRDefault="009B3E33" w:rsidP="009B3E33">
      <w:pPr>
        <w:pStyle w:val="Heading3"/>
      </w:pPr>
      <w:r>
        <w:t>Health</w:t>
      </w:r>
      <w:r w:rsidR="0008574F">
        <w:t>-</w:t>
      </w:r>
      <w:r>
        <w:t>related quality of life</w:t>
      </w:r>
    </w:p>
    <w:p w14:paraId="1ACA274B" w14:textId="52796F07" w:rsidR="009B3E33" w:rsidRDefault="009B3E33" w:rsidP="009B3E33">
      <w:r w:rsidRPr="00876389">
        <w:t xml:space="preserve">Patient reported outcomes were available from </w:t>
      </w:r>
      <w:r>
        <w:t xml:space="preserve">SPYRAL </w:t>
      </w:r>
      <w:r w:rsidRPr="00876389">
        <w:t>HTN-ON MED</w:t>
      </w:r>
      <w:r>
        <w:t>, using t</w:t>
      </w:r>
      <w:r w:rsidRPr="00876389">
        <w:t>he generic EQ</w:t>
      </w:r>
      <w:r>
        <w:t>- </w:t>
      </w:r>
      <w:r w:rsidRPr="00876389">
        <w:t>5D</w:t>
      </w:r>
      <w:r>
        <w:t>- </w:t>
      </w:r>
      <w:r w:rsidRPr="00876389">
        <w:t xml:space="preserve">3L </w:t>
      </w:r>
      <w:r>
        <w:t>health-related quality of life (HR</w:t>
      </w:r>
      <w:r w:rsidRPr="00876389">
        <w:t>QoL</w:t>
      </w:r>
      <w:r>
        <w:t>)</w:t>
      </w:r>
      <w:r w:rsidRPr="00876389">
        <w:t xml:space="preserve"> instrument</w:t>
      </w:r>
      <w:r>
        <w:t xml:space="preserve">. </w:t>
      </w:r>
      <w:r w:rsidRPr="00C13B25">
        <w:t xml:space="preserve">There were no statistically significant differences between the </w:t>
      </w:r>
      <w:r>
        <w:t>RDN and sham control</w:t>
      </w:r>
      <w:r w:rsidRPr="00C13B25">
        <w:t xml:space="preserve"> arms in terms of patient scoring at each item level (data not shown), with the exception of a statistically significant difference (P=0.042) between </w:t>
      </w:r>
      <w:r>
        <w:t>arm</w:t>
      </w:r>
      <w:r w:rsidRPr="00C13B25">
        <w:t>s in the scoring of the mobility item at 6 months</w:t>
      </w:r>
      <w:r>
        <w:t>. F</w:t>
      </w:r>
      <w:r w:rsidRPr="00C13B25">
        <w:t xml:space="preserve">ewer patients in the </w:t>
      </w:r>
      <w:r>
        <w:t xml:space="preserve">sham </w:t>
      </w:r>
      <w:r w:rsidRPr="00C13B25">
        <w:t xml:space="preserve">control arm scored “no problems in walking about” and more patients scored “some problems walking about” compared to the patients in the RDN arm. </w:t>
      </w:r>
      <w:r>
        <w:t xml:space="preserve">The ADAR speculates that this may be a ‘chance’ finding. </w:t>
      </w:r>
      <w:r w:rsidRPr="00C13B25">
        <w:t>There was no difference between the treatment arms in terms of mean</w:t>
      </w:r>
      <w:r>
        <w:t xml:space="preserve"> </w:t>
      </w:r>
      <w:r w:rsidRPr="00D52527">
        <w:t>visual analogue scale</w:t>
      </w:r>
      <w:r w:rsidRPr="00C13B25">
        <w:t xml:space="preserve"> </w:t>
      </w:r>
      <w:r>
        <w:t>(</w:t>
      </w:r>
      <w:r w:rsidRPr="00C13B25">
        <w:t>VAS</w:t>
      </w:r>
      <w:r>
        <w:t>)</w:t>
      </w:r>
      <w:r w:rsidRPr="00C13B25">
        <w:t xml:space="preserve"> rating of </w:t>
      </w:r>
      <w:r>
        <w:t>‘</w:t>
      </w:r>
      <w:r w:rsidRPr="00C13B25">
        <w:t>own health state today’ at baseline or at any time point during the available follow</w:t>
      </w:r>
      <w:r>
        <w:t xml:space="preserve"> </w:t>
      </w:r>
      <w:r w:rsidRPr="00C13B25">
        <w:t>up.</w:t>
      </w:r>
    </w:p>
    <w:p w14:paraId="2DA7B84D" w14:textId="1C04B05F" w:rsidR="00C679BE" w:rsidRDefault="00633AAB" w:rsidP="00D62F08">
      <w:pPr>
        <w:pStyle w:val="Heading3"/>
      </w:pPr>
      <w:r>
        <w:t>Registry s</w:t>
      </w:r>
      <w:r w:rsidR="008017DF" w:rsidRPr="00F71956">
        <w:t xml:space="preserve">ubgroup analyses to </w:t>
      </w:r>
      <w:r w:rsidR="00841C30">
        <w:t xml:space="preserve">further </w:t>
      </w:r>
      <w:r w:rsidR="008017DF" w:rsidRPr="00F71956">
        <w:t xml:space="preserve">address </w:t>
      </w:r>
      <w:r w:rsidR="00BE23C1" w:rsidRPr="00F71956">
        <w:t xml:space="preserve">applicability </w:t>
      </w:r>
      <w:r w:rsidR="00D62F08" w:rsidRPr="00F71956">
        <w:t>concerns</w:t>
      </w:r>
    </w:p>
    <w:p w14:paraId="392D2E72" w14:textId="648B0605" w:rsidR="006D3F02" w:rsidRPr="00F71956" w:rsidRDefault="0002038C" w:rsidP="008622C4">
      <w:r w:rsidRPr="00F71956">
        <w:t xml:space="preserve">The ADAR </w:t>
      </w:r>
      <w:r w:rsidR="00C137E9" w:rsidRPr="00F71956">
        <w:t>present</w:t>
      </w:r>
      <w:r w:rsidR="002A0EEE" w:rsidRPr="00F71956">
        <w:t>ed</w:t>
      </w:r>
      <w:r w:rsidRPr="00F71956">
        <w:t xml:space="preserve"> a series of</w:t>
      </w:r>
      <w:r w:rsidR="00C137E9" w:rsidRPr="00F71956">
        <w:t xml:space="preserve"> subgroup analyses </w:t>
      </w:r>
      <w:r w:rsidR="00955113">
        <w:t>from</w:t>
      </w:r>
      <w:r w:rsidR="00955113" w:rsidRPr="00F71956">
        <w:t xml:space="preserve"> </w:t>
      </w:r>
      <w:r w:rsidR="00C137E9" w:rsidRPr="00F71956">
        <w:t>the G</w:t>
      </w:r>
      <w:r w:rsidR="00955113">
        <w:t xml:space="preserve">lobal </w:t>
      </w:r>
      <w:r w:rsidR="00C137E9" w:rsidRPr="00F71956">
        <w:t>S</w:t>
      </w:r>
      <w:r w:rsidR="00955113">
        <w:t xml:space="preserve">YMPLICITY </w:t>
      </w:r>
      <w:r w:rsidR="00C137E9" w:rsidRPr="00F71956">
        <w:t>R</w:t>
      </w:r>
      <w:r w:rsidR="00955113">
        <w:t>egistry</w:t>
      </w:r>
      <w:r w:rsidR="00C137E9" w:rsidRPr="00F71956">
        <w:t xml:space="preserve"> to </w:t>
      </w:r>
      <w:r w:rsidR="00F53298" w:rsidRPr="00F71956">
        <w:t>provide broader insights into the safety and effectiveness of RDN</w:t>
      </w:r>
      <w:r w:rsidR="00791F55" w:rsidRPr="00F71956">
        <w:t xml:space="preserve"> using Spyral </w:t>
      </w:r>
      <w:r w:rsidR="0081020E" w:rsidRPr="00F71956">
        <w:t>(N=</w:t>
      </w:r>
      <w:r w:rsidR="006B20BC" w:rsidRPr="00F71956">
        <w:t>168</w:t>
      </w:r>
      <w:r w:rsidR="0081020E" w:rsidRPr="00F71956">
        <w:t xml:space="preserve">) </w:t>
      </w:r>
      <w:r w:rsidR="00791F55" w:rsidRPr="00F71956">
        <w:t xml:space="preserve">and Flex </w:t>
      </w:r>
      <w:r w:rsidR="006B20BC" w:rsidRPr="00F71956">
        <w:t>(N=1,070)</w:t>
      </w:r>
      <w:r w:rsidR="00E5624E">
        <w:t xml:space="preserve"> </w:t>
      </w:r>
      <w:r w:rsidR="00E5624E" w:rsidRPr="00DE1170">
        <w:t>devices</w:t>
      </w:r>
      <w:r w:rsidR="00791F55" w:rsidRPr="00F71956">
        <w:t>,</w:t>
      </w:r>
      <w:r w:rsidR="00F53298" w:rsidRPr="00F71956">
        <w:t xml:space="preserve"> Australian patients </w:t>
      </w:r>
      <w:r w:rsidR="006B20BC" w:rsidRPr="00F71956">
        <w:t>(</w:t>
      </w:r>
      <w:r w:rsidR="0026656D" w:rsidRPr="00F71956">
        <w:t>N=294</w:t>
      </w:r>
      <w:r w:rsidR="006B20BC" w:rsidRPr="00F71956">
        <w:t xml:space="preserve">), </w:t>
      </w:r>
      <w:r w:rsidR="0061130F" w:rsidRPr="00F71956">
        <w:t xml:space="preserve">and </w:t>
      </w:r>
      <w:r w:rsidR="000D2C19" w:rsidRPr="00F71956">
        <w:t>a coho</w:t>
      </w:r>
      <w:r w:rsidR="001B7C42" w:rsidRPr="00F71956">
        <w:t>rt that matche</w:t>
      </w:r>
      <w:r w:rsidR="00E80C2F" w:rsidRPr="00F71956">
        <w:t>d</w:t>
      </w:r>
      <w:r w:rsidR="001B7C42" w:rsidRPr="00F71956">
        <w:t xml:space="preserve"> the proposed MBS population</w:t>
      </w:r>
      <w:r w:rsidR="00823A12" w:rsidRPr="00F71956">
        <w:t xml:space="preserve"> (N=1,619)</w:t>
      </w:r>
      <w:r w:rsidR="001B7C42" w:rsidRPr="00F71956">
        <w:t xml:space="preserve">. </w:t>
      </w:r>
      <w:r w:rsidR="00CB3C56" w:rsidRPr="00F71956">
        <w:t xml:space="preserve">A backwards step-wise approach was then taken to compare each individual baseline component of the </w:t>
      </w:r>
      <w:r w:rsidR="004B2311" w:rsidRPr="00F71956">
        <w:t xml:space="preserve">proposed </w:t>
      </w:r>
      <w:r w:rsidR="005F1369" w:rsidRPr="00F71956">
        <w:t>MBS</w:t>
      </w:r>
      <w:r w:rsidR="007332C9" w:rsidRPr="00F71956">
        <w:t xml:space="preserve"> </w:t>
      </w:r>
      <w:r w:rsidR="00CB3C56" w:rsidRPr="00F71956">
        <w:t>population (e.g. OSBP ≥150 mmHg and/or ODBP ≥110 mmHg vs &lt;150 mmHg and/or &lt;110 mmHg</w:t>
      </w:r>
      <w:r w:rsidR="00F6463C" w:rsidRPr="00F71956">
        <w:t>;</w:t>
      </w:r>
      <w:r w:rsidR="00CB3C56" w:rsidRPr="00F71956">
        <w:t xml:space="preserve"> ≥3 antihypertensi</w:t>
      </w:r>
      <w:r w:rsidR="009F7B6B" w:rsidRPr="00F71956">
        <w:t>ve</w:t>
      </w:r>
      <w:r w:rsidR="00CB3C56" w:rsidRPr="00F71956">
        <w:t xml:space="preserve"> medications</w:t>
      </w:r>
      <w:r w:rsidR="009B4949" w:rsidRPr="00F71956">
        <w:t xml:space="preserve"> vs</w:t>
      </w:r>
      <w:r w:rsidR="00CB3C56" w:rsidRPr="00F71956">
        <w:t xml:space="preserve"> &lt;3 </w:t>
      </w:r>
      <w:r w:rsidR="00F6463C" w:rsidRPr="00F71956">
        <w:t>antihypertensive medications;</w:t>
      </w:r>
      <w:r w:rsidR="00CB3C56" w:rsidRPr="00F71956">
        <w:t xml:space="preserve"> MI vs no MI</w:t>
      </w:r>
      <w:r w:rsidR="00F6463C" w:rsidRPr="00F71956">
        <w:t>;</w:t>
      </w:r>
      <w:r w:rsidR="00CB3C56" w:rsidRPr="00F71956">
        <w:t xml:space="preserve"> AF vs no AF</w:t>
      </w:r>
      <w:r w:rsidR="00C76F6C" w:rsidRPr="00F71956">
        <w:t>,</w:t>
      </w:r>
      <w:r w:rsidR="00CB3C56" w:rsidRPr="00F71956">
        <w:t xml:space="preserve"> etc</w:t>
      </w:r>
      <w:r w:rsidR="0031300D" w:rsidRPr="00F71956">
        <w:t>.</w:t>
      </w:r>
      <w:r w:rsidR="00CB3C56" w:rsidRPr="00F71956">
        <w:t xml:space="preserve">) to determine what effect each individual component </w:t>
      </w:r>
      <w:r w:rsidR="00E80C2F" w:rsidRPr="00F71956">
        <w:t>wa</w:t>
      </w:r>
      <w:r w:rsidR="00CB3C56" w:rsidRPr="00F71956">
        <w:t>s contributing to the overall</w:t>
      </w:r>
      <w:r w:rsidR="0044066F" w:rsidRPr="00F71956">
        <w:t xml:space="preserve"> </w:t>
      </w:r>
      <w:r w:rsidR="00A717D1" w:rsidRPr="00F71956">
        <w:t xml:space="preserve">result in the </w:t>
      </w:r>
      <w:r w:rsidR="0044066F" w:rsidRPr="00F71956">
        <w:t>proposed</w:t>
      </w:r>
      <w:r w:rsidR="00CB3C56" w:rsidRPr="00F71956">
        <w:t xml:space="preserve"> MBS population.</w:t>
      </w:r>
    </w:p>
    <w:p w14:paraId="268DA252" w14:textId="50FD107C" w:rsidR="00825F9D" w:rsidRPr="00F71956" w:rsidRDefault="007246BC" w:rsidP="008622C4">
      <w:r w:rsidRPr="00F71956">
        <w:t xml:space="preserve">Based on the </w:t>
      </w:r>
      <w:r w:rsidR="00FC2AD2" w:rsidRPr="00F71956">
        <w:t>subgroup analyse</w:t>
      </w:r>
      <w:r w:rsidR="003F34D1" w:rsidRPr="00F71956">
        <w:t>s,</w:t>
      </w:r>
      <w:r w:rsidR="00825F9D" w:rsidRPr="00F71956">
        <w:t xml:space="preserve"> </w:t>
      </w:r>
      <w:r w:rsidR="00B136A5">
        <w:t xml:space="preserve">the </w:t>
      </w:r>
      <w:r w:rsidR="00825F9D" w:rsidRPr="00F71956">
        <w:t>second generation Spyral catheter appear</w:t>
      </w:r>
      <w:r w:rsidR="00E80C2F" w:rsidRPr="00F71956">
        <w:t>ed</w:t>
      </w:r>
      <w:r w:rsidR="00825F9D" w:rsidRPr="00F71956">
        <w:t xml:space="preserve"> to be non-inferior in </w:t>
      </w:r>
      <w:r w:rsidR="00F27172" w:rsidRPr="00F71956">
        <w:t xml:space="preserve">safety and </w:t>
      </w:r>
      <w:r w:rsidR="00E80C2F" w:rsidRPr="00F71956">
        <w:t xml:space="preserve">effectiveness </w:t>
      </w:r>
      <w:r w:rsidR="000248CD" w:rsidRPr="00F71956">
        <w:t>compared with</w:t>
      </w:r>
      <w:r w:rsidR="00825F9D" w:rsidRPr="00F71956">
        <w:t xml:space="preserve"> the Flex catheter. </w:t>
      </w:r>
      <w:r w:rsidRPr="00F71956">
        <w:t xml:space="preserve">The analyses also showed that </w:t>
      </w:r>
      <w:r w:rsidR="00663C71" w:rsidRPr="00F71956">
        <w:t>patients who match</w:t>
      </w:r>
      <w:r w:rsidR="00F27172" w:rsidRPr="00F71956">
        <w:t>ed</w:t>
      </w:r>
      <w:r w:rsidR="00663C71" w:rsidRPr="00F71956">
        <w:t xml:space="preserve"> the proposed MBS </w:t>
      </w:r>
      <w:r w:rsidR="008B5758" w:rsidRPr="00F71956">
        <w:t xml:space="preserve">population </w:t>
      </w:r>
      <w:r w:rsidR="00663C71" w:rsidRPr="00F71956">
        <w:t>criteria had a significantly greater reduction in SBP and DBP than the population</w:t>
      </w:r>
      <w:r w:rsidR="00A07AD0" w:rsidRPr="00F71956">
        <w:t xml:space="preserve"> who d</w:t>
      </w:r>
      <w:r w:rsidR="00630A82" w:rsidRPr="00F71956">
        <w:t>id</w:t>
      </w:r>
      <w:r w:rsidR="00A07AD0" w:rsidRPr="00F71956">
        <w:t xml:space="preserve"> not match the proposed MBS criteria</w:t>
      </w:r>
      <w:r w:rsidR="000A0CC6" w:rsidRPr="00F71956">
        <w:t xml:space="preserve"> –</w:t>
      </w:r>
      <w:r w:rsidR="000248CD" w:rsidRPr="00F71956">
        <w:t xml:space="preserve"> </w:t>
      </w:r>
      <w:r w:rsidR="000A0CC6" w:rsidRPr="00F71956">
        <w:t>the caveat</w:t>
      </w:r>
      <w:r w:rsidR="000248CD" w:rsidRPr="00F71956">
        <w:t xml:space="preserve"> being</w:t>
      </w:r>
      <w:r w:rsidR="000A0CC6" w:rsidRPr="00F71956">
        <w:t xml:space="preserve"> that </w:t>
      </w:r>
      <w:r w:rsidR="00A07AD0" w:rsidRPr="00F71956">
        <w:t>this latter</w:t>
      </w:r>
      <w:r w:rsidR="000A0CC6" w:rsidRPr="00F71956">
        <w:t xml:space="preserve"> cohort include</w:t>
      </w:r>
      <w:r w:rsidR="00630A82" w:rsidRPr="00F71956">
        <w:t>d</w:t>
      </w:r>
      <w:r w:rsidR="000A0CC6" w:rsidRPr="00F71956">
        <w:t xml:space="preserve"> heterogeneous patients, including a small proportion with conditions associated with sympathetic nervous system activation in the absence of uncontrolled HTN.</w:t>
      </w:r>
      <w:r w:rsidR="00EF58D2" w:rsidRPr="00F71956">
        <w:t xml:space="preserve"> The </w:t>
      </w:r>
      <w:r w:rsidR="00F74433" w:rsidRPr="00F71956">
        <w:t xml:space="preserve">stepwise </w:t>
      </w:r>
      <w:r w:rsidR="001B62CD" w:rsidRPr="00F71956">
        <w:t xml:space="preserve">approach </w:t>
      </w:r>
      <w:r w:rsidR="00FC3E3D" w:rsidRPr="00F71956">
        <w:t>showed that</w:t>
      </w:r>
      <w:r w:rsidR="00B66123" w:rsidRPr="00F71956">
        <w:t xml:space="preserve"> the main driver of treatment effect </w:t>
      </w:r>
      <w:r w:rsidR="00D77D98" w:rsidRPr="00F71956">
        <w:t>was</w:t>
      </w:r>
      <w:r w:rsidR="00B66123" w:rsidRPr="00F71956">
        <w:t xml:space="preserve"> a patients’ baseline SBP</w:t>
      </w:r>
      <w:r w:rsidR="00B136A5">
        <w:t xml:space="preserve"> (t</w:t>
      </w:r>
      <w:r w:rsidR="00B66123" w:rsidRPr="00F71956">
        <w:t>he higher the baseline SBP</w:t>
      </w:r>
      <w:r w:rsidR="007A38F0">
        <w:t>,</w:t>
      </w:r>
      <w:r w:rsidR="00B66123" w:rsidRPr="00F71956">
        <w:t xml:space="preserve"> the greater the treatment effect</w:t>
      </w:r>
      <w:r w:rsidR="00B136A5">
        <w:t>)</w:t>
      </w:r>
      <w:r w:rsidR="00B66123" w:rsidRPr="00F71956">
        <w:t xml:space="preserve">. </w:t>
      </w:r>
      <w:r w:rsidR="007A38F0">
        <w:t>The n</w:t>
      </w:r>
      <w:r w:rsidR="00B66123" w:rsidRPr="00F71956">
        <w:t xml:space="preserve">umber of </w:t>
      </w:r>
      <w:r w:rsidR="00391FE9" w:rsidRPr="00F71956">
        <w:t>antihypertensive</w:t>
      </w:r>
      <w:r w:rsidR="00B66123" w:rsidRPr="00F71956">
        <w:t xml:space="preserve"> medications and comorbidities d</w:t>
      </w:r>
      <w:r w:rsidR="00D77D98" w:rsidRPr="00F71956">
        <w:t>id</w:t>
      </w:r>
      <w:r w:rsidR="00B66123" w:rsidRPr="00F71956">
        <w:t xml:space="preserve"> not appear to be drivers of treatment effect, with the exception that </w:t>
      </w:r>
      <w:r w:rsidR="002D2D12" w:rsidRPr="00F71956">
        <w:t xml:space="preserve">the </w:t>
      </w:r>
      <w:r w:rsidR="00B66123" w:rsidRPr="00F71956">
        <w:t>RDN treatment effect may be lower in patients who have CKD.</w:t>
      </w:r>
    </w:p>
    <w:p w14:paraId="0E3AA98E" w14:textId="176E464E" w:rsidR="009B12BC" w:rsidRDefault="00BB1941" w:rsidP="008622C4">
      <w:r w:rsidRPr="00F71956">
        <w:t>Th</w:t>
      </w:r>
      <w:r w:rsidR="00DE1DE6" w:rsidRPr="00F71956">
        <w:t>e</w:t>
      </w:r>
      <w:r w:rsidRPr="00F71956">
        <w:t>se analys</w:t>
      </w:r>
      <w:r w:rsidR="004223B3" w:rsidRPr="00F71956">
        <w:t>e</w:t>
      </w:r>
      <w:r w:rsidRPr="00F71956">
        <w:t xml:space="preserve">s provide </w:t>
      </w:r>
      <w:r w:rsidR="008B0816">
        <w:t>supplementary</w:t>
      </w:r>
      <w:r w:rsidR="008B0816" w:rsidRPr="00F71956">
        <w:t xml:space="preserve"> </w:t>
      </w:r>
      <w:r w:rsidRPr="00F71956">
        <w:t xml:space="preserve">evidence </w:t>
      </w:r>
      <w:r w:rsidR="004223B3" w:rsidRPr="00F71956">
        <w:t>for the safety and effective</w:t>
      </w:r>
      <w:r w:rsidR="00DD04E9" w:rsidRPr="00F71956">
        <w:t xml:space="preserve">ness of RDN in </w:t>
      </w:r>
      <w:r w:rsidR="00345E6B" w:rsidRPr="00F71956">
        <w:t xml:space="preserve">the </w:t>
      </w:r>
      <w:r w:rsidR="002C1CBE" w:rsidRPr="00F71956">
        <w:t xml:space="preserve">proposed </w:t>
      </w:r>
      <w:r w:rsidR="00AF7051" w:rsidRPr="00F71956">
        <w:t>MBS population</w:t>
      </w:r>
      <w:r w:rsidR="00DE1DE6" w:rsidRPr="00F71956">
        <w:t>; however, the commentary note</w:t>
      </w:r>
      <w:r w:rsidR="000619BD">
        <w:t>d</w:t>
      </w:r>
      <w:r w:rsidR="00DE1DE6" w:rsidRPr="00F71956">
        <w:t xml:space="preserve"> that</w:t>
      </w:r>
      <w:r w:rsidR="00AF7051" w:rsidRPr="00F71956">
        <w:t xml:space="preserve"> </w:t>
      </w:r>
      <w:r w:rsidR="00F3670A" w:rsidRPr="00F71956">
        <w:t>subgroup analyses</w:t>
      </w:r>
      <w:r w:rsidR="00DE1DE6" w:rsidRPr="00F71956">
        <w:t xml:space="preserve"> </w:t>
      </w:r>
      <w:r w:rsidRPr="00F71956">
        <w:t>are not a substitute for direct evidence from well-conducted sham-controlled randomised trials in the target population.</w:t>
      </w:r>
    </w:p>
    <w:p w14:paraId="3D22B090" w14:textId="6AB63E89" w:rsidR="00150CBF" w:rsidRDefault="00150CBF" w:rsidP="00150CBF">
      <w:pPr>
        <w:pStyle w:val="Heading3"/>
      </w:pPr>
      <w:r>
        <w:t>Effectiveness conclusions</w:t>
      </w:r>
    </w:p>
    <w:p w14:paraId="7CA50BE6" w14:textId="5B4AE494" w:rsidR="00150CBF" w:rsidRPr="008622C4" w:rsidRDefault="00863743" w:rsidP="008622C4">
      <w:r>
        <w:t xml:space="preserve">The ADAR </w:t>
      </w:r>
      <w:r w:rsidR="004F4725">
        <w:t>conclude</w:t>
      </w:r>
      <w:r w:rsidR="009D7F18">
        <w:t>d</w:t>
      </w:r>
      <w:r w:rsidR="004F4725">
        <w:t xml:space="preserve"> </w:t>
      </w:r>
      <w:r w:rsidR="0075464B">
        <w:t>that t</w:t>
      </w:r>
      <w:r w:rsidR="00783354" w:rsidRPr="00783354">
        <w:t>he totality of the evidence demonstrate</w:t>
      </w:r>
      <w:r w:rsidR="00B22368">
        <w:t>d</w:t>
      </w:r>
      <w:r w:rsidR="00783354" w:rsidRPr="00783354">
        <w:t xml:space="preserve"> consistency of RDN treatment effect when considering absolute treatment effect</w:t>
      </w:r>
      <w:r w:rsidR="00300D26">
        <w:t>,</w:t>
      </w:r>
      <w:r w:rsidR="00783354" w:rsidRPr="00783354">
        <w:t xml:space="preserve"> i.e. the within</w:t>
      </w:r>
      <w:r w:rsidR="00887366">
        <w:t>-</w:t>
      </w:r>
      <w:r w:rsidR="00783354" w:rsidRPr="00783354">
        <w:t>patient change.</w:t>
      </w:r>
      <w:r w:rsidR="0075464B">
        <w:t xml:space="preserve"> </w:t>
      </w:r>
      <w:r w:rsidR="003E1527">
        <w:t>However, t</w:t>
      </w:r>
      <w:r w:rsidR="006416AB" w:rsidRPr="006416AB">
        <w:t xml:space="preserve">he </w:t>
      </w:r>
      <w:r w:rsidR="006416AB">
        <w:t xml:space="preserve">commentary </w:t>
      </w:r>
      <w:r w:rsidR="003E1527">
        <w:t>refute</w:t>
      </w:r>
      <w:r w:rsidR="006F27EB">
        <w:t>d</w:t>
      </w:r>
      <w:r w:rsidR="003E1527">
        <w:t xml:space="preserve"> this conclusion, and</w:t>
      </w:r>
      <w:r w:rsidR="006416AB">
        <w:t xml:space="preserve"> point</w:t>
      </w:r>
      <w:r w:rsidR="006F27EB">
        <w:t>ed</w:t>
      </w:r>
      <w:r w:rsidR="006416AB">
        <w:t xml:space="preserve"> out </w:t>
      </w:r>
      <w:r w:rsidR="00FA47ED">
        <w:t xml:space="preserve">that </w:t>
      </w:r>
      <w:r w:rsidR="006416AB">
        <w:t xml:space="preserve">the </w:t>
      </w:r>
      <w:r w:rsidR="006416AB" w:rsidRPr="006416AB">
        <w:t>evidence base clearly demonstrate</w:t>
      </w:r>
      <w:r w:rsidR="00FA47ED">
        <w:t>d</w:t>
      </w:r>
      <w:r w:rsidR="006416AB" w:rsidRPr="006416AB">
        <w:t xml:space="preserve"> a large sham effect imparted by the trial setting</w:t>
      </w:r>
      <w:r w:rsidR="00FA7F57">
        <w:t>. I</w:t>
      </w:r>
      <w:r w:rsidR="006416AB" w:rsidRPr="006416AB">
        <w:t xml:space="preserve">t is not valid to infer that the absolute treatment effect measured in the </w:t>
      </w:r>
      <w:r w:rsidR="003F6CE1">
        <w:t xml:space="preserve">intervention arms of the </w:t>
      </w:r>
      <w:r w:rsidR="006416AB" w:rsidRPr="006416AB">
        <w:t>trial</w:t>
      </w:r>
      <w:r w:rsidR="00B61604">
        <w:t>s</w:t>
      </w:r>
      <w:r w:rsidR="00F543E8">
        <w:t xml:space="preserve"> </w:t>
      </w:r>
      <w:r w:rsidR="006416AB" w:rsidRPr="006416AB">
        <w:t xml:space="preserve">is </w:t>
      </w:r>
      <w:r w:rsidR="003F6CE1">
        <w:t>a consequence</w:t>
      </w:r>
      <w:r w:rsidR="006416AB" w:rsidRPr="006416AB">
        <w:t xml:space="preserve"> of RDN </w:t>
      </w:r>
      <w:r w:rsidR="003F6CE1">
        <w:t>alone</w:t>
      </w:r>
      <w:r w:rsidR="00E11B70">
        <w:t xml:space="preserve">; </w:t>
      </w:r>
      <w:r w:rsidR="006416AB" w:rsidRPr="006416AB">
        <w:t xml:space="preserve">the Hawthorne effect and </w:t>
      </w:r>
      <w:r w:rsidR="006264AD">
        <w:t>changes in clinical managem</w:t>
      </w:r>
      <w:r w:rsidR="00681841">
        <w:t xml:space="preserve">ent </w:t>
      </w:r>
      <w:r w:rsidR="008A4381">
        <w:t>and patient behaviour</w:t>
      </w:r>
      <w:r w:rsidR="008522A9">
        <w:t xml:space="preserve"> associated with the</w:t>
      </w:r>
      <w:r w:rsidR="006416AB" w:rsidRPr="006416AB">
        <w:t xml:space="preserve"> trial setting cannot be assumed to translate to the </w:t>
      </w:r>
      <w:r w:rsidR="002A0A34">
        <w:t xml:space="preserve">general </w:t>
      </w:r>
      <w:r w:rsidR="006416AB" w:rsidRPr="006416AB">
        <w:t>clinical management setting.</w:t>
      </w:r>
      <w:r w:rsidR="001708C1">
        <w:t xml:space="preserve"> </w:t>
      </w:r>
      <w:r w:rsidR="00637B80">
        <w:t>It is the commentary</w:t>
      </w:r>
      <w:r w:rsidR="0077410C">
        <w:t>’s view</w:t>
      </w:r>
      <w:r w:rsidR="00637B80">
        <w:t xml:space="preserve"> that t</w:t>
      </w:r>
      <w:r w:rsidR="001708C1">
        <w:t xml:space="preserve">he </w:t>
      </w:r>
      <w:r w:rsidR="007C1D36">
        <w:t xml:space="preserve">treatment effect size of RDN </w:t>
      </w:r>
      <w:r w:rsidR="00CF5BFA">
        <w:t xml:space="preserve">in the clinical setting </w:t>
      </w:r>
      <w:r w:rsidR="007C1D36">
        <w:t xml:space="preserve">is likely to </w:t>
      </w:r>
      <w:r w:rsidR="002C5666">
        <w:t>approach</w:t>
      </w:r>
      <w:r w:rsidR="00BA7299">
        <w:t>,</w:t>
      </w:r>
      <w:r w:rsidR="00065A16">
        <w:t xml:space="preserve"> </w:t>
      </w:r>
      <w:r w:rsidR="008244F8">
        <w:t>but not exceed</w:t>
      </w:r>
      <w:r w:rsidR="00BA7299">
        <w:t>,</w:t>
      </w:r>
      <w:r w:rsidR="00065A16">
        <w:t xml:space="preserve"> the clinical</w:t>
      </w:r>
      <w:r w:rsidR="00B269D9">
        <w:t>ly relevant thresho</w:t>
      </w:r>
      <w:r w:rsidR="008A4560">
        <w:t xml:space="preserve">lds described by </w:t>
      </w:r>
      <w:r w:rsidR="00F75C48">
        <w:t>the E</w:t>
      </w:r>
      <w:r w:rsidR="008710AC">
        <w:t>CC</w:t>
      </w:r>
      <w:r w:rsidR="00F75C48">
        <w:t xml:space="preserve">C </w:t>
      </w:r>
      <w:r w:rsidR="008710AC">
        <w:t xml:space="preserve">and </w:t>
      </w:r>
      <w:r w:rsidR="007C5D3B">
        <w:t>HARC</w:t>
      </w:r>
      <w:r w:rsidR="002362EA">
        <w:t xml:space="preserve">, </w:t>
      </w:r>
      <w:r w:rsidR="0065315D">
        <w:t>although the</w:t>
      </w:r>
      <w:r w:rsidR="007C5D3B">
        <w:t xml:space="preserve"> </w:t>
      </w:r>
      <w:r w:rsidR="00642105">
        <w:t xml:space="preserve">effect may be stochastic, </w:t>
      </w:r>
      <w:r w:rsidR="00411E91">
        <w:t>providing large benefits for</w:t>
      </w:r>
      <w:r w:rsidR="00317ACF">
        <w:t xml:space="preserve"> a</w:t>
      </w:r>
      <w:r w:rsidR="009C601A">
        <w:t>n unidentified</w:t>
      </w:r>
      <w:r w:rsidR="00317ACF">
        <w:t xml:space="preserve"> subset of patients. </w:t>
      </w:r>
    </w:p>
    <w:p w14:paraId="213924C6" w14:textId="6AA01E5B" w:rsidR="00772829" w:rsidRDefault="00772829" w:rsidP="00F71956">
      <w:pPr>
        <w:pStyle w:val="Heading3"/>
      </w:pPr>
      <w:r w:rsidRPr="00223664">
        <w:t>Clinical claim</w:t>
      </w:r>
      <w:r w:rsidR="00D3043B">
        <w:t>s</w:t>
      </w:r>
    </w:p>
    <w:p w14:paraId="743C8FD4" w14:textId="77777777" w:rsidR="009F26E3" w:rsidRPr="009F26E3" w:rsidRDefault="009F26E3" w:rsidP="009F26E3">
      <w:pPr>
        <w:rPr>
          <w:u w:val="single"/>
        </w:rPr>
      </w:pPr>
      <w:r w:rsidRPr="009F26E3">
        <w:rPr>
          <w:u w:val="single"/>
        </w:rPr>
        <w:t>Effectiveness</w:t>
      </w:r>
    </w:p>
    <w:p w14:paraId="4D27A998" w14:textId="6C7D1FBD" w:rsidR="00A90A5B" w:rsidRDefault="00A90A5B" w:rsidP="00A90A5B">
      <w:r>
        <w:t xml:space="preserve">The ADAR’s clinical claim for RDN </w:t>
      </w:r>
      <w:r w:rsidR="00FC5FF6">
        <w:t>is</w:t>
      </w:r>
      <w:r>
        <w:t xml:space="preserve"> as follows:</w:t>
      </w:r>
    </w:p>
    <w:p w14:paraId="05A20084" w14:textId="67105657" w:rsidR="00A90A5B" w:rsidRDefault="00A90A5B" w:rsidP="00A90A5B">
      <w:pPr>
        <w:pStyle w:val="Bullet"/>
      </w:pPr>
      <w:r>
        <w:t xml:space="preserve">The use of RDN results in </w:t>
      </w:r>
      <w:r w:rsidRPr="4042795E">
        <w:rPr>
          <w:b/>
          <w:bCs/>
        </w:rPr>
        <w:t>superior</w:t>
      </w:r>
      <w:r>
        <w:t xml:space="preserve"> effectiveness compared with either sham procedure or no RDN procedure. </w:t>
      </w:r>
    </w:p>
    <w:p w14:paraId="2E2ECDC1" w14:textId="75E0A657" w:rsidR="00234A5A" w:rsidRDefault="00234A5A" w:rsidP="00F24072">
      <w:pPr>
        <w:keepNext/>
      </w:pPr>
      <w:r>
        <w:t xml:space="preserve">Based on the best evidence available (i.e. sham-controlled trials in patients with uncontrolled or </w:t>
      </w:r>
      <w:r w:rsidR="00946D2A">
        <w:t>TR</w:t>
      </w:r>
      <w:r>
        <w:t>HTN on antihypertensive medication),</w:t>
      </w:r>
      <w:r w:rsidR="009B33CA">
        <w:t xml:space="preserve"> the</w:t>
      </w:r>
      <w:r>
        <w:t xml:space="preserve"> </w:t>
      </w:r>
      <w:r w:rsidR="00E62A5F" w:rsidRPr="4042795E">
        <w:rPr>
          <w:rStyle w:val="normaltextrun"/>
          <w:bdr w:val="none" w:sz="0" w:space="0" w:color="auto" w:frame="1"/>
        </w:rPr>
        <w:t xml:space="preserve">commentary considered that </w:t>
      </w:r>
      <w:r w:rsidRPr="4042795E">
        <w:t>the clinical claims should be amended to:</w:t>
      </w:r>
    </w:p>
    <w:p w14:paraId="549830F1" w14:textId="685BC6B3" w:rsidR="00234A5A" w:rsidRDefault="00234A5A" w:rsidP="4042795E">
      <w:pPr>
        <w:pStyle w:val="Bullet"/>
        <w:rPr>
          <w:b/>
          <w:bCs/>
        </w:rPr>
      </w:pPr>
      <w:r>
        <w:t xml:space="preserve">The use of RDN results in superior effectiveness in terms of statistically significant reductions at 6 months in OSBP, ODBP and ASBP compared with sham procedures; however, these reductions are </w:t>
      </w:r>
      <w:r w:rsidRPr="4042795E">
        <w:rPr>
          <w:b/>
          <w:bCs/>
        </w:rPr>
        <w:t>not clinically meaningful</w:t>
      </w:r>
    </w:p>
    <w:p w14:paraId="6D9A607E" w14:textId="25A16704" w:rsidR="00234A5A" w:rsidRDefault="00234A5A" w:rsidP="004E1BBB">
      <w:pPr>
        <w:pStyle w:val="Bullet"/>
        <w:numPr>
          <w:ilvl w:val="1"/>
          <w:numId w:val="5"/>
        </w:numPr>
        <w:spacing w:after="0"/>
      </w:pPr>
      <w:r>
        <w:t xml:space="preserve">mean </w:t>
      </w:r>
      <w:r w:rsidR="00DC55DC">
        <w:t>difference</w:t>
      </w:r>
      <w:r>
        <w:t xml:space="preserve"> in OSBP was </w:t>
      </w:r>
      <w:r w:rsidRPr="00E432B9">
        <w:rPr>
          <w:b/>
          <w:bCs/>
        </w:rPr>
        <w:t>4.08 mmHg</w:t>
      </w:r>
    </w:p>
    <w:p w14:paraId="58B28099" w14:textId="34005009" w:rsidR="00234A5A" w:rsidRDefault="00234A5A" w:rsidP="004E1BBB">
      <w:pPr>
        <w:pStyle w:val="Bullet"/>
        <w:numPr>
          <w:ilvl w:val="1"/>
          <w:numId w:val="5"/>
        </w:numPr>
        <w:spacing w:before="0"/>
      </w:pPr>
      <w:r>
        <w:t xml:space="preserve">mean </w:t>
      </w:r>
      <w:r w:rsidR="00DC55DC">
        <w:t>difference</w:t>
      </w:r>
      <w:r>
        <w:t xml:space="preserve"> in 24-hour ASBP was </w:t>
      </w:r>
      <w:r w:rsidRPr="00E432B9">
        <w:rPr>
          <w:b/>
          <w:bCs/>
        </w:rPr>
        <w:t>1.92 mmHg</w:t>
      </w:r>
      <w:r>
        <w:t>.</w:t>
      </w:r>
    </w:p>
    <w:p w14:paraId="52FC4DA4" w14:textId="12FBDBA1" w:rsidR="00234A5A" w:rsidRDefault="00234A5A" w:rsidP="00A051A1">
      <w:pPr>
        <w:pStyle w:val="Bullet"/>
      </w:pPr>
      <w:r>
        <w:t xml:space="preserve">When the evidence is restricted to trials of patients with TRHTN (resembling the proposed MBS population), the use of RDN results in </w:t>
      </w:r>
      <w:r w:rsidRPr="4042795E">
        <w:rPr>
          <w:b/>
          <w:bCs/>
        </w:rPr>
        <w:t>non-inferior</w:t>
      </w:r>
      <w:r>
        <w:t xml:space="preserve"> effectiveness compared with sham procedures (i.e. no statistically significant reductions in OSBP, ODBP, ASBP</w:t>
      </w:r>
      <w:r w:rsidR="00403E6B">
        <w:t>,</w:t>
      </w:r>
      <w:r>
        <w:t xml:space="preserve"> ADBP).</w:t>
      </w:r>
    </w:p>
    <w:p w14:paraId="343B612C" w14:textId="42AEA571" w:rsidR="00234A5A" w:rsidRDefault="00234A5A" w:rsidP="003F3641">
      <w:pPr>
        <w:pStyle w:val="Bullet"/>
        <w:numPr>
          <w:ilvl w:val="1"/>
          <w:numId w:val="5"/>
        </w:numPr>
      </w:pPr>
      <w:r>
        <w:t xml:space="preserve">Addition of </w:t>
      </w:r>
      <w:r w:rsidR="0051715C">
        <w:t xml:space="preserve">a </w:t>
      </w:r>
      <w:r w:rsidR="00830014">
        <w:t>subgroup</w:t>
      </w:r>
      <w:r w:rsidR="0051715C">
        <w:t xml:space="preserve"> from SPYRAL HTN-ON MED</w:t>
      </w:r>
      <w:r w:rsidR="00830014">
        <w:t xml:space="preserve"> </w:t>
      </w:r>
      <w:r>
        <w:t xml:space="preserve">taking </w:t>
      </w:r>
      <w:r w:rsidR="003F3641">
        <w:t>≥3</w:t>
      </w:r>
      <w:r>
        <w:t xml:space="preserve"> medications</w:t>
      </w:r>
      <w:r w:rsidR="001519D1">
        <w:t xml:space="preserve">, </w:t>
      </w:r>
      <w:r>
        <w:t>including a diuretic</w:t>
      </w:r>
      <w:r w:rsidR="001519D1">
        <w:t>,</w:t>
      </w:r>
      <w:r>
        <w:t xml:space="preserve"> </w:t>
      </w:r>
      <w:r w:rsidR="0092655A">
        <w:t>resulted</w:t>
      </w:r>
      <w:r>
        <w:t xml:space="preserve"> in superior effectiveness in terms of a statistically significant reduction </w:t>
      </w:r>
      <w:r w:rsidR="000F226D">
        <w:t xml:space="preserve">in </w:t>
      </w:r>
      <w:r>
        <w:t xml:space="preserve">OSBP </w:t>
      </w:r>
      <w:r w:rsidR="00750DC9">
        <w:t xml:space="preserve">(but not </w:t>
      </w:r>
      <w:r w:rsidR="00CB5BB8">
        <w:t xml:space="preserve">24-hour </w:t>
      </w:r>
      <w:r w:rsidR="00750DC9">
        <w:t xml:space="preserve">ASBP) </w:t>
      </w:r>
      <w:r>
        <w:t xml:space="preserve">compared with sham procedures; however, this reduction </w:t>
      </w:r>
      <w:r w:rsidR="009C47C8">
        <w:t xml:space="preserve">in OSBP </w:t>
      </w:r>
      <w:r>
        <w:t xml:space="preserve">was not clinically meaningful (mean </w:t>
      </w:r>
      <w:r w:rsidR="0086038A">
        <w:t>difference</w:t>
      </w:r>
      <w:r w:rsidR="00E36003">
        <w:t xml:space="preserve"> in OSBP was</w:t>
      </w:r>
      <w:r>
        <w:t xml:space="preserve"> </w:t>
      </w:r>
      <w:r w:rsidRPr="0086038A">
        <w:rPr>
          <w:b/>
          <w:bCs/>
        </w:rPr>
        <w:t>3.57 mmHg</w:t>
      </w:r>
      <w:r>
        <w:t>).</w:t>
      </w:r>
    </w:p>
    <w:p w14:paraId="65337CE4" w14:textId="5060665D" w:rsidR="00511250" w:rsidRPr="005A0632" w:rsidRDefault="00234A5A" w:rsidP="00511250">
      <w:pPr>
        <w:pStyle w:val="Bullet"/>
      </w:pPr>
      <w:r>
        <w:t xml:space="preserve">The use of RDN results in </w:t>
      </w:r>
      <w:r w:rsidRPr="4042795E">
        <w:rPr>
          <w:b/>
          <w:bCs/>
        </w:rPr>
        <w:t>non-inferior</w:t>
      </w:r>
      <w:r>
        <w:t xml:space="preserve"> effectiveness in terms of the proportion of </w:t>
      </w:r>
      <w:r w:rsidR="001C7ABE">
        <w:t xml:space="preserve">TRHTN </w:t>
      </w:r>
      <w:r>
        <w:t>patients achieving target office SBP</w:t>
      </w:r>
      <w:r w:rsidR="0078138F">
        <w:t xml:space="preserve"> (&lt;140 mmHg)</w:t>
      </w:r>
      <w:r>
        <w:t>, compared with sham procedures.</w:t>
      </w:r>
    </w:p>
    <w:p w14:paraId="4AACE57F" w14:textId="70BFF089" w:rsidR="00234A5A" w:rsidRDefault="00234A5A" w:rsidP="00A051A1">
      <w:pPr>
        <w:pStyle w:val="Bullet"/>
      </w:pPr>
      <w:r>
        <w:t xml:space="preserve">It is plausible that the use of RDN may result in a reduction in mortality and adverse </w:t>
      </w:r>
      <w:r w:rsidR="00FE7C22">
        <w:t>CV</w:t>
      </w:r>
      <w:r>
        <w:t xml:space="preserve"> events based on modest reductions in BP (as an accepted surrogate); however, there was </w:t>
      </w:r>
      <w:r w:rsidRPr="4042795E">
        <w:rPr>
          <w:b/>
          <w:bCs/>
        </w:rPr>
        <w:t xml:space="preserve">no clear evidence for a reduction in </w:t>
      </w:r>
      <w:r w:rsidR="008A6610" w:rsidRPr="4042795E">
        <w:rPr>
          <w:b/>
          <w:bCs/>
        </w:rPr>
        <w:t xml:space="preserve">CV </w:t>
      </w:r>
      <w:r w:rsidRPr="4042795E">
        <w:rPr>
          <w:b/>
          <w:bCs/>
        </w:rPr>
        <w:t xml:space="preserve">mortality or </w:t>
      </w:r>
      <w:r w:rsidR="008A6610" w:rsidRPr="4042795E">
        <w:rPr>
          <w:b/>
          <w:bCs/>
        </w:rPr>
        <w:t xml:space="preserve">other </w:t>
      </w:r>
      <w:r w:rsidR="00FE7C22" w:rsidRPr="4042795E">
        <w:rPr>
          <w:b/>
          <w:bCs/>
        </w:rPr>
        <w:t>CV</w:t>
      </w:r>
      <w:r w:rsidR="002E3EDD" w:rsidRPr="4042795E">
        <w:rPr>
          <w:b/>
          <w:bCs/>
        </w:rPr>
        <w:t>D</w:t>
      </w:r>
      <w:r w:rsidRPr="4042795E">
        <w:rPr>
          <w:b/>
          <w:bCs/>
        </w:rPr>
        <w:t>-related events</w:t>
      </w:r>
      <w:r>
        <w:t xml:space="preserve"> from the clinical trials presented in the ADAR</w:t>
      </w:r>
      <w:r w:rsidR="009D0EF1">
        <w:t xml:space="preserve"> with follow up to 36 and 60 months</w:t>
      </w:r>
      <w:r>
        <w:t>.</w:t>
      </w:r>
    </w:p>
    <w:p w14:paraId="759BBA29" w14:textId="56C4B8D8" w:rsidR="00620624" w:rsidRPr="00620624" w:rsidRDefault="00620624" w:rsidP="00D3043B">
      <w:pPr>
        <w:keepNext/>
        <w:rPr>
          <w:u w:val="single"/>
        </w:rPr>
      </w:pPr>
      <w:r w:rsidRPr="00620624">
        <w:rPr>
          <w:u w:val="single"/>
        </w:rPr>
        <w:t>Safety</w:t>
      </w:r>
    </w:p>
    <w:p w14:paraId="4B986F1C" w14:textId="345EFEE6" w:rsidR="00D3043B" w:rsidRDefault="00D3043B" w:rsidP="00D3043B">
      <w:r>
        <w:t xml:space="preserve">The </w:t>
      </w:r>
      <w:r w:rsidR="00E62A5F" w:rsidRPr="4042795E">
        <w:rPr>
          <w:rStyle w:val="normaltextrun"/>
        </w:rPr>
        <w:t xml:space="preserve">commentary considered the </w:t>
      </w:r>
      <w:r>
        <w:t xml:space="preserve">ADAR’s </w:t>
      </w:r>
      <w:r w:rsidR="00C26524">
        <w:t>safety</w:t>
      </w:r>
      <w:r>
        <w:t xml:space="preserve"> claim for RDN </w:t>
      </w:r>
      <w:r w:rsidR="00F23586">
        <w:t>to be</w:t>
      </w:r>
      <w:r>
        <w:t xml:space="preserve"> </w:t>
      </w:r>
      <w:r w:rsidR="00C26524">
        <w:t>reasonable</w:t>
      </w:r>
      <w:r>
        <w:t>:</w:t>
      </w:r>
    </w:p>
    <w:p w14:paraId="4907015A" w14:textId="019C2E81" w:rsidR="00D3043B" w:rsidRDefault="00D3043B" w:rsidP="00D3043B">
      <w:pPr>
        <w:pStyle w:val="Bullet"/>
        <w:spacing w:after="240"/>
      </w:pPr>
      <w:r>
        <w:t xml:space="preserve">The use of RDN results in </w:t>
      </w:r>
      <w:r w:rsidRPr="4042795E">
        <w:rPr>
          <w:b/>
          <w:bCs/>
        </w:rPr>
        <w:t xml:space="preserve">non-inferior </w:t>
      </w:r>
      <w:r>
        <w:t>safety compared to similar procedures, including renal angiography, which was used as the “sham” procedure in the control arms of the blinded randomised controlled trials.</w:t>
      </w:r>
    </w:p>
    <w:p w14:paraId="53540E9D" w14:textId="23006BE3" w:rsidR="00234A5A" w:rsidRDefault="00454752" w:rsidP="00234A5A">
      <w:r>
        <w:t>In addition, the</w:t>
      </w:r>
      <w:r w:rsidR="00E62A5F" w:rsidRPr="4042795E">
        <w:t xml:space="preserve"> </w:t>
      </w:r>
      <w:r w:rsidR="00E62A5F" w:rsidRPr="4042795E">
        <w:rPr>
          <w:rStyle w:val="normaltextrun"/>
          <w:rFonts w:cs="Segoe UI"/>
          <w:shd w:val="clear" w:color="auto" w:fill="FFFFFF"/>
        </w:rPr>
        <w:t>commentary considered that the</w:t>
      </w:r>
      <w:r>
        <w:t xml:space="preserve"> following claim can be made b</w:t>
      </w:r>
      <w:r w:rsidR="00234A5A">
        <w:t>ased on evidence from controlled open trials:</w:t>
      </w:r>
    </w:p>
    <w:p w14:paraId="7AA122CB" w14:textId="5B0632A5" w:rsidR="00F91DE4" w:rsidRPr="00223664" w:rsidRDefault="00234A5A" w:rsidP="00A051A1">
      <w:pPr>
        <w:pStyle w:val="Bullet"/>
      </w:pPr>
      <w:r>
        <w:t xml:space="preserve">As an endovascular intervention requiring femoral access and contrast agents, the use of RDN plus </w:t>
      </w:r>
      <w:r w:rsidR="001953A4">
        <w:t>OMM</w:t>
      </w:r>
      <w:r>
        <w:t xml:space="preserve"> </w:t>
      </w:r>
      <w:r w:rsidR="00D53393">
        <w:t xml:space="preserve">may </w:t>
      </w:r>
      <w:r w:rsidR="00FE5700">
        <w:t xml:space="preserve">potentially </w:t>
      </w:r>
      <w:r>
        <w:t xml:space="preserve">result in </w:t>
      </w:r>
      <w:r w:rsidRPr="4042795E">
        <w:rPr>
          <w:b/>
          <w:bCs/>
        </w:rPr>
        <w:t>inferior</w:t>
      </w:r>
      <w:r>
        <w:t xml:space="preserve"> safety compared with </w:t>
      </w:r>
      <w:r w:rsidR="001953A4">
        <w:t>OMM</w:t>
      </w:r>
      <w:r>
        <w:t xml:space="preserve"> alone</w:t>
      </w:r>
      <w:r w:rsidR="00DE297F">
        <w:t xml:space="preserve"> (though </w:t>
      </w:r>
      <w:r w:rsidR="00A30C06">
        <w:t xml:space="preserve">this </w:t>
      </w:r>
      <w:r w:rsidR="00013439">
        <w:t>cannot be confirmed because</w:t>
      </w:r>
      <w:r w:rsidR="003E7B07">
        <w:t xml:space="preserve"> </w:t>
      </w:r>
      <w:r w:rsidR="00876006">
        <w:t>safety was not</w:t>
      </w:r>
      <w:r w:rsidR="003E7B07">
        <w:t xml:space="preserve"> comprehensive</w:t>
      </w:r>
      <w:r w:rsidR="00876006">
        <w:t>ly</w:t>
      </w:r>
      <w:r w:rsidR="003E7B07">
        <w:t xml:space="preserve"> report</w:t>
      </w:r>
      <w:r w:rsidR="00876006">
        <w:t>ed</w:t>
      </w:r>
      <w:r w:rsidR="003E7B07">
        <w:t xml:space="preserve"> in</w:t>
      </w:r>
      <w:r w:rsidR="00013439">
        <w:t xml:space="preserve"> the open trials</w:t>
      </w:r>
      <w:r w:rsidR="003E7B07">
        <w:t>)</w:t>
      </w:r>
      <w:r>
        <w:t>.</w:t>
      </w:r>
    </w:p>
    <w:p w14:paraId="0D09C9E4" w14:textId="5BED849F" w:rsidR="00772829" w:rsidRDefault="00C36633" w:rsidP="002A18BE">
      <w:pPr>
        <w:pStyle w:val="Heading2"/>
        <w:numPr>
          <w:ilvl w:val="0"/>
          <w:numId w:val="0"/>
        </w:numPr>
      </w:pPr>
      <w:bookmarkStart w:id="29" w:name="_Toc69491425"/>
      <w:r>
        <w:t>1</w:t>
      </w:r>
      <w:r w:rsidR="006E6BB4">
        <w:t>3</w:t>
      </w:r>
      <w:r>
        <w:t>.</w:t>
      </w:r>
      <w:r>
        <w:tab/>
      </w:r>
      <w:r w:rsidR="00772829" w:rsidRPr="00CE28E3">
        <w:t>Economic evaluation</w:t>
      </w:r>
      <w:bookmarkEnd w:id="29"/>
    </w:p>
    <w:p w14:paraId="3AC548EC" w14:textId="070F631B" w:rsidR="00FE2E3C" w:rsidRDefault="003C0323" w:rsidP="003C0323">
      <w:bookmarkStart w:id="30" w:name="_Toc69491426"/>
      <w:r>
        <w:t xml:space="preserve">A cost-utility analysis was presented in the ADAR comparing RDN (plus </w:t>
      </w:r>
      <w:r w:rsidR="005423C7">
        <w:t>OMM</w:t>
      </w:r>
      <w:r>
        <w:t xml:space="preserve">) to </w:t>
      </w:r>
      <w:r w:rsidR="005423C7">
        <w:t>OMM</w:t>
      </w:r>
      <w:r>
        <w:t xml:space="preserve"> </w:t>
      </w:r>
      <w:r w:rsidR="00DA1FBF">
        <w:t>(</w:t>
      </w:r>
      <w:r w:rsidR="00E435A8">
        <w:t>with or without</w:t>
      </w:r>
      <w:r>
        <w:t xml:space="preserve"> sham procedure</w:t>
      </w:r>
      <w:r w:rsidR="00DA1FBF">
        <w:t>)</w:t>
      </w:r>
      <w:r>
        <w:t xml:space="preserve">. </w:t>
      </w:r>
      <w:r w:rsidR="001565F6">
        <w:t xml:space="preserve">The model used OSBP as a surrogate </w:t>
      </w:r>
      <w:r w:rsidR="005A6E90">
        <w:t xml:space="preserve">outcome for </w:t>
      </w:r>
      <w:r w:rsidR="002E04F5">
        <w:t>coronary heart disease (</w:t>
      </w:r>
      <w:r w:rsidR="005A6E90">
        <w:t>C</w:t>
      </w:r>
      <w:r w:rsidR="00247C41">
        <w:t>H</w:t>
      </w:r>
      <w:r w:rsidR="000E5EA8">
        <w:t>D</w:t>
      </w:r>
      <w:r w:rsidR="002E04F5">
        <w:t>)</w:t>
      </w:r>
      <w:r w:rsidR="000E5EA8">
        <w:t xml:space="preserve"> and CV</w:t>
      </w:r>
      <w:r w:rsidR="00E92515">
        <w:t>D</w:t>
      </w:r>
      <w:r w:rsidR="002E04F5">
        <w:t>-related events</w:t>
      </w:r>
      <w:r w:rsidR="0047597A">
        <w:t xml:space="preserve">, using </w:t>
      </w:r>
      <w:r w:rsidR="0047597A" w:rsidRPr="00FA6C5A">
        <w:t>multivariate risk equations from large-scale cohort studies</w:t>
      </w:r>
      <w:r w:rsidR="00B553DB">
        <w:t xml:space="preserve"> (</w:t>
      </w:r>
      <w:r w:rsidR="0047597A" w:rsidRPr="00FA6C5A">
        <w:t xml:space="preserve">such as the Framingham </w:t>
      </w:r>
      <w:r w:rsidR="00C0616F">
        <w:t>H</w:t>
      </w:r>
      <w:r w:rsidR="0047597A" w:rsidRPr="00FA6C5A">
        <w:t xml:space="preserve">eart </w:t>
      </w:r>
      <w:r w:rsidR="00C0616F">
        <w:t>S</w:t>
      </w:r>
      <w:r w:rsidR="0047597A" w:rsidRPr="00FA6C5A">
        <w:t>tudy</w:t>
      </w:r>
      <w:r w:rsidR="00B553DB">
        <w:t>)</w:t>
      </w:r>
      <w:r w:rsidR="0047597A" w:rsidRPr="00FA6C5A">
        <w:t xml:space="preserve"> to calculate transition probabilities</w:t>
      </w:r>
      <w:r w:rsidR="0047597A" w:rsidDel="00236AF9">
        <w:t xml:space="preserve"> </w:t>
      </w:r>
      <w:r w:rsidR="00236AF9">
        <w:t>to</w:t>
      </w:r>
      <w:r w:rsidR="00236AF9" w:rsidRPr="00D31DFB">
        <w:t xml:space="preserve"> clinical endpoints</w:t>
      </w:r>
      <w:r w:rsidR="00B565E6">
        <w:t xml:space="preserve"> (</w:t>
      </w:r>
      <w:r w:rsidR="00236AF9" w:rsidRPr="00D31DFB">
        <w:t xml:space="preserve">angina pectoris, </w:t>
      </w:r>
      <w:r w:rsidR="003D79EB" w:rsidRPr="00D31DFB">
        <w:t xml:space="preserve">stroke, MI, </w:t>
      </w:r>
      <w:r w:rsidR="00236AF9" w:rsidRPr="00D31DFB">
        <w:t xml:space="preserve">HF, ESRD, </w:t>
      </w:r>
      <w:r w:rsidR="00B565E6">
        <w:t>CV</w:t>
      </w:r>
      <w:r w:rsidR="00236AF9" w:rsidRPr="00D31DFB">
        <w:t xml:space="preserve"> mortality and all-cause mortality</w:t>
      </w:r>
      <w:r w:rsidR="00B565E6">
        <w:t>)</w:t>
      </w:r>
      <w:r w:rsidR="001565F6">
        <w:t>.</w:t>
      </w:r>
    </w:p>
    <w:p w14:paraId="0B684DD5" w14:textId="1078E48A" w:rsidR="007C3645" w:rsidRDefault="003D5B2D" w:rsidP="003C0323">
      <w:r>
        <w:t xml:space="preserve">The commentary noted that </w:t>
      </w:r>
      <w:r w:rsidR="00F15E99">
        <w:t>OS</w:t>
      </w:r>
      <w:r w:rsidR="007C3645">
        <w:t xml:space="preserve">BP is a well-established </w:t>
      </w:r>
      <w:r w:rsidR="00276091">
        <w:t>surrogate for C</w:t>
      </w:r>
      <w:r w:rsidR="00174F2C">
        <w:t>V</w:t>
      </w:r>
      <w:r w:rsidR="00276091">
        <w:t>D and CV mortality</w:t>
      </w:r>
      <w:r w:rsidR="006370F1">
        <w:t xml:space="preserve">; however, </w:t>
      </w:r>
      <w:r w:rsidR="006B6AC6">
        <w:t xml:space="preserve">ambulatory measures are </w:t>
      </w:r>
      <w:r w:rsidR="006D4E2F">
        <w:t xml:space="preserve">reported to be </w:t>
      </w:r>
      <w:r w:rsidR="006B6AC6">
        <w:t>stronger predictors of CV events compared to office measures</w:t>
      </w:r>
      <w:r w:rsidR="00C706A2">
        <w:t>.</w:t>
      </w:r>
      <w:r w:rsidR="0024049E">
        <w:rPr>
          <w:rStyle w:val="FootnoteReference"/>
        </w:rPr>
        <w:footnoteReference w:id="13"/>
      </w:r>
      <w:r w:rsidR="0024049E">
        <w:t xml:space="preserve"> </w:t>
      </w:r>
      <w:r w:rsidR="00843F70">
        <w:t>Fu</w:t>
      </w:r>
      <w:r w:rsidR="00C706A2">
        <w:t>rthermore,</w:t>
      </w:r>
      <w:r w:rsidR="006B6AC6">
        <w:t xml:space="preserve"> </w:t>
      </w:r>
      <w:r w:rsidR="00100923">
        <w:t>trials with</w:t>
      </w:r>
      <w:r w:rsidR="002A1D63">
        <w:t xml:space="preserve"> </w:t>
      </w:r>
      <w:r w:rsidR="00B7379B">
        <w:t>extended follow up did not</w:t>
      </w:r>
      <w:r w:rsidR="000F27BF">
        <w:t xml:space="preserve"> show a reduction in</w:t>
      </w:r>
      <w:r w:rsidR="002755E7">
        <w:t xml:space="preserve"> </w:t>
      </w:r>
      <w:r w:rsidR="00AB4CE7">
        <w:t>C</w:t>
      </w:r>
      <w:r w:rsidR="00753DDC">
        <w:t>VD-related events</w:t>
      </w:r>
      <w:r w:rsidR="00AB4CE7">
        <w:t xml:space="preserve"> or </w:t>
      </w:r>
      <w:r w:rsidR="002755E7">
        <w:t>CV mortality</w:t>
      </w:r>
      <w:r w:rsidR="000F27BF">
        <w:t xml:space="preserve"> that could be attributed to RDN</w:t>
      </w:r>
      <w:r w:rsidR="002755E7">
        <w:t xml:space="preserve"> </w:t>
      </w:r>
      <w:r w:rsidR="00BD3F93">
        <w:t xml:space="preserve">(although </w:t>
      </w:r>
      <w:r w:rsidR="000740DC">
        <w:t xml:space="preserve">the trials </w:t>
      </w:r>
      <w:r w:rsidR="00BD3F93">
        <w:t xml:space="preserve">were not powered for these </w:t>
      </w:r>
      <w:r w:rsidR="00D86B22">
        <w:t>endpoints)</w:t>
      </w:r>
      <w:r w:rsidR="00FA2DF3">
        <w:t>.</w:t>
      </w:r>
    </w:p>
    <w:p w14:paraId="2A2AEAE9" w14:textId="4074C182" w:rsidR="00E2229D" w:rsidRDefault="003C6A89" w:rsidP="003C0323">
      <w:r>
        <w:t xml:space="preserve">The </w:t>
      </w:r>
      <w:r w:rsidR="00D45672">
        <w:t xml:space="preserve">ADAR </w:t>
      </w:r>
      <w:r>
        <w:t xml:space="preserve">base case </w:t>
      </w:r>
      <w:r w:rsidR="00FE2E3C">
        <w:t xml:space="preserve">economic </w:t>
      </w:r>
      <w:r w:rsidR="00D206E9">
        <w:t xml:space="preserve">analysis incorporated effectiveness data </w:t>
      </w:r>
      <w:r w:rsidR="00881B8C">
        <w:t xml:space="preserve">exclusively </w:t>
      </w:r>
      <w:r w:rsidR="00D206E9">
        <w:t xml:space="preserve">from a </w:t>
      </w:r>
      <w:r w:rsidR="00CE0325">
        <w:t xml:space="preserve">subgroup of the </w:t>
      </w:r>
      <w:r w:rsidR="002D7822">
        <w:t xml:space="preserve">SPYRAL </w:t>
      </w:r>
      <w:r w:rsidR="00CE0325">
        <w:t xml:space="preserve">HTN-ON MED trial taking </w:t>
      </w:r>
      <w:r w:rsidR="004436DA">
        <w:t xml:space="preserve">three </w:t>
      </w:r>
      <w:r w:rsidR="00CE0325">
        <w:t>or more antihypertensive medications</w:t>
      </w:r>
      <w:r w:rsidR="007A4A5D">
        <w:t xml:space="preserve"> at baseline</w:t>
      </w:r>
      <w:r w:rsidR="00CE0325">
        <w:t>, including a diuretic</w:t>
      </w:r>
      <w:r w:rsidR="00F722E5">
        <w:t xml:space="preserve"> (r</w:t>
      </w:r>
      <w:r w:rsidR="00730023">
        <w:t xml:space="preserve">efer to Section 8 of this </w:t>
      </w:r>
      <w:r w:rsidR="00F722E5">
        <w:t xml:space="preserve">Executive Summary for commentary on this subgroup). </w:t>
      </w:r>
      <w:r w:rsidR="00570BA7">
        <w:t xml:space="preserve">As shown in </w:t>
      </w:r>
      <w:r w:rsidR="00570BA7">
        <w:fldChar w:fldCharType="begin"/>
      </w:r>
      <w:r w:rsidR="00570BA7">
        <w:instrText xml:space="preserve"> REF _Ref141875878 \h </w:instrText>
      </w:r>
      <w:r w:rsidR="00570BA7">
        <w:fldChar w:fldCharType="separate"/>
      </w:r>
      <w:r w:rsidR="003D5203" w:rsidRPr="00CE28E3">
        <w:t>Table</w:t>
      </w:r>
      <w:r w:rsidR="003D5203">
        <w:t> </w:t>
      </w:r>
      <w:r w:rsidR="003D5203">
        <w:rPr>
          <w:noProof/>
        </w:rPr>
        <w:t>6</w:t>
      </w:r>
      <w:r w:rsidR="00570BA7">
        <w:fldChar w:fldCharType="end"/>
      </w:r>
      <w:r w:rsidR="00D26D3E">
        <w:t>, t</w:t>
      </w:r>
      <w:r w:rsidR="00F653F2">
        <w:t>his subgroup</w:t>
      </w:r>
      <w:r w:rsidR="00AF6837">
        <w:t xml:space="preserve"> showed a</w:t>
      </w:r>
      <w:r w:rsidR="007A4A5D">
        <w:t xml:space="preserve"> mean</w:t>
      </w:r>
      <w:r w:rsidR="002B3822">
        <w:t xml:space="preserve"> between-group</w:t>
      </w:r>
      <w:r w:rsidR="007A4A5D">
        <w:t xml:space="preserve"> </w:t>
      </w:r>
      <w:r w:rsidR="00563B46">
        <w:t>difference</w:t>
      </w:r>
      <w:r w:rsidR="00D60B57">
        <w:t xml:space="preserve"> </w:t>
      </w:r>
      <w:r w:rsidR="00BA68BF">
        <w:t xml:space="preserve">in </w:t>
      </w:r>
      <w:r w:rsidR="00DD4728">
        <w:t xml:space="preserve">change from baseline in </w:t>
      </w:r>
      <w:r w:rsidR="00BA68BF">
        <w:t xml:space="preserve">OSBP </w:t>
      </w:r>
      <w:r w:rsidR="004325CA">
        <w:t xml:space="preserve">of </w:t>
      </w:r>
      <w:r w:rsidR="00053C17" w:rsidRPr="00F71956">
        <w:t>- </w:t>
      </w:r>
      <w:r w:rsidR="00BA68BF" w:rsidRPr="00F71956">
        <w:t>5.2</w:t>
      </w:r>
      <w:r w:rsidR="00053C17" w:rsidRPr="00F71956">
        <w:t> </w:t>
      </w:r>
      <w:r w:rsidR="00BA68BF" w:rsidRPr="00F71956">
        <w:t>mmHg</w:t>
      </w:r>
      <w:r w:rsidR="00535D46" w:rsidRPr="00F71956">
        <w:t>, favouring RDN</w:t>
      </w:r>
      <w:r w:rsidR="00535D46">
        <w:t>; however</w:t>
      </w:r>
      <w:r w:rsidR="00D26D3E">
        <w:t>,</w:t>
      </w:r>
      <w:r w:rsidR="00535D46">
        <w:t xml:space="preserve"> the sample size was small (n=46 RDN and n=32 sham control)</w:t>
      </w:r>
      <w:r w:rsidR="00563B46">
        <w:t xml:space="preserve"> </w:t>
      </w:r>
      <w:r w:rsidR="00535D46">
        <w:t>and the difference was not statistically significant</w:t>
      </w:r>
      <w:r w:rsidR="00BA68BF">
        <w:t xml:space="preserve">. </w:t>
      </w:r>
      <w:r w:rsidR="00992F03">
        <w:t xml:space="preserve">A </w:t>
      </w:r>
      <w:r w:rsidR="00304954">
        <w:t>revised</w:t>
      </w:r>
      <w:r w:rsidR="00992F03">
        <w:t xml:space="preserve"> base case was proposed in the </w:t>
      </w:r>
      <w:r w:rsidR="00F52266">
        <w:t xml:space="preserve">commentary </w:t>
      </w:r>
      <w:r w:rsidR="00150D18">
        <w:t>using data from a</w:t>
      </w:r>
      <w:r w:rsidR="003168EC">
        <w:t xml:space="preserve"> meta-analysis of the </w:t>
      </w:r>
      <w:r w:rsidR="00127FAF">
        <w:t xml:space="preserve">SPYRAL HTN-ON MED subgroup with the entire </w:t>
      </w:r>
      <w:r w:rsidR="00863BCE">
        <w:t xml:space="preserve">TRHTN </w:t>
      </w:r>
      <w:r w:rsidR="00127FAF">
        <w:t>population of SYMPLICITY HTN-3</w:t>
      </w:r>
      <w:r w:rsidR="00576529">
        <w:t xml:space="preserve">. </w:t>
      </w:r>
      <w:r w:rsidR="00A500FB">
        <w:t xml:space="preserve">In this meta-analysis, the </w:t>
      </w:r>
      <w:r w:rsidR="00563B46">
        <w:t xml:space="preserve">mean </w:t>
      </w:r>
      <w:r w:rsidR="000804D8">
        <w:t xml:space="preserve">between-group </w:t>
      </w:r>
      <w:r w:rsidR="00A647BB">
        <w:t>difference in OSBP was</w:t>
      </w:r>
      <w:r w:rsidR="00563B46">
        <w:t xml:space="preserve"> </w:t>
      </w:r>
      <w:r w:rsidR="007A1C90">
        <w:t xml:space="preserve">not clinically important </w:t>
      </w:r>
      <w:r w:rsidR="007A1C90" w:rsidRPr="00531FF0">
        <w:t>(</w:t>
      </w:r>
      <w:r w:rsidR="007A1C90" w:rsidRPr="00F71956">
        <w:t>- 3.57 mmHg</w:t>
      </w:r>
      <w:r w:rsidR="007A1C90" w:rsidRPr="00531FF0">
        <w:t>)</w:t>
      </w:r>
      <w:r w:rsidR="007A1C90">
        <w:t xml:space="preserve"> and </w:t>
      </w:r>
      <w:r w:rsidR="0089287B">
        <w:t xml:space="preserve">of borderline </w:t>
      </w:r>
      <w:r w:rsidR="003C0323">
        <w:t xml:space="preserve">statistical </w:t>
      </w:r>
      <w:r w:rsidR="00522149">
        <w:t>significan</w:t>
      </w:r>
      <w:r w:rsidR="0089287B">
        <w:t>ce</w:t>
      </w:r>
      <w:r w:rsidR="00522149">
        <w:t xml:space="preserve"> </w:t>
      </w:r>
      <w:r w:rsidR="007A1C90">
        <w:t>(P=0.05)</w:t>
      </w:r>
      <w:r w:rsidR="00AE1FA3">
        <w:t>. As such,</w:t>
      </w:r>
      <w:r w:rsidR="00EF6321">
        <w:t xml:space="preserve"> </w:t>
      </w:r>
      <w:r w:rsidR="00071E81">
        <w:t xml:space="preserve">the </w:t>
      </w:r>
      <w:r w:rsidR="00D8068C">
        <w:t>link</w:t>
      </w:r>
      <w:r w:rsidR="00071E81">
        <w:t xml:space="preserve"> </w:t>
      </w:r>
      <w:r w:rsidR="00D8068C">
        <w:t>from surrogate</w:t>
      </w:r>
      <w:r w:rsidR="00071E81">
        <w:t xml:space="preserve"> </w:t>
      </w:r>
      <w:r w:rsidR="00D8068C">
        <w:t>(</w:t>
      </w:r>
      <w:r w:rsidR="00071E81">
        <w:t>OSBP</w:t>
      </w:r>
      <w:r w:rsidR="00D8068C">
        <w:t>)</w:t>
      </w:r>
      <w:r w:rsidR="00071E81">
        <w:t xml:space="preserve"> </w:t>
      </w:r>
      <w:r w:rsidR="00D8068C">
        <w:t>to</w:t>
      </w:r>
      <w:r w:rsidR="00071E81">
        <w:t xml:space="preserve"> </w:t>
      </w:r>
      <w:r w:rsidR="00990920">
        <w:t xml:space="preserve">modelled </w:t>
      </w:r>
      <w:r w:rsidR="004B57E5">
        <w:t>clinical en</w:t>
      </w:r>
      <w:r w:rsidR="00E308DB">
        <w:t>dpoints</w:t>
      </w:r>
      <w:r w:rsidR="004B57E5">
        <w:t xml:space="preserve"> is </w:t>
      </w:r>
      <w:r w:rsidR="00A664CD">
        <w:t>dubious</w:t>
      </w:r>
      <w:r w:rsidR="003C0323">
        <w:t>.</w:t>
      </w:r>
    </w:p>
    <w:p w14:paraId="190CBA60" w14:textId="771B2171" w:rsidR="003C0323" w:rsidRDefault="003C0323" w:rsidP="003B4F55">
      <w:r>
        <w:t xml:space="preserve">The model structure is depicted in </w:t>
      </w:r>
      <w:r>
        <w:fldChar w:fldCharType="begin"/>
      </w:r>
      <w:r>
        <w:instrText xml:space="preserve"> REF _Ref141824561 \h </w:instrText>
      </w:r>
      <w:r w:rsidR="003B4F55">
        <w:instrText xml:space="preserve"> \* MERGEFORMAT </w:instrText>
      </w:r>
      <w:r>
        <w:fldChar w:fldCharType="separate"/>
      </w:r>
      <w:r w:rsidR="003D5203">
        <w:t xml:space="preserve">Figure </w:t>
      </w:r>
      <w:r w:rsidR="003D5203">
        <w:rPr>
          <w:noProof/>
        </w:rPr>
        <w:t>3</w:t>
      </w:r>
      <w:r>
        <w:fldChar w:fldCharType="end"/>
      </w:r>
      <w:r>
        <w:t xml:space="preserve"> and the main components </w:t>
      </w:r>
      <w:r w:rsidR="004436DA">
        <w:t xml:space="preserve">are </w:t>
      </w:r>
      <w:r>
        <w:t>described in</w:t>
      </w:r>
      <w:r w:rsidR="00B14220">
        <w:t xml:space="preserve"> </w:t>
      </w:r>
      <w:r w:rsidR="002048A7">
        <w:fldChar w:fldCharType="begin"/>
      </w:r>
      <w:r w:rsidR="002048A7">
        <w:instrText xml:space="preserve"> REF _Ref144162787 \h </w:instrText>
      </w:r>
      <w:r w:rsidR="002048A7">
        <w:fldChar w:fldCharType="separate"/>
      </w:r>
      <w:r w:rsidR="003D5203" w:rsidRPr="00CE28E3">
        <w:t>Table</w:t>
      </w:r>
      <w:r w:rsidR="003D5203">
        <w:t> </w:t>
      </w:r>
      <w:r w:rsidR="003D5203">
        <w:rPr>
          <w:noProof/>
        </w:rPr>
        <w:t>12</w:t>
      </w:r>
      <w:r w:rsidR="002048A7">
        <w:fldChar w:fldCharType="end"/>
      </w:r>
      <w:r w:rsidR="00B14220">
        <w:t>. T</w:t>
      </w:r>
      <w:r>
        <w:t xml:space="preserve">he modelling approach was based on a </w:t>
      </w:r>
      <w:r w:rsidR="00AA2EC0">
        <w:t xml:space="preserve">published </w:t>
      </w:r>
      <w:r>
        <w:t xml:space="preserve">study </w:t>
      </w:r>
      <w:r w:rsidR="00AA2EC0">
        <w:t xml:space="preserve">conducted </w:t>
      </w:r>
      <w:r>
        <w:t xml:space="preserve">by </w:t>
      </w:r>
      <w:r w:rsidR="00AA2EC0">
        <w:t>Medtronic (</w:t>
      </w:r>
      <w:r>
        <w:t>Geisler et al. 2012</w:t>
      </w:r>
      <w:r w:rsidR="00AA2EC0">
        <w:t>)</w:t>
      </w:r>
      <w:r>
        <w:t xml:space="preserve">, but no specific justification </w:t>
      </w:r>
      <w:r w:rsidR="00D91D82">
        <w:t>wa</w:t>
      </w:r>
      <w:r>
        <w:t xml:space="preserve">s given </w:t>
      </w:r>
      <w:r w:rsidR="00FF3514">
        <w:t xml:space="preserve">in the ADAR </w:t>
      </w:r>
      <w:r>
        <w:t xml:space="preserve">for choosing this over other alternatives. </w:t>
      </w:r>
    </w:p>
    <w:p w14:paraId="4E99A0F9" w14:textId="087FFCAE" w:rsidR="003C0323" w:rsidRDefault="003C0323" w:rsidP="003C0323">
      <w:pPr>
        <w:pStyle w:val="Caption"/>
      </w:pPr>
      <w:bookmarkStart w:id="31" w:name="_Ref141824561"/>
      <w:r>
        <w:t xml:space="preserve">Figure </w:t>
      </w:r>
      <w:r>
        <w:fldChar w:fldCharType="begin"/>
      </w:r>
      <w:r>
        <w:instrText>SEQ Figure \* ARABIC</w:instrText>
      </w:r>
      <w:r>
        <w:fldChar w:fldCharType="separate"/>
      </w:r>
      <w:r w:rsidR="003D5203">
        <w:rPr>
          <w:noProof/>
        </w:rPr>
        <w:t>3</w:t>
      </w:r>
      <w:r>
        <w:fldChar w:fldCharType="end"/>
      </w:r>
      <w:bookmarkEnd w:id="31"/>
      <w:r w:rsidR="00F3571E">
        <w:tab/>
      </w:r>
      <w:r>
        <w:t>Model structure diagram</w:t>
      </w:r>
    </w:p>
    <w:p w14:paraId="76C14280" w14:textId="2C9BD9CE" w:rsidR="003C0323" w:rsidRPr="000D2E86" w:rsidRDefault="00BE1209" w:rsidP="00104BA2">
      <w:pPr>
        <w:spacing w:after="0"/>
      </w:pPr>
      <w:r>
        <w:rPr>
          <w:noProof/>
          <w:lang w:eastAsia="en-AU"/>
        </w:rPr>
        <w:drawing>
          <wp:inline distT="0" distB="0" distL="0" distR="0" wp14:anchorId="71FF75EC" wp14:editId="06AC7A68">
            <wp:extent cx="4337940" cy="2943225"/>
            <wp:effectExtent l="0" t="0" r="0" b="0"/>
            <wp:docPr id="1862843592" name="Picture 1862843592" descr="Diagram of health states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43592" name="Picture 1862843592" descr="Diagram of health states in the economic model"/>
                    <pic:cNvPicPr>
                      <a:picLocks noChangeAspect="1" noChangeArrowheads="1"/>
                    </pic:cNvPicPr>
                  </pic:nvPicPr>
                  <pic:blipFill>
                    <a:blip r:embed="rId13" cstate="print"/>
                    <a:srcRect/>
                    <a:stretch>
                      <a:fillRect/>
                    </a:stretch>
                  </pic:blipFill>
                  <pic:spPr bwMode="auto">
                    <a:xfrm>
                      <a:off x="0" y="0"/>
                      <a:ext cx="4411220" cy="2992945"/>
                    </a:xfrm>
                    <a:prstGeom prst="rect">
                      <a:avLst/>
                    </a:prstGeom>
                    <a:noFill/>
                    <a:ln w="9525">
                      <a:noFill/>
                      <a:miter lim="800000"/>
                      <a:headEnd/>
                      <a:tailEnd/>
                    </a:ln>
                  </pic:spPr>
                </pic:pic>
              </a:graphicData>
            </a:graphic>
          </wp:inline>
        </w:drawing>
      </w:r>
    </w:p>
    <w:p w14:paraId="4CB61506" w14:textId="77777777" w:rsidR="00215623" w:rsidRDefault="00215623" w:rsidP="00215623">
      <w:pPr>
        <w:pStyle w:val="Tablenotes0"/>
        <w:spacing w:before="0" w:after="360"/>
      </w:pPr>
      <w:bookmarkStart w:id="32" w:name="_Ref69725820"/>
      <w:r>
        <w:t>CHD = coronary heart disease; ESRD = end stage renal disease.</w:t>
      </w:r>
    </w:p>
    <w:p w14:paraId="7EE15D84" w14:textId="66DEE1B0" w:rsidR="00BC4213" w:rsidRDefault="00BC4213" w:rsidP="00BC4213">
      <w:pPr>
        <w:pStyle w:val="Tablenotes0"/>
        <w:spacing w:before="0" w:after="360"/>
      </w:pPr>
      <w:r>
        <w:t xml:space="preserve">Source: Figure 88 in </w:t>
      </w:r>
      <w:r w:rsidR="00B203B5">
        <w:t xml:space="preserve">MSAC 1659 </w:t>
      </w:r>
      <w:r>
        <w:t>ADAR.</w:t>
      </w:r>
    </w:p>
    <w:p w14:paraId="05A2EE17" w14:textId="0F84FDAC" w:rsidR="00B14220" w:rsidRDefault="00B14220" w:rsidP="00B14220">
      <w:pPr>
        <w:pStyle w:val="Caption"/>
      </w:pPr>
      <w:bookmarkStart w:id="33" w:name="_Ref144162787"/>
      <w:bookmarkEnd w:id="32"/>
      <w:r w:rsidRPr="00CE28E3">
        <w:t>Table</w:t>
      </w:r>
      <w:r>
        <w:t> </w:t>
      </w:r>
      <w:r>
        <w:fldChar w:fldCharType="begin"/>
      </w:r>
      <w:r>
        <w:instrText>SEQ Table \* ARABIC</w:instrText>
      </w:r>
      <w:r>
        <w:fldChar w:fldCharType="separate"/>
      </w:r>
      <w:r w:rsidR="003D5203">
        <w:rPr>
          <w:noProof/>
        </w:rPr>
        <w:t>12</w:t>
      </w:r>
      <w:r>
        <w:fldChar w:fldCharType="end"/>
      </w:r>
      <w:bookmarkEnd w:id="33"/>
      <w:r w:rsidRPr="00CE28E3">
        <w:tab/>
      </w:r>
      <w:r w:rsidR="002048A7">
        <w:t>Summary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Summary of the key constructs of the economic evaluation that is provided in the ADAR"/>
      </w:tblPr>
      <w:tblGrid>
        <w:gridCol w:w="2122"/>
        <w:gridCol w:w="6894"/>
      </w:tblGrid>
      <w:tr w:rsidR="003C0323" w:rsidRPr="00CE28E3" w14:paraId="17D96965" w14:textId="77777777" w:rsidTr="00F71956">
        <w:trPr>
          <w:tblHeader/>
        </w:trPr>
        <w:tc>
          <w:tcPr>
            <w:tcW w:w="1177" w:type="pct"/>
          </w:tcPr>
          <w:p w14:paraId="1FA839D1" w14:textId="77777777" w:rsidR="003C0323" w:rsidRPr="00327AF2" w:rsidRDefault="003C0323" w:rsidP="00F71956">
            <w:pPr>
              <w:pStyle w:val="TableHeading0"/>
            </w:pPr>
            <w:bookmarkStart w:id="34" w:name="Title_Table5"/>
            <w:bookmarkStart w:id="35" w:name="Title_Table32" w:colFirst="0" w:colLast="0"/>
            <w:bookmarkEnd w:id="34"/>
            <w:r w:rsidRPr="00327AF2">
              <w:t>Component</w:t>
            </w:r>
          </w:p>
        </w:tc>
        <w:tc>
          <w:tcPr>
            <w:tcW w:w="3823" w:type="pct"/>
          </w:tcPr>
          <w:p w14:paraId="13BEC006" w14:textId="77777777" w:rsidR="003C0323" w:rsidRPr="00327AF2" w:rsidRDefault="003C0323" w:rsidP="00F71956">
            <w:pPr>
              <w:pStyle w:val="TableHeading0"/>
            </w:pPr>
            <w:r w:rsidRPr="00327AF2">
              <w:t>Description</w:t>
            </w:r>
          </w:p>
        </w:tc>
      </w:tr>
      <w:bookmarkEnd w:id="35"/>
      <w:tr w:rsidR="003C0323" w:rsidRPr="000449D1" w14:paraId="15890677" w14:textId="77777777" w:rsidTr="00F71956">
        <w:tc>
          <w:tcPr>
            <w:tcW w:w="1177" w:type="pct"/>
          </w:tcPr>
          <w:p w14:paraId="0AACF88C" w14:textId="77777777" w:rsidR="003C0323" w:rsidRPr="000449D1" w:rsidRDefault="003C0323" w:rsidP="004206D2">
            <w:pPr>
              <w:pStyle w:val="TableText"/>
              <w:rPr>
                <w:rFonts w:cs="Courier New"/>
                <w:szCs w:val="20"/>
              </w:rPr>
            </w:pPr>
            <w:r w:rsidRPr="000449D1">
              <w:rPr>
                <w:rFonts w:cs="Courier New"/>
                <w:szCs w:val="20"/>
              </w:rPr>
              <w:t>Perspective</w:t>
            </w:r>
          </w:p>
        </w:tc>
        <w:tc>
          <w:tcPr>
            <w:tcW w:w="3823" w:type="pct"/>
          </w:tcPr>
          <w:p w14:paraId="28C7D6D2" w14:textId="77777777" w:rsidR="003C0323" w:rsidRPr="000449D1" w:rsidRDefault="003C0323" w:rsidP="004206D2">
            <w:pPr>
              <w:pStyle w:val="TableText"/>
              <w:rPr>
                <w:rFonts w:cs="Courier New"/>
                <w:szCs w:val="20"/>
              </w:rPr>
            </w:pPr>
            <w:r>
              <w:rPr>
                <w:rFonts w:cs="Courier New"/>
                <w:szCs w:val="20"/>
              </w:rPr>
              <w:t>Australian h</w:t>
            </w:r>
            <w:r w:rsidRPr="000449D1">
              <w:rPr>
                <w:rFonts w:cs="Courier New"/>
                <w:szCs w:val="20"/>
              </w:rPr>
              <w:t>ealth care system perspective</w:t>
            </w:r>
          </w:p>
        </w:tc>
      </w:tr>
      <w:tr w:rsidR="003C0323" w:rsidRPr="000449D1" w14:paraId="304B3A0A" w14:textId="77777777" w:rsidTr="00F71956">
        <w:trPr>
          <w:tblHeader/>
        </w:trPr>
        <w:tc>
          <w:tcPr>
            <w:tcW w:w="1177" w:type="pct"/>
          </w:tcPr>
          <w:p w14:paraId="44C9C458" w14:textId="77777777" w:rsidR="003C0323" w:rsidRPr="000449D1" w:rsidRDefault="003C0323" w:rsidP="004206D2">
            <w:pPr>
              <w:pStyle w:val="TableText"/>
              <w:rPr>
                <w:rFonts w:cs="Courier New"/>
                <w:szCs w:val="20"/>
              </w:rPr>
            </w:pPr>
            <w:r w:rsidRPr="000449D1">
              <w:rPr>
                <w:rFonts w:cs="Courier New"/>
                <w:szCs w:val="20"/>
              </w:rPr>
              <w:t>Population</w:t>
            </w:r>
          </w:p>
        </w:tc>
        <w:tc>
          <w:tcPr>
            <w:tcW w:w="3823" w:type="pct"/>
          </w:tcPr>
          <w:p w14:paraId="0432EA17" w14:textId="117037BD" w:rsidR="003C0323" w:rsidRPr="00637EC9" w:rsidRDefault="003C0323" w:rsidP="00F71956">
            <w:pPr>
              <w:pStyle w:val="TableText"/>
            </w:pPr>
            <w:r w:rsidRPr="00637EC9">
              <w:rPr>
                <w:rFonts w:cs="Courier New"/>
                <w:szCs w:val="20"/>
              </w:rPr>
              <w:t xml:space="preserve">Patients with </w:t>
            </w:r>
            <w:r w:rsidR="00CE5C78" w:rsidRPr="00637EC9">
              <w:rPr>
                <w:rFonts w:cs="Courier New"/>
                <w:szCs w:val="20"/>
              </w:rPr>
              <w:t>TRHTN</w:t>
            </w:r>
            <w:r w:rsidRPr="00637EC9">
              <w:rPr>
                <w:rFonts w:cs="Courier New"/>
                <w:szCs w:val="20"/>
              </w:rPr>
              <w:t xml:space="preserve"> despite </w:t>
            </w:r>
            <w:r w:rsidR="002866E6">
              <w:rPr>
                <w:rFonts w:cs="Courier New"/>
                <w:szCs w:val="20"/>
              </w:rPr>
              <w:t xml:space="preserve">OMM </w:t>
            </w:r>
            <w:r w:rsidR="00C31543" w:rsidRPr="00637EC9">
              <w:rPr>
                <w:rFonts w:cs="Courier New"/>
                <w:szCs w:val="20"/>
              </w:rPr>
              <w:t xml:space="preserve">(≥3 </w:t>
            </w:r>
            <w:r w:rsidRPr="00637EC9">
              <w:rPr>
                <w:rFonts w:cs="Courier New"/>
                <w:szCs w:val="20"/>
              </w:rPr>
              <w:t>antihypertensive medications</w:t>
            </w:r>
            <w:r w:rsidR="00C45867" w:rsidRPr="00637EC9">
              <w:rPr>
                <w:rFonts w:cs="Courier New"/>
                <w:szCs w:val="20"/>
              </w:rPr>
              <w:t xml:space="preserve">, </w:t>
            </w:r>
            <w:r w:rsidRPr="00637EC9">
              <w:rPr>
                <w:rFonts w:cs="Courier New"/>
                <w:szCs w:val="20"/>
              </w:rPr>
              <w:t>used at optimal tolerated doses</w:t>
            </w:r>
            <w:r w:rsidR="00332973">
              <w:rPr>
                <w:rFonts w:cs="Courier New"/>
                <w:szCs w:val="20"/>
              </w:rPr>
              <w:t>)</w:t>
            </w:r>
            <w:r w:rsidRPr="00637EC9">
              <w:rPr>
                <w:rFonts w:cs="Courier New"/>
                <w:szCs w:val="20"/>
              </w:rPr>
              <w:t xml:space="preserve"> and who also have one or more additional specified CVD risk factors</w:t>
            </w:r>
          </w:p>
        </w:tc>
      </w:tr>
      <w:tr w:rsidR="003C0323" w:rsidRPr="000449D1" w14:paraId="70C28C08" w14:textId="77777777" w:rsidTr="00F71956">
        <w:tc>
          <w:tcPr>
            <w:tcW w:w="1177" w:type="pct"/>
          </w:tcPr>
          <w:p w14:paraId="50FE68A0" w14:textId="77777777" w:rsidR="003C0323" w:rsidRPr="000449D1" w:rsidRDefault="003C0323" w:rsidP="004206D2">
            <w:pPr>
              <w:pStyle w:val="TableText"/>
              <w:rPr>
                <w:rFonts w:cs="Courier New"/>
                <w:szCs w:val="20"/>
              </w:rPr>
            </w:pPr>
            <w:r w:rsidRPr="000449D1">
              <w:rPr>
                <w:rFonts w:cs="Courier New"/>
                <w:szCs w:val="20"/>
              </w:rPr>
              <w:t>Prior testing</w:t>
            </w:r>
          </w:p>
        </w:tc>
        <w:tc>
          <w:tcPr>
            <w:tcW w:w="3823" w:type="pct"/>
          </w:tcPr>
          <w:p w14:paraId="4B00978B" w14:textId="77777777" w:rsidR="003C0323" w:rsidRPr="000449D1" w:rsidRDefault="003C0323" w:rsidP="004206D2">
            <w:pPr>
              <w:pStyle w:val="TableText"/>
              <w:rPr>
                <w:rFonts w:cs="Courier New"/>
                <w:szCs w:val="20"/>
              </w:rPr>
            </w:pPr>
            <w:r>
              <w:rPr>
                <w:rFonts w:cs="Courier New"/>
                <w:szCs w:val="20"/>
              </w:rPr>
              <w:t>-</w:t>
            </w:r>
          </w:p>
        </w:tc>
      </w:tr>
      <w:tr w:rsidR="003C0323" w:rsidRPr="000449D1" w14:paraId="35E82166" w14:textId="77777777" w:rsidTr="00F71956">
        <w:tc>
          <w:tcPr>
            <w:tcW w:w="1177" w:type="pct"/>
          </w:tcPr>
          <w:p w14:paraId="7282F541" w14:textId="77777777" w:rsidR="003C0323" w:rsidRPr="000449D1" w:rsidRDefault="003C0323" w:rsidP="004206D2">
            <w:pPr>
              <w:pStyle w:val="TableText"/>
              <w:rPr>
                <w:rFonts w:cs="Courier New"/>
                <w:szCs w:val="20"/>
              </w:rPr>
            </w:pPr>
            <w:r w:rsidRPr="000449D1">
              <w:rPr>
                <w:rFonts w:cs="Courier New"/>
                <w:szCs w:val="20"/>
              </w:rPr>
              <w:t>Comparator</w:t>
            </w:r>
          </w:p>
        </w:tc>
        <w:tc>
          <w:tcPr>
            <w:tcW w:w="3823" w:type="pct"/>
          </w:tcPr>
          <w:p w14:paraId="2507C39D" w14:textId="191710F3" w:rsidR="003C0323" w:rsidRPr="000449D1" w:rsidRDefault="005423C7" w:rsidP="004206D2">
            <w:pPr>
              <w:pStyle w:val="TableText"/>
              <w:rPr>
                <w:rFonts w:cs="Courier New"/>
                <w:szCs w:val="20"/>
              </w:rPr>
            </w:pPr>
            <w:r>
              <w:rPr>
                <w:rFonts w:cs="Courier New"/>
                <w:szCs w:val="20"/>
              </w:rPr>
              <w:t>OMM</w:t>
            </w:r>
            <w:r w:rsidR="003C0323" w:rsidRPr="000075AB">
              <w:rPr>
                <w:rFonts w:cs="Courier New"/>
                <w:szCs w:val="20"/>
              </w:rPr>
              <w:t>, with or without sham procedure</w:t>
            </w:r>
          </w:p>
        </w:tc>
      </w:tr>
      <w:tr w:rsidR="003C0323" w:rsidRPr="000449D1" w14:paraId="7F8F5624" w14:textId="77777777" w:rsidTr="00F71956">
        <w:tc>
          <w:tcPr>
            <w:tcW w:w="1177" w:type="pct"/>
          </w:tcPr>
          <w:p w14:paraId="255604D9" w14:textId="77777777" w:rsidR="003C0323" w:rsidRPr="000449D1" w:rsidRDefault="003C0323" w:rsidP="004206D2">
            <w:pPr>
              <w:pStyle w:val="TableText"/>
              <w:rPr>
                <w:rFonts w:cs="Courier New"/>
                <w:szCs w:val="20"/>
              </w:rPr>
            </w:pPr>
            <w:r w:rsidRPr="000449D1">
              <w:rPr>
                <w:rFonts w:cs="Courier New"/>
                <w:szCs w:val="20"/>
              </w:rPr>
              <w:t>Type(s) of analysis</w:t>
            </w:r>
          </w:p>
        </w:tc>
        <w:tc>
          <w:tcPr>
            <w:tcW w:w="3823" w:type="pct"/>
          </w:tcPr>
          <w:p w14:paraId="7004B48C" w14:textId="77777777" w:rsidR="003C0323" w:rsidRPr="000449D1" w:rsidRDefault="003C0323" w:rsidP="004206D2">
            <w:pPr>
              <w:pStyle w:val="TableText"/>
              <w:rPr>
                <w:rFonts w:cs="Courier New"/>
                <w:szCs w:val="20"/>
              </w:rPr>
            </w:pPr>
            <w:r>
              <w:rPr>
                <w:rFonts w:cs="Courier New"/>
                <w:szCs w:val="20"/>
              </w:rPr>
              <w:t>C</w:t>
            </w:r>
            <w:r w:rsidRPr="000449D1">
              <w:rPr>
                <w:rFonts w:cs="Courier New"/>
                <w:szCs w:val="20"/>
              </w:rPr>
              <w:t>ost-utility analysis</w:t>
            </w:r>
          </w:p>
        </w:tc>
      </w:tr>
      <w:tr w:rsidR="003C0323" w:rsidRPr="000449D1" w14:paraId="67F82EA7" w14:textId="77777777" w:rsidTr="00F71956">
        <w:tc>
          <w:tcPr>
            <w:tcW w:w="1177" w:type="pct"/>
          </w:tcPr>
          <w:p w14:paraId="38E8A9E0" w14:textId="77777777" w:rsidR="003C0323" w:rsidRPr="000449D1" w:rsidRDefault="003C0323" w:rsidP="004206D2">
            <w:pPr>
              <w:pStyle w:val="TableText"/>
              <w:rPr>
                <w:rFonts w:cs="Courier New"/>
                <w:szCs w:val="20"/>
              </w:rPr>
            </w:pPr>
            <w:r w:rsidRPr="000449D1">
              <w:rPr>
                <w:rFonts w:cs="Courier New"/>
                <w:szCs w:val="20"/>
              </w:rPr>
              <w:t>Outcomes</w:t>
            </w:r>
          </w:p>
        </w:tc>
        <w:tc>
          <w:tcPr>
            <w:tcW w:w="3823" w:type="pct"/>
          </w:tcPr>
          <w:p w14:paraId="50C9C786" w14:textId="5193BB89" w:rsidR="003C0323" w:rsidRPr="000449D1" w:rsidRDefault="003C0323" w:rsidP="004206D2">
            <w:pPr>
              <w:pStyle w:val="TableText"/>
              <w:rPr>
                <w:rFonts w:cs="Courier New"/>
                <w:szCs w:val="20"/>
              </w:rPr>
            </w:pPr>
            <w:r>
              <w:rPr>
                <w:rFonts w:cs="Courier New"/>
                <w:szCs w:val="20"/>
              </w:rPr>
              <w:t>L</w:t>
            </w:r>
            <w:r w:rsidRPr="000449D1">
              <w:rPr>
                <w:rFonts w:cs="Courier New"/>
                <w:szCs w:val="20"/>
              </w:rPr>
              <w:t>ife-years</w:t>
            </w:r>
            <w:r>
              <w:rPr>
                <w:rFonts w:cs="Courier New"/>
                <w:szCs w:val="20"/>
              </w:rPr>
              <w:t xml:space="preserve"> </w:t>
            </w:r>
            <w:r w:rsidRPr="000449D1">
              <w:rPr>
                <w:rFonts w:cs="Courier New"/>
                <w:szCs w:val="20"/>
              </w:rPr>
              <w:t xml:space="preserve">gained, </w:t>
            </w:r>
            <w:r>
              <w:rPr>
                <w:rFonts w:cs="Courier New"/>
                <w:szCs w:val="20"/>
              </w:rPr>
              <w:t>QALYs</w:t>
            </w:r>
          </w:p>
        </w:tc>
      </w:tr>
      <w:tr w:rsidR="003C0323" w:rsidRPr="000449D1" w14:paraId="115BD5CD" w14:textId="77777777" w:rsidTr="00F71956">
        <w:tc>
          <w:tcPr>
            <w:tcW w:w="1177" w:type="pct"/>
          </w:tcPr>
          <w:p w14:paraId="3722A7BE" w14:textId="77777777" w:rsidR="003C0323" w:rsidRPr="000449D1" w:rsidRDefault="003C0323" w:rsidP="004206D2">
            <w:pPr>
              <w:pStyle w:val="TableText"/>
              <w:rPr>
                <w:rFonts w:cs="Courier New"/>
                <w:szCs w:val="20"/>
              </w:rPr>
            </w:pPr>
            <w:r w:rsidRPr="000449D1">
              <w:rPr>
                <w:rFonts w:cs="Courier New"/>
                <w:szCs w:val="20"/>
              </w:rPr>
              <w:t>Time horizon</w:t>
            </w:r>
          </w:p>
        </w:tc>
        <w:tc>
          <w:tcPr>
            <w:tcW w:w="3823" w:type="pct"/>
          </w:tcPr>
          <w:p w14:paraId="4789ED27" w14:textId="77777777" w:rsidR="003C0323" w:rsidRPr="000449D1" w:rsidRDefault="003C0323" w:rsidP="004206D2">
            <w:pPr>
              <w:pStyle w:val="TableText"/>
              <w:rPr>
                <w:rFonts w:cs="Courier New"/>
                <w:szCs w:val="20"/>
              </w:rPr>
            </w:pPr>
            <w:r>
              <w:rPr>
                <w:rFonts w:cs="Courier New"/>
                <w:szCs w:val="20"/>
              </w:rPr>
              <w:t>Lifetime</w:t>
            </w:r>
          </w:p>
        </w:tc>
      </w:tr>
      <w:tr w:rsidR="003C0323" w:rsidRPr="000449D1" w14:paraId="2924DFD7" w14:textId="77777777" w:rsidTr="00F71956">
        <w:tc>
          <w:tcPr>
            <w:tcW w:w="1177" w:type="pct"/>
          </w:tcPr>
          <w:p w14:paraId="0B25CAC7" w14:textId="77777777" w:rsidR="003C0323" w:rsidRPr="000449D1" w:rsidRDefault="003C0323" w:rsidP="004206D2">
            <w:pPr>
              <w:pStyle w:val="TableText"/>
              <w:rPr>
                <w:rFonts w:cs="Courier New"/>
                <w:szCs w:val="20"/>
              </w:rPr>
            </w:pPr>
            <w:r w:rsidRPr="000449D1">
              <w:rPr>
                <w:rFonts w:cs="Courier New"/>
                <w:szCs w:val="20"/>
              </w:rPr>
              <w:t>Computational method</w:t>
            </w:r>
          </w:p>
        </w:tc>
        <w:tc>
          <w:tcPr>
            <w:tcW w:w="3823" w:type="pct"/>
          </w:tcPr>
          <w:p w14:paraId="43E0FBB3" w14:textId="77777777" w:rsidR="003C0323" w:rsidRPr="000449D1" w:rsidRDefault="003C0323" w:rsidP="004206D2">
            <w:pPr>
              <w:pStyle w:val="TableText"/>
              <w:rPr>
                <w:rFonts w:cs="Courier New"/>
                <w:szCs w:val="20"/>
              </w:rPr>
            </w:pPr>
            <w:r w:rsidRPr="000449D1">
              <w:rPr>
                <w:rFonts w:cs="Courier New"/>
                <w:szCs w:val="20"/>
              </w:rPr>
              <w:t>Markov</w:t>
            </w:r>
            <w:r>
              <w:rPr>
                <w:rFonts w:cs="Courier New"/>
                <w:szCs w:val="20"/>
              </w:rPr>
              <w:t xml:space="preserve"> model</w:t>
            </w:r>
          </w:p>
        </w:tc>
      </w:tr>
      <w:tr w:rsidR="003C0323" w:rsidRPr="000449D1" w14:paraId="210E858B" w14:textId="77777777" w:rsidTr="00F71956">
        <w:tc>
          <w:tcPr>
            <w:tcW w:w="1177" w:type="pct"/>
          </w:tcPr>
          <w:p w14:paraId="06ABFE78" w14:textId="77777777" w:rsidR="003C0323" w:rsidRPr="000449D1" w:rsidRDefault="003C0323" w:rsidP="004206D2">
            <w:pPr>
              <w:pStyle w:val="TableText"/>
              <w:rPr>
                <w:rFonts w:cs="Courier New"/>
                <w:szCs w:val="20"/>
              </w:rPr>
            </w:pPr>
            <w:r w:rsidRPr="000449D1">
              <w:rPr>
                <w:rFonts w:cs="Courier New"/>
                <w:szCs w:val="20"/>
              </w:rPr>
              <w:t>Generation of the base case</w:t>
            </w:r>
          </w:p>
        </w:tc>
        <w:tc>
          <w:tcPr>
            <w:tcW w:w="3823" w:type="pct"/>
          </w:tcPr>
          <w:p w14:paraId="0F4E0063" w14:textId="77777777" w:rsidR="003C0323" w:rsidRDefault="003C0323" w:rsidP="004206D2">
            <w:pPr>
              <w:pStyle w:val="TableText"/>
              <w:numPr>
                <w:ilvl w:val="0"/>
                <w:numId w:val="88"/>
              </w:numPr>
              <w:rPr>
                <w:rFonts w:cs="Courier New"/>
                <w:szCs w:val="20"/>
              </w:rPr>
            </w:pPr>
            <w:r w:rsidRPr="00035F4A">
              <w:rPr>
                <w:rFonts w:cs="Courier New"/>
                <w:szCs w:val="20"/>
              </w:rPr>
              <w:t>Modelled</w:t>
            </w:r>
            <w:r>
              <w:rPr>
                <w:rFonts w:cs="Courier New"/>
                <w:szCs w:val="20"/>
              </w:rPr>
              <w:t xml:space="preserve"> economic evaluation</w:t>
            </w:r>
          </w:p>
          <w:p w14:paraId="3E7191AF" w14:textId="77777777" w:rsidR="003C0323" w:rsidRDefault="003C0323" w:rsidP="004206D2">
            <w:pPr>
              <w:pStyle w:val="TableText"/>
              <w:numPr>
                <w:ilvl w:val="0"/>
                <w:numId w:val="88"/>
              </w:numPr>
              <w:rPr>
                <w:rFonts w:cs="Courier New"/>
                <w:szCs w:val="20"/>
              </w:rPr>
            </w:pPr>
            <w:r w:rsidRPr="001D6D0F">
              <w:rPr>
                <w:rFonts w:cs="Courier New"/>
                <w:szCs w:val="20"/>
              </w:rPr>
              <w:t>Background event risks derived from published risk equations (function of population characteristics)</w:t>
            </w:r>
          </w:p>
          <w:p w14:paraId="25EEB780" w14:textId="7651F57D" w:rsidR="003C0323" w:rsidRDefault="003C0323" w:rsidP="004206D2">
            <w:pPr>
              <w:pStyle w:val="TableText"/>
              <w:numPr>
                <w:ilvl w:val="0"/>
                <w:numId w:val="88"/>
              </w:numPr>
              <w:rPr>
                <w:rFonts w:cs="Courier New"/>
                <w:szCs w:val="20"/>
              </w:rPr>
            </w:pPr>
            <w:r>
              <w:rPr>
                <w:rFonts w:cs="Courier New"/>
                <w:szCs w:val="20"/>
              </w:rPr>
              <w:t xml:space="preserve">RDN </w:t>
            </w:r>
            <w:r w:rsidRPr="001D6D0F">
              <w:rPr>
                <w:rFonts w:cs="Courier New"/>
                <w:szCs w:val="20"/>
              </w:rPr>
              <w:t xml:space="preserve">Treatment benefit (in form of </w:t>
            </w:r>
            <w:r w:rsidRPr="00A73235">
              <w:rPr>
                <w:rFonts w:cs="Courier New"/>
                <w:szCs w:val="20"/>
              </w:rPr>
              <w:t>mean</w:t>
            </w:r>
            <w:r w:rsidRPr="00AF4C2B">
              <w:rPr>
                <w:rStyle w:val="CommentaryTabletextleftChar"/>
              </w:rPr>
              <w:t xml:space="preserve"> </w:t>
            </w:r>
            <w:r w:rsidRPr="00DA7E42">
              <w:rPr>
                <w:rStyle w:val="CommentaryTabletextleftChar"/>
                <w:color w:val="auto"/>
              </w:rPr>
              <w:t>difference in OSBP [mmHg</w:t>
            </w:r>
            <w:r w:rsidR="00DA7E42">
              <w:rPr>
                <w:rStyle w:val="CommentaryTabletextleftChar"/>
                <w:color w:val="auto"/>
              </w:rPr>
              <w:t>]</w:t>
            </w:r>
            <w:r w:rsidRPr="00DA7E42">
              <w:rPr>
                <w:rFonts w:cs="Courier New"/>
                <w:szCs w:val="20"/>
              </w:rPr>
              <w:t>) tran</w:t>
            </w:r>
            <w:r w:rsidRPr="001D6D0F">
              <w:rPr>
                <w:rFonts w:cs="Courier New"/>
                <w:szCs w:val="20"/>
              </w:rPr>
              <w:t xml:space="preserve">slated to relative risk of avoiding CHD, stroke, and HF </w:t>
            </w:r>
            <w:r>
              <w:rPr>
                <w:rFonts w:cs="Courier New"/>
                <w:szCs w:val="20"/>
              </w:rPr>
              <w:t>events</w:t>
            </w:r>
          </w:p>
          <w:p w14:paraId="52026392" w14:textId="77777777" w:rsidR="003C0323" w:rsidRDefault="003C0323" w:rsidP="004206D2">
            <w:pPr>
              <w:pStyle w:val="TableText"/>
              <w:numPr>
                <w:ilvl w:val="0"/>
                <w:numId w:val="88"/>
              </w:numPr>
              <w:rPr>
                <w:rFonts w:cs="Courier New"/>
                <w:szCs w:val="20"/>
              </w:rPr>
            </w:pPr>
            <w:r>
              <w:rPr>
                <w:rFonts w:cs="Courier New"/>
                <w:szCs w:val="20"/>
              </w:rPr>
              <w:t>Events transformed to costs and QALYs</w:t>
            </w:r>
          </w:p>
          <w:p w14:paraId="40B2A91D" w14:textId="2B8E5F25" w:rsidR="003C0323" w:rsidRPr="000449D1" w:rsidRDefault="003C0323" w:rsidP="004206D2">
            <w:pPr>
              <w:pStyle w:val="TableText"/>
              <w:numPr>
                <w:ilvl w:val="0"/>
                <w:numId w:val="88"/>
              </w:numPr>
              <w:rPr>
                <w:rFonts w:cs="Courier New"/>
                <w:szCs w:val="20"/>
              </w:rPr>
            </w:pPr>
            <w:r>
              <w:rPr>
                <w:rFonts w:cs="Courier New"/>
                <w:szCs w:val="20"/>
              </w:rPr>
              <w:t xml:space="preserve">Output expressed as cost per QALY gained of RDN relative to </w:t>
            </w:r>
            <w:r w:rsidR="0052554F">
              <w:rPr>
                <w:rFonts w:cs="Courier New"/>
                <w:szCs w:val="20"/>
              </w:rPr>
              <w:t>OMM</w:t>
            </w:r>
          </w:p>
        </w:tc>
      </w:tr>
      <w:tr w:rsidR="003C0323" w:rsidRPr="000449D1" w14:paraId="14E6A038" w14:textId="77777777" w:rsidTr="00255885">
        <w:tc>
          <w:tcPr>
            <w:tcW w:w="1177" w:type="pct"/>
          </w:tcPr>
          <w:p w14:paraId="4525EE54" w14:textId="77777777" w:rsidR="003C0323" w:rsidRPr="003E3361" w:rsidRDefault="003C0323" w:rsidP="004206D2">
            <w:pPr>
              <w:pStyle w:val="TableText"/>
              <w:rPr>
                <w:rFonts w:cs="Courier New"/>
                <w:szCs w:val="20"/>
              </w:rPr>
            </w:pPr>
            <w:r w:rsidRPr="003E3361">
              <w:rPr>
                <w:rFonts w:cs="Courier New"/>
                <w:szCs w:val="20"/>
              </w:rPr>
              <w:t>Health states</w:t>
            </w:r>
          </w:p>
        </w:tc>
        <w:tc>
          <w:tcPr>
            <w:tcW w:w="3823" w:type="pct"/>
          </w:tcPr>
          <w:p w14:paraId="5B34D545" w14:textId="74D8B9C3" w:rsidR="003C0323" w:rsidRPr="003E3361" w:rsidRDefault="003C0323" w:rsidP="004206D2">
            <w:pPr>
              <w:pStyle w:val="TableText"/>
              <w:rPr>
                <w:rFonts w:cs="Courier New"/>
                <w:szCs w:val="20"/>
              </w:rPr>
            </w:pPr>
            <w:r w:rsidRPr="003E3361">
              <w:rPr>
                <w:rFonts w:cs="Courier New"/>
                <w:szCs w:val="20"/>
              </w:rPr>
              <w:t>See</w:t>
            </w:r>
            <w:r w:rsidR="00B52AC4" w:rsidRPr="003E3361">
              <w:rPr>
                <w:rFonts w:cs="Courier New"/>
                <w:szCs w:val="20"/>
              </w:rPr>
              <w:t xml:space="preserve"> </w:t>
            </w:r>
            <w:r w:rsidR="003E3361" w:rsidRPr="003E3361">
              <w:rPr>
                <w:rFonts w:cs="Courier New"/>
                <w:szCs w:val="20"/>
              </w:rPr>
              <w:fldChar w:fldCharType="begin"/>
            </w:r>
            <w:r w:rsidR="003E3361" w:rsidRPr="003E3361">
              <w:rPr>
                <w:rFonts w:cs="Courier New"/>
                <w:szCs w:val="20"/>
              </w:rPr>
              <w:instrText xml:space="preserve"> REF _Ref141824561 \h </w:instrText>
            </w:r>
            <w:r w:rsidR="003E3361">
              <w:rPr>
                <w:rFonts w:cs="Courier New"/>
                <w:szCs w:val="20"/>
              </w:rPr>
              <w:instrText xml:space="preserve"> \* MERGEFORMAT </w:instrText>
            </w:r>
            <w:r w:rsidR="003E3361" w:rsidRPr="003E3361">
              <w:rPr>
                <w:rFonts w:cs="Courier New"/>
                <w:szCs w:val="20"/>
              </w:rPr>
            </w:r>
            <w:r w:rsidR="003E3361" w:rsidRPr="003E3361">
              <w:rPr>
                <w:rFonts w:cs="Courier New"/>
                <w:szCs w:val="20"/>
              </w:rPr>
              <w:fldChar w:fldCharType="separate"/>
            </w:r>
            <w:r w:rsidR="003D5203">
              <w:t xml:space="preserve">Figure </w:t>
            </w:r>
            <w:r w:rsidR="003D5203">
              <w:rPr>
                <w:noProof/>
              </w:rPr>
              <w:t>3</w:t>
            </w:r>
            <w:r w:rsidR="003E3361" w:rsidRPr="003E3361">
              <w:rPr>
                <w:rFonts w:cs="Courier New"/>
                <w:szCs w:val="20"/>
              </w:rPr>
              <w:fldChar w:fldCharType="end"/>
            </w:r>
          </w:p>
        </w:tc>
      </w:tr>
      <w:tr w:rsidR="003C0323" w:rsidRPr="000449D1" w14:paraId="78D32BDB" w14:textId="77777777" w:rsidTr="00F71956">
        <w:tc>
          <w:tcPr>
            <w:tcW w:w="1177" w:type="pct"/>
          </w:tcPr>
          <w:p w14:paraId="6E9D4A40" w14:textId="77777777" w:rsidR="003C0323" w:rsidRPr="000449D1" w:rsidRDefault="003C0323" w:rsidP="004206D2">
            <w:pPr>
              <w:pStyle w:val="TableText"/>
              <w:rPr>
                <w:rFonts w:cs="Courier New"/>
                <w:szCs w:val="20"/>
              </w:rPr>
            </w:pPr>
            <w:r w:rsidRPr="000449D1">
              <w:rPr>
                <w:rFonts w:cs="Courier New"/>
                <w:szCs w:val="20"/>
              </w:rPr>
              <w:t>Cycle length</w:t>
            </w:r>
          </w:p>
        </w:tc>
        <w:tc>
          <w:tcPr>
            <w:tcW w:w="3823" w:type="pct"/>
          </w:tcPr>
          <w:p w14:paraId="23366526" w14:textId="77777777" w:rsidR="003C0323" w:rsidRPr="000449D1" w:rsidRDefault="003C0323" w:rsidP="004206D2">
            <w:pPr>
              <w:pStyle w:val="TableText"/>
              <w:rPr>
                <w:rFonts w:cs="Courier New"/>
                <w:szCs w:val="20"/>
              </w:rPr>
            </w:pPr>
            <w:r>
              <w:rPr>
                <w:rFonts w:cs="Courier New"/>
                <w:szCs w:val="20"/>
              </w:rPr>
              <w:t>1 month</w:t>
            </w:r>
          </w:p>
        </w:tc>
      </w:tr>
      <w:tr w:rsidR="003C0323" w:rsidRPr="000449D1" w14:paraId="0EECE526" w14:textId="77777777" w:rsidTr="00F71956">
        <w:tc>
          <w:tcPr>
            <w:tcW w:w="1177" w:type="pct"/>
          </w:tcPr>
          <w:p w14:paraId="58467495" w14:textId="77777777" w:rsidR="003C0323" w:rsidRPr="000449D1" w:rsidRDefault="003C0323" w:rsidP="004206D2">
            <w:pPr>
              <w:pStyle w:val="TableText"/>
              <w:rPr>
                <w:rFonts w:cs="Courier New"/>
                <w:szCs w:val="20"/>
              </w:rPr>
            </w:pPr>
            <w:r w:rsidRPr="000449D1">
              <w:rPr>
                <w:rFonts w:cs="Courier New"/>
                <w:szCs w:val="20"/>
              </w:rPr>
              <w:t>Transition probabilities</w:t>
            </w:r>
          </w:p>
        </w:tc>
        <w:tc>
          <w:tcPr>
            <w:tcW w:w="3823" w:type="pct"/>
          </w:tcPr>
          <w:p w14:paraId="21F35411" w14:textId="77777777" w:rsidR="003C0323" w:rsidRPr="000449D1" w:rsidRDefault="003C0323" w:rsidP="004206D2">
            <w:pPr>
              <w:pStyle w:val="TableText"/>
              <w:rPr>
                <w:rFonts w:cs="Courier New"/>
                <w:szCs w:val="20"/>
              </w:rPr>
            </w:pPr>
            <w:r>
              <w:rPr>
                <w:rFonts w:cs="Courier New"/>
                <w:szCs w:val="20"/>
              </w:rPr>
              <w:t>Probability of AP/Other CHD, Probability of MI, Probability of Stroke, Probability of HF, Probability of entering ESRD, Probability of CV death, Probability of non-CV death</w:t>
            </w:r>
          </w:p>
        </w:tc>
      </w:tr>
      <w:tr w:rsidR="003C0323" w:rsidRPr="000449D1" w14:paraId="159048FB" w14:textId="77777777" w:rsidTr="00F71956">
        <w:tc>
          <w:tcPr>
            <w:tcW w:w="1177" w:type="pct"/>
          </w:tcPr>
          <w:p w14:paraId="311F9588" w14:textId="77777777" w:rsidR="003C0323" w:rsidRPr="000449D1" w:rsidRDefault="003C0323" w:rsidP="004206D2">
            <w:pPr>
              <w:pStyle w:val="TableText"/>
              <w:rPr>
                <w:rFonts w:cs="Courier New"/>
                <w:szCs w:val="20"/>
              </w:rPr>
            </w:pPr>
            <w:r w:rsidRPr="000449D1">
              <w:rPr>
                <w:rFonts w:cs="Courier New"/>
                <w:szCs w:val="20"/>
              </w:rPr>
              <w:t>Discount rate</w:t>
            </w:r>
          </w:p>
        </w:tc>
        <w:tc>
          <w:tcPr>
            <w:tcW w:w="3823" w:type="pct"/>
          </w:tcPr>
          <w:p w14:paraId="728C907F" w14:textId="0FE4E942" w:rsidR="003C0323" w:rsidRPr="000449D1" w:rsidRDefault="003C0323" w:rsidP="004206D2">
            <w:pPr>
              <w:pStyle w:val="TableText"/>
            </w:pPr>
            <w:r w:rsidRPr="000449D1">
              <w:rPr>
                <w:rFonts w:cs="Courier New"/>
                <w:szCs w:val="20"/>
              </w:rPr>
              <w:t>5%</w:t>
            </w:r>
            <w:r>
              <w:rPr>
                <w:rFonts w:cs="Courier New"/>
                <w:szCs w:val="20"/>
              </w:rPr>
              <w:t xml:space="preserve"> </w:t>
            </w:r>
            <w:r>
              <w:t>(MSAC guidelines Version 1.0)</w:t>
            </w:r>
          </w:p>
        </w:tc>
      </w:tr>
      <w:tr w:rsidR="003C0323" w:rsidRPr="000449D1" w14:paraId="64E3987C" w14:textId="77777777" w:rsidTr="00F71956">
        <w:tc>
          <w:tcPr>
            <w:tcW w:w="1177" w:type="pct"/>
          </w:tcPr>
          <w:p w14:paraId="5B4C8DF0" w14:textId="77777777" w:rsidR="003C0323" w:rsidRPr="000449D1" w:rsidRDefault="003C0323" w:rsidP="004206D2">
            <w:pPr>
              <w:pStyle w:val="TableText"/>
              <w:rPr>
                <w:rFonts w:cs="Courier New"/>
                <w:szCs w:val="20"/>
              </w:rPr>
            </w:pPr>
            <w:r w:rsidRPr="000449D1">
              <w:rPr>
                <w:rFonts w:cs="Courier New"/>
                <w:szCs w:val="20"/>
              </w:rPr>
              <w:t>Software</w:t>
            </w:r>
          </w:p>
        </w:tc>
        <w:tc>
          <w:tcPr>
            <w:tcW w:w="3823" w:type="pct"/>
          </w:tcPr>
          <w:p w14:paraId="23288784" w14:textId="3E9E246E" w:rsidR="003C0323" w:rsidRPr="00967C8A" w:rsidRDefault="003C0323" w:rsidP="004206D2">
            <w:pPr>
              <w:pStyle w:val="TableText"/>
              <w:rPr>
                <w:rFonts w:cs="Courier New"/>
                <w:szCs w:val="20"/>
              </w:rPr>
            </w:pPr>
            <w:r w:rsidRPr="00592304">
              <w:rPr>
                <w:rFonts w:cs="Courier New"/>
                <w:szCs w:val="20"/>
              </w:rPr>
              <w:t>Microsoft Excel</w:t>
            </w:r>
          </w:p>
        </w:tc>
      </w:tr>
    </w:tbl>
    <w:p w14:paraId="0A5DBC78" w14:textId="690B4AFB" w:rsidR="003C0323" w:rsidRDefault="00CE5C78" w:rsidP="00690DB2">
      <w:pPr>
        <w:pStyle w:val="Tablenotes0"/>
      </w:pPr>
      <w:r>
        <w:t xml:space="preserve">AP = </w:t>
      </w:r>
      <w:r w:rsidR="003C0323" w:rsidRPr="00D31DFB">
        <w:t>angina pectoris</w:t>
      </w:r>
      <w:r>
        <w:t xml:space="preserve">; </w:t>
      </w:r>
      <w:r w:rsidR="009D3FD3">
        <w:t xml:space="preserve">CHD = coronary heart disease; </w:t>
      </w:r>
      <w:r w:rsidR="00C844A2">
        <w:t xml:space="preserve">CV = cardiovascular; </w:t>
      </w:r>
      <w:r w:rsidR="004D618F">
        <w:t>CVD = cardiovascular</w:t>
      </w:r>
      <w:r w:rsidR="0044343D">
        <w:t xml:space="preserve"> disease</w:t>
      </w:r>
      <w:r w:rsidR="004D618F">
        <w:t xml:space="preserve">; </w:t>
      </w:r>
      <w:r>
        <w:t xml:space="preserve">ESRD = </w:t>
      </w:r>
      <w:r w:rsidR="003C0323" w:rsidRPr="00D31DFB">
        <w:t>end-stage renal disease</w:t>
      </w:r>
      <w:r>
        <w:t xml:space="preserve">; HF = </w:t>
      </w:r>
      <w:r w:rsidRPr="00D31DFB">
        <w:t>heart failure</w:t>
      </w:r>
      <w:r>
        <w:t xml:space="preserve">; MI = </w:t>
      </w:r>
      <w:r w:rsidRPr="00D31DFB">
        <w:t>myocardial infarction</w:t>
      </w:r>
      <w:r>
        <w:t xml:space="preserve">; </w:t>
      </w:r>
      <w:r w:rsidR="004310E8">
        <w:t xml:space="preserve">mmHg = millimetres of mercury; </w:t>
      </w:r>
      <w:r w:rsidR="001B7AD2">
        <w:t xml:space="preserve">MSAC = Medical Services Advisory Committee; </w:t>
      </w:r>
      <w:r w:rsidR="002866E6">
        <w:t xml:space="preserve">OMM = </w:t>
      </w:r>
      <w:r w:rsidR="002866E6" w:rsidRPr="00637EC9">
        <w:rPr>
          <w:rFonts w:cs="Courier New"/>
        </w:rPr>
        <w:t>optimal medical management</w:t>
      </w:r>
      <w:r w:rsidR="002866E6">
        <w:t xml:space="preserve">; </w:t>
      </w:r>
      <w:r w:rsidR="00A5466D">
        <w:t xml:space="preserve">OSBP = office systolic blood pressure; </w:t>
      </w:r>
      <w:r w:rsidR="00D46154">
        <w:t xml:space="preserve">QALY = quality-adjusted life year; </w:t>
      </w:r>
      <w:r w:rsidR="004D618F">
        <w:t xml:space="preserve">RDN = renal denervation; </w:t>
      </w:r>
      <w:r>
        <w:t>TRHTN = treatment-resistant hypertension</w:t>
      </w:r>
    </w:p>
    <w:p w14:paraId="1025E059" w14:textId="5BD54225" w:rsidR="00897FD0" w:rsidRDefault="00897FD0" w:rsidP="00690DB2">
      <w:pPr>
        <w:pStyle w:val="Tablenotes0"/>
      </w:pPr>
      <w:bookmarkStart w:id="36" w:name="_Ref69725870"/>
      <w:r>
        <w:t xml:space="preserve">Source: Table 78 </w:t>
      </w:r>
      <w:r w:rsidR="001F5035">
        <w:t>in</w:t>
      </w:r>
      <w:r w:rsidR="00643A47">
        <w:t xml:space="preserve"> MSAC 1659 ADAR+in-line commentary</w:t>
      </w:r>
      <w:r>
        <w:t>.</w:t>
      </w:r>
    </w:p>
    <w:p w14:paraId="4913FEE4" w14:textId="76D5D946" w:rsidR="003C0323" w:rsidRDefault="003C0323" w:rsidP="003C0323">
      <w:r>
        <w:t xml:space="preserve">The </w:t>
      </w:r>
      <w:r w:rsidR="00D12CD8">
        <w:t xml:space="preserve">ADAR </w:t>
      </w:r>
      <w:r>
        <w:t xml:space="preserve">results, along with the </w:t>
      </w:r>
      <w:r w:rsidR="00D12CD8">
        <w:t xml:space="preserve">commentary revised </w:t>
      </w:r>
      <w:r>
        <w:t>base case</w:t>
      </w:r>
      <w:r w:rsidR="008025EC">
        <w:t>,</w:t>
      </w:r>
      <w:r>
        <w:t xml:space="preserve"> are provided in </w:t>
      </w:r>
      <w:r>
        <w:fldChar w:fldCharType="begin"/>
      </w:r>
      <w:r>
        <w:instrText xml:space="preserve"> REF _Ref141824753 \h </w:instrText>
      </w:r>
      <w:r>
        <w:fldChar w:fldCharType="separate"/>
      </w:r>
      <w:r w:rsidR="003D5203" w:rsidRPr="00CE28E3">
        <w:t>Table</w:t>
      </w:r>
      <w:r w:rsidR="003D5203">
        <w:t> </w:t>
      </w:r>
      <w:r w:rsidR="003D5203">
        <w:rPr>
          <w:noProof/>
        </w:rPr>
        <w:t>13</w:t>
      </w:r>
      <w:r>
        <w:fldChar w:fldCharType="end"/>
      </w:r>
      <w:r>
        <w:t xml:space="preserve">. </w:t>
      </w:r>
    </w:p>
    <w:p w14:paraId="1F264C9E" w14:textId="2FDE90DC" w:rsidR="003C0323" w:rsidRPr="00CE28E3" w:rsidRDefault="003C0323" w:rsidP="003C0323">
      <w:pPr>
        <w:pStyle w:val="Caption"/>
      </w:pPr>
      <w:bookmarkStart w:id="37" w:name="_Ref141824753"/>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3D5203">
        <w:rPr>
          <w:noProof/>
        </w:rPr>
        <w:t>13</w:t>
      </w:r>
      <w:r w:rsidRPr="00CE28E3">
        <w:rPr>
          <w:noProof/>
        </w:rPr>
        <w:fldChar w:fldCharType="end"/>
      </w:r>
      <w:bookmarkEnd w:id="36"/>
      <w:bookmarkEnd w:id="37"/>
      <w:r w:rsidR="006018B0">
        <w:tab/>
      </w:r>
      <w:r w:rsidRPr="00CE28E3">
        <w:t>Results of the stepped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the stepped economic analysis"/>
        <w:tblDescription w:val="Incremental costs and effectiveness for each step in the economic analysis"/>
      </w:tblPr>
      <w:tblGrid>
        <w:gridCol w:w="2123"/>
        <w:gridCol w:w="1417"/>
        <w:gridCol w:w="1417"/>
        <w:gridCol w:w="992"/>
        <w:gridCol w:w="1134"/>
        <w:gridCol w:w="851"/>
        <w:gridCol w:w="1082"/>
      </w:tblGrid>
      <w:tr w:rsidR="00C9105C" w:rsidRPr="00CE28E3" w14:paraId="780258B5" w14:textId="77777777" w:rsidTr="00C9105C">
        <w:trPr>
          <w:cantSplit/>
          <w:trHeight w:val="167"/>
          <w:tblHeader/>
        </w:trPr>
        <w:tc>
          <w:tcPr>
            <w:tcW w:w="1177" w:type="pct"/>
            <w:tcBorders>
              <w:bottom w:val="single" w:sz="4" w:space="0" w:color="auto"/>
            </w:tcBorders>
          </w:tcPr>
          <w:p w14:paraId="1B56106F" w14:textId="77777777" w:rsidR="003C0323" w:rsidRPr="00CE28E3" w:rsidRDefault="003C0323" w:rsidP="00263BE7">
            <w:pPr>
              <w:pStyle w:val="TableHeading0"/>
              <w:spacing w:before="0" w:after="0"/>
            </w:pPr>
            <w:bookmarkStart w:id="38" w:name="Title_Table6"/>
            <w:bookmarkStart w:id="39" w:name="_Hlk68276518"/>
            <w:bookmarkEnd w:id="38"/>
            <w:r>
              <w:t>Step</w:t>
            </w:r>
          </w:p>
        </w:tc>
        <w:tc>
          <w:tcPr>
            <w:tcW w:w="785" w:type="pct"/>
            <w:tcBorders>
              <w:bottom w:val="single" w:sz="4" w:space="0" w:color="auto"/>
            </w:tcBorders>
          </w:tcPr>
          <w:p w14:paraId="4FC12D4B" w14:textId="77777777" w:rsidR="003C0323" w:rsidRPr="00CE28E3" w:rsidRDefault="003C0323" w:rsidP="00263BE7">
            <w:pPr>
              <w:pStyle w:val="TableHeading0"/>
              <w:spacing w:before="0" w:after="0"/>
            </w:pPr>
            <w:r>
              <w:t>Outcome</w:t>
            </w:r>
          </w:p>
        </w:tc>
        <w:tc>
          <w:tcPr>
            <w:tcW w:w="786" w:type="pct"/>
            <w:tcBorders>
              <w:bottom w:val="single" w:sz="4" w:space="0" w:color="auto"/>
            </w:tcBorders>
          </w:tcPr>
          <w:p w14:paraId="40F36E36" w14:textId="77777777" w:rsidR="003C0323" w:rsidRPr="00CE28E3" w:rsidRDefault="003C0323" w:rsidP="00263BE7">
            <w:pPr>
              <w:pStyle w:val="TableHeading0"/>
              <w:spacing w:before="0" w:after="0"/>
            </w:pPr>
            <w:r>
              <w:t>Costs included</w:t>
            </w:r>
          </w:p>
        </w:tc>
        <w:tc>
          <w:tcPr>
            <w:tcW w:w="550" w:type="pct"/>
            <w:tcBorders>
              <w:bottom w:val="single" w:sz="4" w:space="0" w:color="auto"/>
            </w:tcBorders>
          </w:tcPr>
          <w:p w14:paraId="55D7F0E5" w14:textId="77777777" w:rsidR="003C0323" w:rsidRPr="00CE28E3" w:rsidRDefault="003C0323" w:rsidP="00263BE7">
            <w:pPr>
              <w:pStyle w:val="TableHeading0"/>
              <w:spacing w:before="0" w:after="0"/>
            </w:pPr>
            <w:r>
              <w:t>Duration</w:t>
            </w:r>
          </w:p>
        </w:tc>
        <w:tc>
          <w:tcPr>
            <w:tcW w:w="629" w:type="pct"/>
            <w:tcBorders>
              <w:bottom w:val="single" w:sz="4" w:space="0" w:color="auto"/>
            </w:tcBorders>
          </w:tcPr>
          <w:p w14:paraId="584174E1" w14:textId="77777777" w:rsidR="003C0323" w:rsidRDefault="003C0323" w:rsidP="00263BE7">
            <w:pPr>
              <w:pStyle w:val="TableHeading0"/>
              <w:spacing w:before="0" w:after="0"/>
            </w:pPr>
            <w:r>
              <w:t>IC</w:t>
            </w:r>
          </w:p>
        </w:tc>
        <w:tc>
          <w:tcPr>
            <w:tcW w:w="472" w:type="pct"/>
            <w:tcBorders>
              <w:bottom w:val="single" w:sz="4" w:space="0" w:color="auto"/>
            </w:tcBorders>
          </w:tcPr>
          <w:p w14:paraId="622DC6F5" w14:textId="77777777" w:rsidR="003C0323" w:rsidRDefault="003C0323" w:rsidP="00263BE7">
            <w:pPr>
              <w:pStyle w:val="TableHeading0"/>
              <w:spacing w:before="0" w:after="0"/>
            </w:pPr>
            <w:r>
              <w:t>IE</w:t>
            </w:r>
          </w:p>
        </w:tc>
        <w:tc>
          <w:tcPr>
            <w:tcW w:w="600" w:type="pct"/>
            <w:tcBorders>
              <w:bottom w:val="single" w:sz="4" w:space="0" w:color="auto"/>
            </w:tcBorders>
          </w:tcPr>
          <w:p w14:paraId="1136A270" w14:textId="77777777" w:rsidR="003C0323" w:rsidRDefault="003C0323" w:rsidP="00263BE7">
            <w:pPr>
              <w:pStyle w:val="TableHeading0"/>
              <w:spacing w:before="0" w:after="0"/>
            </w:pPr>
            <w:r>
              <w:t>ICER</w:t>
            </w:r>
          </w:p>
        </w:tc>
      </w:tr>
      <w:tr w:rsidR="00C9105C" w:rsidRPr="00CE28E3" w14:paraId="5489D25D" w14:textId="77777777" w:rsidTr="00C9105C">
        <w:trPr>
          <w:cantSplit/>
          <w:trHeight w:val="323"/>
        </w:trPr>
        <w:tc>
          <w:tcPr>
            <w:tcW w:w="1177" w:type="pct"/>
            <w:tcBorders>
              <w:bottom w:val="dotted" w:sz="4" w:space="0" w:color="auto"/>
            </w:tcBorders>
          </w:tcPr>
          <w:p w14:paraId="0D121689" w14:textId="77777777" w:rsidR="003C0323" w:rsidRPr="00CE28E3" w:rsidRDefault="003C0323" w:rsidP="00263BE7">
            <w:pPr>
              <w:pStyle w:val="TableText"/>
              <w:spacing w:before="0" w:after="0"/>
            </w:pPr>
            <w:r>
              <w:t>1. Trial-based</w:t>
            </w:r>
            <w:r>
              <w:br/>
              <w:t>(overall population)</w:t>
            </w:r>
          </w:p>
        </w:tc>
        <w:tc>
          <w:tcPr>
            <w:tcW w:w="785" w:type="pct"/>
            <w:tcBorders>
              <w:bottom w:val="dotted" w:sz="4" w:space="0" w:color="auto"/>
            </w:tcBorders>
          </w:tcPr>
          <w:p w14:paraId="09F74623" w14:textId="04FD4573" w:rsidR="003C0323" w:rsidRPr="00CE28E3" w:rsidRDefault="003C0323" w:rsidP="00263BE7">
            <w:pPr>
              <w:pStyle w:val="TableTextCA"/>
              <w:spacing w:before="0" w:after="0"/>
              <w:jc w:val="left"/>
            </w:pPr>
            <w:r>
              <w:t xml:space="preserve">mmHg </w:t>
            </w:r>
            <w:r w:rsidR="00292AC6">
              <w:t>reduction SBP</w:t>
            </w:r>
          </w:p>
        </w:tc>
        <w:tc>
          <w:tcPr>
            <w:tcW w:w="786" w:type="pct"/>
            <w:tcBorders>
              <w:bottom w:val="dotted" w:sz="4" w:space="0" w:color="auto"/>
            </w:tcBorders>
          </w:tcPr>
          <w:p w14:paraId="6E4A6150" w14:textId="035DF95D" w:rsidR="003C0323" w:rsidRPr="00CE28E3" w:rsidRDefault="003C0323" w:rsidP="00263BE7">
            <w:pPr>
              <w:pStyle w:val="TableTextCA"/>
              <w:spacing w:before="0" w:after="0"/>
              <w:jc w:val="left"/>
            </w:pPr>
            <w:r>
              <w:t xml:space="preserve">RDN procedure + </w:t>
            </w:r>
            <w:r w:rsidR="00AB3BBB">
              <w:t>anti-</w:t>
            </w:r>
            <w:r>
              <w:t>HT meds</w:t>
            </w:r>
          </w:p>
        </w:tc>
        <w:tc>
          <w:tcPr>
            <w:tcW w:w="550" w:type="pct"/>
            <w:tcBorders>
              <w:bottom w:val="dotted" w:sz="4" w:space="0" w:color="auto"/>
            </w:tcBorders>
          </w:tcPr>
          <w:p w14:paraId="36842789" w14:textId="77777777" w:rsidR="003C0323" w:rsidRPr="00CE28E3" w:rsidRDefault="003C0323" w:rsidP="00263BE7">
            <w:pPr>
              <w:pStyle w:val="TableTextCA"/>
              <w:spacing w:before="0" w:after="0"/>
              <w:jc w:val="left"/>
            </w:pPr>
            <w:r>
              <w:t>6 months</w:t>
            </w:r>
          </w:p>
        </w:tc>
        <w:tc>
          <w:tcPr>
            <w:tcW w:w="629" w:type="pct"/>
            <w:tcBorders>
              <w:bottom w:val="dotted" w:sz="4" w:space="0" w:color="auto"/>
            </w:tcBorders>
          </w:tcPr>
          <w:p w14:paraId="06ED74C9" w14:textId="5B56C02B" w:rsidR="003C0323" w:rsidRPr="002152A4" w:rsidRDefault="006F3C29" w:rsidP="00263BE7">
            <w:pPr>
              <w:pStyle w:val="TableTextCA"/>
              <w:spacing w:before="0" w:after="0"/>
              <w:jc w:val="left"/>
              <w:rPr>
                <w:strike/>
              </w:rPr>
            </w:pPr>
            <w:r w:rsidRPr="00E80189">
              <w:t>$</w:t>
            </w:r>
            <w:r w:rsidRPr="00E80189">
              <w:rPr>
                <w:b/>
                <w:bCs/>
              </w:rPr>
              <w:t>redacted</w:t>
            </w:r>
          </w:p>
        </w:tc>
        <w:tc>
          <w:tcPr>
            <w:tcW w:w="472" w:type="pct"/>
            <w:tcBorders>
              <w:bottom w:val="dotted" w:sz="4" w:space="0" w:color="auto"/>
            </w:tcBorders>
          </w:tcPr>
          <w:p w14:paraId="2A733A2B" w14:textId="47341B2F" w:rsidR="003C0323" w:rsidRPr="00CE28E3" w:rsidRDefault="003C0323" w:rsidP="00263BE7">
            <w:pPr>
              <w:pStyle w:val="TableTextCA"/>
              <w:spacing w:before="0" w:after="0"/>
              <w:jc w:val="left"/>
            </w:pPr>
            <w:r w:rsidRPr="00D03CFE">
              <w:t>4.8</w:t>
            </w:r>
          </w:p>
        </w:tc>
        <w:tc>
          <w:tcPr>
            <w:tcW w:w="600" w:type="pct"/>
            <w:tcBorders>
              <w:bottom w:val="dotted" w:sz="4" w:space="0" w:color="auto"/>
            </w:tcBorders>
          </w:tcPr>
          <w:p w14:paraId="798A952D" w14:textId="78C3B1C6" w:rsidR="003C0323"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5C8CF473" w14:textId="77777777" w:rsidTr="00C9105C">
        <w:trPr>
          <w:cantSplit/>
          <w:trHeight w:val="323"/>
        </w:trPr>
        <w:tc>
          <w:tcPr>
            <w:tcW w:w="1177" w:type="pct"/>
            <w:tcBorders>
              <w:top w:val="dotted" w:sz="4" w:space="0" w:color="auto"/>
              <w:bottom w:val="single" w:sz="4" w:space="0" w:color="auto"/>
            </w:tcBorders>
          </w:tcPr>
          <w:p w14:paraId="35145CAE" w14:textId="56A95E15" w:rsidR="00DA54D4" w:rsidRDefault="00DA54D4" w:rsidP="00263BE7">
            <w:pPr>
              <w:pStyle w:val="TableText"/>
              <w:spacing w:before="0" w:after="0"/>
              <w:ind w:left="309"/>
            </w:pPr>
            <w:r>
              <w:t>Commentary revised</w:t>
            </w:r>
          </w:p>
        </w:tc>
        <w:tc>
          <w:tcPr>
            <w:tcW w:w="785" w:type="pct"/>
            <w:tcBorders>
              <w:top w:val="dotted" w:sz="4" w:space="0" w:color="auto"/>
              <w:bottom w:val="single" w:sz="4" w:space="0" w:color="auto"/>
            </w:tcBorders>
          </w:tcPr>
          <w:p w14:paraId="69345FF1" w14:textId="695C3237" w:rsidR="00DA54D4" w:rsidRDefault="00DA54D4" w:rsidP="00263BE7">
            <w:pPr>
              <w:pStyle w:val="TableTextCA"/>
              <w:spacing w:before="0" w:after="0"/>
              <w:jc w:val="left"/>
            </w:pPr>
          </w:p>
        </w:tc>
        <w:tc>
          <w:tcPr>
            <w:tcW w:w="786" w:type="pct"/>
            <w:tcBorders>
              <w:top w:val="dotted" w:sz="4" w:space="0" w:color="auto"/>
              <w:bottom w:val="single" w:sz="4" w:space="0" w:color="auto"/>
            </w:tcBorders>
          </w:tcPr>
          <w:p w14:paraId="19518D80" w14:textId="1285D063" w:rsidR="00DA54D4" w:rsidRDefault="00DA54D4" w:rsidP="00263BE7">
            <w:pPr>
              <w:pStyle w:val="TableTextCA"/>
              <w:spacing w:before="0" w:after="0"/>
              <w:jc w:val="left"/>
            </w:pPr>
          </w:p>
        </w:tc>
        <w:tc>
          <w:tcPr>
            <w:tcW w:w="550" w:type="pct"/>
            <w:tcBorders>
              <w:top w:val="dotted" w:sz="4" w:space="0" w:color="auto"/>
              <w:bottom w:val="single" w:sz="4" w:space="0" w:color="auto"/>
            </w:tcBorders>
          </w:tcPr>
          <w:p w14:paraId="68AE1F05" w14:textId="32981CD0" w:rsidR="00DA54D4" w:rsidRDefault="00DA54D4" w:rsidP="00263BE7">
            <w:pPr>
              <w:pStyle w:val="TableTextCA"/>
              <w:spacing w:before="0" w:after="0"/>
              <w:jc w:val="left"/>
            </w:pPr>
          </w:p>
        </w:tc>
        <w:tc>
          <w:tcPr>
            <w:tcW w:w="629" w:type="pct"/>
            <w:tcBorders>
              <w:top w:val="dotted" w:sz="4" w:space="0" w:color="auto"/>
              <w:bottom w:val="single" w:sz="4" w:space="0" w:color="auto"/>
            </w:tcBorders>
          </w:tcPr>
          <w:p w14:paraId="7AE8F381" w14:textId="10962FE8" w:rsidR="00DA54D4" w:rsidRPr="00F5453D" w:rsidRDefault="00DA54D4" w:rsidP="00263BE7">
            <w:pPr>
              <w:pStyle w:val="TableTextCA"/>
              <w:spacing w:before="0" w:after="0"/>
              <w:jc w:val="left"/>
              <w:rPr>
                <w:strike/>
              </w:rPr>
            </w:pPr>
          </w:p>
        </w:tc>
        <w:tc>
          <w:tcPr>
            <w:tcW w:w="472" w:type="pct"/>
            <w:tcBorders>
              <w:top w:val="dotted" w:sz="4" w:space="0" w:color="auto"/>
              <w:bottom w:val="single" w:sz="4" w:space="0" w:color="auto"/>
            </w:tcBorders>
          </w:tcPr>
          <w:p w14:paraId="55D2A342" w14:textId="665009AA" w:rsidR="00DA54D4" w:rsidRPr="00064E0A" w:rsidRDefault="00DA54D4" w:rsidP="00263BE7">
            <w:pPr>
              <w:pStyle w:val="TableTextCA"/>
              <w:spacing w:before="0" w:after="0"/>
              <w:jc w:val="left"/>
            </w:pPr>
            <w:r w:rsidRPr="00064E0A">
              <w:t>4.08</w:t>
            </w:r>
            <w:r w:rsidRPr="00064E0A">
              <w:rPr>
                <w:vertAlign w:val="superscript"/>
              </w:rPr>
              <w:t>a</w:t>
            </w:r>
          </w:p>
        </w:tc>
        <w:tc>
          <w:tcPr>
            <w:tcW w:w="600" w:type="pct"/>
            <w:tcBorders>
              <w:top w:val="dotted" w:sz="4" w:space="0" w:color="auto"/>
              <w:bottom w:val="single" w:sz="4" w:space="0" w:color="auto"/>
            </w:tcBorders>
          </w:tcPr>
          <w:p w14:paraId="0CCDFD83" w14:textId="183470F6" w:rsidR="00DA54D4"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34D2812E" w14:textId="77777777" w:rsidTr="00C9105C">
        <w:trPr>
          <w:cantSplit/>
          <w:trHeight w:val="323"/>
        </w:trPr>
        <w:tc>
          <w:tcPr>
            <w:tcW w:w="1177" w:type="pct"/>
            <w:tcBorders>
              <w:bottom w:val="dotted" w:sz="4" w:space="0" w:color="auto"/>
            </w:tcBorders>
          </w:tcPr>
          <w:p w14:paraId="46580CBB" w14:textId="03196F67" w:rsidR="00DA54D4" w:rsidRDefault="00DA54D4" w:rsidP="00263BE7">
            <w:pPr>
              <w:pStyle w:val="TableText"/>
              <w:spacing w:before="0" w:after="0"/>
            </w:pPr>
            <w:r>
              <w:t>2. Trial-based</w:t>
            </w:r>
            <w:r>
              <w:br/>
              <w:t>(MBS subgroup: ≥ 3 meds including a diuretic)</w:t>
            </w:r>
          </w:p>
        </w:tc>
        <w:tc>
          <w:tcPr>
            <w:tcW w:w="785" w:type="pct"/>
            <w:tcBorders>
              <w:bottom w:val="dotted" w:sz="4" w:space="0" w:color="auto"/>
            </w:tcBorders>
          </w:tcPr>
          <w:p w14:paraId="3AED3EB2" w14:textId="6CB890AD" w:rsidR="00DA54D4" w:rsidRDefault="00DA54D4" w:rsidP="00263BE7">
            <w:pPr>
              <w:pStyle w:val="TableTextCA"/>
              <w:spacing w:before="0" w:after="0"/>
              <w:jc w:val="left"/>
            </w:pPr>
            <w:r>
              <w:t xml:space="preserve">mmHg </w:t>
            </w:r>
            <w:r w:rsidR="00292AC6">
              <w:t>reduction SBP</w:t>
            </w:r>
          </w:p>
        </w:tc>
        <w:tc>
          <w:tcPr>
            <w:tcW w:w="786" w:type="pct"/>
            <w:tcBorders>
              <w:bottom w:val="dotted" w:sz="4" w:space="0" w:color="auto"/>
            </w:tcBorders>
          </w:tcPr>
          <w:p w14:paraId="3A8B078F" w14:textId="7F931BEE" w:rsidR="00DA54D4" w:rsidRDefault="00DA54D4" w:rsidP="00263BE7">
            <w:pPr>
              <w:pStyle w:val="TableTextCA"/>
              <w:spacing w:before="0" w:after="0"/>
              <w:jc w:val="left"/>
            </w:pPr>
            <w:r>
              <w:t xml:space="preserve">RDN procedure + </w:t>
            </w:r>
            <w:r w:rsidR="00C9105C">
              <w:t>anti-</w:t>
            </w:r>
            <w:r>
              <w:t>HT meds</w:t>
            </w:r>
          </w:p>
        </w:tc>
        <w:tc>
          <w:tcPr>
            <w:tcW w:w="550" w:type="pct"/>
            <w:tcBorders>
              <w:bottom w:val="dotted" w:sz="4" w:space="0" w:color="auto"/>
            </w:tcBorders>
          </w:tcPr>
          <w:p w14:paraId="02ADCB13" w14:textId="77777777" w:rsidR="00DA54D4" w:rsidRDefault="00DA54D4" w:rsidP="00263BE7">
            <w:pPr>
              <w:pStyle w:val="TableTextCA"/>
              <w:spacing w:before="0" w:after="0"/>
              <w:jc w:val="left"/>
            </w:pPr>
            <w:r>
              <w:t>6 months</w:t>
            </w:r>
          </w:p>
        </w:tc>
        <w:tc>
          <w:tcPr>
            <w:tcW w:w="629" w:type="pct"/>
            <w:tcBorders>
              <w:bottom w:val="dotted" w:sz="4" w:space="0" w:color="auto"/>
            </w:tcBorders>
          </w:tcPr>
          <w:p w14:paraId="60544E60" w14:textId="14AAA48A" w:rsidR="00DA54D4" w:rsidRPr="002152A4" w:rsidRDefault="006F3C29" w:rsidP="00263BE7">
            <w:pPr>
              <w:pStyle w:val="TableTextCA"/>
              <w:spacing w:before="0" w:after="0"/>
              <w:jc w:val="left"/>
              <w:rPr>
                <w:strike/>
              </w:rPr>
            </w:pPr>
            <w:r w:rsidRPr="00E80189">
              <w:t>$</w:t>
            </w:r>
            <w:r w:rsidRPr="00E80189">
              <w:rPr>
                <w:b/>
                <w:bCs/>
              </w:rPr>
              <w:t>redacted</w:t>
            </w:r>
          </w:p>
        </w:tc>
        <w:tc>
          <w:tcPr>
            <w:tcW w:w="472" w:type="pct"/>
            <w:tcBorders>
              <w:bottom w:val="dotted" w:sz="4" w:space="0" w:color="auto"/>
            </w:tcBorders>
          </w:tcPr>
          <w:p w14:paraId="47087CE7" w14:textId="1CA5215B" w:rsidR="00DA54D4" w:rsidRDefault="00DA54D4" w:rsidP="00263BE7">
            <w:pPr>
              <w:pStyle w:val="TableTextCA"/>
              <w:spacing w:before="0" w:after="0"/>
              <w:jc w:val="left"/>
            </w:pPr>
            <w:r w:rsidRPr="00D03CFE">
              <w:t>5.2</w:t>
            </w:r>
          </w:p>
        </w:tc>
        <w:tc>
          <w:tcPr>
            <w:tcW w:w="600" w:type="pct"/>
            <w:tcBorders>
              <w:bottom w:val="dotted" w:sz="4" w:space="0" w:color="auto"/>
            </w:tcBorders>
          </w:tcPr>
          <w:p w14:paraId="142D9C51" w14:textId="483FCD4F" w:rsidR="00DA54D4"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2E1E2192" w14:textId="77777777" w:rsidTr="00C9105C">
        <w:trPr>
          <w:cantSplit/>
          <w:trHeight w:val="323"/>
        </w:trPr>
        <w:tc>
          <w:tcPr>
            <w:tcW w:w="1177" w:type="pct"/>
            <w:tcBorders>
              <w:top w:val="dotted" w:sz="4" w:space="0" w:color="auto"/>
            </w:tcBorders>
          </w:tcPr>
          <w:p w14:paraId="15A00D02" w14:textId="6B3BC13E" w:rsidR="00064E0A" w:rsidRDefault="00064E0A" w:rsidP="00263BE7">
            <w:pPr>
              <w:pStyle w:val="TableText"/>
              <w:spacing w:before="0" w:after="0"/>
              <w:ind w:left="309"/>
            </w:pPr>
            <w:r>
              <w:t>Commentary revised</w:t>
            </w:r>
          </w:p>
        </w:tc>
        <w:tc>
          <w:tcPr>
            <w:tcW w:w="785" w:type="pct"/>
            <w:tcBorders>
              <w:top w:val="dotted" w:sz="4" w:space="0" w:color="auto"/>
            </w:tcBorders>
          </w:tcPr>
          <w:p w14:paraId="381FBAC7" w14:textId="6518424E" w:rsidR="00064E0A" w:rsidRDefault="00064E0A" w:rsidP="00263BE7">
            <w:pPr>
              <w:pStyle w:val="TableTextCA"/>
              <w:spacing w:before="0" w:after="0"/>
              <w:jc w:val="left"/>
            </w:pPr>
          </w:p>
        </w:tc>
        <w:tc>
          <w:tcPr>
            <w:tcW w:w="786" w:type="pct"/>
            <w:tcBorders>
              <w:top w:val="dotted" w:sz="4" w:space="0" w:color="auto"/>
            </w:tcBorders>
          </w:tcPr>
          <w:p w14:paraId="344D2ED9" w14:textId="06C5A59A" w:rsidR="00064E0A" w:rsidRDefault="00064E0A" w:rsidP="00263BE7">
            <w:pPr>
              <w:pStyle w:val="TableTextCA"/>
              <w:spacing w:before="0" w:after="0"/>
              <w:jc w:val="left"/>
            </w:pPr>
          </w:p>
        </w:tc>
        <w:tc>
          <w:tcPr>
            <w:tcW w:w="550" w:type="pct"/>
            <w:tcBorders>
              <w:top w:val="dotted" w:sz="4" w:space="0" w:color="auto"/>
            </w:tcBorders>
          </w:tcPr>
          <w:p w14:paraId="100B0A69" w14:textId="676EABE8" w:rsidR="00064E0A" w:rsidRDefault="00064E0A" w:rsidP="00263BE7">
            <w:pPr>
              <w:pStyle w:val="TableTextCA"/>
              <w:spacing w:before="0" w:after="0"/>
              <w:jc w:val="left"/>
            </w:pPr>
          </w:p>
        </w:tc>
        <w:tc>
          <w:tcPr>
            <w:tcW w:w="629" w:type="pct"/>
            <w:tcBorders>
              <w:top w:val="dotted" w:sz="4" w:space="0" w:color="auto"/>
            </w:tcBorders>
          </w:tcPr>
          <w:p w14:paraId="129B0DE1" w14:textId="1BC5CE82" w:rsidR="00064E0A" w:rsidRPr="00F5453D" w:rsidRDefault="00064E0A" w:rsidP="00263BE7">
            <w:pPr>
              <w:pStyle w:val="TableTextCA"/>
              <w:spacing w:before="0" w:after="0"/>
              <w:jc w:val="left"/>
              <w:rPr>
                <w:strike/>
              </w:rPr>
            </w:pPr>
          </w:p>
        </w:tc>
        <w:tc>
          <w:tcPr>
            <w:tcW w:w="472" w:type="pct"/>
            <w:tcBorders>
              <w:top w:val="dotted" w:sz="4" w:space="0" w:color="auto"/>
            </w:tcBorders>
          </w:tcPr>
          <w:p w14:paraId="617018E6" w14:textId="52B326DA" w:rsidR="00064E0A" w:rsidRPr="00064E0A" w:rsidRDefault="00064E0A" w:rsidP="00263BE7">
            <w:pPr>
              <w:pStyle w:val="TableTextCA"/>
              <w:spacing w:before="0" w:after="0"/>
              <w:jc w:val="left"/>
            </w:pPr>
            <w:r w:rsidRPr="00064E0A">
              <w:t>3.57</w:t>
            </w:r>
            <w:r w:rsidRPr="00064E0A">
              <w:rPr>
                <w:vertAlign w:val="superscript"/>
              </w:rPr>
              <w:t>b</w:t>
            </w:r>
          </w:p>
        </w:tc>
        <w:tc>
          <w:tcPr>
            <w:tcW w:w="600" w:type="pct"/>
            <w:tcBorders>
              <w:top w:val="dotted" w:sz="4" w:space="0" w:color="auto"/>
            </w:tcBorders>
          </w:tcPr>
          <w:p w14:paraId="2478172F" w14:textId="72C7BF15" w:rsidR="00064E0A"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167C1198" w14:textId="77777777" w:rsidTr="00C9105C">
        <w:trPr>
          <w:cantSplit/>
          <w:trHeight w:val="323"/>
        </w:trPr>
        <w:tc>
          <w:tcPr>
            <w:tcW w:w="1177" w:type="pct"/>
          </w:tcPr>
          <w:p w14:paraId="0AB28C91" w14:textId="53E0A703" w:rsidR="00064E0A" w:rsidRDefault="00064E0A" w:rsidP="00263BE7">
            <w:pPr>
              <w:pStyle w:val="TableText"/>
              <w:spacing w:before="0" w:after="0"/>
            </w:pPr>
            <w:r>
              <w:t>3. Modelled evaluation</w:t>
            </w:r>
            <w:r>
              <w:br/>
              <w:t xml:space="preserve">(transform mmHg gained to RR of events, apply patient characteristics of </w:t>
            </w:r>
            <w:r w:rsidR="001B30C7">
              <w:t xml:space="preserve">SPYRAL </w:t>
            </w:r>
            <w:r>
              <w:t>HTN ON-MED MBS subgroup, transform events to mortality)</w:t>
            </w:r>
          </w:p>
        </w:tc>
        <w:tc>
          <w:tcPr>
            <w:tcW w:w="785" w:type="pct"/>
          </w:tcPr>
          <w:p w14:paraId="7EC75BC2" w14:textId="64159A21" w:rsidR="00064E0A" w:rsidRDefault="00064E0A" w:rsidP="00263BE7">
            <w:pPr>
              <w:pStyle w:val="TableTextCA"/>
              <w:spacing w:before="0" w:after="0"/>
              <w:jc w:val="left"/>
            </w:pPr>
            <w:r>
              <w:t>Combined event</w:t>
            </w:r>
            <w:r>
              <w:rPr>
                <w:vertAlign w:val="superscript"/>
              </w:rPr>
              <w:t>c</w:t>
            </w:r>
            <w:r>
              <w:t xml:space="preserve"> avoided </w:t>
            </w:r>
          </w:p>
        </w:tc>
        <w:tc>
          <w:tcPr>
            <w:tcW w:w="786" w:type="pct"/>
          </w:tcPr>
          <w:p w14:paraId="41180D73" w14:textId="0E9001EF" w:rsidR="00064E0A" w:rsidRDefault="00064E0A" w:rsidP="00263BE7">
            <w:pPr>
              <w:pStyle w:val="TableTextCA"/>
              <w:spacing w:before="0" w:after="0"/>
              <w:jc w:val="left"/>
            </w:pPr>
            <w:r>
              <w:t xml:space="preserve">RDN procedure + </w:t>
            </w:r>
            <w:r w:rsidR="00AB3BBB">
              <w:t>anti-</w:t>
            </w:r>
            <w:r>
              <w:t>HT meds</w:t>
            </w:r>
          </w:p>
        </w:tc>
        <w:tc>
          <w:tcPr>
            <w:tcW w:w="550" w:type="pct"/>
          </w:tcPr>
          <w:p w14:paraId="52C8C4E0" w14:textId="77777777" w:rsidR="00064E0A" w:rsidRDefault="00064E0A" w:rsidP="00263BE7">
            <w:pPr>
              <w:pStyle w:val="TableTextCA"/>
              <w:spacing w:before="0" w:after="0"/>
              <w:jc w:val="left"/>
            </w:pPr>
            <w:r>
              <w:t>6 months</w:t>
            </w:r>
          </w:p>
        </w:tc>
        <w:tc>
          <w:tcPr>
            <w:tcW w:w="629" w:type="pct"/>
          </w:tcPr>
          <w:p w14:paraId="7B35A5E1" w14:textId="2338A926" w:rsidR="00064E0A" w:rsidRPr="002152A4" w:rsidRDefault="006F3C29" w:rsidP="00263BE7">
            <w:pPr>
              <w:pStyle w:val="TableTextCA"/>
              <w:spacing w:before="0" w:after="0"/>
              <w:jc w:val="left"/>
              <w:rPr>
                <w:strike/>
              </w:rPr>
            </w:pPr>
            <w:r w:rsidRPr="00E80189">
              <w:t>$</w:t>
            </w:r>
            <w:r w:rsidRPr="00E80189">
              <w:rPr>
                <w:b/>
                <w:bCs/>
              </w:rPr>
              <w:t>redacted</w:t>
            </w:r>
          </w:p>
        </w:tc>
        <w:tc>
          <w:tcPr>
            <w:tcW w:w="472" w:type="pct"/>
          </w:tcPr>
          <w:p w14:paraId="5429A724" w14:textId="77777777" w:rsidR="00064E0A" w:rsidRPr="00CE28E3" w:rsidRDefault="00064E0A" w:rsidP="00263BE7">
            <w:pPr>
              <w:pStyle w:val="TableTextCA"/>
              <w:spacing w:before="0" w:after="0"/>
              <w:jc w:val="left"/>
            </w:pPr>
            <w:r w:rsidRPr="00D03CFE">
              <w:t>0.0037</w:t>
            </w:r>
          </w:p>
        </w:tc>
        <w:tc>
          <w:tcPr>
            <w:tcW w:w="600" w:type="pct"/>
          </w:tcPr>
          <w:p w14:paraId="5CFDFA66" w14:textId="21FD91C5" w:rsidR="00064E0A"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7A39CD15" w14:textId="77777777" w:rsidTr="00C9105C">
        <w:trPr>
          <w:cantSplit/>
          <w:trHeight w:val="323"/>
        </w:trPr>
        <w:tc>
          <w:tcPr>
            <w:tcW w:w="1177" w:type="pct"/>
          </w:tcPr>
          <w:p w14:paraId="30BBB555" w14:textId="77777777" w:rsidR="00064E0A" w:rsidRDefault="00064E0A" w:rsidP="00263BE7">
            <w:pPr>
              <w:pStyle w:val="TableText"/>
              <w:spacing w:before="0" w:after="0"/>
            </w:pPr>
            <w:r>
              <w:t>4. Extrapolate to lifetime</w:t>
            </w:r>
          </w:p>
        </w:tc>
        <w:tc>
          <w:tcPr>
            <w:tcW w:w="785" w:type="pct"/>
          </w:tcPr>
          <w:p w14:paraId="2C2851CD" w14:textId="2F8C37CF" w:rsidR="00064E0A" w:rsidRDefault="00064E0A" w:rsidP="00263BE7">
            <w:pPr>
              <w:pStyle w:val="TableTextCA"/>
              <w:spacing w:before="0" w:after="0"/>
              <w:jc w:val="left"/>
            </w:pPr>
            <w:r>
              <w:t>Combined event</w:t>
            </w:r>
            <w:r>
              <w:rPr>
                <w:vertAlign w:val="superscript"/>
              </w:rPr>
              <w:t>c</w:t>
            </w:r>
            <w:r>
              <w:t xml:space="preserve"> avoided</w:t>
            </w:r>
          </w:p>
        </w:tc>
        <w:tc>
          <w:tcPr>
            <w:tcW w:w="786" w:type="pct"/>
          </w:tcPr>
          <w:p w14:paraId="21D6E9BC" w14:textId="45A6E3D9" w:rsidR="00064E0A" w:rsidRDefault="00064E0A" w:rsidP="00263BE7">
            <w:pPr>
              <w:pStyle w:val="TableTextCA"/>
              <w:spacing w:before="0" w:after="0"/>
              <w:jc w:val="left"/>
            </w:pPr>
            <w:r>
              <w:t xml:space="preserve">RDN procedure + </w:t>
            </w:r>
            <w:r w:rsidR="00AB3BBB">
              <w:t>anti-</w:t>
            </w:r>
            <w:r>
              <w:t>HT meds</w:t>
            </w:r>
          </w:p>
        </w:tc>
        <w:tc>
          <w:tcPr>
            <w:tcW w:w="550" w:type="pct"/>
          </w:tcPr>
          <w:p w14:paraId="4CD196FB" w14:textId="77777777" w:rsidR="00064E0A" w:rsidRDefault="00064E0A" w:rsidP="00263BE7">
            <w:pPr>
              <w:pStyle w:val="TableTextCA"/>
              <w:spacing w:before="0" w:after="0"/>
              <w:jc w:val="left"/>
            </w:pPr>
            <w:r>
              <w:t>34.4 years</w:t>
            </w:r>
          </w:p>
        </w:tc>
        <w:tc>
          <w:tcPr>
            <w:tcW w:w="629" w:type="pct"/>
          </w:tcPr>
          <w:p w14:paraId="1F99F22D" w14:textId="1FB6F226" w:rsidR="00064E0A" w:rsidRPr="002152A4" w:rsidRDefault="006F3C29" w:rsidP="00263BE7">
            <w:pPr>
              <w:pStyle w:val="TableTextCA"/>
              <w:spacing w:before="0" w:after="0"/>
              <w:jc w:val="left"/>
              <w:rPr>
                <w:strike/>
              </w:rPr>
            </w:pPr>
            <w:r w:rsidRPr="00E80189">
              <w:t>$</w:t>
            </w:r>
            <w:r w:rsidRPr="00E80189">
              <w:rPr>
                <w:b/>
                <w:bCs/>
              </w:rPr>
              <w:t>redacted</w:t>
            </w:r>
          </w:p>
        </w:tc>
        <w:tc>
          <w:tcPr>
            <w:tcW w:w="472" w:type="pct"/>
          </w:tcPr>
          <w:p w14:paraId="6FEC7DC3" w14:textId="77777777" w:rsidR="00064E0A" w:rsidRPr="00CE28E3" w:rsidRDefault="00064E0A" w:rsidP="00263BE7">
            <w:pPr>
              <w:pStyle w:val="TableTextCA"/>
              <w:spacing w:before="0" w:after="0"/>
              <w:jc w:val="left"/>
            </w:pPr>
            <w:r w:rsidRPr="00D03CFE">
              <w:t>0.1620</w:t>
            </w:r>
          </w:p>
        </w:tc>
        <w:tc>
          <w:tcPr>
            <w:tcW w:w="600" w:type="pct"/>
          </w:tcPr>
          <w:p w14:paraId="5EA1A4BD" w14:textId="698E7477" w:rsidR="00064E0A"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73AAD201" w14:textId="77777777" w:rsidTr="00C9105C">
        <w:trPr>
          <w:cantSplit/>
          <w:trHeight w:val="350"/>
        </w:trPr>
        <w:tc>
          <w:tcPr>
            <w:tcW w:w="1177" w:type="pct"/>
            <w:tcBorders>
              <w:bottom w:val="single" w:sz="4" w:space="0" w:color="auto"/>
            </w:tcBorders>
          </w:tcPr>
          <w:p w14:paraId="167DAA73" w14:textId="77777777" w:rsidR="00064E0A" w:rsidRPr="00CE28E3" w:rsidRDefault="00064E0A" w:rsidP="00263BE7">
            <w:pPr>
              <w:pStyle w:val="TableText"/>
              <w:spacing w:before="0" w:after="0"/>
            </w:pPr>
            <w:r>
              <w:t>5. Transform events to treatment costs</w:t>
            </w:r>
          </w:p>
        </w:tc>
        <w:tc>
          <w:tcPr>
            <w:tcW w:w="785" w:type="pct"/>
            <w:tcBorders>
              <w:bottom w:val="single" w:sz="4" w:space="0" w:color="auto"/>
            </w:tcBorders>
          </w:tcPr>
          <w:p w14:paraId="6E00AF27" w14:textId="3CE7C932" w:rsidR="00064E0A" w:rsidRPr="00CE28E3" w:rsidRDefault="00064E0A" w:rsidP="00263BE7">
            <w:pPr>
              <w:pStyle w:val="TableTextCA"/>
              <w:spacing w:before="0" w:after="0"/>
              <w:jc w:val="left"/>
            </w:pPr>
            <w:r>
              <w:t>Combined event</w:t>
            </w:r>
            <w:r>
              <w:rPr>
                <w:vertAlign w:val="superscript"/>
              </w:rPr>
              <w:t>c</w:t>
            </w:r>
            <w:r>
              <w:t xml:space="preserve"> avoided</w:t>
            </w:r>
          </w:p>
        </w:tc>
        <w:tc>
          <w:tcPr>
            <w:tcW w:w="786" w:type="pct"/>
            <w:tcBorders>
              <w:bottom w:val="single" w:sz="4" w:space="0" w:color="auto"/>
            </w:tcBorders>
          </w:tcPr>
          <w:p w14:paraId="2B4C5FE8" w14:textId="2E7FD440" w:rsidR="00064E0A" w:rsidRPr="00CE28E3" w:rsidRDefault="00064E0A" w:rsidP="00263BE7">
            <w:pPr>
              <w:pStyle w:val="TableTextCA"/>
              <w:spacing w:before="0" w:after="0"/>
              <w:jc w:val="left"/>
            </w:pPr>
            <w:r>
              <w:t xml:space="preserve">RDN procedure + </w:t>
            </w:r>
            <w:r w:rsidR="00AB3BBB">
              <w:t>anti-</w:t>
            </w:r>
            <w:r>
              <w:t>HT meds + event costs</w:t>
            </w:r>
          </w:p>
        </w:tc>
        <w:tc>
          <w:tcPr>
            <w:tcW w:w="550" w:type="pct"/>
            <w:tcBorders>
              <w:bottom w:val="single" w:sz="4" w:space="0" w:color="auto"/>
            </w:tcBorders>
          </w:tcPr>
          <w:p w14:paraId="2C08211F" w14:textId="77777777" w:rsidR="00064E0A" w:rsidRPr="00CE28E3" w:rsidRDefault="00064E0A" w:rsidP="00263BE7">
            <w:pPr>
              <w:pStyle w:val="TableTextCA"/>
              <w:spacing w:before="0" w:after="0"/>
              <w:jc w:val="left"/>
            </w:pPr>
            <w:r>
              <w:t>34.4 years</w:t>
            </w:r>
          </w:p>
        </w:tc>
        <w:tc>
          <w:tcPr>
            <w:tcW w:w="629" w:type="pct"/>
            <w:tcBorders>
              <w:bottom w:val="single" w:sz="4" w:space="0" w:color="auto"/>
            </w:tcBorders>
          </w:tcPr>
          <w:p w14:paraId="4EEB73EF" w14:textId="1E59AD85" w:rsidR="00064E0A" w:rsidRPr="002152A4" w:rsidRDefault="006F3C29" w:rsidP="00263BE7">
            <w:pPr>
              <w:pStyle w:val="TableTextCA"/>
              <w:spacing w:before="0" w:after="0"/>
              <w:jc w:val="left"/>
              <w:rPr>
                <w:strike/>
              </w:rPr>
            </w:pPr>
            <w:r w:rsidRPr="00E80189">
              <w:t>$</w:t>
            </w:r>
            <w:r w:rsidRPr="00E80189">
              <w:rPr>
                <w:b/>
                <w:bCs/>
              </w:rPr>
              <w:t>redacted</w:t>
            </w:r>
          </w:p>
        </w:tc>
        <w:tc>
          <w:tcPr>
            <w:tcW w:w="472" w:type="pct"/>
            <w:tcBorders>
              <w:bottom w:val="single" w:sz="4" w:space="0" w:color="auto"/>
            </w:tcBorders>
          </w:tcPr>
          <w:p w14:paraId="39CB7137" w14:textId="77777777" w:rsidR="00064E0A" w:rsidRPr="00CE28E3" w:rsidRDefault="00064E0A" w:rsidP="00263BE7">
            <w:pPr>
              <w:pStyle w:val="TableTextCA"/>
              <w:spacing w:before="0" w:after="0"/>
              <w:jc w:val="left"/>
            </w:pPr>
            <w:r w:rsidRPr="00D03CFE">
              <w:t>0.1620</w:t>
            </w:r>
          </w:p>
        </w:tc>
        <w:tc>
          <w:tcPr>
            <w:tcW w:w="600" w:type="pct"/>
            <w:tcBorders>
              <w:bottom w:val="single" w:sz="4" w:space="0" w:color="auto"/>
            </w:tcBorders>
          </w:tcPr>
          <w:p w14:paraId="4CC31935" w14:textId="708789B9" w:rsidR="00064E0A"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1A858500" w14:textId="77777777" w:rsidTr="00C9105C">
        <w:trPr>
          <w:cantSplit/>
          <w:trHeight w:val="350"/>
        </w:trPr>
        <w:tc>
          <w:tcPr>
            <w:tcW w:w="1177" w:type="pct"/>
            <w:tcBorders>
              <w:bottom w:val="dotted" w:sz="4" w:space="0" w:color="auto"/>
            </w:tcBorders>
          </w:tcPr>
          <w:p w14:paraId="7B4762B3" w14:textId="77777777" w:rsidR="00064E0A" w:rsidRDefault="00064E0A" w:rsidP="00263BE7">
            <w:pPr>
              <w:pStyle w:val="TableText"/>
              <w:spacing w:before="0" w:after="0"/>
            </w:pPr>
            <w:r>
              <w:t>6. Transform events to QALYs</w:t>
            </w:r>
          </w:p>
        </w:tc>
        <w:tc>
          <w:tcPr>
            <w:tcW w:w="785" w:type="pct"/>
            <w:tcBorders>
              <w:bottom w:val="dotted" w:sz="4" w:space="0" w:color="auto"/>
            </w:tcBorders>
          </w:tcPr>
          <w:p w14:paraId="7CA2746B" w14:textId="77777777" w:rsidR="00064E0A" w:rsidRDefault="00064E0A" w:rsidP="00263BE7">
            <w:pPr>
              <w:pStyle w:val="TableTextCA"/>
              <w:spacing w:before="0" w:after="0"/>
              <w:jc w:val="left"/>
            </w:pPr>
            <w:r>
              <w:t>QALYs gained</w:t>
            </w:r>
          </w:p>
        </w:tc>
        <w:tc>
          <w:tcPr>
            <w:tcW w:w="786" w:type="pct"/>
            <w:tcBorders>
              <w:bottom w:val="dotted" w:sz="4" w:space="0" w:color="auto"/>
            </w:tcBorders>
          </w:tcPr>
          <w:p w14:paraId="7F5935C3" w14:textId="78FE5B9C" w:rsidR="00064E0A" w:rsidRDefault="00064E0A" w:rsidP="00263BE7">
            <w:pPr>
              <w:pStyle w:val="TableTextCA"/>
              <w:spacing w:before="0" w:after="0"/>
              <w:jc w:val="left"/>
            </w:pPr>
            <w:r>
              <w:t xml:space="preserve">RDN procedure + </w:t>
            </w:r>
            <w:r w:rsidR="003D6AE5">
              <w:t>anti-</w:t>
            </w:r>
            <w:r>
              <w:t>HT meds + event costs</w:t>
            </w:r>
          </w:p>
        </w:tc>
        <w:tc>
          <w:tcPr>
            <w:tcW w:w="550" w:type="pct"/>
            <w:tcBorders>
              <w:bottom w:val="dotted" w:sz="4" w:space="0" w:color="auto"/>
            </w:tcBorders>
          </w:tcPr>
          <w:p w14:paraId="1C7074A6" w14:textId="77777777" w:rsidR="00064E0A" w:rsidRDefault="00064E0A" w:rsidP="00263BE7">
            <w:pPr>
              <w:pStyle w:val="TableTextCA"/>
              <w:spacing w:before="0" w:after="0"/>
              <w:jc w:val="left"/>
            </w:pPr>
            <w:r>
              <w:t>34.4 years</w:t>
            </w:r>
          </w:p>
        </w:tc>
        <w:tc>
          <w:tcPr>
            <w:tcW w:w="629" w:type="pct"/>
            <w:tcBorders>
              <w:bottom w:val="dotted" w:sz="4" w:space="0" w:color="auto"/>
            </w:tcBorders>
          </w:tcPr>
          <w:p w14:paraId="2137D30E" w14:textId="43EAAB6F" w:rsidR="00064E0A" w:rsidRPr="002152A4" w:rsidRDefault="006F3C29" w:rsidP="00263BE7">
            <w:pPr>
              <w:pStyle w:val="TableTextCA"/>
              <w:spacing w:before="0" w:after="0"/>
              <w:jc w:val="left"/>
              <w:rPr>
                <w:strike/>
              </w:rPr>
            </w:pPr>
            <w:r w:rsidRPr="00E80189">
              <w:t>$</w:t>
            </w:r>
            <w:r w:rsidRPr="00E80189">
              <w:rPr>
                <w:b/>
                <w:bCs/>
              </w:rPr>
              <w:t>redacted</w:t>
            </w:r>
          </w:p>
        </w:tc>
        <w:tc>
          <w:tcPr>
            <w:tcW w:w="472" w:type="pct"/>
            <w:tcBorders>
              <w:bottom w:val="dotted" w:sz="4" w:space="0" w:color="auto"/>
            </w:tcBorders>
          </w:tcPr>
          <w:p w14:paraId="75A89640" w14:textId="77777777" w:rsidR="00064E0A" w:rsidRPr="00B82165" w:rsidRDefault="00064E0A" w:rsidP="00263BE7">
            <w:pPr>
              <w:pStyle w:val="TableTextCA"/>
              <w:spacing w:before="0" w:after="0"/>
              <w:jc w:val="left"/>
            </w:pPr>
            <w:r w:rsidRPr="00D03CFE">
              <w:t>0.2795</w:t>
            </w:r>
          </w:p>
        </w:tc>
        <w:tc>
          <w:tcPr>
            <w:tcW w:w="600" w:type="pct"/>
            <w:tcBorders>
              <w:bottom w:val="dotted" w:sz="4" w:space="0" w:color="auto"/>
            </w:tcBorders>
          </w:tcPr>
          <w:p w14:paraId="3377EB2A" w14:textId="619BCB89" w:rsidR="00064E0A" w:rsidRPr="002152A4" w:rsidRDefault="006F3C29" w:rsidP="00263BE7">
            <w:pPr>
              <w:pStyle w:val="TableTextCA"/>
              <w:spacing w:before="0" w:after="0"/>
              <w:jc w:val="left"/>
              <w:rPr>
                <w:strike/>
              </w:rPr>
            </w:pPr>
            <w:r w:rsidRPr="00E80189">
              <w:t>$</w:t>
            </w:r>
            <w:r w:rsidRPr="00E80189">
              <w:rPr>
                <w:b/>
                <w:bCs/>
              </w:rPr>
              <w:t>redacted</w:t>
            </w:r>
          </w:p>
        </w:tc>
      </w:tr>
      <w:tr w:rsidR="00C9105C" w:rsidRPr="00CE28E3" w14:paraId="5C06013A" w14:textId="77777777" w:rsidTr="00C9105C">
        <w:trPr>
          <w:cantSplit/>
          <w:trHeight w:val="350"/>
        </w:trPr>
        <w:tc>
          <w:tcPr>
            <w:tcW w:w="1177" w:type="pct"/>
            <w:tcBorders>
              <w:top w:val="dotted" w:sz="4" w:space="0" w:color="auto"/>
            </w:tcBorders>
          </w:tcPr>
          <w:p w14:paraId="50462255" w14:textId="340CD72B" w:rsidR="00BC1814" w:rsidRDefault="00D17EFC" w:rsidP="00263BE7">
            <w:pPr>
              <w:pStyle w:val="TableText"/>
              <w:spacing w:before="0" w:after="0"/>
              <w:ind w:left="309"/>
            </w:pPr>
            <w:r>
              <w:t xml:space="preserve">Commentary revised </w:t>
            </w:r>
          </w:p>
        </w:tc>
        <w:tc>
          <w:tcPr>
            <w:tcW w:w="785" w:type="pct"/>
            <w:tcBorders>
              <w:top w:val="dotted" w:sz="4" w:space="0" w:color="auto"/>
            </w:tcBorders>
          </w:tcPr>
          <w:p w14:paraId="2D9FEC73" w14:textId="77777777" w:rsidR="00BC1814" w:rsidRDefault="00BC1814" w:rsidP="00263BE7">
            <w:pPr>
              <w:pStyle w:val="TableTextCA"/>
              <w:spacing w:before="0" w:after="0"/>
              <w:jc w:val="left"/>
            </w:pPr>
          </w:p>
        </w:tc>
        <w:tc>
          <w:tcPr>
            <w:tcW w:w="786" w:type="pct"/>
            <w:tcBorders>
              <w:top w:val="dotted" w:sz="4" w:space="0" w:color="auto"/>
            </w:tcBorders>
          </w:tcPr>
          <w:p w14:paraId="6B3EBBE3" w14:textId="77777777" w:rsidR="00BC1814" w:rsidRDefault="00BC1814" w:rsidP="00263BE7">
            <w:pPr>
              <w:pStyle w:val="TableTextCA"/>
              <w:spacing w:before="0" w:after="0"/>
              <w:jc w:val="left"/>
            </w:pPr>
          </w:p>
        </w:tc>
        <w:tc>
          <w:tcPr>
            <w:tcW w:w="550" w:type="pct"/>
            <w:tcBorders>
              <w:top w:val="dotted" w:sz="4" w:space="0" w:color="auto"/>
            </w:tcBorders>
          </w:tcPr>
          <w:p w14:paraId="60BAD193" w14:textId="77777777" w:rsidR="00BC1814" w:rsidRDefault="00BC1814" w:rsidP="00263BE7">
            <w:pPr>
              <w:pStyle w:val="TableTextCA"/>
              <w:spacing w:before="0" w:after="0"/>
              <w:jc w:val="left"/>
            </w:pPr>
          </w:p>
        </w:tc>
        <w:tc>
          <w:tcPr>
            <w:tcW w:w="629" w:type="pct"/>
            <w:tcBorders>
              <w:top w:val="dotted" w:sz="4" w:space="0" w:color="auto"/>
            </w:tcBorders>
          </w:tcPr>
          <w:p w14:paraId="7A06D3A2" w14:textId="77777777" w:rsidR="00BC1814" w:rsidRPr="00D03CFE" w:rsidRDefault="00BC1814" w:rsidP="00263BE7">
            <w:pPr>
              <w:pStyle w:val="TableTextCA"/>
              <w:spacing w:before="0" w:after="0"/>
              <w:jc w:val="left"/>
            </w:pPr>
          </w:p>
        </w:tc>
        <w:tc>
          <w:tcPr>
            <w:tcW w:w="472" w:type="pct"/>
            <w:tcBorders>
              <w:top w:val="dotted" w:sz="4" w:space="0" w:color="auto"/>
            </w:tcBorders>
          </w:tcPr>
          <w:p w14:paraId="72F1E8E2" w14:textId="77777777" w:rsidR="00BC1814" w:rsidRPr="00D03CFE" w:rsidRDefault="00BC1814" w:rsidP="00263BE7">
            <w:pPr>
              <w:pStyle w:val="TableTextCA"/>
              <w:spacing w:before="0" w:after="0"/>
              <w:jc w:val="left"/>
            </w:pPr>
          </w:p>
        </w:tc>
        <w:tc>
          <w:tcPr>
            <w:tcW w:w="600" w:type="pct"/>
            <w:tcBorders>
              <w:top w:val="dotted" w:sz="4" w:space="0" w:color="auto"/>
            </w:tcBorders>
          </w:tcPr>
          <w:p w14:paraId="458009D5" w14:textId="5279D778" w:rsidR="00BC1814" w:rsidRPr="002152A4" w:rsidRDefault="006B51C7" w:rsidP="00263BE7">
            <w:pPr>
              <w:pStyle w:val="TableTextCA"/>
              <w:spacing w:before="0" w:after="0"/>
              <w:jc w:val="left"/>
              <w:rPr>
                <w:strike/>
              </w:rPr>
            </w:pPr>
            <w:r w:rsidRPr="00E80189">
              <w:t>$</w:t>
            </w:r>
            <w:r w:rsidRPr="00E80189">
              <w:rPr>
                <w:b/>
                <w:bCs/>
              </w:rPr>
              <w:t>redacted</w:t>
            </w:r>
            <w:r w:rsidR="00B3510C" w:rsidRPr="006B51C7">
              <w:rPr>
                <w:vertAlign w:val="superscript"/>
              </w:rPr>
              <w:t>b</w:t>
            </w:r>
          </w:p>
        </w:tc>
      </w:tr>
    </w:tbl>
    <w:p w14:paraId="6CF38CD3" w14:textId="333FB7DA" w:rsidR="005524D8" w:rsidRDefault="007859A0" w:rsidP="00263BE7">
      <w:pPr>
        <w:pStyle w:val="Tablenotes0"/>
        <w:spacing w:before="0" w:line="240" w:lineRule="auto"/>
      </w:pPr>
      <w:r>
        <w:t>a</w:t>
      </w:r>
      <w:r w:rsidR="002E67E0">
        <w:t xml:space="preserve">nti-HT = antihypertensive; </w:t>
      </w:r>
      <w:r w:rsidR="008634FB">
        <w:t xml:space="preserve">HTN = hypertension; </w:t>
      </w:r>
      <w:r w:rsidR="003C0323">
        <w:t>IC = incremental cost</w:t>
      </w:r>
      <w:r w:rsidR="00CD1A0F">
        <w:t>;</w:t>
      </w:r>
      <w:r w:rsidR="003C0323">
        <w:t xml:space="preserve"> </w:t>
      </w:r>
      <w:r w:rsidR="003C0323" w:rsidRPr="006F7FDC">
        <w:t>ICER = incremental cost-effective</w:t>
      </w:r>
      <w:r w:rsidR="00332652">
        <w:t>ness</w:t>
      </w:r>
      <w:r w:rsidR="003C0323" w:rsidRPr="006F7FDC">
        <w:t xml:space="preserve"> ratio</w:t>
      </w:r>
      <w:r w:rsidR="00CD1A0F">
        <w:t>;</w:t>
      </w:r>
      <w:r w:rsidR="003C0323">
        <w:t xml:space="preserve"> IE = incremental effectiveness</w:t>
      </w:r>
      <w:r w:rsidR="00CD1A0F">
        <w:t>;</w:t>
      </w:r>
      <w:r w:rsidR="003C0323" w:rsidRPr="006F7FDC">
        <w:t xml:space="preserve"> </w:t>
      </w:r>
      <w:r w:rsidR="000F0B66">
        <w:t xml:space="preserve">MBS = Medicare Benefits Schedule; </w:t>
      </w:r>
      <w:r w:rsidR="002E67E0">
        <w:t>meds = medicati</w:t>
      </w:r>
      <w:r w:rsidR="00A61564">
        <w:t xml:space="preserve">ons; </w:t>
      </w:r>
      <w:r w:rsidR="001507E6">
        <w:t xml:space="preserve">mmHg = millimetres of mercury; </w:t>
      </w:r>
      <w:r w:rsidR="00CD1A0F" w:rsidRPr="006F7FDC">
        <w:t>QALYs = quality-adjusted life years</w:t>
      </w:r>
      <w:r w:rsidR="008634FB">
        <w:t xml:space="preserve">; </w:t>
      </w:r>
      <w:r w:rsidR="003C0323" w:rsidRPr="006F7FDC">
        <w:t>RDN = renal denervation</w:t>
      </w:r>
      <w:r w:rsidR="008634FB">
        <w:t>; RR = relative risk</w:t>
      </w:r>
      <w:r w:rsidR="00705323">
        <w:t>; SBP = systolic blood pressure</w:t>
      </w:r>
    </w:p>
    <w:p w14:paraId="3E0DBCE2" w14:textId="2E3AC85B" w:rsidR="00F9135C" w:rsidRDefault="005524D8" w:rsidP="00263BE7">
      <w:pPr>
        <w:pStyle w:val="Tablenotes0"/>
        <w:spacing w:line="240" w:lineRule="auto"/>
      </w:pPr>
      <w:r>
        <w:t xml:space="preserve">a </w:t>
      </w:r>
      <w:r w:rsidR="00F9135C">
        <w:t xml:space="preserve">Derived from meta-analysis of </w:t>
      </w:r>
      <w:r w:rsidR="001507E6">
        <w:t xml:space="preserve">SYMPLICITY </w:t>
      </w:r>
      <w:r w:rsidR="00F9135C">
        <w:t xml:space="preserve">HTN-3 and </w:t>
      </w:r>
      <w:r w:rsidR="001507E6">
        <w:t xml:space="preserve">SPYRAL </w:t>
      </w:r>
      <w:r w:rsidR="00F9135C">
        <w:t>HTN-ON MED populations.</w:t>
      </w:r>
    </w:p>
    <w:p w14:paraId="40FBCABA" w14:textId="22C15646" w:rsidR="00F9135C" w:rsidRDefault="005614C7" w:rsidP="00263BE7">
      <w:pPr>
        <w:pStyle w:val="Tablenotes0"/>
        <w:spacing w:line="240" w:lineRule="auto"/>
      </w:pPr>
      <w:r>
        <w:t xml:space="preserve">b Derived from meta-analysis of </w:t>
      </w:r>
      <w:r w:rsidR="001507E6">
        <w:t xml:space="preserve">SYMPLICITY </w:t>
      </w:r>
      <w:r>
        <w:t xml:space="preserve">HTN-3 and </w:t>
      </w:r>
      <w:r w:rsidR="001507E6">
        <w:t xml:space="preserve">SPYRAL </w:t>
      </w:r>
      <w:r>
        <w:t>HTN-ON MED subgroup on ≥3 antihypertensive medication classes, including a diuretic.</w:t>
      </w:r>
    </w:p>
    <w:p w14:paraId="566E6ECA" w14:textId="331182E0" w:rsidR="005524D8" w:rsidRDefault="00F9135C" w:rsidP="00263BE7">
      <w:pPr>
        <w:pStyle w:val="Tablenotes0"/>
        <w:spacing w:line="240" w:lineRule="auto"/>
      </w:pPr>
      <w:r>
        <w:t xml:space="preserve">c </w:t>
      </w:r>
      <w:r w:rsidR="005524D8" w:rsidRPr="007678AE">
        <w:t>Combined incidence of AP/Other CHD, MI, Stroke, HF, CV death</w:t>
      </w:r>
      <w:r w:rsidR="003D6BA2">
        <w:t>.</w:t>
      </w:r>
    </w:p>
    <w:p w14:paraId="3851B047" w14:textId="61E5FEB8" w:rsidR="000714E4" w:rsidRPr="000E3D22" w:rsidRDefault="000714E4" w:rsidP="00263BE7">
      <w:pPr>
        <w:pStyle w:val="Tablenotes0"/>
        <w:spacing w:line="240" w:lineRule="auto"/>
      </w:pPr>
      <w:r w:rsidRPr="0007015D">
        <w:t xml:space="preserve">Source: </w:t>
      </w:r>
      <w:r w:rsidR="006D4320">
        <w:t xml:space="preserve">Derived from </w:t>
      </w:r>
      <w:r w:rsidR="0007015D" w:rsidRPr="0007015D">
        <w:t>Table 110</w:t>
      </w:r>
      <w:r w:rsidR="0007015D">
        <w:t xml:space="preserve"> </w:t>
      </w:r>
      <w:r w:rsidR="00E67495">
        <w:t>in</w:t>
      </w:r>
      <w:r w:rsidR="0062699B">
        <w:t xml:space="preserve"> </w:t>
      </w:r>
      <w:r w:rsidR="00BE3500">
        <w:t>MSAC 1659 ADAR+in-line commentary</w:t>
      </w:r>
      <w:r w:rsidR="0007015D">
        <w:t>.</w:t>
      </w:r>
    </w:p>
    <w:bookmarkEnd w:id="39"/>
    <w:p w14:paraId="5E2B1A85" w14:textId="2937445D" w:rsidR="003C0323" w:rsidRPr="003251C2" w:rsidRDefault="003C0323" w:rsidP="003C0323">
      <w:r>
        <w:t>The overall base case</w:t>
      </w:r>
      <w:r w:rsidRPr="003251C2">
        <w:t xml:space="preserve"> results </w:t>
      </w:r>
      <w:r>
        <w:t xml:space="preserve">are presented in </w:t>
      </w:r>
      <w:r>
        <w:fldChar w:fldCharType="begin"/>
      </w:r>
      <w:r>
        <w:instrText xml:space="preserve"> REF _Ref69726284 \h  \* MERGEFORMAT </w:instrText>
      </w:r>
      <w:r>
        <w:fldChar w:fldCharType="separate"/>
      </w:r>
      <w:r w:rsidR="003D5203" w:rsidRPr="00CE28E3">
        <w:t>Table</w:t>
      </w:r>
      <w:r w:rsidR="003D5203">
        <w:t> 14</w:t>
      </w:r>
      <w:r>
        <w:fldChar w:fldCharType="end"/>
      </w:r>
      <w:r w:rsidR="00874CBB">
        <w:t xml:space="preserve">, along with the </w:t>
      </w:r>
      <w:r w:rsidR="003A4789">
        <w:t xml:space="preserve">commentary revised </w:t>
      </w:r>
      <w:r w:rsidR="00874CBB">
        <w:t>base case</w:t>
      </w:r>
      <w:r>
        <w:t>.</w:t>
      </w:r>
    </w:p>
    <w:p w14:paraId="36A54E89" w14:textId="6696A440" w:rsidR="003C0323" w:rsidRPr="00CE28E3" w:rsidRDefault="003C0323" w:rsidP="003C0323">
      <w:pPr>
        <w:pStyle w:val="Caption"/>
      </w:pPr>
      <w:bookmarkStart w:id="40" w:name="_Ref69726284"/>
      <w:r w:rsidRPr="00CE28E3">
        <w:t>Table</w:t>
      </w:r>
      <w:r>
        <w:t> </w:t>
      </w:r>
      <w:r>
        <w:fldChar w:fldCharType="begin"/>
      </w:r>
      <w:r>
        <w:instrText>SEQ Table \* ARABIC</w:instrText>
      </w:r>
      <w:r>
        <w:fldChar w:fldCharType="separate"/>
      </w:r>
      <w:r w:rsidR="003D5203">
        <w:rPr>
          <w:noProof/>
        </w:rPr>
        <w:t>14</w:t>
      </w:r>
      <w:r>
        <w:fldChar w:fldCharType="end"/>
      </w:r>
      <w:bookmarkEnd w:id="40"/>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the economic evaluation"/>
        <w:tblDescription w:val="Costs, QALYs and ICER for ADAR base case and commentary revised base case"/>
      </w:tblPr>
      <w:tblGrid>
        <w:gridCol w:w="3257"/>
        <w:gridCol w:w="1965"/>
        <w:gridCol w:w="1897"/>
        <w:gridCol w:w="1897"/>
      </w:tblGrid>
      <w:tr w:rsidR="003C0323" w:rsidRPr="00CE28E3" w14:paraId="5525AC7A" w14:textId="77777777" w:rsidTr="00F71956">
        <w:trPr>
          <w:cantSplit/>
          <w:trHeight w:val="271"/>
          <w:tblHeader/>
        </w:trPr>
        <w:tc>
          <w:tcPr>
            <w:tcW w:w="1806" w:type="pct"/>
            <w:tcBorders>
              <w:bottom w:val="single" w:sz="4" w:space="0" w:color="auto"/>
            </w:tcBorders>
          </w:tcPr>
          <w:p w14:paraId="7EC2BF06" w14:textId="77777777" w:rsidR="003C0323" w:rsidRPr="00CE28E3" w:rsidRDefault="003C0323" w:rsidP="00A47B5B">
            <w:pPr>
              <w:pStyle w:val="TableHeading0"/>
            </w:pPr>
            <w:bookmarkStart w:id="41" w:name="_Hlk68276600"/>
            <w:r>
              <w:t>Item</w:t>
            </w:r>
          </w:p>
        </w:tc>
        <w:tc>
          <w:tcPr>
            <w:tcW w:w="1090" w:type="pct"/>
            <w:tcBorders>
              <w:bottom w:val="single" w:sz="4" w:space="0" w:color="auto"/>
            </w:tcBorders>
          </w:tcPr>
          <w:p w14:paraId="1027408B" w14:textId="175E99EF" w:rsidR="003C0323" w:rsidRPr="00CE28E3" w:rsidRDefault="003C0323" w:rsidP="00F71956">
            <w:pPr>
              <w:pStyle w:val="TableHeading0"/>
            </w:pPr>
            <w:r>
              <w:t>RDN</w:t>
            </w:r>
            <w:r w:rsidR="00356E14">
              <w:t xml:space="preserve"> + OMM</w:t>
            </w:r>
          </w:p>
        </w:tc>
        <w:tc>
          <w:tcPr>
            <w:tcW w:w="1052" w:type="pct"/>
            <w:tcBorders>
              <w:bottom w:val="single" w:sz="4" w:space="0" w:color="auto"/>
            </w:tcBorders>
          </w:tcPr>
          <w:p w14:paraId="4CE3D59C" w14:textId="6732DAB6" w:rsidR="003C0323" w:rsidRPr="00CE28E3" w:rsidRDefault="009E0DD1" w:rsidP="00F71956">
            <w:pPr>
              <w:pStyle w:val="TableHeading0"/>
            </w:pPr>
            <w:r>
              <w:t>O</w:t>
            </w:r>
            <w:r w:rsidR="00356E14">
              <w:t>MM alone</w:t>
            </w:r>
          </w:p>
        </w:tc>
        <w:tc>
          <w:tcPr>
            <w:tcW w:w="1052" w:type="pct"/>
          </w:tcPr>
          <w:p w14:paraId="5B869597" w14:textId="77777777" w:rsidR="003C0323" w:rsidRPr="00CE28E3" w:rsidRDefault="003C0323" w:rsidP="00F71956">
            <w:pPr>
              <w:pStyle w:val="TableHeading0"/>
            </w:pPr>
            <w:r>
              <w:t>Incremental</w:t>
            </w:r>
          </w:p>
        </w:tc>
      </w:tr>
      <w:tr w:rsidR="008A2883" w:rsidRPr="00CE28E3" w14:paraId="15D9C3D3" w14:textId="77777777" w:rsidTr="008A2883">
        <w:trPr>
          <w:cantSplit/>
        </w:trPr>
        <w:tc>
          <w:tcPr>
            <w:tcW w:w="1806" w:type="pct"/>
            <w:tcBorders>
              <w:right w:val="nil"/>
            </w:tcBorders>
            <w:vAlign w:val="center"/>
          </w:tcPr>
          <w:p w14:paraId="7ABDDDCB" w14:textId="484665F2" w:rsidR="008A2883" w:rsidRPr="00312E55" w:rsidRDefault="008A2883">
            <w:pPr>
              <w:pStyle w:val="TableTextCA"/>
              <w:keepNext/>
              <w:jc w:val="left"/>
              <w:rPr>
                <w:b/>
                <w:bCs/>
                <w:szCs w:val="20"/>
              </w:rPr>
            </w:pPr>
            <w:r w:rsidRPr="00312E55">
              <w:rPr>
                <w:b/>
                <w:bCs/>
                <w:szCs w:val="20"/>
              </w:rPr>
              <w:t>ADAR base case</w:t>
            </w:r>
          </w:p>
        </w:tc>
        <w:tc>
          <w:tcPr>
            <w:tcW w:w="1090" w:type="pct"/>
            <w:tcBorders>
              <w:left w:val="nil"/>
              <w:right w:val="nil"/>
            </w:tcBorders>
            <w:vAlign w:val="center"/>
          </w:tcPr>
          <w:p w14:paraId="60F2A79C" w14:textId="77777777" w:rsidR="008A2883" w:rsidRPr="00312E55" w:rsidRDefault="008A2883">
            <w:pPr>
              <w:pStyle w:val="TableTextCA"/>
              <w:keepNext/>
              <w:jc w:val="left"/>
              <w:rPr>
                <w:b/>
                <w:bCs/>
                <w:szCs w:val="20"/>
              </w:rPr>
            </w:pPr>
          </w:p>
        </w:tc>
        <w:tc>
          <w:tcPr>
            <w:tcW w:w="1052" w:type="pct"/>
            <w:tcBorders>
              <w:left w:val="nil"/>
              <w:right w:val="nil"/>
            </w:tcBorders>
            <w:vAlign w:val="center"/>
          </w:tcPr>
          <w:p w14:paraId="5814F70B" w14:textId="77777777" w:rsidR="008A2883" w:rsidRPr="00312E55" w:rsidRDefault="008A2883">
            <w:pPr>
              <w:pStyle w:val="TableTextCA"/>
              <w:keepNext/>
              <w:jc w:val="left"/>
              <w:rPr>
                <w:b/>
                <w:bCs/>
                <w:szCs w:val="20"/>
              </w:rPr>
            </w:pPr>
          </w:p>
        </w:tc>
        <w:tc>
          <w:tcPr>
            <w:tcW w:w="1052" w:type="pct"/>
            <w:tcBorders>
              <w:left w:val="nil"/>
            </w:tcBorders>
            <w:vAlign w:val="center"/>
          </w:tcPr>
          <w:p w14:paraId="3A1D6C8A" w14:textId="53DA5A0F" w:rsidR="008A2883" w:rsidRPr="00312E55" w:rsidRDefault="008A2883" w:rsidP="00F71956">
            <w:pPr>
              <w:pStyle w:val="TableTextCA"/>
              <w:keepNext/>
              <w:jc w:val="left"/>
              <w:rPr>
                <w:b/>
                <w:bCs/>
                <w:szCs w:val="20"/>
              </w:rPr>
            </w:pPr>
          </w:p>
        </w:tc>
      </w:tr>
      <w:tr w:rsidR="003C0323" w:rsidRPr="00CE28E3" w14:paraId="680F99AC" w14:textId="77777777" w:rsidTr="008A2883">
        <w:trPr>
          <w:cantSplit/>
        </w:trPr>
        <w:tc>
          <w:tcPr>
            <w:tcW w:w="1806" w:type="pct"/>
          </w:tcPr>
          <w:p w14:paraId="2156B05E" w14:textId="77777777" w:rsidR="003C0323" w:rsidRPr="006F626C" w:rsidRDefault="003C0323">
            <w:pPr>
              <w:pStyle w:val="TableText"/>
              <w:keepNext/>
              <w:rPr>
                <w:szCs w:val="20"/>
              </w:rPr>
            </w:pPr>
            <w:r w:rsidRPr="006F626C">
              <w:rPr>
                <w:szCs w:val="20"/>
              </w:rPr>
              <w:t>Total costs</w:t>
            </w:r>
          </w:p>
        </w:tc>
        <w:tc>
          <w:tcPr>
            <w:tcW w:w="1090" w:type="pct"/>
          </w:tcPr>
          <w:p w14:paraId="7008837E" w14:textId="66FA2B91" w:rsidR="003C0323" w:rsidRPr="002152A4" w:rsidRDefault="006B51C7" w:rsidP="00F71956">
            <w:pPr>
              <w:pStyle w:val="TableTextCA"/>
              <w:keepNext/>
              <w:rPr>
                <w:strike/>
              </w:rPr>
            </w:pPr>
            <w:r w:rsidRPr="00E80189">
              <w:t>$</w:t>
            </w:r>
            <w:r w:rsidRPr="00E80189">
              <w:rPr>
                <w:b/>
                <w:bCs/>
              </w:rPr>
              <w:t>redacted</w:t>
            </w:r>
          </w:p>
        </w:tc>
        <w:tc>
          <w:tcPr>
            <w:tcW w:w="1052" w:type="pct"/>
          </w:tcPr>
          <w:p w14:paraId="11A97BAD" w14:textId="7687E660" w:rsidR="003C0323" w:rsidRPr="002152A4" w:rsidRDefault="006B51C7">
            <w:pPr>
              <w:pStyle w:val="TableTextCA"/>
              <w:keepNext/>
              <w:rPr>
                <w:strike/>
                <w:szCs w:val="20"/>
              </w:rPr>
            </w:pPr>
            <w:r w:rsidRPr="00E80189">
              <w:t>$</w:t>
            </w:r>
            <w:r w:rsidRPr="00E80189">
              <w:rPr>
                <w:b/>
                <w:bCs/>
              </w:rPr>
              <w:t>redacted</w:t>
            </w:r>
          </w:p>
        </w:tc>
        <w:tc>
          <w:tcPr>
            <w:tcW w:w="1052" w:type="pct"/>
          </w:tcPr>
          <w:p w14:paraId="78A4DF18" w14:textId="304B9ABB" w:rsidR="003C0323" w:rsidRPr="002152A4" w:rsidRDefault="006B51C7" w:rsidP="00F71956">
            <w:pPr>
              <w:pStyle w:val="TableTextCA"/>
              <w:keepNext/>
              <w:rPr>
                <w:strike/>
              </w:rPr>
            </w:pPr>
            <w:r w:rsidRPr="00E80189">
              <w:t>$</w:t>
            </w:r>
            <w:r w:rsidRPr="00E80189">
              <w:rPr>
                <w:b/>
                <w:bCs/>
              </w:rPr>
              <w:t>redacted</w:t>
            </w:r>
          </w:p>
        </w:tc>
      </w:tr>
      <w:tr w:rsidR="003C0323" w:rsidRPr="00CE28E3" w14:paraId="2594483A" w14:textId="77777777" w:rsidTr="008A2883">
        <w:trPr>
          <w:cantSplit/>
        </w:trPr>
        <w:tc>
          <w:tcPr>
            <w:tcW w:w="1806" w:type="pct"/>
          </w:tcPr>
          <w:p w14:paraId="3987425D" w14:textId="77777777" w:rsidR="003C0323" w:rsidRPr="006F626C" w:rsidRDefault="003C0323">
            <w:pPr>
              <w:pStyle w:val="TableText"/>
              <w:keepNext/>
              <w:rPr>
                <w:szCs w:val="20"/>
              </w:rPr>
            </w:pPr>
            <w:r w:rsidRPr="006F626C">
              <w:rPr>
                <w:szCs w:val="20"/>
              </w:rPr>
              <w:t>QALYs</w:t>
            </w:r>
          </w:p>
        </w:tc>
        <w:tc>
          <w:tcPr>
            <w:tcW w:w="1090" w:type="pct"/>
          </w:tcPr>
          <w:p w14:paraId="2F24AB05" w14:textId="2457EE62" w:rsidR="003C0323" w:rsidRPr="006F626C" w:rsidRDefault="003C0323" w:rsidP="00F71956">
            <w:pPr>
              <w:pStyle w:val="TableTextCA"/>
              <w:keepNext/>
            </w:pPr>
            <w:r w:rsidRPr="006F626C">
              <w:rPr>
                <w:szCs w:val="20"/>
              </w:rPr>
              <w:t>9.4429</w:t>
            </w:r>
          </w:p>
        </w:tc>
        <w:tc>
          <w:tcPr>
            <w:tcW w:w="1052" w:type="pct"/>
          </w:tcPr>
          <w:p w14:paraId="2CC1A181" w14:textId="77777777" w:rsidR="003C0323" w:rsidRPr="006F626C" w:rsidRDefault="003C0323">
            <w:pPr>
              <w:pStyle w:val="TableTextCA"/>
              <w:keepNext/>
              <w:rPr>
                <w:szCs w:val="20"/>
              </w:rPr>
            </w:pPr>
            <w:r w:rsidRPr="006F626C">
              <w:rPr>
                <w:szCs w:val="20"/>
              </w:rPr>
              <w:t>9.1634</w:t>
            </w:r>
          </w:p>
        </w:tc>
        <w:tc>
          <w:tcPr>
            <w:tcW w:w="1052" w:type="pct"/>
          </w:tcPr>
          <w:p w14:paraId="719CC090" w14:textId="3BF850F9" w:rsidR="003C0323" w:rsidRPr="006F626C" w:rsidRDefault="003C0323" w:rsidP="00F71956">
            <w:pPr>
              <w:pStyle w:val="TableTextCA"/>
              <w:keepNext/>
            </w:pPr>
            <w:r w:rsidRPr="006F626C">
              <w:rPr>
                <w:szCs w:val="20"/>
              </w:rPr>
              <w:t>0.2795</w:t>
            </w:r>
          </w:p>
        </w:tc>
      </w:tr>
      <w:tr w:rsidR="003C0323" w:rsidRPr="00CE28E3" w14:paraId="63A9B2C9" w14:textId="77777777" w:rsidTr="00F71956">
        <w:trPr>
          <w:cantSplit/>
          <w:trHeight w:val="339"/>
        </w:trPr>
        <w:tc>
          <w:tcPr>
            <w:tcW w:w="1806" w:type="pct"/>
            <w:tcBorders>
              <w:top w:val="single" w:sz="4" w:space="0" w:color="auto"/>
              <w:left w:val="single" w:sz="4" w:space="0" w:color="auto"/>
              <w:bottom w:val="single" w:sz="4" w:space="0" w:color="auto"/>
              <w:right w:val="nil"/>
            </w:tcBorders>
          </w:tcPr>
          <w:p w14:paraId="44A3B2E9" w14:textId="77777777" w:rsidR="003C0323" w:rsidRPr="006F626C" w:rsidRDefault="003C0323">
            <w:pPr>
              <w:pStyle w:val="TableText"/>
              <w:keepNext/>
              <w:rPr>
                <w:rStyle w:val="Strong"/>
                <w:bCs w:val="0"/>
                <w:szCs w:val="20"/>
              </w:rPr>
            </w:pPr>
            <w:r w:rsidRPr="006F626C">
              <w:rPr>
                <w:rStyle w:val="Strong"/>
                <w:bCs w:val="0"/>
                <w:szCs w:val="20"/>
              </w:rPr>
              <w:t>I</w:t>
            </w:r>
            <w:r w:rsidRPr="006F626C">
              <w:rPr>
                <w:rStyle w:val="Strong"/>
                <w:szCs w:val="20"/>
              </w:rPr>
              <w:t>CER</w:t>
            </w:r>
          </w:p>
        </w:tc>
        <w:tc>
          <w:tcPr>
            <w:tcW w:w="1090" w:type="pct"/>
            <w:tcBorders>
              <w:top w:val="single" w:sz="4" w:space="0" w:color="auto"/>
              <w:left w:val="nil"/>
              <w:bottom w:val="single" w:sz="4" w:space="0" w:color="auto"/>
              <w:right w:val="nil"/>
            </w:tcBorders>
          </w:tcPr>
          <w:p w14:paraId="57136651" w14:textId="77777777" w:rsidR="003C0323" w:rsidRPr="006F626C" w:rsidRDefault="003C0323">
            <w:pPr>
              <w:pStyle w:val="TableTextCA"/>
              <w:keepNext/>
              <w:rPr>
                <w:rStyle w:val="Strong"/>
                <w:bCs w:val="0"/>
                <w:szCs w:val="20"/>
              </w:rPr>
            </w:pPr>
          </w:p>
        </w:tc>
        <w:tc>
          <w:tcPr>
            <w:tcW w:w="1052" w:type="pct"/>
            <w:tcBorders>
              <w:top w:val="single" w:sz="4" w:space="0" w:color="auto"/>
              <w:left w:val="nil"/>
              <w:bottom w:val="single" w:sz="4" w:space="0" w:color="auto"/>
              <w:right w:val="nil"/>
            </w:tcBorders>
          </w:tcPr>
          <w:p w14:paraId="1E490AD1" w14:textId="77777777" w:rsidR="003C0323" w:rsidRPr="006F626C" w:rsidRDefault="003C0323">
            <w:pPr>
              <w:pStyle w:val="TableTextCA"/>
              <w:keepNext/>
              <w:rPr>
                <w:rStyle w:val="Strong"/>
                <w:bCs w:val="0"/>
                <w:szCs w:val="20"/>
              </w:rPr>
            </w:pPr>
          </w:p>
        </w:tc>
        <w:tc>
          <w:tcPr>
            <w:tcW w:w="1052" w:type="pct"/>
            <w:tcBorders>
              <w:left w:val="single" w:sz="4" w:space="0" w:color="auto"/>
            </w:tcBorders>
          </w:tcPr>
          <w:p w14:paraId="30951DEC" w14:textId="0DD35238" w:rsidR="003C0323" w:rsidRPr="002152A4" w:rsidRDefault="006B51C7" w:rsidP="00F71956">
            <w:pPr>
              <w:pStyle w:val="TableTextCA"/>
              <w:keepNext/>
              <w:rPr>
                <w:rStyle w:val="Strong"/>
                <w:rFonts w:ascii="Franklin Gothic Book" w:hAnsi="Franklin Gothic Book"/>
                <w:i/>
                <w:strike/>
                <w:sz w:val="22"/>
              </w:rPr>
            </w:pPr>
            <w:r w:rsidRPr="00E80189">
              <w:t>$</w:t>
            </w:r>
            <w:r w:rsidRPr="00E80189">
              <w:rPr>
                <w:b/>
                <w:bCs/>
              </w:rPr>
              <w:t>redacted</w:t>
            </w:r>
          </w:p>
        </w:tc>
      </w:tr>
      <w:tr w:rsidR="004B53FC" w:rsidRPr="00CE28E3" w14:paraId="2A574D0A" w14:textId="77777777" w:rsidTr="00F71956">
        <w:trPr>
          <w:cantSplit/>
        </w:trPr>
        <w:tc>
          <w:tcPr>
            <w:tcW w:w="1806" w:type="pct"/>
            <w:tcBorders>
              <w:top w:val="single" w:sz="4" w:space="0" w:color="auto"/>
              <w:left w:val="single" w:sz="4" w:space="0" w:color="auto"/>
              <w:bottom w:val="single" w:sz="4" w:space="0" w:color="auto"/>
              <w:right w:val="nil"/>
            </w:tcBorders>
          </w:tcPr>
          <w:p w14:paraId="6FB9150E" w14:textId="6AE2D43B" w:rsidR="004B53FC" w:rsidRPr="00312E55" w:rsidRDefault="004B53FC" w:rsidP="004B53FC">
            <w:pPr>
              <w:pStyle w:val="TableText"/>
              <w:keepNext/>
              <w:rPr>
                <w:b/>
                <w:bCs/>
                <w:szCs w:val="20"/>
              </w:rPr>
            </w:pPr>
            <w:r w:rsidRPr="00312E55">
              <w:rPr>
                <w:b/>
                <w:bCs/>
                <w:szCs w:val="20"/>
              </w:rPr>
              <w:t xml:space="preserve">Commentary revised </w:t>
            </w:r>
            <w:r w:rsidR="003E5FC7">
              <w:rPr>
                <w:b/>
                <w:bCs/>
                <w:szCs w:val="20"/>
              </w:rPr>
              <w:t xml:space="preserve">base case </w:t>
            </w:r>
          </w:p>
        </w:tc>
        <w:tc>
          <w:tcPr>
            <w:tcW w:w="1090" w:type="pct"/>
            <w:tcBorders>
              <w:top w:val="single" w:sz="4" w:space="0" w:color="auto"/>
              <w:left w:val="nil"/>
              <w:bottom w:val="single" w:sz="4" w:space="0" w:color="auto"/>
              <w:right w:val="nil"/>
            </w:tcBorders>
          </w:tcPr>
          <w:p w14:paraId="2A69BF76" w14:textId="77777777" w:rsidR="004B53FC" w:rsidRPr="006F626C" w:rsidRDefault="004B53FC" w:rsidP="004B53FC">
            <w:pPr>
              <w:pStyle w:val="TableTextCA"/>
              <w:keepNext/>
              <w:rPr>
                <w:szCs w:val="20"/>
              </w:rPr>
            </w:pPr>
          </w:p>
        </w:tc>
        <w:tc>
          <w:tcPr>
            <w:tcW w:w="1052" w:type="pct"/>
            <w:tcBorders>
              <w:top w:val="single" w:sz="4" w:space="0" w:color="auto"/>
              <w:left w:val="nil"/>
              <w:bottom w:val="single" w:sz="4" w:space="0" w:color="auto"/>
              <w:right w:val="nil"/>
            </w:tcBorders>
          </w:tcPr>
          <w:p w14:paraId="35E2D1A2" w14:textId="77777777" w:rsidR="004B53FC" w:rsidRPr="006F626C" w:rsidRDefault="004B53FC" w:rsidP="004B53FC">
            <w:pPr>
              <w:pStyle w:val="TableTextCA"/>
              <w:keepNext/>
              <w:rPr>
                <w:szCs w:val="20"/>
              </w:rPr>
            </w:pPr>
          </w:p>
        </w:tc>
        <w:tc>
          <w:tcPr>
            <w:tcW w:w="1052" w:type="pct"/>
            <w:tcBorders>
              <w:left w:val="nil"/>
            </w:tcBorders>
          </w:tcPr>
          <w:p w14:paraId="5990FD6E" w14:textId="77777777" w:rsidR="004B53FC" w:rsidRPr="006F626C" w:rsidRDefault="004B53FC" w:rsidP="004B53FC">
            <w:pPr>
              <w:pStyle w:val="TableTextCA"/>
              <w:keepNext/>
              <w:rPr>
                <w:szCs w:val="20"/>
              </w:rPr>
            </w:pPr>
          </w:p>
        </w:tc>
      </w:tr>
      <w:tr w:rsidR="004B53FC" w:rsidRPr="00CE28E3" w14:paraId="2C4070C9" w14:textId="77777777" w:rsidTr="00F71956">
        <w:trPr>
          <w:cantSplit/>
        </w:trPr>
        <w:tc>
          <w:tcPr>
            <w:tcW w:w="1806" w:type="pct"/>
            <w:tcBorders>
              <w:top w:val="single" w:sz="4" w:space="0" w:color="auto"/>
              <w:left w:val="single" w:sz="4" w:space="0" w:color="auto"/>
              <w:bottom w:val="single" w:sz="4" w:space="0" w:color="auto"/>
              <w:right w:val="single" w:sz="4" w:space="0" w:color="auto"/>
            </w:tcBorders>
          </w:tcPr>
          <w:p w14:paraId="57ADC8CB" w14:textId="1DEE7FE2" w:rsidR="004B53FC" w:rsidRPr="006F626C" w:rsidRDefault="004B53FC" w:rsidP="004B53FC">
            <w:pPr>
              <w:pStyle w:val="TableText"/>
              <w:keepNext/>
              <w:rPr>
                <w:rStyle w:val="Strong"/>
                <w:bCs w:val="0"/>
                <w:szCs w:val="20"/>
              </w:rPr>
            </w:pPr>
            <w:r w:rsidRPr="006F626C">
              <w:rPr>
                <w:szCs w:val="20"/>
              </w:rPr>
              <w:t>Total costs</w:t>
            </w:r>
          </w:p>
        </w:tc>
        <w:tc>
          <w:tcPr>
            <w:tcW w:w="1090" w:type="pct"/>
            <w:tcBorders>
              <w:top w:val="single" w:sz="4" w:space="0" w:color="auto"/>
              <w:left w:val="single" w:sz="4" w:space="0" w:color="auto"/>
              <w:bottom w:val="single" w:sz="4" w:space="0" w:color="auto"/>
              <w:right w:val="single" w:sz="4" w:space="0" w:color="auto"/>
            </w:tcBorders>
          </w:tcPr>
          <w:p w14:paraId="40FCF9E0" w14:textId="658427B1" w:rsidR="004B53FC" w:rsidRPr="00F5453D" w:rsidRDefault="006B51C7" w:rsidP="004B53FC">
            <w:pPr>
              <w:pStyle w:val="TableTextCA"/>
              <w:keepNext/>
              <w:rPr>
                <w:rStyle w:val="Strong"/>
                <w:strike/>
                <w:szCs w:val="20"/>
              </w:rPr>
            </w:pPr>
            <w:r w:rsidRPr="00E80189">
              <w:t>$</w:t>
            </w:r>
            <w:r w:rsidRPr="00E80189">
              <w:rPr>
                <w:b/>
                <w:bCs/>
              </w:rPr>
              <w:t>redacted</w:t>
            </w:r>
          </w:p>
        </w:tc>
        <w:tc>
          <w:tcPr>
            <w:tcW w:w="1052" w:type="pct"/>
            <w:tcBorders>
              <w:top w:val="single" w:sz="4" w:space="0" w:color="auto"/>
              <w:left w:val="single" w:sz="4" w:space="0" w:color="auto"/>
              <w:bottom w:val="single" w:sz="4" w:space="0" w:color="auto"/>
              <w:right w:val="nil"/>
            </w:tcBorders>
          </w:tcPr>
          <w:p w14:paraId="440ACFF4" w14:textId="241D102C" w:rsidR="004B53FC" w:rsidRPr="00F5453D" w:rsidRDefault="006B51C7" w:rsidP="004B53FC">
            <w:pPr>
              <w:pStyle w:val="TableTextCA"/>
              <w:keepNext/>
              <w:rPr>
                <w:rStyle w:val="Strong"/>
                <w:strike/>
                <w:szCs w:val="20"/>
              </w:rPr>
            </w:pPr>
            <w:r w:rsidRPr="00E80189">
              <w:t>$</w:t>
            </w:r>
            <w:r w:rsidRPr="00E80189">
              <w:rPr>
                <w:b/>
                <w:bCs/>
              </w:rPr>
              <w:t>redacted</w:t>
            </w:r>
          </w:p>
        </w:tc>
        <w:tc>
          <w:tcPr>
            <w:tcW w:w="1052" w:type="pct"/>
            <w:tcBorders>
              <w:left w:val="single" w:sz="4" w:space="0" w:color="auto"/>
            </w:tcBorders>
          </w:tcPr>
          <w:p w14:paraId="6DD8ABB7" w14:textId="42E7DB02" w:rsidR="004B53FC" w:rsidRPr="002152A4" w:rsidRDefault="006B51C7" w:rsidP="004B53FC">
            <w:pPr>
              <w:pStyle w:val="TableTextCA"/>
              <w:keepNext/>
              <w:rPr>
                <w:b/>
                <w:bCs/>
                <w:strike/>
                <w:szCs w:val="20"/>
              </w:rPr>
            </w:pPr>
            <w:r w:rsidRPr="00E80189">
              <w:t>$</w:t>
            </w:r>
            <w:r w:rsidRPr="00E80189">
              <w:rPr>
                <w:b/>
                <w:bCs/>
              </w:rPr>
              <w:t>redacted</w:t>
            </w:r>
          </w:p>
        </w:tc>
      </w:tr>
      <w:tr w:rsidR="004B53FC" w:rsidRPr="00CE28E3" w14:paraId="0E1BB275" w14:textId="77777777" w:rsidTr="00F71956">
        <w:trPr>
          <w:cantSplit/>
        </w:trPr>
        <w:tc>
          <w:tcPr>
            <w:tcW w:w="1806" w:type="pct"/>
            <w:tcBorders>
              <w:top w:val="single" w:sz="4" w:space="0" w:color="auto"/>
              <w:left w:val="single" w:sz="4" w:space="0" w:color="auto"/>
              <w:bottom w:val="single" w:sz="4" w:space="0" w:color="auto"/>
              <w:right w:val="single" w:sz="4" w:space="0" w:color="auto"/>
            </w:tcBorders>
          </w:tcPr>
          <w:p w14:paraId="143BF69B" w14:textId="66833FE1" w:rsidR="004B53FC" w:rsidRPr="006F626C" w:rsidRDefault="004B53FC" w:rsidP="004B53FC">
            <w:pPr>
              <w:pStyle w:val="TableText"/>
              <w:keepNext/>
              <w:rPr>
                <w:rStyle w:val="Strong"/>
                <w:bCs w:val="0"/>
                <w:szCs w:val="20"/>
              </w:rPr>
            </w:pPr>
            <w:r w:rsidRPr="006F626C">
              <w:rPr>
                <w:szCs w:val="20"/>
              </w:rPr>
              <w:t>QALYs</w:t>
            </w:r>
          </w:p>
        </w:tc>
        <w:tc>
          <w:tcPr>
            <w:tcW w:w="1090" w:type="pct"/>
            <w:tcBorders>
              <w:top w:val="single" w:sz="4" w:space="0" w:color="auto"/>
              <w:left w:val="single" w:sz="4" w:space="0" w:color="auto"/>
              <w:bottom w:val="single" w:sz="4" w:space="0" w:color="auto"/>
              <w:right w:val="single" w:sz="4" w:space="0" w:color="auto"/>
            </w:tcBorders>
          </w:tcPr>
          <w:p w14:paraId="5B7064E2" w14:textId="4CA0EFB5" w:rsidR="004B53FC" w:rsidRPr="006F626C" w:rsidRDefault="004B53FC" w:rsidP="004B53FC">
            <w:pPr>
              <w:pStyle w:val="TableTextCA"/>
              <w:keepNext/>
              <w:rPr>
                <w:rStyle w:val="Strong"/>
                <w:bCs w:val="0"/>
                <w:szCs w:val="20"/>
              </w:rPr>
            </w:pPr>
            <w:r w:rsidRPr="006F626C">
              <w:t>9.3694</w:t>
            </w:r>
          </w:p>
        </w:tc>
        <w:tc>
          <w:tcPr>
            <w:tcW w:w="1052" w:type="pct"/>
            <w:tcBorders>
              <w:top w:val="single" w:sz="4" w:space="0" w:color="auto"/>
              <w:left w:val="single" w:sz="4" w:space="0" w:color="auto"/>
              <w:bottom w:val="single" w:sz="4" w:space="0" w:color="auto"/>
              <w:right w:val="nil"/>
            </w:tcBorders>
          </w:tcPr>
          <w:p w14:paraId="01DB245F" w14:textId="5518CD57" w:rsidR="004B53FC" w:rsidRPr="006F626C" w:rsidRDefault="004B53FC" w:rsidP="004B53FC">
            <w:pPr>
              <w:pStyle w:val="TableTextCA"/>
              <w:keepNext/>
              <w:rPr>
                <w:rStyle w:val="Strong"/>
                <w:bCs w:val="0"/>
                <w:szCs w:val="20"/>
              </w:rPr>
            </w:pPr>
            <w:r w:rsidRPr="006F626C">
              <w:rPr>
                <w:szCs w:val="20"/>
              </w:rPr>
              <w:t>9.1634</w:t>
            </w:r>
          </w:p>
        </w:tc>
        <w:tc>
          <w:tcPr>
            <w:tcW w:w="1052" w:type="pct"/>
            <w:tcBorders>
              <w:left w:val="single" w:sz="4" w:space="0" w:color="auto"/>
            </w:tcBorders>
          </w:tcPr>
          <w:p w14:paraId="4F0F0410" w14:textId="61818B1F" w:rsidR="004B53FC" w:rsidRPr="006F626C" w:rsidRDefault="004B53FC" w:rsidP="004B53FC">
            <w:pPr>
              <w:pStyle w:val="TableTextCA"/>
              <w:keepNext/>
              <w:rPr>
                <w:b/>
                <w:bCs/>
                <w:szCs w:val="20"/>
              </w:rPr>
            </w:pPr>
            <w:r w:rsidRPr="006F626C">
              <w:t>0.2060</w:t>
            </w:r>
          </w:p>
        </w:tc>
      </w:tr>
      <w:tr w:rsidR="004B53FC" w:rsidRPr="00CE28E3" w14:paraId="30CC470B" w14:textId="77777777" w:rsidTr="008A2883">
        <w:trPr>
          <w:cantSplit/>
        </w:trPr>
        <w:tc>
          <w:tcPr>
            <w:tcW w:w="1806" w:type="pct"/>
            <w:tcBorders>
              <w:top w:val="single" w:sz="4" w:space="0" w:color="auto"/>
              <w:left w:val="single" w:sz="4" w:space="0" w:color="auto"/>
              <w:bottom w:val="single" w:sz="4" w:space="0" w:color="auto"/>
              <w:right w:val="nil"/>
            </w:tcBorders>
          </w:tcPr>
          <w:p w14:paraId="5C28048A" w14:textId="41C31C99" w:rsidR="004B53FC" w:rsidRPr="006F626C" w:rsidRDefault="004B53FC" w:rsidP="004B53FC">
            <w:pPr>
              <w:pStyle w:val="TableText"/>
              <w:keepNext/>
              <w:rPr>
                <w:rStyle w:val="Strong"/>
                <w:bCs w:val="0"/>
                <w:szCs w:val="20"/>
              </w:rPr>
            </w:pPr>
            <w:r w:rsidRPr="006F626C">
              <w:rPr>
                <w:rStyle w:val="Strong"/>
                <w:bCs w:val="0"/>
                <w:szCs w:val="20"/>
              </w:rPr>
              <w:t>I</w:t>
            </w:r>
            <w:r w:rsidRPr="006F626C">
              <w:rPr>
                <w:rStyle w:val="Strong"/>
                <w:szCs w:val="20"/>
              </w:rPr>
              <w:t>CER</w:t>
            </w:r>
          </w:p>
        </w:tc>
        <w:tc>
          <w:tcPr>
            <w:tcW w:w="1090" w:type="pct"/>
            <w:tcBorders>
              <w:top w:val="single" w:sz="4" w:space="0" w:color="auto"/>
              <w:left w:val="nil"/>
              <w:bottom w:val="single" w:sz="4" w:space="0" w:color="auto"/>
              <w:right w:val="nil"/>
            </w:tcBorders>
          </w:tcPr>
          <w:p w14:paraId="0643166D" w14:textId="77777777" w:rsidR="004B53FC" w:rsidRPr="006F626C" w:rsidRDefault="004B53FC" w:rsidP="004B53FC">
            <w:pPr>
              <w:pStyle w:val="TableTextCA"/>
              <w:keepNext/>
              <w:rPr>
                <w:rStyle w:val="Strong"/>
                <w:bCs w:val="0"/>
                <w:szCs w:val="20"/>
              </w:rPr>
            </w:pPr>
          </w:p>
        </w:tc>
        <w:tc>
          <w:tcPr>
            <w:tcW w:w="1052" w:type="pct"/>
            <w:tcBorders>
              <w:top w:val="single" w:sz="4" w:space="0" w:color="auto"/>
              <w:left w:val="nil"/>
              <w:bottom w:val="single" w:sz="4" w:space="0" w:color="auto"/>
              <w:right w:val="nil"/>
            </w:tcBorders>
          </w:tcPr>
          <w:p w14:paraId="56C0037A" w14:textId="77777777" w:rsidR="004B53FC" w:rsidRPr="006F626C" w:rsidRDefault="004B53FC" w:rsidP="004B53FC">
            <w:pPr>
              <w:pStyle w:val="TableTextCA"/>
              <w:keepNext/>
              <w:rPr>
                <w:rStyle w:val="Strong"/>
                <w:bCs w:val="0"/>
                <w:szCs w:val="20"/>
              </w:rPr>
            </w:pPr>
          </w:p>
        </w:tc>
        <w:tc>
          <w:tcPr>
            <w:tcW w:w="1052" w:type="pct"/>
            <w:tcBorders>
              <w:left w:val="single" w:sz="4" w:space="0" w:color="auto"/>
            </w:tcBorders>
          </w:tcPr>
          <w:p w14:paraId="1F523BC9" w14:textId="03D8F6C8" w:rsidR="004B53FC" w:rsidRPr="002152A4" w:rsidRDefault="006B51C7" w:rsidP="004B53FC">
            <w:pPr>
              <w:pStyle w:val="TableTextCA"/>
              <w:keepNext/>
              <w:rPr>
                <w:b/>
                <w:bCs/>
                <w:strike/>
                <w:szCs w:val="20"/>
              </w:rPr>
            </w:pPr>
            <w:r w:rsidRPr="00E80189">
              <w:t>$</w:t>
            </w:r>
            <w:r w:rsidRPr="00E80189">
              <w:rPr>
                <w:b/>
                <w:bCs/>
              </w:rPr>
              <w:t>redacted</w:t>
            </w:r>
          </w:p>
        </w:tc>
      </w:tr>
    </w:tbl>
    <w:p w14:paraId="210DDB6F" w14:textId="545F5DAB" w:rsidR="00304C71" w:rsidRPr="004013D9" w:rsidRDefault="00B4137E" w:rsidP="006E6197">
      <w:pPr>
        <w:pStyle w:val="Tablenotes0"/>
      </w:pPr>
      <w:r>
        <w:t xml:space="preserve">ADAR = Applicant Developed Assessment Report; </w:t>
      </w:r>
      <w:r w:rsidR="003C0323" w:rsidRPr="004013D9">
        <w:t>ICER = incremental cost-effective ratio</w:t>
      </w:r>
      <w:r w:rsidR="000A0DB7" w:rsidRPr="004013D9">
        <w:t>;</w:t>
      </w:r>
      <w:r w:rsidR="003C0323" w:rsidRPr="004013D9">
        <w:t xml:space="preserve"> OMM = optimal medical management</w:t>
      </w:r>
      <w:r w:rsidR="00304C71" w:rsidRPr="004013D9">
        <w:t>;</w:t>
      </w:r>
      <w:r w:rsidR="003C0323" w:rsidRPr="004013D9">
        <w:t xml:space="preserve"> QALYs = quality-adjusted life years</w:t>
      </w:r>
      <w:r w:rsidR="00304C71" w:rsidRPr="004013D9">
        <w:t>; RDN = renal denervation</w:t>
      </w:r>
      <w:r w:rsidR="003C0323" w:rsidRPr="004013D9">
        <w:t xml:space="preserve"> </w:t>
      </w:r>
    </w:p>
    <w:p w14:paraId="003CB0E0" w14:textId="2B30D2BE" w:rsidR="003C0323" w:rsidRPr="004013D9" w:rsidRDefault="003C0323" w:rsidP="006E6197">
      <w:pPr>
        <w:pStyle w:val="Tablenotes0"/>
      </w:pPr>
      <w:r w:rsidRPr="004013D9">
        <w:t xml:space="preserve">Note: The </w:t>
      </w:r>
      <w:r w:rsidR="00D71FB7" w:rsidRPr="004013D9">
        <w:t xml:space="preserve">commentary revised </w:t>
      </w:r>
      <w:r w:rsidRPr="004013D9">
        <w:t xml:space="preserve">base case </w:t>
      </w:r>
      <w:r w:rsidR="00304C71" w:rsidRPr="004013D9">
        <w:t>us</w:t>
      </w:r>
      <w:r w:rsidR="00D71FB7" w:rsidRPr="004013D9">
        <w:t>ed</w:t>
      </w:r>
      <w:r w:rsidRPr="004013D9">
        <w:t xml:space="preserve"> a mean difference in OSBP of 3.57 mmHg</w:t>
      </w:r>
      <w:r w:rsidR="00482A2B" w:rsidRPr="004013D9">
        <w:t xml:space="preserve"> </w:t>
      </w:r>
      <w:r w:rsidR="00EB4DD2">
        <w:t xml:space="preserve">(from </w:t>
      </w:r>
      <w:r w:rsidR="00EB4DD2" w:rsidRPr="00EB4DD2">
        <w:t>SYMPLICITY HTN-3 and SPYRAL HTN-ON MED subgroup)</w:t>
      </w:r>
      <w:r w:rsidR="002F210A">
        <w:t>. All other model inputs were unchanged (MBS item fees were not updated</w:t>
      </w:r>
      <w:r w:rsidR="00D0799E">
        <w:t xml:space="preserve"> because the impact on </w:t>
      </w:r>
      <w:r w:rsidR="00474B6B">
        <w:t xml:space="preserve">costs </w:t>
      </w:r>
      <w:r w:rsidR="00D0799E">
        <w:t>is immaterial</w:t>
      </w:r>
      <w:r w:rsidR="002F210A">
        <w:t>)</w:t>
      </w:r>
      <w:r w:rsidRPr="004013D9">
        <w:t>.</w:t>
      </w:r>
    </w:p>
    <w:p w14:paraId="203DB6BD" w14:textId="0B119D77" w:rsidR="00327AF2" w:rsidRPr="004013D9" w:rsidRDefault="00327AF2" w:rsidP="006E6197">
      <w:pPr>
        <w:pStyle w:val="Tablenotes0"/>
      </w:pPr>
      <w:r w:rsidRPr="004013D9">
        <w:t xml:space="preserve">Source: </w:t>
      </w:r>
      <w:r w:rsidR="00E01DAA" w:rsidRPr="004013D9">
        <w:t xml:space="preserve">Derived from </w:t>
      </w:r>
      <w:r w:rsidR="00AC12F3" w:rsidRPr="004013D9">
        <w:t xml:space="preserve">Table 113 </w:t>
      </w:r>
      <w:r w:rsidR="00841BEF">
        <w:t>in</w:t>
      </w:r>
      <w:r w:rsidR="00BE3500" w:rsidRPr="004013D9">
        <w:t xml:space="preserve"> MSAC 1659 ADAR+in-line commentary</w:t>
      </w:r>
      <w:r w:rsidR="00AC12F3" w:rsidRPr="004013D9">
        <w:t>.</w:t>
      </w:r>
    </w:p>
    <w:bookmarkEnd w:id="41"/>
    <w:p w14:paraId="335A2B69" w14:textId="524F038A" w:rsidR="003C0323" w:rsidRPr="003251C2" w:rsidRDefault="003C0323" w:rsidP="004A20A1">
      <w:pPr>
        <w:keepNext/>
      </w:pPr>
      <w:r>
        <w:t xml:space="preserve">Key drivers of the results are provided in </w:t>
      </w:r>
      <w:r>
        <w:fldChar w:fldCharType="begin"/>
      </w:r>
      <w:r>
        <w:instrText xml:space="preserve"> REF _Ref69726321 \h  \* MERGEFORMAT </w:instrText>
      </w:r>
      <w:r>
        <w:fldChar w:fldCharType="separate"/>
      </w:r>
      <w:r w:rsidR="003D5203" w:rsidRPr="00CE28E3">
        <w:t>Table</w:t>
      </w:r>
      <w:r w:rsidR="003D5203">
        <w:t> 15</w:t>
      </w:r>
      <w:r>
        <w:fldChar w:fldCharType="end"/>
      </w:r>
      <w:r w:rsidRPr="003251C2">
        <w:t xml:space="preserve">. </w:t>
      </w:r>
    </w:p>
    <w:p w14:paraId="2540312A" w14:textId="121D474F" w:rsidR="003C0323" w:rsidRPr="00CE28E3" w:rsidRDefault="003C0323" w:rsidP="003C0323">
      <w:pPr>
        <w:pStyle w:val="Caption"/>
      </w:pPr>
      <w:bookmarkStart w:id="42" w:name="_Ref69726321"/>
      <w:r w:rsidRPr="00CE28E3">
        <w:t>Table</w:t>
      </w:r>
      <w:r>
        <w:t> </w:t>
      </w:r>
      <w:r>
        <w:fldChar w:fldCharType="begin"/>
      </w:r>
      <w:r>
        <w:instrText>SEQ Table \* ARABIC</w:instrText>
      </w:r>
      <w:r>
        <w:fldChar w:fldCharType="separate"/>
      </w:r>
      <w:r w:rsidR="003D5203">
        <w:rPr>
          <w:noProof/>
        </w:rPr>
        <w:t>15</w:t>
      </w:r>
      <w:r>
        <w:fldChar w:fldCharType="end"/>
      </w:r>
      <w:bookmarkEnd w:id="42"/>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Key drivers of the model"/>
        <w:tblDescription w:val="Description of key drivers and their impact"/>
      </w:tblPr>
      <w:tblGrid>
        <w:gridCol w:w="2426"/>
        <w:gridCol w:w="3240"/>
        <w:gridCol w:w="3350"/>
      </w:tblGrid>
      <w:tr w:rsidR="003C0323" w:rsidRPr="00CE28E3" w14:paraId="0C4324CB" w14:textId="77777777" w:rsidTr="00AB790D">
        <w:trPr>
          <w:tblHeader/>
        </w:trPr>
        <w:tc>
          <w:tcPr>
            <w:tcW w:w="1345" w:type="pct"/>
            <w:shd w:val="clear" w:color="auto" w:fill="auto"/>
            <w:vAlign w:val="center"/>
          </w:tcPr>
          <w:p w14:paraId="2AAAEE34" w14:textId="77777777" w:rsidR="003C0323" w:rsidRPr="00CE28E3" w:rsidRDefault="003C0323" w:rsidP="00634962">
            <w:pPr>
              <w:pStyle w:val="TableHeading0"/>
            </w:pPr>
            <w:bookmarkStart w:id="43" w:name="Title_Table10" w:colFirst="0" w:colLast="0"/>
            <w:bookmarkStart w:id="44" w:name="_Hlk68276626"/>
            <w:r w:rsidRPr="00CE28E3">
              <w:t>Description</w:t>
            </w:r>
          </w:p>
        </w:tc>
        <w:tc>
          <w:tcPr>
            <w:tcW w:w="1797" w:type="pct"/>
            <w:shd w:val="clear" w:color="auto" w:fill="auto"/>
            <w:vAlign w:val="center"/>
          </w:tcPr>
          <w:p w14:paraId="7A81017A" w14:textId="77777777" w:rsidR="003C0323" w:rsidRPr="00CE28E3" w:rsidRDefault="003C0323" w:rsidP="00634962">
            <w:pPr>
              <w:pStyle w:val="TableHeading0"/>
            </w:pPr>
            <w:r w:rsidRPr="00CE28E3">
              <w:t>Method/Value</w:t>
            </w:r>
          </w:p>
        </w:tc>
        <w:tc>
          <w:tcPr>
            <w:tcW w:w="1858" w:type="pct"/>
            <w:shd w:val="clear" w:color="auto" w:fill="auto"/>
            <w:vAlign w:val="center"/>
          </w:tcPr>
          <w:p w14:paraId="43C2339F" w14:textId="2E0CAF8E" w:rsidR="003C0323" w:rsidRPr="00CE28E3" w:rsidRDefault="003C0323" w:rsidP="00634962">
            <w:pPr>
              <w:pStyle w:val="TableHeading0"/>
            </w:pPr>
            <w:r w:rsidRPr="00CE28E3">
              <w:t>Impact</w:t>
            </w:r>
          </w:p>
        </w:tc>
      </w:tr>
      <w:bookmarkEnd w:id="43"/>
      <w:tr w:rsidR="003C0323" w:rsidRPr="00CE28E3" w14:paraId="070AB3A5" w14:textId="77777777" w:rsidTr="00AB790D">
        <w:tc>
          <w:tcPr>
            <w:tcW w:w="1345" w:type="pct"/>
            <w:shd w:val="clear" w:color="auto" w:fill="auto"/>
          </w:tcPr>
          <w:p w14:paraId="06E744E9" w14:textId="77777777" w:rsidR="003C0323" w:rsidRPr="00CE28E3" w:rsidRDefault="003C0323" w:rsidP="00AB790D">
            <w:pPr>
              <w:pStyle w:val="TableText"/>
              <w:rPr>
                <w:lang w:val="en-US"/>
              </w:rPr>
            </w:pPr>
            <w:r w:rsidRPr="00CE28E3">
              <w:rPr>
                <w:lang w:val="en-US"/>
              </w:rPr>
              <w:t>Extrapolation</w:t>
            </w:r>
          </w:p>
        </w:tc>
        <w:tc>
          <w:tcPr>
            <w:tcW w:w="1797" w:type="pct"/>
            <w:shd w:val="clear" w:color="auto" w:fill="auto"/>
          </w:tcPr>
          <w:p w14:paraId="714B44DB" w14:textId="77777777" w:rsidR="003C0323" w:rsidRPr="00CE28E3" w:rsidRDefault="003C0323" w:rsidP="00AB790D">
            <w:pPr>
              <w:pStyle w:val="TableText"/>
              <w:rPr>
                <w:lang w:val="en-US"/>
              </w:rPr>
            </w:pPr>
            <w:r>
              <w:rPr>
                <w:lang w:val="en-US"/>
              </w:rPr>
              <w:t>Uncertain maintenance of treatment effect</w:t>
            </w:r>
          </w:p>
        </w:tc>
        <w:tc>
          <w:tcPr>
            <w:tcW w:w="1858" w:type="pct"/>
            <w:shd w:val="clear" w:color="auto" w:fill="auto"/>
          </w:tcPr>
          <w:p w14:paraId="6F9D77D2" w14:textId="5E12891D" w:rsidR="003C0323" w:rsidRPr="000D579E" w:rsidRDefault="003C0323" w:rsidP="00AB790D">
            <w:pPr>
              <w:pStyle w:val="TableText"/>
              <w:rPr>
                <w:iCs/>
                <w:lang w:val="en-US"/>
              </w:rPr>
            </w:pPr>
            <w:r w:rsidRPr="000D579E">
              <w:rPr>
                <w:iCs/>
                <w:lang w:val="en-US"/>
              </w:rPr>
              <w:t>High, as costs for RDN almost all up</w:t>
            </w:r>
            <w:r w:rsidR="003D66ED">
              <w:rPr>
                <w:iCs/>
                <w:lang w:val="en-US"/>
              </w:rPr>
              <w:t xml:space="preserve"> </w:t>
            </w:r>
            <w:r w:rsidRPr="000D579E">
              <w:rPr>
                <w:iCs/>
                <w:lang w:val="en-US"/>
              </w:rPr>
              <w:t>front</w:t>
            </w:r>
          </w:p>
        </w:tc>
      </w:tr>
      <w:tr w:rsidR="003C0323" w:rsidRPr="00CE28E3" w14:paraId="3D968982" w14:textId="77777777" w:rsidTr="00AB790D">
        <w:tc>
          <w:tcPr>
            <w:tcW w:w="1345" w:type="pct"/>
            <w:shd w:val="clear" w:color="auto" w:fill="auto"/>
          </w:tcPr>
          <w:p w14:paraId="409A7A43" w14:textId="18A54C3F" w:rsidR="003C0323" w:rsidRPr="00CE28E3" w:rsidRDefault="00A95AEC" w:rsidP="00AB790D">
            <w:pPr>
              <w:pStyle w:val="TableText"/>
              <w:rPr>
                <w:lang w:val="en-US"/>
              </w:rPr>
            </w:pPr>
            <w:r>
              <w:rPr>
                <w:lang w:val="en-US"/>
              </w:rPr>
              <w:t>RR</w:t>
            </w:r>
            <w:r w:rsidR="003C0323">
              <w:rPr>
                <w:lang w:val="en-US"/>
              </w:rPr>
              <w:t xml:space="preserve"> reduction in events by SBP</w:t>
            </w:r>
          </w:p>
        </w:tc>
        <w:tc>
          <w:tcPr>
            <w:tcW w:w="1797" w:type="pct"/>
            <w:shd w:val="clear" w:color="auto" w:fill="auto"/>
          </w:tcPr>
          <w:p w14:paraId="01513476" w14:textId="77777777" w:rsidR="003C0323" w:rsidRPr="00CE28E3" w:rsidRDefault="003C0323" w:rsidP="00AB790D">
            <w:pPr>
              <w:pStyle w:val="TableText"/>
              <w:rPr>
                <w:lang w:val="en-US"/>
              </w:rPr>
            </w:pPr>
            <w:r>
              <w:rPr>
                <w:lang w:val="en-US"/>
              </w:rPr>
              <w:t xml:space="preserve">Varies by source selected </w:t>
            </w:r>
          </w:p>
        </w:tc>
        <w:tc>
          <w:tcPr>
            <w:tcW w:w="1858" w:type="pct"/>
            <w:shd w:val="clear" w:color="auto" w:fill="auto"/>
          </w:tcPr>
          <w:p w14:paraId="2356375C" w14:textId="77777777" w:rsidR="003C0323" w:rsidRPr="000D579E" w:rsidRDefault="003C0323" w:rsidP="00AB790D">
            <w:pPr>
              <w:pStyle w:val="TableText"/>
              <w:rPr>
                <w:iCs/>
                <w:lang w:val="en-US"/>
              </w:rPr>
            </w:pPr>
            <w:r w:rsidRPr="000D579E">
              <w:rPr>
                <w:iCs/>
                <w:lang w:val="en-US"/>
              </w:rPr>
              <w:t>Favours either RDN or OMM depending on the source chosen</w:t>
            </w:r>
          </w:p>
        </w:tc>
      </w:tr>
      <w:tr w:rsidR="003C0323" w:rsidRPr="00CE28E3" w14:paraId="7934BB54" w14:textId="77777777" w:rsidTr="00AB790D">
        <w:tc>
          <w:tcPr>
            <w:tcW w:w="1345" w:type="pct"/>
            <w:shd w:val="clear" w:color="auto" w:fill="auto"/>
          </w:tcPr>
          <w:p w14:paraId="53261156" w14:textId="77777777" w:rsidR="003C0323" w:rsidRPr="00CE28E3" w:rsidRDefault="003C0323" w:rsidP="00AB790D">
            <w:pPr>
              <w:pStyle w:val="TableText"/>
              <w:rPr>
                <w:lang w:val="en-US"/>
              </w:rPr>
            </w:pPr>
            <w:r>
              <w:rPr>
                <w:lang w:val="en-US"/>
              </w:rPr>
              <w:t>Cost of RDN catheter</w:t>
            </w:r>
          </w:p>
        </w:tc>
        <w:tc>
          <w:tcPr>
            <w:tcW w:w="1797" w:type="pct"/>
            <w:shd w:val="clear" w:color="auto" w:fill="auto"/>
          </w:tcPr>
          <w:p w14:paraId="7673EEF3" w14:textId="77777777" w:rsidR="003C0323" w:rsidRPr="00CE28E3" w:rsidRDefault="003C0323" w:rsidP="00AB790D">
            <w:pPr>
              <w:pStyle w:val="TableText"/>
              <w:rPr>
                <w:lang w:val="en-US"/>
              </w:rPr>
            </w:pPr>
            <w:r>
              <w:rPr>
                <w:lang w:val="en-US"/>
              </w:rPr>
              <w:t>Lower cost modelled as sensitivity analysis</w:t>
            </w:r>
          </w:p>
        </w:tc>
        <w:tc>
          <w:tcPr>
            <w:tcW w:w="1858" w:type="pct"/>
            <w:shd w:val="clear" w:color="auto" w:fill="auto"/>
          </w:tcPr>
          <w:p w14:paraId="58A2D0E5" w14:textId="77777777" w:rsidR="003C0323" w:rsidRPr="00CE28E3" w:rsidRDefault="003C0323" w:rsidP="00AB790D">
            <w:pPr>
              <w:pStyle w:val="TableText"/>
              <w:rPr>
                <w:lang w:val="en-US"/>
              </w:rPr>
            </w:pPr>
            <w:r>
              <w:rPr>
                <w:lang w:val="en-US"/>
              </w:rPr>
              <w:t>Decreased the ICER</w:t>
            </w:r>
          </w:p>
        </w:tc>
      </w:tr>
    </w:tbl>
    <w:p w14:paraId="7703730F" w14:textId="7BE0B797" w:rsidR="003C0323" w:rsidRDefault="003C0323" w:rsidP="00F71956">
      <w:pPr>
        <w:pStyle w:val="Tablenotes0"/>
      </w:pPr>
      <w:bookmarkStart w:id="45" w:name="_Hlk68276635"/>
      <w:bookmarkEnd w:id="44"/>
      <w:r>
        <w:t>ICER = incremental cost-effectiveness ratio</w:t>
      </w:r>
      <w:r w:rsidR="00327AF2">
        <w:t xml:space="preserve">; </w:t>
      </w:r>
      <w:r>
        <w:t>OMM = optimal medical management</w:t>
      </w:r>
      <w:r w:rsidR="00327AF2">
        <w:t xml:space="preserve">; </w:t>
      </w:r>
      <w:r>
        <w:t>RDN = renal denervation</w:t>
      </w:r>
      <w:r w:rsidR="00A76202">
        <w:t xml:space="preserve">; </w:t>
      </w:r>
      <w:r w:rsidR="00A95AEC">
        <w:t xml:space="preserve">RR = relative risk; </w:t>
      </w:r>
      <w:r w:rsidR="00A76202">
        <w:t>SBP = systolic blood pressure</w:t>
      </w:r>
    </w:p>
    <w:p w14:paraId="49D9B799" w14:textId="08FE2BC6" w:rsidR="00600E4E" w:rsidRDefault="00600E4E" w:rsidP="006E6197">
      <w:pPr>
        <w:pStyle w:val="Tablenotes0"/>
      </w:pPr>
      <w:r>
        <w:t>Source:</w:t>
      </w:r>
      <w:r w:rsidR="00826672">
        <w:t xml:space="preserve"> </w:t>
      </w:r>
      <w:r w:rsidR="00D83406">
        <w:t>Compiled for the commentary</w:t>
      </w:r>
      <w:r w:rsidR="00FE29E8">
        <w:t xml:space="preserve"> from </w:t>
      </w:r>
      <w:r w:rsidR="00312754">
        <w:t>Section 3.3</w:t>
      </w:r>
      <w:r w:rsidR="00841BEF">
        <w:t xml:space="preserve"> in</w:t>
      </w:r>
      <w:r w:rsidR="00312754">
        <w:t xml:space="preserve"> MSAC 1659 ADAR+in-line commentary.</w:t>
      </w:r>
    </w:p>
    <w:p w14:paraId="60653295" w14:textId="25526B9A" w:rsidR="00263BE7" w:rsidRPr="00263BE7" w:rsidRDefault="003C0323" w:rsidP="00263BE7">
      <w:r>
        <w:t xml:space="preserve">Results were most sensitive to model starting age, SBP reduction, the source </w:t>
      </w:r>
      <w:r w:rsidR="00554AB8">
        <w:t>of the relative risk</w:t>
      </w:r>
      <w:r w:rsidR="00E07672">
        <w:t xml:space="preserve"> </w:t>
      </w:r>
      <w:r>
        <w:t>underpinning the analysis</w:t>
      </w:r>
      <w:r w:rsidR="00554AB8">
        <w:t>,</w:t>
      </w:r>
      <w:r>
        <w:t xml:space="preserve"> and the time horizon of the analysis (with shorter than a lifetime horizon yielding higher ICERs). Results were relatively insensitive to the costs</w:t>
      </w:r>
      <w:r w:rsidR="007B50A3">
        <w:t xml:space="preserve"> </w:t>
      </w:r>
      <w:r w:rsidR="00EA6322">
        <w:t>(</w:t>
      </w:r>
      <w:r>
        <w:t xml:space="preserve">other than that of the </w:t>
      </w:r>
      <w:r w:rsidR="00D40F33">
        <w:t xml:space="preserve">single use </w:t>
      </w:r>
      <w:r>
        <w:t>RDN catheter</w:t>
      </w:r>
      <w:r w:rsidR="00EA6322">
        <w:t>)</w:t>
      </w:r>
      <w:r w:rsidR="007B50A3">
        <w:t xml:space="preserve"> </w:t>
      </w:r>
      <w:r>
        <w:t xml:space="preserve">and utility values chosen. See </w:t>
      </w:r>
      <w:r>
        <w:fldChar w:fldCharType="begin"/>
      </w:r>
      <w:r>
        <w:instrText xml:space="preserve"> REF _Ref69726347 \h </w:instrText>
      </w:r>
      <w:r>
        <w:fldChar w:fldCharType="separate"/>
      </w:r>
      <w:r w:rsidR="003D5203">
        <w:t>Table </w:t>
      </w:r>
      <w:r w:rsidR="003D5203" w:rsidRPr="4042795E">
        <w:rPr>
          <w:noProof/>
        </w:rPr>
        <w:t>16</w:t>
      </w:r>
      <w:r>
        <w:fldChar w:fldCharType="end"/>
      </w:r>
      <w:r>
        <w:t xml:space="preserve"> for selected</w:t>
      </w:r>
      <w:r w:rsidR="004A2AF1">
        <w:t xml:space="preserve"> sensitivity analyses</w:t>
      </w:r>
      <w:r w:rsidR="00335F91">
        <w:t xml:space="preserve">, </w:t>
      </w:r>
      <w:r w:rsidR="00D20E77">
        <w:t>calculated using</w:t>
      </w:r>
      <w:r w:rsidR="00335F91">
        <w:t xml:space="preserve"> the </w:t>
      </w:r>
      <w:r w:rsidR="00D73A67">
        <w:t xml:space="preserve">commentary revised </w:t>
      </w:r>
      <w:r w:rsidR="00335F91">
        <w:t>base case</w:t>
      </w:r>
      <w:r>
        <w:t xml:space="preserve">. </w:t>
      </w:r>
      <w:bookmarkStart w:id="46" w:name="_Ref69726347"/>
      <w:bookmarkEnd w:id="45"/>
      <w:r w:rsidR="00263BE7">
        <w:br w:type="page"/>
      </w:r>
    </w:p>
    <w:p w14:paraId="7B222361" w14:textId="30EF1E2B" w:rsidR="003C0323" w:rsidRPr="00CE28E3" w:rsidRDefault="003C0323" w:rsidP="003C0323">
      <w:pPr>
        <w:pStyle w:val="Caption"/>
      </w:pPr>
      <w:r w:rsidRPr="00CE28E3">
        <w:t>Table</w:t>
      </w:r>
      <w:r>
        <w:t> </w:t>
      </w:r>
      <w:r>
        <w:fldChar w:fldCharType="begin"/>
      </w:r>
      <w:r>
        <w:instrText>SEQ Table \* ARABIC</w:instrText>
      </w:r>
      <w:r>
        <w:fldChar w:fldCharType="separate"/>
      </w:r>
      <w:r w:rsidR="003D5203">
        <w:rPr>
          <w:noProof/>
        </w:rPr>
        <w:t>16</w:t>
      </w:r>
      <w:r>
        <w:fldChar w:fldCharType="end"/>
      </w:r>
      <w:bookmarkEnd w:id="46"/>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nsitivity analyses"/>
        <w:tblDescription w:val="Results of key sensitivity analyses in ADAR base case and commentary revised base case"/>
      </w:tblPr>
      <w:tblGrid>
        <w:gridCol w:w="4106"/>
        <w:gridCol w:w="1592"/>
        <w:gridCol w:w="1659"/>
        <w:gridCol w:w="1659"/>
      </w:tblGrid>
      <w:tr w:rsidR="003C0323" w:rsidRPr="00CE28E3" w14:paraId="4A671F44" w14:textId="77777777" w:rsidTr="002152A4">
        <w:trPr>
          <w:cantSplit/>
          <w:trHeight w:val="420"/>
          <w:tblHeader/>
        </w:trPr>
        <w:tc>
          <w:tcPr>
            <w:tcW w:w="2277" w:type="pct"/>
            <w:vAlign w:val="center"/>
          </w:tcPr>
          <w:p w14:paraId="67B4495B" w14:textId="77777777" w:rsidR="003C0323" w:rsidRPr="00CE28E3" w:rsidRDefault="003C0323" w:rsidP="00DE7C9C">
            <w:pPr>
              <w:pStyle w:val="TableHeading0"/>
            </w:pPr>
            <w:bookmarkStart w:id="47" w:name="Title_Table11" w:colFirst="0" w:colLast="0"/>
            <w:bookmarkStart w:id="48" w:name="_Hlk68276702"/>
            <w:r w:rsidRPr="00CE28E3">
              <w:t>Analyses</w:t>
            </w:r>
          </w:p>
        </w:tc>
        <w:tc>
          <w:tcPr>
            <w:tcW w:w="883" w:type="pct"/>
            <w:vAlign w:val="center"/>
          </w:tcPr>
          <w:p w14:paraId="0A6F117C" w14:textId="77777777" w:rsidR="003C0323" w:rsidRPr="00CE28E3" w:rsidRDefault="003C0323" w:rsidP="002C5D08">
            <w:pPr>
              <w:pStyle w:val="TableHeading0"/>
              <w:jc w:val="center"/>
            </w:pPr>
            <w:r w:rsidRPr="00CE28E3">
              <w:t>Incremental cost</w:t>
            </w:r>
          </w:p>
        </w:tc>
        <w:tc>
          <w:tcPr>
            <w:tcW w:w="920" w:type="pct"/>
            <w:vAlign w:val="center"/>
          </w:tcPr>
          <w:p w14:paraId="61FE8B53" w14:textId="77777777" w:rsidR="003C0323" w:rsidRPr="00CE28E3" w:rsidRDefault="003C0323" w:rsidP="002C5D08">
            <w:pPr>
              <w:pStyle w:val="TableHeading0"/>
              <w:jc w:val="center"/>
            </w:pPr>
            <w:r w:rsidRPr="00CE28E3">
              <w:t>Incremental QALY</w:t>
            </w:r>
          </w:p>
        </w:tc>
        <w:tc>
          <w:tcPr>
            <w:tcW w:w="920" w:type="pct"/>
            <w:vAlign w:val="center"/>
          </w:tcPr>
          <w:p w14:paraId="7D33E1B7" w14:textId="77777777" w:rsidR="003C0323" w:rsidRPr="00CE28E3" w:rsidRDefault="003C0323" w:rsidP="002C5D08">
            <w:pPr>
              <w:pStyle w:val="TableHeading0"/>
              <w:jc w:val="center"/>
            </w:pPr>
            <w:r w:rsidRPr="00CE28E3">
              <w:t>ICER</w:t>
            </w:r>
          </w:p>
        </w:tc>
      </w:tr>
      <w:bookmarkEnd w:id="47"/>
      <w:tr w:rsidR="003C0323" w:rsidRPr="00CE28E3" w14:paraId="494A6366" w14:textId="77777777" w:rsidTr="002152A4">
        <w:trPr>
          <w:cantSplit/>
        </w:trPr>
        <w:tc>
          <w:tcPr>
            <w:tcW w:w="2277" w:type="pct"/>
          </w:tcPr>
          <w:p w14:paraId="5FBA2D04" w14:textId="109B758B" w:rsidR="003C0323" w:rsidRDefault="00C0367F" w:rsidP="002C5D08">
            <w:pPr>
              <w:pStyle w:val="TableText"/>
              <w:rPr>
                <w:b/>
              </w:rPr>
            </w:pPr>
            <w:r>
              <w:rPr>
                <w:b/>
              </w:rPr>
              <w:t>ADAR b</w:t>
            </w:r>
            <w:r w:rsidR="003C0323" w:rsidRPr="00CE28E3">
              <w:rPr>
                <w:b/>
              </w:rPr>
              <w:t>ase case</w:t>
            </w:r>
          </w:p>
          <w:p w14:paraId="71276238" w14:textId="16232D37" w:rsidR="00E34267" w:rsidRPr="00CE28E3" w:rsidRDefault="00E34267" w:rsidP="002C5D08">
            <w:pPr>
              <w:pStyle w:val="TableText"/>
              <w:rPr>
                <w:b/>
              </w:rPr>
            </w:pPr>
            <w:r>
              <w:rPr>
                <w:b/>
              </w:rPr>
              <w:t>Commentary revised base case</w:t>
            </w:r>
          </w:p>
        </w:tc>
        <w:tc>
          <w:tcPr>
            <w:tcW w:w="883" w:type="pct"/>
          </w:tcPr>
          <w:p w14:paraId="278F37FC" w14:textId="498A4145" w:rsidR="003C0323" w:rsidRPr="002152A4" w:rsidRDefault="00F5453D" w:rsidP="002C5D08">
            <w:pPr>
              <w:pStyle w:val="TableText"/>
              <w:jc w:val="center"/>
              <w:rPr>
                <w:b/>
                <w:bCs/>
                <w:strike/>
                <w:highlight w:val="black"/>
              </w:rPr>
            </w:pPr>
            <w:r w:rsidRPr="00E80189">
              <w:t>$</w:t>
            </w:r>
            <w:r w:rsidRPr="00E80189">
              <w:rPr>
                <w:b/>
                <w:bCs/>
              </w:rPr>
              <w:t>redacted</w:t>
            </w:r>
            <w:r w:rsidRPr="00F5453D" w:rsidDel="00F5453D">
              <w:rPr>
                <w:b/>
                <w:bCs/>
                <w:strike/>
              </w:rPr>
              <w:t xml:space="preserve"> </w:t>
            </w:r>
            <w:r w:rsidRPr="00E80189">
              <w:t>$</w:t>
            </w:r>
            <w:r w:rsidRPr="00E80189">
              <w:rPr>
                <w:b/>
                <w:bCs/>
              </w:rPr>
              <w:t>redacted</w:t>
            </w:r>
          </w:p>
        </w:tc>
        <w:tc>
          <w:tcPr>
            <w:tcW w:w="920" w:type="pct"/>
          </w:tcPr>
          <w:p w14:paraId="3C638F05" w14:textId="77777777" w:rsidR="003C0323" w:rsidRPr="00EA6C2A" w:rsidRDefault="003C0323" w:rsidP="002C5D08">
            <w:pPr>
              <w:pStyle w:val="TableText"/>
              <w:jc w:val="center"/>
              <w:rPr>
                <w:b/>
                <w:bCs/>
              </w:rPr>
            </w:pPr>
            <w:r w:rsidRPr="00EA6C2A">
              <w:rPr>
                <w:b/>
                <w:bCs/>
              </w:rPr>
              <w:t>0.2795</w:t>
            </w:r>
          </w:p>
          <w:p w14:paraId="52728FCD" w14:textId="4A7406DA" w:rsidR="003C0323" w:rsidRPr="00EA6C2A" w:rsidRDefault="003C0323" w:rsidP="002C5D08">
            <w:pPr>
              <w:pStyle w:val="TableText"/>
              <w:jc w:val="center"/>
              <w:rPr>
                <w:b/>
                <w:bCs/>
              </w:rPr>
            </w:pPr>
            <w:r w:rsidRPr="00F71956">
              <w:rPr>
                <w:b/>
                <w:bCs/>
              </w:rPr>
              <w:t>0.2060</w:t>
            </w:r>
          </w:p>
        </w:tc>
        <w:tc>
          <w:tcPr>
            <w:tcW w:w="920" w:type="pct"/>
          </w:tcPr>
          <w:p w14:paraId="7482642F" w14:textId="284F67E1" w:rsidR="003C0323" w:rsidRPr="00EA6C2A" w:rsidRDefault="00F5453D" w:rsidP="002C5D08">
            <w:pPr>
              <w:pStyle w:val="TableText"/>
              <w:jc w:val="center"/>
              <w:rPr>
                <w:b/>
                <w:bCs/>
                <w:highlight w:val="black"/>
              </w:rPr>
            </w:pPr>
            <w:r w:rsidRPr="00E80189">
              <w:t>$</w:t>
            </w:r>
            <w:r w:rsidRPr="00E80189">
              <w:rPr>
                <w:b/>
                <w:bCs/>
              </w:rPr>
              <w:t>redacted</w:t>
            </w:r>
            <w:r w:rsidRPr="00F5453D" w:rsidDel="00F5453D">
              <w:rPr>
                <w:b/>
                <w:bCs/>
                <w:strike/>
              </w:rPr>
              <w:t xml:space="preserve"> </w:t>
            </w:r>
            <w:r w:rsidRPr="00E80189">
              <w:t>$</w:t>
            </w:r>
            <w:r w:rsidRPr="00E80189">
              <w:rPr>
                <w:b/>
                <w:bCs/>
              </w:rPr>
              <w:t>redacted</w:t>
            </w:r>
          </w:p>
        </w:tc>
      </w:tr>
      <w:tr w:rsidR="005E4C09" w:rsidRPr="00CE28E3" w14:paraId="73A9B655" w14:textId="77777777" w:rsidTr="002152A4">
        <w:trPr>
          <w:cantSplit/>
          <w:trHeight w:val="300"/>
        </w:trPr>
        <w:tc>
          <w:tcPr>
            <w:tcW w:w="2277" w:type="pct"/>
            <w:tcBorders>
              <w:bottom w:val="dotted" w:sz="4" w:space="0" w:color="auto"/>
            </w:tcBorders>
            <w:shd w:val="clear" w:color="auto" w:fill="D0CECE" w:themeFill="background2" w:themeFillShade="E6"/>
          </w:tcPr>
          <w:p w14:paraId="533FEEC1" w14:textId="1C96EFB6" w:rsidR="005E4C09" w:rsidRDefault="434431C1" w:rsidP="002C5D08">
            <w:pPr>
              <w:pStyle w:val="TableText"/>
            </w:pPr>
            <w:r w:rsidRPr="4042795E">
              <w:rPr>
                <w:rFonts w:eastAsia="Arial Narrow" w:cs="Arial Narrow"/>
                <w:color w:val="000000" w:themeColor="text1"/>
              </w:rPr>
              <w:t>Patient characteristics</w:t>
            </w:r>
          </w:p>
        </w:tc>
        <w:tc>
          <w:tcPr>
            <w:tcW w:w="883" w:type="pct"/>
            <w:tcBorders>
              <w:bottom w:val="dotted" w:sz="4" w:space="0" w:color="auto"/>
            </w:tcBorders>
            <w:shd w:val="clear" w:color="auto" w:fill="D0CECE" w:themeFill="background2" w:themeFillShade="E6"/>
          </w:tcPr>
          <w:p w14:paraId="56B735A8" w14:textId="77777777" w:rsidR="005E4C09" w:rsidRPr="00EA6C2A" w:rsidRDefault="005E4C09" w:rsidP="002C5D08">
            <w:pPr>
              <w:pStyle w:val="TableText"/>
              <w:jc w:val="center"/>
            </w:pPr>
          </w:p>
        </w:tc>
        <w:tc>
          <w:tcPr>
            <w:tcW w:w="920" w:type="pct"/>
            <w:tcBorders>
              <w:bottom w:val="dotted" w:sz="4" w:space="0" w:color="auto"/>
            </w:tcBorders>
            <w:shd w:val="clear" w:color="auto" w:fill="D0CECE" w:themeFill="background2" w:themeFillShade="E6"/>
          </w:tcPr>
          <w:p w14:paraId="4D925C2D" w14:textId="77777777" w:rsidR="005E4C09" w:rsidRPr="00EA6C2A" w:rsidRDefault="005E4C09" w:rsidP="002C5D08">
            <w:pPr>
              <w:pStyle w:val="TableText"/>
              <w:jc w:val="center"/>
            </w:pPr>
          </w:p>
        </w:tc>
        <w:tc>
          <w:tcPr>
            <w:tcW w:w="920" w:type="pct"/>
            <w:tcBorders>
              <w:bottom w:val="dotted" w:sz="4" w:space="0" w:color="auto"/>
            </w:tcBorders>
            <w:shd w:val="clear" w:color="auto" w:fill="D0CECE" w:themeFill="background2" w:themeFillShade="E6"/>
          </w:tcPr>
          <w:p w14:paraId="02E704A4" w14:textId="77777777" w:rsidR="005E4C09" w:rsidRPr="00EA6C2A" w:rsidRDefault="005E4C09" w:rsidP="002C5D08">
            <w:pPr>
              <w:pStyle w:val="TableText"/>
              <w:jc w:val="center"/>
            </w:pPr>
          </w:p>
        </w:tc>
      </w:tr>
      <w:tr w:rsidR="005E4C09" w:rsidRPr="00CE28E3" w14:paraId="110F0B9E" w14:textId="77777777" w:rsidTr="002152A4">
        <w:trPr>
          <w:cantSplit/>
          <w:trHeight w:val="300"/>
        </w:trPr>
        <w:tc>
          <w:tcPr>
            <w:tcW w:w="2277" w:type="pct"/>
            <w:tcBorders>
              <w:top w:val="single" w:sz="4" w:space="0" w:color="auto"/>
              <w:left w:val="single" w:sz="4" w:space="0" w:color="auto"/>
              <w:bottom w:val="dotted" w:sz="4" w:space="0" w:color="auto"/>
              <w:right w:val="single" w:sz="4" w:space="0" w:color="auto"/>
            </w:tcBorders>
            <w:shd w:val="clear" w:color="auto" w:fill="auto"/>
          </w:tcPr>
          <w:p w14:paraId="2630A5FB" w14:textId="4CD9F228" w:rsidR="005E4C09" w:rsidRDefault="434431C1" w:rsidP="005E4C09">
            <w:pPr>
              <w:pStyle w:val="TableText"/>
            </w:pPr>
            <w:r>
              <w:t>Baseline age (base case 65.6 years)</w:t>
            </w:r>
          </w:p>
          <w:p w14:paraId="335C4A5A" w14:textId="3AB1C64F" w:rsidR="005E4C09" w:rsidRDefault="434431C1" w:rsidP="005E4C09">
            <w:pPr>
              <w:pStyle w:val="TableText"/>
              <w:ind w:left="720"/>
            </w:pPr>
            <w:r>
              <w:t>55 years – ADAR</w:t>
            </w:r>
          </w:p>
          <w:p w14:paraId="4A56E34C" w14:textId="591F65C7" w:rsidR="005E4C09" w:rsidRDefault="434431C1" w:rsidP="4042795E">
            <w:pPr>
              <w:pStyle w:val="TableText"/>
              <w:ind w:left="720"/>
            </w:pPr>
            <w:r>
              <w:t xml:space="preserve">55 years – </w:t>
            </w:r>
            <w:r w:rsidRPr="4042795E">
              <w:rPr>
                <w:rFonts w:eastAsia="Arial Narrow" w:cs="Arial Narrow"/>
              </w:rPr>
              <w:t>Commentary revised</w:t>
            </w:r>
          </w:p>
        </w:tc>
        <w:tc>
          <w:tcPr>
            <w:tcW w:w="883" w:type="pct"/>
            <w:tcBorders>
              <w:top w:val="single" w:sz="4" w:space="0" w:color="auto"/>
              <w:left w:val="single" w:sz="4" w:space="0" w:color="auto"/>
              <w:bottom w:val="dotted" w:sz="4" w:space="0" w:color="auto"/>
              <w:right w:val="single" w:sz="4" w:space="0" w:color="auto"/>
            </w:tcBorders>
            <w:shd w:val="clear" w:color="auto" w:fill="auto"/>
          </w:tcPr>
          <w:p w14:paraId="123E0A79" w14:textId="77777777" w:rsidR="005E4C09" w:rsidRPr="00F5453D" w:rsidRDefault="005E4C09" w:rsidP="002C5D08">
            <w:pPr>
              <w:pStyle w:val="TableText"/>
              <w:jc w:val="center"/>
              <w:rPr>
                <w:strike/>
              </w:rPr>
            </w:pPr>
          </w:p>
          <w:p w14:paraId="4C98FDD2" w14:textId="04FEE26F" w:rsidR="005E4C09" w:rsidRPr="002152A4" w:rsidRDefault="00F5453D" w:rsidP="005E4C09">
            <w:pPr>
              <w:spacing w:before="0" w:after="0"/>
              <w:jc w:val="center"/>
              <w:rPr>
                <w:strike/>
              </w:rPr>
            </w:pPr>
            <w:r w:rsidRPr="00F5453D">
              <w:rPr>
                <w:rFonts w:ascii="Arial Narrow" w:hAnsi="Arial Narrow"/>
                <w:sz w:val="20"/>
                <w:szCs w:val="20"/>
              </w:rPr>
              <w:t>$</w:t>
            </w:r>
            <w:r w:rsidRPr="00F5453D">
              <w:rPr>
                <w:rFonts w:ascii="Arial Narrow" w:hAnsi="Arial Narrow"/>
                <w:b/>
                <w:bCs/>
                <w:sz w:val="20"/>
                <w:szCs w:val="20"/>
              </w:rPr>
              <w:t>redacted</w:t>
            </w:r>
          </w:p>
          <w:p w14:paraId="025ABE58" w14:textId="0AEF8E04" w:rsidR="005E4C09" w:rsidRPr="002152A4" w:rsidRDefault="00F5453D" w:rsidP="005E4C09">
            <w:pPr>
              <w:pStyle w:val="TableText"/>
              <w:jc w:val="center"/>
              <w:rPr>
                <w:strike/>
              </w:rPr>
            </w:pPr>
            <w:r w:rsidRPr="00E80189">
              <w:t>$</w:t>
            </w:r>
            <w:r w:rsidRPr="00E80189">
              <w:rPr>
                <w:b/>
                <w:bCs/>
              </w:rPr>
              <w:t>redacted</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78411B48" w14:textId="77777777" w:rsidR="005E4C09" w:rsidRDefault="005E4C09" w:rsidP="002C5D08">
            <w:pPr>
              <w:pStyle w:val="TableText"/>
              <w:jc w:val="center"/>
            </w:pPr>
          </w:p>
          <w:p w14:paraId="7C4319DA" w14:textId="77777777" w:rsidR="005E4C09" w:rsidRDefault="434431C1" w:rsidP="005E4C09">
            <w:pPr>
              <w:spacing w:before="0" w:after="0"/>
              <w:jc w:val="center"/>
            </w:pPr>
            <w:r w:rsidRPr="4042795E">
              <w:rPr>
                <w:rFonts w:ascii="Arial Narrow" w:eastAsia="Arial Narrow" w:hAnsi="Arial Narrow" w:cs="Arial Narrow"/>
                <w:sz w:val="20"/>
                <w:szCs w:val="20"/>
              </w:rPr>
              <w:t>0.2869</w:t>
            </w:r>
          </w:p>
          <w:p w14:paraId="6E44E060" w14:textId="3543B66F" w:rsidR="005E4C09" w:rsidRPr="00EA6C2A" w:rsidRDefault="434431C1" w:rsidP="005E4C09">
            <w:pPr>
              <w:pStyle w:val="TableText"/>
              <w:jc w:val="center"/>
            </w:pPr>
            <w:r w:rsidRPr="4042795E">
              <w:rPr>
                <w:rFonts w:eastAsia="Arial Narrow" w:cs="Arial Narrow"/>
              </w:rPr>
              <w:t>0.2337</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7ACD7BA8" w14:textId="77777777" w:rsidR="005E4C09" w:rsidRPr="00F5453D" w:rsidRDefault="005E4C09" w:rsidP="002C5D08">
            <w:pPr>
              <w:pStyle w:val="TableText"/>
              <w:jc w:val="center"/>
              <w:rPr>
                <w:strike/>
              </w:rPr>
            </w:pPr>
          </w:p>
          <w:p w14:paraId="6360BBBC" w14:textId="2178203F" w:rsidR="005E4C09" w:rsidRPr="002152A4" w:rsidRDefault="00F5453D" w:rsidP="005E4C09">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r>
      <w:tr w:rsidR="005E4C09" w:rsidRPr="00CE28E3" w14:paraId="11AE8909" w14:textId="77777777" w:rsidTr="002152A4">
        <w:trPr>
          <w:cantSplit/>
          <w:trHeight w:val="300"/>
        </w:trPr>
        <w:tc>
          <w:tcPr>
            <w:tcW w:w="2277" w:type="pct"/>
            <w:tcBorders>
              <w:top w:val="dotted" w:sz="4" w:space="0" w:color="auto"/>
              <w:left w:val="single" w:sz="4" w:space="0" w:color="auto"/>
              <w:bottom w:val="dotted" w:sz="4" w:space="0" w:color="auto"/>
              <w:right w:val="single" w:sz="4" w:space="0" w:color="auto"/>
            </w:tcBorders>
            <w:shd w:val="clear" w:color="auto" w:fill="auto"/>
          </w:tcPr>
          <w:p w14:paraId="0278D7AB" w14:textId="536A79E1" w:rsidR="005E4C09" w:rsidRDefault="434431C1" w:rsidP="005E4C09">
            <w:pPr>
              <w:pStyle w:val="TableText"/>
              <w:ind w:left="720"/>
            </w:pPr>
            <w:r>
              <w:t>75 years – ADAR</w:t>
            </w:r>
          </w:p>
          <w:p w14:paraId="1EF9EB44" w14:textId="4CCEA809" w:rsidR="005E4C09" w:rsidRDefault="434431C1" w:rsidP="4042795E">
            <w:pPr>
              <w:pStyle w:val="TableText"/>
              <w:ind w:left="720"/>
            </w:pPr>
            <w:r>
              <w:t xml:space="preserve">75 years – </w:t>
            </w:r>
            <w:r w:rsidRPr="4042795E">
              <w:rPr>
                <w:rFonts w:eastAsia="Arial Narrow" w:cs="Arial Narrow"/>
              </w:rPr>
              <w:t>Commentary revised</w:t>
            </w:r>
          </w:p>
        </w:tc>
        <w:tc>
          <w:tcPr>
            <w:tcW w:w="883" w:type="pct"/>
            <w:tcBorders>
              <w:top w:val="dotted" w:sz="4" w:space="0" w:color="auto"/>
              <w:left w:val="single" w:sz="4" w:space="0" w:color="auto"/>
              <w:bottom w:val="dotted" w:sz="4" w:space="0" w:color="auto"/>
              <w:right w:val="single" w:sz="4" w:space="0" w:color="auto"/>
            </w:tcBorders>
            <w:shd w:val="clear" w:color="auto" w:fill="auto"/>
          </w:tcPr>
          <w:p w14:paraId="74C34845" w14:textId="01217F29" w:rsidR="005E4C09" w:rsidRPr="002152A4" w:rsidRDefault="00F5453D" w:rsidP="005E4C09">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6D666B18" w14:textId="77777777" w:rsidR="005E4C09" w:rsidRDefault="434431C1" w:rsidP="005E4C09">
            <w:pPr>
              <w:spacing w:before="0" w:after="0"/>
              <w:jc w:val="center"/>
            </w:pPr>
            <w:r w:rsidRPr="4042795E">
              <w:rPr>
                <w:rFonts w:ascii="Arial Narrow" w:eastAsia="Arial Narrow" w:hAnsi="Arial Narrow" w:cs="Arial Narrow"/>
                <w:sz w:val="20"/>
                <w:szCs w:val="20"/>
              </w:rPr>
              <w:t>0.2356</w:t>
            </w:r>
          </w:p>
          <w:p w14:paraId="02B88498" w14:textId="0D276B30" w:rsidR="005E4C09" w:rsidRPr="00EA6C2A" w:rsidRDefault="434431C1" w:rsidP="005E4C09">
            <w:pPr>
              <w:pStyle w:val="TableText"/>
              <w:jc w:val="center"/>
            </w:pPr>
            <w:r w:rsidRPr="4042795E">
              <w:rPr>
                <w:rFonts w:eastAsia="Arial Narrow" w:cs="Arial Narrow"/>
              </w:rPr>
              <w:t>0.1480</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7BC362B4" w14:textId="62E752EE" w:rsidR="005E4C09" w:rsidRPr="002152A4" w:rsidRDefault="00F5453D" w:rsidP="005E4C09">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r>
      <w:tr w:rsidR="005E4C09" w:rsidRPr="00CE28E3" w14:paraId="31BAE6F2" w14:textId="77777777" w:rsidTr="002152A4">
        <w:trPr>
          <w:cantSplit/>
          <w:trHeight w:val="300"/>
        </w:trPr>
        <w:tc>
          <w:tcPr>
            <w:tcW w:w="2277" w:type="pct"/>
            <w:tcBorders>
              <w:top w:val="single" w:sz="4" w:space="0" w:color="auto"/>
              <w:left w:val="single" w:sz="4" w:space="0" w:color="auto"/>
              <w:bottom w:val="dotted" w:sz="4" w:space="0" w:color="auto"/>
              <w:right w:val="single" w:sz="4" w:space="0" w:color="auto"/>
            </w:tcBorders>
            <w:shd w:val="clear" w:color="auto" w:fill="auto"/>
          </w:tcPr>
          <w:p w14:paraId="3238C9C0" w14:textId="77777777" w:rsidR="005E4C09" w:rsidRDefault="434431C1" w:rsidP="4042795E">
            <w:pPr>
              <w:pStyle w:val="TableText"/>
              <w:rPr>
                <w:rFonts w:eastAsia="Arial Narrow" w:cs="Arial Narrow"/>
              </w:rPr>
            </w:pPr>
            <w:r w:rsidRPr="4042795E">
              <w:rPr>
                <w:rFonts w:eastAsia="Arial Narrow" w:cs="Arial Narrow"/>
              </w:rPr>
              <w:t>Baseline SBP (base case 179.55 mmHg)</w:t>
            </w:r>
          </w:p>
          <w:p w14:paraId="17AE81EC" w14:textId="478DFAF0" w:rsidR="005E4C09" w:rsidRDefault="434431C1" w:rsidP="005E4C09">
            <w:pPr>
              <w:pStyle w:val="TableText"/>
              <w:ind w:left="720"/>
            </w:pPr>
            <w:r>
              <w:t>150 mmHg – ADAR</w:t>
            </w:r>
          </w:p>
          <w:p w14:paraId="2C0EBEF9" w14:textId="4CEE8C25" w:rsidR="005E4C09" w:rsidRDefault="434431C1" w:rsidP="4042795E">
            <w:pPr>
              <w:pStyle w:val="TableText"/>
              <w:ind w:left="720"/>
            </w:pPr>
            <w:r>
              <w:t>150 mmHg – Commentary revised</w:t>
            </w:r>
          </w:p>
        </w:tc>
        <w:tc>
          <w:tcPr>
            <w:tcW w:w="883" w:type="pct"/>
            <w:tcBorders>
              <w:top w:val="single" w:sz="4" w:space="0" w:color="auto"/>
              <w:left w:val="single" w:sz="4" w:space="0" w:color="auto"/>
              <w:bottom w:val="dotted" w:sz="4" w:space="0" w:color="auto"/>
              <w:right w:val="single" w:sz="4" w:space="0" w:color="auto"/>
            </w:tcBorders>
            <w:shd w:val="clear" w:color="auto" w:fill="auto"/>
          </w:tcPr>
          <w:p w14:paraId="7874E5EA" w14:textId="77777777" w:rsidR="005E4C09" w:rsidRPr="00F5453D" w:rsidRDefault="005E4C09" w:rsidP="002C5D08">
            <w:pPr>
              <w:pStyle w:val="TableText"/>
              <w:jc w:val="center"/>
              <w:rPr>
                <w:strike/>
              </w:rPr>
            </w:pPr>
          </w:p>
          <w:p w14:paraId="4CC11C4A" w14:textId="29C4241E" w:rsidR="007A506A" w:rsidRPr="002152A4" w:rsidRDefault="00F5453D" w:rsidP="007A506A">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287E4C3D" w14:textId="77777777" w:rsidR="005E4C09" w:rsidRDefault="005E4C09" w:rsidP="002C5D08">
            <w:pPr>
              <w:pStyle w:val="TableText"/>
              <w:jc w:val="center"/>
            </w:pPr>
          </w:p>
          <w:p w14:paraId="2B7D5AB7" w14:textId="77777777" w:rsidR="007A506A" w:rsidRDefault="69D864C4" w:rsidP="007A506A">
            <w:pPr>
              <w:spacing w:before="0" w:after="0"/>
              <w:jc w:val="center"/>
            </w:pPr>
            <w:r w:rsidRPr="4042795E">
              <w:rPr>
                <w:rFonts w:ascii="Arial Narrow" w:eastAsia="Arial Narrow" w:hAnsi="Arial Narrow" w:cs="Arial Narrow"/>
                <w:sz w:val="20"/>
                <w:szCs w:val="20"/>
              </w:rPr>
              <w:t>0.2530</w:t>
            </w:r>
          </w:p>
          <w:p w14:paraId="276727D0" w14:textId="030DDA34" w:rsidR="007A506A" w:rsidRPr="00EA6C2A" w:rsidRDefault="69D864C4" w:rsidP="007A506A">
            <w:pPr>
              <w:pStyle w:val="TableText"/>
              <w:jc w:val="center"/>
            </w:pPr>
            <w:r w:rsidRPr="4042795E">
              <w:rPr>
                <w:rFonts w:eastAsia="Arial Narrow" w:cs="Arial Narrow"/>
              </w:rPr>
              <w:t>0.1868</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2CD6B189" w14:textId="77777777" w:rsidR="005E4C09" w:rsidRPr="00F5453D" w:rsidRDefault="005E4C09" w:rsidP="002C5D08">
            <w:pPr>
              <w:pStyle w:val="TableText"/>
              <w:jc w:val="center"/>
              <w:rPr>
                <w:strike/>
              </w:rPr>
            </w:pPr>
          </w:p>
          <w:p w14:paraId="3B6F23BD" w14:textId="43A674DE" w:rsidR="007A506A" w:rsidRPr="002152A4" w:rsidRDefault="00F5453D" w:rsidP="007A506A">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r>
      <w:tr w:rsidR="005E4C09" w:rsidRPr="00CE28E3" w14:paraId="63C965B1" w14:textId="77777777" w:rsidTr="002152A4">
        <w:trPr>
          <w:cantSplit/>
          <w:trHeight w:val="300"/>
        </w:trPr>
        <w:tc>
          <w:tcPr>
            <w:tcW w:w="2277" w:type="pct"/>
            <w:tcBorders>
              <w:top w:val="dotted" w:sz="4" w:space="0" w:color="auto"/>
              <w:left w:val="single" w:sz="4" w:space="0" w:color="auto"/>
              <w:bottom w:val="dotted" w:sz="4" w:space="0" w:color="auto"/>
              <w:right w:val="single" w:sz="4" w:space="0" w:color="auto"/>
            </w:tcBorders>
            <w:shd w:val="clear" w:color="auto" w:fill="auto"/>
          </w:tcPr>
          <w:p w14:paraId="70F84449" w14:textId="4397A99F" w:rsidR="005E4C09" w:rsidRDefault="434431C1" w:rsidP="005E4C09">
            <w:pPr>
              <w:pStyle w:val="TableText"/>
              <w:ind w:left="720"/>
            </w:pPr>
            <w:r>
              <w:t>175 mmHg – ADAR</w:t>
            </w:r>
          </w:p>
          <w:p w14:paraId="380F33F4" w14:textId="280D4194" w:rsidR="005E4C09" w:rsidRDefault="434431C1" w:rsidP="4042795E">
            <w:pPr>
              <w:pStyle w:val="TableText"/>
              <w:ind w:left="720"/>
            </w:pPr>
            <w:r>
              <w:t>175 mmHg – Commentary revised</w:t>
            </w:r>
          </w:p>
        </w:tc>
        <w:tc>
          <w:tcPr>
            <w:tcW w:w="883" w:type="pct"/>
            <w:tcBorders>
              <w:top w:val="dotted" w:sz="4" w:space="0" w:color="auto"/>
              <w:left w:val="single" w:sz="4" w:space="0" w:color="auto"/>
              <w:bottom w:val="dotted" w:sz="4" w:space="0" w:color="auto"/>
              <w:right w:val="single" w:sz="4" w:space="0" w:color="auto"/>
            </w:tcBorders>
            <w:shd w:val="clear" w:color="auto" w:fill="auto"/>
          </w:tcPr>
          <w:p w14:paraId="3A48E3B2" w14:textId="64520C08" w:rsidR="005E4C09" w:rsidRPr="002152A4" w:rsidRDefault="00F5453D" w:rsidP="007A506A">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6ED0D914" w14:textId="77777777" w:rsidR="007A506A" w:rsidRDefault="69D864C4" w:rsidP="007A506A">
            <w:pPr>
              <w:pStyle w:val="TableText"/>
              <w:jc w:val="center"/>
            </w:pPr>
            <w:r>
              <w:t>0.2769</w:t>
            </w:r>
          </w:p>
          <w:p w14:paraId="1953E527" w14:textId="5D24B3CC" w:rsidR="005E4C09" w:rsidRPr="00EA6C2A" w:rsidRDefault="69D864C4" w:rsidP="007A506A">
            <w:pPr>
              <w:pStyle w:val="TableText"/>
              <w:jc w:val="center"/>
            </w:pPr>
            <w:r>
              <w:t>0.2041</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428AD991" w14:textId="0A002D83" w:rsidR="005E4C09" w:rsidRPr="002152A4" w:rsidRDefault="00F5453D" w:rsidP="007A506A">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r>
      <w:tr w:rsidR="005E4C09" w:rsidRPr="00CE28E3" w14:paraId="3AA99C98" w14:textId="77777777" w:rsidTr="002152A4">
        <w:trPr>
          <w:cantSplit/>
          <w:trHeight w:val="300"/>
        </w:trPr>
        <w:tc>
          <w:tcPr>
            <w:tcW w:w="2277" w:type="pct"/>
            <w:tcBorders>
              <w:top w:val="dotted" w:sz="4" w:space="0" w:color="auto"/>
              <w:bottom w:val="dotted" w:sz="4" w:space="0" w:color="auto"/>
            </w:tcBorders>
            <w:shd w:val="clear" w:color="auto" w:fill="auto"/>
          </w:tcPr>
          <w:p w14:paraId="7004C3C3" w14:textId="22BF6408" w:rsidR="005E4C09" w:rsidRDefault="434431C1" w:rsidP="005E4C09">
            <w:pPr>
              <w:pStyle w:val="TableText"/>
              <w:ind w:left="720"/>
            </w:pPr>
            <w:r>
              <w:t>200 mmHg – ADAR</w:t>
            </w:r>
          </w:p>
          <w:p w14:paraId="7D08832D" w14:textId="1B07BD20" w:rsidR="005E4C09" w:rsidRPr="005E4C09" w:rsidRDefault="434431C1" w:rsidP="005E4C09">
            <w:pPr>
              <w:pStyle w:val="TableText"/>
              <w:ind w:left="720"/>
            </w:pPr>
            <w:r>
              <w:t>200 mmHg – Commentary revised</w:t>
            </w:r>
          </w:p>
        </w:tc>
        <w:tc>
          <w:tcPr>
            <w:tcW w:w="883" w:type="pct"/>
            <w:tcBorders>
              <w:top w:val="dotted" w:sz="4" w:space="0" w:color="auto"/>
              <w:bottom w:val="dotted" w:sz="4" w:space="0" w:color="auto"/>
            </w:tcBorders>
            <w:shd w:val="clear" w:color="auto" w:fill="auto"/>
          </w:tcPr>
          <w:p w14:paraId="4A9D4165" w14:textId="321CA729" w:rsidR="005E4C09" w:rsidRPr="002152A4" w:rsidRDefault="00F5453D" w:rsidP="007A506A">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top w:val="dotted" w:sz="4" w:space="0" w:color="auto"/>
              <w:bottom w:val="dotted" w:sz="4" w:space="0" w:color="auto"/>
            </w:tcBorders>
            <w:shd w:val="clear" w:color="auto" w:fill="auto"/>
          </w:tcPr>
          <w:p w14:paraId="5D502561" w14:textId="77777777" w:rsidR="007A506A" w:rsidRDefault="69D864C4" w:rsidP="007A506A">
            <w:pPr>
              <w:pStyle w:val="TableText"/>
              <w:jc w:val="center"/>
            </w:pPr>
            <w:r>
              <w:t>0.2870</w:t>
            </w:r>
          </w:p>
          <w:p w14:paraId="0DE296D6" w14:textId="66B6ED40" w:rsidR="005E4C09" w:rsidRPr="00EA6C2A" w:rsidRDefault="69D864C4" w:rsidP="007A506A">
            <w:pPr>
              <w:pStyle w:val="TableText"/>
              <w:jc w:val="center"/>
            </w:pPr>
            <w:r>
              <w:t>0.2124</w:t>
            </w:r>
          </w:p>
        </w:tc>
        <w:tc>
          <w:tcPr>
            <w:tcW w:w="920" w:type="pct"/>
            <w:tcBorders>
              <w:top w:val="dotted" w:sz="4" w:space="0" w:color="auto"/>
              <w:bottom w:val="dotted" w:sz="4" w:space="0" w:color="auto"/>
            </w:tcBorders>
            <w:shd w:val="clear" w:color="auto" w:fill="auto"/>
          </w:tcPr>
          <w:p w14:paraId="48C14CBC" w14:textId="6FC347A7" w:rsidR="005E4C09" w:rsidRPr="002152A4" w:rsidRDefault="00F5453D" w:rsidP="008B23CE">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r>
      <w:tr w:rsidR="005E4C09" w:rsidRPr="00CE28E3" w14:paraId="2FE95086" w14:textId="77777777" w:rsidTr="002152A4">
        <w:trPr>
          <w:cantSplit/>
          <w:trHeight w:val="300"/>
        </w:trPr>
        <w:tc>
          <w:tcPr>
            <w:tcW w:w="2277" w:type="pct"/>
            <w:tcBorders>
              <w:top w:val="single" w:sz="4" w:space="0" w:color="auto"/>
              <w:left w:val="single" w:sz="4" w:space="0" w:color="auto"/>
              <w:bottom w:val="dotted" w:sz="4" w:space="0" w:color="auto"/>
              <w:right w:val="single" w:sz="4" w:space="0" w:color="auto"/>
            </w:tcBorders>
            <w:shd w:val="clear" w:color="auto" w:fill="auto"/>
          </w:tcPr>
          <w:p w14:paraId="7EABCC47" w14:textId="77777777" w:rsidR="005E4C09" w:rsidRDefault="5DCA62A6" w:rsidP="002C5D08">
            <w:pPr>
              <w:pStyle w:val="TableText"/>
            </w:pPr>
            <w:r>
              <w:t>Transformation of SBP benefit to RR of events (base case Thomopoulos 2014)</w:t>
            </w:r>
          </w:p>
          <w:p w14:paraId="7E62BCC7" w14:textId="6B9E2566" w:rsidR="00A60616" w:rsidRDefault="5DCA62A6" w:rsidP="00A60616">
            <w:pPr>
              <w:pStyle w:val="TableText"/>
              <w:ind w:left="720"/>
            </w:pPr>
            <w:r w:rsidRPr="4042795E">
              <w:rPr>
                <w:rFonts w:eastAsia="Arial Narrow" w:cs="Arial Narrow"/>
              </w:rPr>
              <w:t xml:space="preserve">Law (2009) – </w:t>
            </w:r>
            <w:r>
              <w:t>ADAR</w:t>
            </w:r>
          </w:p>
          <w:p w14:paraId="7E9F4781" w14:textId="43E45A31" w:rsidR="00A60616" w:rsidRDefault="5DCA62A6" w:rsidP="4042795E">
            <w:pPr>
              <w:pStyle w:val="TableText"/>
              <w:ind w:left="720"/>
            </w:pPr>
            <w:r w:rsidRPr="4042795E">
              <w:rPr>
                <w:rFonts w:eastAsia="Arial Narrow" w:cs="Arial Narrow"/>
              </w:rPr>
              <w:t xml:space="preserve">Law (2009) – </w:t>
            </w:r>
            <w:r>
              <w:t>Commentary revised</w:t>
            </w:r>
          </w:p>
        </w:tc>
        <w:tc>
          <w:tcPr>
            <w:tcW w:w="883" w:type="pct"/>
            <w:tcBorders>
              <w:top w:val="single" w:sz="4" w:space="0" w:color="auto"/>
              <w:left w:val="single" w:sz="4" w:space="0" w:color="auto"/>
              <w:bottom w:val="dotted" w:sz="4" w:space="0" w:color="auto"/>
              <w:right w:val="single" w:sz="4" w:space="0" w:color="auto"/>
            </w:tcBorders>
            <w:shd w:val="clear" w:color="auto" w:fill="auto"/>
          </w:tcPr>
          <w:p w14:paraId="1D86F32D" w14:textId="77777777" w:rsidR="005E4C09" w:rsidRPr="00F5453D" w:rsidRDefault="005E4C09" w:rsidP="002C5D08">
            <w:pPr>
              <w:pStyle w:val="TableText"/>
              <w:jc w:val="center"/>
              <w:rPr>
                <w:strike/>
              </w:rPr>
            </w:pPr>
          </w:p>
          <w:p w14:paraId="689FDE84" w14:textId="77777777" w:rsidR="008B23CE" w:rsidRPr="00F5453D" w:rsidRDefault="008B23CE" w:rsidP="002C5D08">
            <w:pPr>
              <w:pStyle w:val="TableText"/>
              <w:jc w:val="center"/>
              <w:rPr>
                <w:strike/>
              </w:rPr>
            </w:pPr>
          </w:p>
          <w:p w14:paraId="3F872AA1" w14:textId="265AFC8F" w:rsidR="008B23CE" w:rsidRPr="002152A4" w:rsidRDefault="00F5453D" w:rsidP="008B23CE">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1573D39C" w14:textId="77777777" w:rsidR="005E4C09" w:rsidRDefault="005E4C09" w:rsidP="002C5D08">
            <w:pPr>
              <w:pStyle w:val="TableText"/>
              <w:jc w:val="center"/>
            </w:pPr>
          </w:p>
          <w:p w14:paraId="1BB4DD45" w14:textId="77777777" w:rsidR="008B23CE" w:rsidRDefault="008B23CE" w:rsidP="002C5D08">
            <w:pPr>
              <w:pStyle w:val="TableText"/>
              <w:jc w:val="center"/>
            </w:pPr>
          </w:p>
          <w:p w14:paraId="7783EDC5" w14:textId="77777777" w:rsidR="008B23CE" w:rsidRDefault="008B23CE" w:rsidP="008B23CE">
            <w:pPr>
              <w:pStyle w:val="TableText"/>
              <w:jc w:val="center"/>
            </w:pPr>
            <w:r>
              <w:t>0.2983</w:t>
            </w:r>
          </w:p>
          <w:p w14:paraId="3F7B4B9D" w14:textId="1B45A1C5" w:rsidR="008B23CE" w:rsidRPr="00EA6C2A" w:rsidRDefault="008B23CE" w:rsidP="008B23CE">
            <w:pPr>
              <w:pStyle w:val="TableText"/>
              <w:jc w:val="center"/>
            </w:pPr>
            <w:r>
              <w:t>0.2060</w:t>
            </w:r>
          </w:p>
        </w:tc>
        <w:tc>
          <w:tcPr>
            <w:tcW w:w="920" w:type="pct"/>
            <w:tcBorders>
              <w:top w:val="single" w:sz="4" w:space="0" w:color="auto"/>
              <w:left w:val="single" w:sz="4" w:space="0" w:color="auto"/>
              <w:bottom w:val="dotted" w:sz="4" w:space="0" w:color="auto"/>
              <w:right w:val="single" w:sz="4" w:space="0" w:color="auto"/>
            </w:tcBorders>
            <w:shd w:val="clear" w:color="auto" w:fill="auto"/>
          </w:tcPr>
          <w:p w14:paraId="40684817" w14:textId="77777777" w:rsidR="005E4C09" w:rsidRPr="00F5453D" w:rsidRDefault="005E4C09" w:rsidP="002C5D08">
            <w:pPr>
              <w:pStyle w:val="TableText"/>
              <w:jc w:val="center"/>
              <w:rPr>
                <w:strike/>
              </w:rPr>
            </w:pPr>
          </w:p>
          <w:p w14:paraId="2416B668" w14:textId="77777777" w:rsidR="008B23CE" w:rsidRPr="00F5453D" w:rsidRDefault="008B23CE" w:rsidP="002C5D08">
            <w:pPr>
              <w:pStyle w:val="TableText"/>
              <w:jc w:val="center"/>
              <w:rPr>
                <w:strike/>
              </w:rPr>
            </w:pPr>
          </w:p>
          <w:p w14:paraId="781099CD" w14:textId="3117798B" w:rsidR="008B23CE" w:rsidRPr="002152A4" w:rsidRDefault="00F5453D" w:rsidP="008B23CE">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r>
      <w:tr w:rsidR="005E4C09" w:rsidRPr="00CE28E3" w14:paraId="0DD1CBD6" w14:textId="77777777" w:rsidTr="002152A4">
        <w:trPr>
          <w:cantSplit/>
          <w:trHeight w:val="300"/>
        </w:trPr>
        <w:tc>
          <w:tcPr>
            <w:tcW w:w="2277" w:type="pct"/>
            <w:tcBorders>
              <w:top w:val="dotted" w:sz="4" w:space="0" w:color="auto"/>
              <w:left w:val="single" w:sz="4" w:space="0" w:color="auto"/>
              <w:bottom w:val="dotted" w:sz="4" w:space="0" w:color="auto"/>
              <w:right w:val="single" w:sz="4" w:space="0" w:color="auto"/>
            </w:tcBorders>
            <w:shd w:val="clear" w:color="auto" w:fill="auto"/>
          </w:tcPr>
          <w:p w14:paraId="55FCD3F9" w14:textId="3AF4FBEC" w:rsidR="00A60616" w:rsidRDefault="5DCA62A6" w:rsidP="00A60616">
            <w:pPr>
              <w:pStyle w:val="TableText"/>
              <w:ind w:left="720"/>
            </w:pPr>
            <w:r w:rsidRPr="4042795E">
              <w:rPr>
                <w:rFonts w:eastAsia="Arial Narrow" w:cs="Arial Narrow"/>
              </w:rPr>
              <w:t xml:space="preserve">Rahimi (2021) – </w:t>
            </w:r>
            <w:r>
              <w:t>ADAR</w:t>
            </w:r>
          </w:p>
          <w:p w14:paraId="7708607A" w14:textId="576884CC" w:rsidR="005E4C09" w:rsidRDefault="5DCA62A6" w:rsidP="4042795E">
            <w:pPr>
              <w:pStyle w:val="TableText"/>
              <w:ind w:left="720"/>
            </w:pPr>
            <w:r w:rsidRPr="4042795E">
              <w:rPr>
                <w:rFonts w:eastAsia="Arial Narrow" w:cs="Arial Narrow"/>
              </w:rPr>
              <w:t xml:space="preserve">Rahimi (2021) – </w:t>
            </w:r>
            <w:r>
              <w:t>Commentary revised</w:t>
            </w:r>
          </w:p>
        </w:tc>
        <w:tc>
          <w:tcPr>
            <w:tcW w:w="883" w:type="pct"/>
            <w:tcBorders>
              <w:top w:val="dotted" w:sz="4" w:space="0" w:color="auto"/>
              <w:left w:val="single" w:sz="4" w:space="0" w:color="auto"/>
              <w:bottom w:val="dotted" w:sz="4" w:space="0" w:color="auto"/>
              <w:right w:val="single" w:sz="4" w:space="0" w:color="auto"/>
            </w:tcBorders>
            <w:shd w:val="clear" w:color="auto" w:fill="auto"/>
          </w:tcPr>
          <w:p w14:paraId="176A2108" w14:textId="075AF5E6" w:rsidR="005E4C09" w:rsidRPr="002152A4" w:rsidRDefault="00F5453D" w:rsidP="008B23CE">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641F39AB" w14:textId="77777777" w:rsidR="008B23CE" w:rsidRDefault="008B23CE" w:rsidP="008B23CE">
            <w:pPr>
              <w:pStyle w:val="TableText"/>
              <w:jc w:val="center"/>
            </w:pPr>
            <w:r>
              <w:t>0.1567</w:t>
            </w:r>
          </w:p>
          <w:p w14:paraId="5D81FB5C" w14:textId="1CF43721" w:rsidR="005E4C09" w:rsidRPr="00EA6C2A" w:rsidRDefault="008B23CE" w:rsidP="008B23CE">
            <w:pPr>
              <w:pStyle w:val="TableText"/>
              <w:jc w:val="center"/>
            </w:pPr>
            <w:r>
              <w:t>0.1273</w:t>
            </w:r>
          </w:p>
        </w:tc>
        <w:tc>
          <w:tcPr>
            <w:tcW w:w="920" w:type="pct"/>
            <w:tcBorders>
              <w:top w:val="dotted" w:sz="4" w:space="0" w:color="auto"/>
              <w:left w:val="single" w:sz="4" w:space="0" w:color="auto"/>
              <w:bottom w:val="dotted" w:sz="4" w:space="0" w:color="auto"/>
              <w:right w:val="single" w:sz="4" w:space="0" w:color="auto"/>
            </w:tcBorders>
            <w:shd w:val="clear" w:color="auto" w:fill="auto"/>
          </w:tcPr>
          <w:p w14:paraId="5E94CEE3" w14:textId="03A26644" w:rsidR="005E4C09" w:rsidRPr="002152A4" w:rsidRDefault="00F5453D" w:rsidP="008B23CE">
            <w:pPr>
              <w:pStyle w:val="TableText"/>
              <w:jc w:val="center"/>
              <w:rPr>
                <w:strike/>
              </w:rPr>
            </w:pPr>
            <w:r w:rsidRPr="00E80189">
              <w:t>$</w:t>
            </w:r>
            <w:r w:rsidRPr="00E80189">
              <w:rPr>
                <w:b/>
                <w:bCs/>
              </w:rPr>
              <w:t>redacted</w:t>
            </w:r>
            <w:r w:rsidRPr="00F5453D" w:rsidDel="00F5453D">
              <w:rPr>
                <w:strike/>
              </w:rPr>
              <w:t xml:space="preserve"> </w:t>
            </w:r>
            <w:r w:rsidRPr="00E80189">
              <w:t>$</w:t>
            </w:r>
            <w:r w:rsidRPr="00E80189">
              <w:rPr>
                <w:b/>
                <w:bCs/>
              </w:rPr>
              <w:t>redacted</w:t>
            </w:r>
          </w:p>
        </w:tc>
      </w:tr>
      <w:tr w:rsidR="00DB0FFB" w:rsidRPr="00CE28E3" w14:paraId="51F81B27" w14:textId="77777777" w:rsidTr="002152A4">
        <w:trPr>
          <w:cantSplit/>
          <w:trHeight w:val="300"/>
        </w:trPr>
        <w:tc>
          <w:tcPr>
            <w:tcW w:w="2277" w:type="pct"/>
            <w:tcBorders>
              <w:bottom w:val="dotted" w:sz="4" w:space="0" w:color="auto"/>
            </w:tcBorders>
            <w:shd w:val="clear" w:color="auto" w:fill="D0CECE" w:themeFill="background2" w:themeFillShade="E6"/>
          </w:tcPr>
          <w:p w14:paraId="551B0109" w14:textId="492DBEB6" w:rsidR="005E4C09" w:rsidRPr="00C0500D" w:rsidRDefault="434431C1" w:rsidP="002C5D08">
            <w:pPr>
              <w:pStyle w:val="TableText"/>
            </w:pPr>
            <w:r>
              <w:t>Structural</w:t>
            </w:r>
          </w:p>
        </w:tc>
        <w:tc>
          <w:tcPr>
            <w:tcW w:w="883" w:type="pct"/>
            <w:tcBorders>
              <w:bottom w:val="dotted" w:sz="4" w:space="0" w:color="auto"/>
            </w:tcBorders>
            <w:shd w:val="clear" w:color="auto" w:fill="D0CECE" w:themeFill="background2" w:themeFillShade="E6"/>
          </w:tcPr>
          <w:p w14:paraId="080395A8" w14:textId="77777777" w:rsidR="005E4C09" w:rsidRPr="00F5453D" w:rsidRDefault="005E4C09" w:rsidP="002C5D08">
            <w:pPr>
              <w:pStyle w:val="TableText"/>
              <w:jc w:val="center"/>
              <w:rPr>
                <w:strike/>
              </w:rPr>
            </w:pPr>
          </w:p>
        </w:tc>
        <w:tc>
          <w:tcPr>
            <w:tcW w:w="920" w:type="pct"/>
            <w:tcBorders>
              <w:bottom w:val="dotted" w:sz="4" w:space="0" w:color="auto"/>
            </w:tcBorders>
            <w:shd w:val="clear" w:color="auto" w:fill="D0CECE" w:themeFill="background2" w:themeFillShade="E6"/>
          </w:tcPr>
          <w:p w14:paraId="0C910A47" w14:textId="77777777" w:rsidR="005E4C09" w:rsidRPr="00EA6C2A" w:rsidRDefault="005E4C09" w:rsidP="002C5D08">
            <w:pPr>
              <w:pStyle w:val="TableText"/>
              <w:jc w:val="center"/>
            </w:pPr>
          </w:p>
        </w:tc>
        <w:tc>
          <w:tcPr>
            <w:tcW w:w="920" w:type="pct"/>
            <w:tcBorders>
              <w:bottom w:val="dotted" w:sz="4" w:space="0" w:color="auto"/>
            </w:tcBorders>
            <w:shd w:val="clear" w:color="auto" w:fill="D0CECE" w:themeFill="background2" w:themeFillShade="E6"/>
          </w:tcPr>
          <w:p w14:paraId="3343FAC5" w14:textId="77777777" w:rsidR="005E4C09" w:rsidRPr="00F5453D" w:rsidRDefault="005E4C09" w:rsidP="002C5D08">
            <w:pPr>
              <w:pStyle w:val="TableText"/>
              <w:jc w:val="center"/>
              <w:rPr>
                <w:strike/>
              </w:rPr>
            </w:pPr>
          </w:p>
        </w:tc>
      </w:tr>
      <w:tr w:rsidR="003C0323" w:rsidRPr="00CE28E3" w14:paraId="06941C46" w14:textId="77777777" w:rsidTr="002152A4">
        <w:trPr>
          <w:cantSplit/>
        </w:trPr>
        <w:tc>
          <w:tcPr>
            <w:tcW w:w="2277" w:type="pct"/>
            <w:tcBorders>
              <w:bottom w:val="dotted" w:sz="4" w:space="0" w:color="auto"/>
            </w:tcBorders>
          </w:tcPr>
          <w:p w14:paraId="10A75AA3" w14:textId="77777777" w:rsidR="00C34505" w:rsidRDefault="00F43EAD" w:rsidP="002C5D08">
            <w:pPr>
              <w:pStyle w:val="TableText"/>
            </w:pPr>
            <w:r w:rsidRPr="00C0500D">
              <w:t>Time horizon (base case 34.4 years)</w:t>
            </w:r>
          </w:p>
          <w:p w14:paraId="72D3A22D" w14:textId="1FEADD26" w:rsidR="003C0323" w:rsidRDefault="003C0323" w:rsidP="002C5D08">
            <w:pPr>
              <w:pStyle w:val="TableText"/>
              <w:ind w:left="720"/>
            </w:pPr>
            <w:r>
              <w:t>15 years</w:t>
            </w:r>
            <w:r w:rsidR="00E34267">
              <w:t xml:space="preserve"> – ADAR</w:t>
            </w:r>
          </w:p>
          <w:p w14:paraId="4C879EEB" w14:textId="6C3DA6E5" w:rsidR="00E34267" w:rsidRPr="00CE28E3" w:rsidRDefault="00E34267" w:rsidP="00E34267">
            <w:pPr>
              <w:pStyle w:val="TableText"/>
              <w:ind w:left="720"/>
            </w:pPr>
            <w:r>
              <w:t>15 years – Commentary revised</w:t>
            </w:r>
          </w:p>
        </w:tc>
        <w:tc>
          <w:tcPr>
            <w:tcW w:w="883" w:type="pct"/>
            <w:tcBorders>
              <w:bottom w:val="dotted" w:sz="4" w:space="0" w:color="auto"/>
            </w:tcBorders>
          </w:tcPr>
          <w:p w14:paraId="633BA485" w14:textId="77777777" w:rsidR="00C0367F" w:rsidRPr="00F5453D" w:rsidRDefault="00C0367F" w:rsidP="002C5D08">
            <w:pPr>
              <w:pStyle w:val="TableText"/>
              <w:jc w:val="center"/>
              <w:rPr>
                <w:strike/>
              </w:rPr>
            </w:pPr>
          </w:p>
          <w:p w14:paraId="39AD3C33" w14:textId="1F87F942" w:rsidR="003C0323" w:rsidRPr="002152A4" w:rsidRDefault="00F5453D" w:rsidP="002C5D08">
            <w:pPr>
              <w:pStyle w:val="TableText"/>
              <w:jc w:val="center"/>
              <w:rPr>
                <w:strike/>
                <w:highlight w:val="black"/>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bottom w:val="dotted" w:sz="4" w:space="0" w:color="auto"/>
            </w:tcBorders>
          </w:tcPr>
          <w:p w14:paraId="30A7203B" w14:textId="77777777" w:rsidR="00C0367F" w:rsidRPr="00EA6C2A" w:rsidRDefault="00C0367F" w:rsidP="002C5D08">
            <w:pPr>
              <w:pStyle w:val="TableText"/>
              <w:jc w:val="center"/>
            </w:pPr>
          </w:p>
          <w:p w14:paraId="45EB3E61" w14:textId="0BE6CF30" w:rsidR="003C0323" w:rsidRPr="00EA6C2A" w:rsidRDefault="003C0323" w:rsidP="002C5D08">
            <w:pPr>
              <w:pStyle w:val="TableText"/>
              <w:jc w:val="center"/>
            </w:pPr>
            <w:r w:rsidRPr="00EA6C2A">
              <w:t>0.1595</w:t>
            </w:r>
          </w:p>
          <w:p w14:paraId="6CC4DE83" w14:textId="77777777" w:rsidR="003C0323" w:rsidRPr="00EA6C2A" w:rsidRDefault="003C0323" w:rsidP="002C5D08">
            <w:pPr>
              <w:pStyle w:val="TableText"/>
              <w:jc w:val="center"/>
            </w:pPr>
            <w:r w:rsidRPr="00F71956">
              <w:t>0.1184</w:t>
            </w:r>
          </w:p>
        </w:tc>
        <w:tc>
          <w:tcPr>
            <w:tcW w:w="920" w:type="pct"/>
            <w:tcBorders>
              <w:bottom w:val="dotted" w:sz="4" w:space="0" w:color="auto"/>
            </w:tcBorders>
          </w:tcPr>
          <w:p w14:paraId="5F27A34B" w14:textId="77777777" w:rsidR="00C0367F" w:rsidRPr="00F5453D" w:rsidRDefault="00C0367F" w:rsidP="002C5D08">
            <w:pPr>
              <w:pStyle w:val="TableText"/>
              <w:jc w:val="center"/>
              <w:rPr>
                <w:strike/>
              </w:rPr>
            </w:pPr>
          </w:p>
          <w:p w14:paraId="29A6FF12" w14:textId="6E2F5C7A" w:rsidR="003C0323" w:rsidRPr="002152A4" w:rsidRDefault="00F5453D" w:rsidP="002C5D08">
            <w:pPr>
              <w:pStyle w:val="TableText"/>
              <w:jc w:val="center"/>
              <w:rPr>
                <w:strike/>
                <w:highlight w:val="black"/>
              </w:rPr>
            </w:pPr>
            <w:r w:rsidRPr="00E80189">
              <w:t>$</w:t>
            </w:r>
            <w:r w:rsidRPr="00E80189">
              <w:rPr>
                <w:b/>
                <w:bCs/>
              </w:rPr>
              <w:t>redacted</w:t>
            </w:r>
            <w:r w:rsidRPr="00F5453D" w:rsidDel="00F5453D">
              <w:rPr>
                <w:strike/>
              </w:rPr>
              <w:t xml:space="preserve"> </w:t>
            </w:r>
            <w:r w:rsidRPr="00E80189">
              <w:t>$</w:t>
            </w:r>
            <w:r w:rsidRPr="00E80189">
              <w:rPr>
                <w:b/>
                <w:bCs/>
              </w:rPr>
              <w:t>redacted</w:t>
            </w:r>
          </w:p>
        </w:tc>
      </w:tr>
      <w:tr w:rsidR="003C0323" w:rsidRPr="00CE28E3" w14:paraId="1D3307CC" w14:textId="77777777" w:rsidTr="002152A4">
        <w:trPr>
          <w:cantSplit/>
          <w:trHeight w:val="283"/>
        </w:trPr>
        <w:tc>
          <w:tcPr>
            <w:tcW w:w="2277" w:type="pct"/>
            <w:tcBorders>
              <w:top w:val="dotted" w:sz="4" w:space="0" w:color="auto"/>
              <w:bottom w:val="dotted" w:sz="4" w:space="0" w:color="auto"/>
            </w:tcBorders>
          </w:tcPr>
          <w:p w14:paraId="788DDD8D" w14:textId="4E39A63D" w:rsidR="003C0323" w:rsidRDefault="003C0323" w:rsidP="002C5D08">
            <w:pPr>
              <w:pStyle w:val="TableText"/>
              <w:ind w:left="720"/>
            </w:pPr>
            <w:r>
              <w:t>20 years</w:t>
            </w:r>
            <w:r w:rsidR="00E34267">
              <w:t xml:space="preserve"> – ADAR</w:t>
            </w:r>
          </w:p>
          <w:p w14:paraId="7B0D6EE3" w14:textId="72E5A4A0" w:rsidR="00E34267" w:rsidRPr="00CE28E3" w:rsidRDefault="00E34267" w:rsidP="002C5D08">
            <w:pPr>
              <w:pStyle w:val="TableText"/>
              <w:ind w:left="720"/>
            </w:pPr>
            <w:r>
              <w:t>20 years – Commentary revised</w:t>
            </w:r>
          </w:p>
        </w:tc>
        <w:tc>
          <w:tcPr>
            <w:tcW w:w="883" w:type="pct"/>
            <w:tcBorders>
              <w:top w:val="dotted" w:sz="4" w:space="0" w:color="auto"/>
              <w:bottom w:val="dotted" w:sz="4" w:space="0" w:color="auto"/>
            </w:tcBorders>
          </w:tcPr>
          <w:p w14:paraId="0C050CF1" w14:textId="261342B8" w:rsidR="003C0323" w:rsidRPr="002152A4" w:rsidRDefault="00F5453D" w:rsidP="002C5D08">
            <w:pPr>
              <w:pStyle w:val="TableText"/>
              <w:jc w:val="center"/>
              <w:rPr>
                <w:strike/>
                <w:highlight w:val="black"/>
              </w:rPr>
            </w:pPr>
            <w:r w:rsidRPr="00E80189">
              <w:t>$</w:t>
            </w:r>
            <w:r w:rsidRPr="00E80189">
              <w:rPr>
                <w:b/>
                <w:bCs/>
              </w:rPr>
              <w:t>redacted</w:t>
            </w:r>
            <w:r w:rsidRPr="00F5453D" w:rsidDel="00F5453D">
              <w:rPr>
                <w:strike/>
              </w:rPr>
              <w:t xml:space="preserve"> </w:t>
            </w:r>
            <w:r w:rsidRPr="00E80189">
              <w:t>$</w:t>
            </w:r>
            <w:r w:rsidRPr="00E80189">
              <w:rPr>
                <w:b/>
                <w:bCs/>
              </w:rPr>
              <w:t>redacted</w:t>
            </w:r>
          </w:p>
        </w:tc>
        <w:tc>
          <w:tcPr>
            <w:tcW w:w="920" w:type="pct"/>
            <w:tcBorders>
              <w:top w:val="dotted" w:sz="4" w:space="0" w:color="auto"/>
              <w:bottom w:val="dotted" w:sz="4" w:space="0" w:color="auto"/>
            </w:tcBorders>
          </w:tcPr>
          <w:p w14:paraId="38CE3C8A" w14:textId="77777777" w:rsidR="003C0323" w:rsidRPr="00EA6C2A" w:rsidRDefault="003C0323" w:rsidP="002C5D08">
            <w:pPr>
              <w:pStyle w:val="TableText"/>
              <w:jc w:val="center"/>
            </w:pPr>
            <w:r w:rsidRPr="00EA6C2A">
              <w:t>0.2194</w:t>
            </w:r>
          </w:p>
          <w:p w14:paraId="5AF53C71" w14:textId="77777777" w:rsidR="003C0323" w:rsidRPr="00EA6C2A" w:rsidRDefault="003C0323" w:rsidP="002C5D08">
            <w:pPr>
              <w:pStyle w:val="TableText"/>
              <w:jc w:val="center"/>
            </w:pPr>
            <w:r w:rsidRPr="00F71956">
              <w:t>0.1625</w:t>
            </w:r>
          </w:p>
        </w:tc>
        <w:tc>
          <w:tcPr>
            <w:tcW w:w="920" w:type="pct"/>
            <w:tcBorders>
              <w:top w:val="dotted" w:sz="4" w:space="0" w:color="auto"/>
              <w:bottom w:val="dotted" w:sz="4" w:space="0" w:color="auto"/>
            </w:tcBorders>
          </w:tcPr>
          <w:p w14:paraId="20DB6EB6" w14:textId="67115333" w:rsidR="003C0323" w:rsidRPr="002152A4" w:rsidRDefault="00F5453D" w:rsidP="002C5D08">
            <w:pPr>
              <w:pStyle w:val="TableText"/>
              <w:jc w:val="center"/>
              <w:rPr>
                <w:strike/>
                <w:highlight w:val="black"/>
              </w:rPr>
            </w:pPr>
            <w:r w:rsidRPr="00E80189">
              <w:t>$</w:t>
            </w:r>
            <w:r w:rsidRPr="00E80189">
              <w:rPr>
                <w:b/>
                <w:bCs/>
              </w:rPr>
              <w:t>redacted</w:t>
            </w:r>
            <w:r w:rsidRPr="00F5453D" w:rsidDel="00F5453D">
              <w:rPr>
                <w:strike/>
              </w:rPr>
              <w:t xml:space="preserve"> </w:t>
            </w:r>
            <w:r w:rsidRPr="00E80189">
              <w:t>$</w:t>
            </w:r>
            <w:r w:rsidRPr="00E80189">
              <w:rPr>
                <w:b/>
                <w:bCs/>
              </w:rPr>
              <w:t>redacted</w:t>
            </w:r>
          </w:p>
        </w:tc>
      </w:tr>
      <w:tr w:rsidR="005E4C09" w:rsidRPr="00CE28E3" w14:paraId="013842E2" w14:textId="77777777" w:rsidTr="002152A4">
        <w:trPr>
          <w:cantSplit/>
          <w:trHeight w:val="283"/>
        </w:trPr>
        <w:tc>
          <w:tcPr>
            <w:tcW w:w="2277" w:type="pct"/>
            <w:tcBorders>
              <w:top w:val="dotted" w:sz="4" w:space="0" w:color="auto"/>
              <w:left w:val="single" w:sz="4" w:space="0" w:color="auto"/>
              <w:bottom w:val="single" w:sz="4" w:space="0" w:color="auto"/>
              <w:right w:val="single" w:sz="4" w:space="0" w:color="auto"/>
            </w:tcBorders>
            <w:shd w:val="clear" w:color="auto" w:fill="auto"/>
          </w:tcPr>
          <w:p w14:paraId="4AC567C1" w14:textId="3D2494C0" w:rsidR="005E4C09" w:rsidRDefault="434431C1" w:rsidP="002C5D08">
            <w:pPr>
              <w:pStyle w:val="TableText"/>
              <w:ind w:left="720"/>
            </w:pPr>
            <w:r w:rsidRPr="4042795E">
              <w:rPr>
                <w:rFonts w:eastAsia="Arial Narrow" w:cs="Arial Narrow"/>
              </w:rPr>
              <w:t>30 years – ADAR</w:t>
            </w:r>
          </w:p>
          <w:p w14:paraId="06BE9AFE" w14:textId="0C34663C" w:rsidR="005E4C09" w:rsidRDefault="434431C1" w:rsidP="002C5D08">
            <w:pPr>
              <w:pStyle w:val="TableText"/>
              <w:ind w:left="720"/>
            </w:pPr>
            <w:r w:rsidRPr="4042795E">
              <w:rPr>
                <w:rFonts w:eastAsia="Arial Narrow" w:cs="Arial Narrow"/>
              </w:rPr>
              <w:t>30 years – Commentary revised</w:t>
            </w:r>
          </w:p>
        </w:tc>
        <w:tc>
          <w:tcPr>
            <w:tcW w:w="883" w:type="pct"/>
            <w:tcBorders>
              <w:top w:val="dotted" w:sz="4" w:space="0" w:color="auto"/>
              <w:left w:val="single" w:sz="4" w:space="0" w:color="auto"/>
              <w:bottom w:val="single" w:sz="4" w:space="0" w:color="auto"/>
              <w:right w:val="single" w:sz="4" w:space="0" w:color="auto"/>
            </w:tcBorders>
            <w:shd w:val="clear" w:color="auto" w:fill="auto"/>
          </w:tcPr>
          <w:p w14:paraId="594CC568" w14:textId="035D97AE" w:rsidR="005E4C09" w:rsidRPr="002152A4" w:rsidRDefault="00F5453D" w:rsidP="005E4C09">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c>
          <w:tcPr>
            <w:tcW w:w="920" w:type="pct"/>
            <w:tcBorders>
              <w:top w:val="dotted" w:sz="4" w:space="0" w:color="auto"/>
              <w:left w:val="single" w:sz="4" w:space="0" w:color="auto"/>
              <w:bottom w:val="single" w:sz="4" w:space="0" w:color="auto"/>
              <w:right w:val="single" w:sz="4" w:space="0" w:color="auto"/>
            </w:tcBorders>
            <w:shd w:val="clear" w:color="auto" w:fill="auto"/>
          </w:tcPr>
          <w:p w14:paraId="530A95E3" w14:textId="77777777" w:rsidR="005E4C09" w:rsidRDefault="434431C1" w:rsidP="4042795E">
            <w:pPr>
              <w:spacing w:before="0" w:after="0"/>
              <w:jc w:val="center"/>
            </w:pPr>
            <w:r w:rsidRPr="4042795E">
              <w:rPr>
                <w:rFonts w:ascii="Arial Narrow" w:eastAsia="Arial Narrow" w:hAnsi="Arial Narrow" w:cs="Arial Narrow"/>
                <w:sz w:val="20"/>
                <w:szCs w:val="20"/>
              </w:rPr>
              <w:t>0.2755</w:t>
            </w:r>
          </w:p>
          <w:p w14:paraId="713E1D64" w14:textId="5824F62A" w:rsidR="005E4C09" w:rsidRPr="00EA6C2A" w:rsidRDefault="434431C1" w:rsidP="005E4C09">
            <w:pPr>
              <w:pStyle w:val="TableText"/>
              <w:jc w:val="center"/>
            </w:pPr>
            <w:r w:rsidRPr="4042795E">
              <w:rPr>
                <w:rFonts w:eastAsia="Arial Narrow" w:cs="Arial Narrow"/>
              </w:rPr>
              <w:t>0.2033</w:t>
            </w:r>
          </w:p>
        </w:tc>
        <w:tc>
          <w:tcPr>
            <w:tcW w:w="920" w:type="pct"/>
            <w:tcBorders>
              <w:top w:val="dotted" w:sz="4" w:space="0" w:color="auto"/>
              <w:left w:val="single" w:sz="4" w:space="0" w:color="auto"/>
              <w:bottom w:val="single" w:sz="4" w:space="0" w:color="auto"/>
              <w:right w:val="single" w:sz="4" w:space="0" w:color="auto"/>
            </w:tcBorders>
            <w:shd w:val="clear" w:color="auto" w:fill="auto"/>
          </w:tcPr>
          <w:p w14:paraId="76FA73C5" w14:textId="1BA28013" w:rsidR="005E4C09" w:rsidRPr="002152A4" w:rsidRDefault="00F5453D" w:rsidP="005E4C09">
            <w:pPr>
              <w:pStyle w:val="TableText"/>
              <w:jc w:val="center"/>
              <w:rPr>
                <w:strike/>
              </w:rPr>
            </w:pPr>
            <w:r w:rsidRPr="00F5453D">
              <w:rPr>
                <w:szCs w:val="20"/>
              </w:rPr>
              <w:t>$</w:t>
            </w:r>
            <w:r w:rsidRPr="00F5453D">
              <w:rPr>
                <w:b/>
                <w:bCs/>
                <w:szCs w:val="20"/>
              </w:rPr>
              <w:t>redacted</w:t>
            </w:r>
            <w:r w:rsidRPr="00F5453D" w:rsidDel="00F5453D">
              <w:rPr>
                <w:rFonts w:eastAsia="Arial Narrow" w:cs="Arial Narrow"/>
                <w:strike/>
                <w:sz w:val="18"/>
                <w:szCs w:val="18"/>
              </w:rPr>
              <w:t xml:space="preserve"> </w:t>
            </w:r>
            <w:r w:rsidRPr="00E80189">
              <w:t>$</w:t>
            </w:r>
            <w:r w:rsidRPr="00E80189">
              <w:rPr>
                <w:b/>
                <w:bCs/>
              </w:rPr>
              <w:t>redacted</w:t>
            </w:r>
          </w:p>
        </w:tc>
      </w:tr>
      <w:tr w:rsidR="005E4C09" w:rsidRPr="00CE28E3" w14:paraId="6A405067" w14:textId="77777777" w:rsidTr="002152A4">
        <w:trPr>
          <w:cantSplit/>
          <w:trHeight w:val="312"/>
        </w:trPr>
        <w:tc>
          <w:tcPr>
            <w:tcW w:w="227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51807B" w14:textId="1B8D8E9E" w:rsidR="005E4C09" w:rsidRDefault="434431C1" w:rsidP="002C5D08">
            <w:pPr>
              <w:pStyle w:val="TableText"/>
            </w:pPr>
            <w:r>
              <w:t>Costs</w:t>
            </w:r>
          </w:p>
        </w:tc>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BAE631" w14:textId="77777777" w:rsidR="005E4C09" w:rsidRPr="00F5453D" w:rsidRDefault="005E4C09" w:rsidP="002C5D08">
            <w:pPr>
              <w:pStyle w:val="TableText"/>
              <w:jc w:val="center"/>
              <w:rPr>
                <w:strike/>
              </w:rPr>
            </w:pPr>
          </w:p>
        </w:tc>
        <w:tc>
          <w:tcPr>
            <w:tcW w:w="92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1DDB37" w14:textId="77777777" w:rsidR="005E4C09" w:rsidRPr="00EA6C2A" w:rsidRDefault="005E4C09" w:rsidP="002C5D08">
            <w:pPr>
              <w:pStyle w:val="TableText"/>
              <w:jc w:val="center"/>
            </w:pPr>
          </w:p>
        </w:tc>
        <w:tc>
          <w:tcPr>
            <w:tcW w:w="92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F98A9" w14:textId="77777777" w:rsidR="005E4C09" w:rsidRPr="00F5453D" w:rsidRDefault="005E4C09" w:rsidP="002C5D08">
            <w:pPr>
              <w:pStyle w:val="TableText"/>
              <w:jc w:val="center"/>
              <w:rPr>
                <w:strike/>
              </w:rPr>
            </w:pPr>
          </w:p>
        </w:tc>
      </w:tr>
      <w:tr w:rsidR="003C0323" w:rsidRPr="00CE28E3" w14:paraId="4F5C3E31" w14:textId="77777777" w:rsidTr="002152A4">
        <w:trPr>
          <w:cantSplit/>
          <w:trHeight w:val="565"/>
        </w:trPr>
        <w:tc>
          <w:tcPr>
            <w:tcW w:w="2277" w:type="pct"/>
          </w:tcPr>
          <w:p w14:paraId="166C729E" w14:textId="7FD77230" w:rsidR="003C0323" w:rsidRDefault="003C0323" w:rsidP="002C5D08">
            <w:pPr>
              <w:pStyle w:val="TableText"/>
            </w:pPr>
            <w:r>
              <w:t>Reduced RDN catheter costs</w:t>
            </w:r>
            <w:r w:rsidR="00D40F33">
              <w:t xml:space="preserve"> </w:t>
            </w:r>
            <w:r w:rsidR="00D40F33" w:rsidRPr="00FF45D9">
              <w:t xml:space="preserve">(base case </w:t>
            </w:r>
            <w:r w:rsidR="00D40F33" w:rsidRPr="00F5453D">
              <w:rPr>
                <w:szCs w:val="20"/>
              </w:rPr>
              <w:t>$</w:t>
            </w:r>
            <w:r w:rsidR="00FF45D9" w:rsidRPr="00F5453D">
              <w:rPr>
                <w:b/>
                <w:bCs/>
                <w:szCs w:val="20"/>
              </w:rPr>
              <w:t>redacted</w:t>
            </w:r>
            <w:r w:rsidR="00D40F33" w:rsidRPr="009D208A">
              <w:t>)</w:t>
            </w:r>
          </w:p>
          <w:p w14:paraId="6064C5ED" w14:textId="6CCB5479" w:rsidR="10087FCD" w:rsidRDefault="10087FCD" w:rsidP="2DA06066">
            <w:pPr>
              <w:pStyle w:val="TableText"/>
              <w:ind w:left="720"/>
            </w:pPr>
            <w:r w:rsidRPr="006B0666">
              <w:t>$3,700</w:t>
            </w:r>
            <w:r>
              <w:t xml:space="preserve"> – OSBP difference of 5.2 mmHg</w:t>
            </w:r>
          </w:p>
          <w:p w14:paraId="49BEE21E" w14:textId="187C0802" w:rsidR="00BE19D2" w:rsidRPr="00CE28E3" w:rsidRDefault="57046103" w:rsidP="002C5D08">
            <w:pPr>
              <w:pStyle w:val="TableText"/>
              <w:ind w:left="720"/>
            </w:pPr>
            <w:r w:rsidRPr="006B0666">
              <w:t>$3,</w:t>
            </w:r>
            <w:r w:rsidR="008B23CE" w:rsidRPr="006B0666">
              <w:t>7</w:t>
            </w:r>
            <w:r w:rsidRPr="006B0666">
              <w:t>00</w:t>
            </w:r>
            <w:r>
              <w:t xml:space="preserve"> – Commentary revised</w:t>
            </w:r>
          </w:p>
        </w:tc>
        <w:tc>
          <w:tcPr>
            <w:tcW w:w="883" w:type="pct"/>
          </w:tcPr>
          <w:p w14:paraId="7011FDC3" w14:textId="77777777" w:rsidR="00E34267" w:rsidRPr="00FF45D9" w:rsidRDefault="00E34267" w:rsidP="002C5D08">
            <w:pPr>
              <w:pStyle w:val="TableText"/>
              <w:jc w:val="center"/>
              <w:rPr>
                <w:strike/>
              </w:rPr>
            </w:pPr>
          </w:p>
          <w:p w14:paraId="54F289E9" w14:textId="1A186D37" w:rsidR="18A84A0A" w:rsidRPr="002152A4" w:rsidRDefault="00F5453D" w:rsidP="2DA06066">
            <w:pPr>
              <w:pStyle w:val="TableText"/>
              <w:jc w:val="center"/>
              <w:rPr>
                <w:strike/>
              </w:rPr>
            </w:pPr>
            <w:r w:rsidRPr="00E80189">
              <w:t>$</w:t>
            </w:r>
            <w:r w:rsidRPr="00E80189">
              <w:rPr>
                <w:b/>
                <w:bCs/>
              </w:rPr>
              <w:t>redacted</w:t>
            </w:r>
          </w:p>
          <w:p w14:paraId="76EBDB0F" w14:textId="3C7D5107" w:rsidR="003C0323" w:rsidRPr="002152A4" w:rsidRDefault="00F5453D" w:rsidP="002C5D08">
            <w:pPr>
              <w:pStyle w:val="TableText"/>
              <w:jc w:val="center"/>
              <w:rPr>
                <w:rFonts w:eastAsia="Calibri"/>
                <w:strike/>
                <w:szCs w:val="20"/>
              </w:rPr>
            </w:pPr>
            <w:r w:rsidRPr="00E80189">
              <w:t>$</w:t>
            </w:r>
            <w:r w:rsidRPr="00E80189">
              <w:rPr>
                <w:b/>
                <w:bCs/>
              </w:rPr>
              <w:t>redacted</w:t>
            </w:r>
          </w:p>
        </w:tc>
        <w:tc>
          <w:tcPr>
            <w:tcW w:w="920" w:type="pct"/>
          </w:tcPr>
          <w:p w14:paraId="2130DA76" w14:textId="77777777" w:rsidR="00E34267" w:rsidRPr="00EA6C2A" w:rsidRDefault="00E34267" w:rsidP="002C5D08">
            <w:pPr>
              <w:pStyle w:val="TableText"/>
              <w:jc w:val="center"/>
            </w:pPr>
          </w:p>
          <w:p w14:paraId="3AEF75B5" w14:textId="4DB9B911" w:rsidR="77FABCA2" w:rsidRDefault="77FABCA2" w:rsidP="2DA06066">
            <w:pPr>
              <w:pStyle w:val="TableText"/>
              <w:jc w:val="center"/>
            </w:pPr>
            <w:r>
              <w:t>0.2795</w:t>
            </w:r>
          </w:p>
          <w:p w14:paraId="4DA41FB8" w14:textId="72B19AD2" w:rsidR="003C0323" w:rsidRPr="00F71956" w:rsidRDefault="003C0323" w:rsidP="002C5D08">
            <w:pPr>
              <w:pStyle w:val="TableText"/>
              <w:jc w:val="center"/>
            </w:pPr>
            <w:r w:rsidRPr="00F71956">
              <w:t>0.2060</w:t>
            </w:r>
          </w:p>
        </w:tc>
        <w:tc>
          <w:tcPr>
            <w:tcW w:w="920" w:type="pct"/>
          </w:tcPr>
          <w:p w14:paraId="4ED853E3" w14:textId="77777777" w:rsidR="00E34267" w:rsidRPr="00FF45D9" w:rsidRDefault="00E34267" w:rsidP="002C5D08">
            <w:pPr>
              <w:pStyle w:val="TableText"/>
              <w:jc w:val="center"/>
              <w:rPr>
                <w:strike/>
              </w:rPr>
            </w:pPr>
          </w:p>
          <w:p w14:paraId="3CE2441F" w14:textId="78289872" w:rsidR="003C0323" w:rsidRPr="002152A4" w:rsidRDefault="00F5453D" w:rsidP="002C5D08">
            <w:pPr>
              <w:pStyle w:val="TableText"/>
              <w:jc w:val="center"/>
              <w:rPr>
                <w:rFonts w:eastAsia="Calibri"/>
                <w:strike/>
                <w:szCs w:val="20"/>
              </w:rPr>
            </w:pPr>
            <w:r w:rsidRPr="00E80189">
              <w:t>$</w:t>
            </w:r>
            <w:r w:rsidRPr="00E80189">
              <w:rPr>
                <w:b/>
                <w:bCs/>
              </w:rPr>
              <w:t>redacted</w:t>
            </w:r>
            <w:r w:rsidRPr="00F5453D" w:rsidDel="00F5453D">
              <w:rPr>
                <w:strike/>
              </w:rPr>
              <w:t xml:space="preserve"> </w:t>
            </w:r>
            <w:r w:rsidRPr="00E80189">
              <w:t>$</w:t>
            </w:r>
            <w:r w:rsidRPr="00E80189">
              <w:rPr>
                <w:b/>
                <w:bCs/>
              </w:rPr>
              <w:t>redacted</w:t>
            </w:r>
          </w:p>
        </w:tc>
      </w:tr>
    </w:tbl>
    <w:bookmarkEnd w:id="48"/>
    <w:p w14:paraId="0FA88F23" w14:textId="4C8CC66D" w:rsidR="001F24D5" w:rsidRDefault="00C82714" w:rsidP="006E6197">
      <w:pPr>
        <w:pStyle w:val="Tablenotes0"/>
      </w:pPr>
      <w:r w:rsidRPr="4042795E">
        <w:rPr>
          <w:color w:val="000000" w:themeColor="text1"/>
        </w:rPr>
        <w:t xml:space="preserve">ADAR = Applicant Developed Assessment Report; </w:t>
      </w:r>
      <w:r w:rsidR="003C0323">
        <w:t>ICER = incremental cost-effectiveness ratio; QALY = quality adjusted life year</w:t>
      </w:r>
      <w:r w:rsidR="008B23CE">
        <w:t>; RR = relative risk</w:t>
      </w:r>
    </w:p>
    <w:p w14:paraId="20CAAAFB" w14:textId="7B8754F1" w:rsidR="003C0323" w:rsidRDefault="003C0323" w:rsidP="006E6197">
      <w:pPr>
        <w:pStyle w:val="Tablenotes0"/>
      </w:pPr>
      <w:r>
        <w:t xml:space="preserve">Note: The </w:t>
      </w:r>
      <w:r w:rsidR="00EA6C2A">
        <w:t xml:space="preserve">commentary revised </w:t>
      </w:r>
      <w:r w:rsidR="00DA1933">
        <w:t>analyses used</w:t>
      </w:r>
      <w:r>
        <w:t xml:space="preserve"> a mean difference in OSBP of 3.57</w:t>
      </w:r>
      <w:r w:rsidR="007224B8">
        <w:t xml:space="preserve"> mmHg</w:t>
      </w:r>
      <w:r>
        <w:t xml:space="preserve"> </w:t>
      </w:r>
      <w:r w:rsidR="00B8171D">
        <w:t xml:space="preserve">instead of 5.2 </w:t>
      </w:r>
      <w:r>
        <w:t xml:space="preserve">mmHg. </w:t>
      </w:r>
      <w:r w:rsidR="00E151D9">
        <w:t xml:space="preserve">All other </w:t>
      </w:r>
      <w:r w:rsidR="00B8171D">
        <w:t>model</w:t>
      </w:r>
      <w:r w:rsidR="00E151D9">
        <w:t xml:space="preserve"> inputs were unchanged (</w:t>
      </w:r>
      <w:r w:rsidR="00E07BE1">
        <w:t>MBS item fees were not updated</w:t>
      </w:r>
      <w:r w:rsidR="00D0799E">
        <w:t>)</w:t>
      </w:r>
      <w:r w:rsidR="00E151D9">
        <w:t>.</w:t>
      </w:r>
    </w:p>
    <w:p w14:paraId="32F6A446" w14:textId="599F8EC2" w:rsidR="00971936" w:rsidRPr="00304C71" w:rsidRDefault="00971936" w:rsidP="006E6197">
      <w:pPr>
        <w:pStyle w:val="Tablenotes0"/>
      </w:pPr>
      <w:r w:rsidRPr="00EA292A">
        <w:t xml:space="preserve">Source: </w:t>
      </w:r>
      <w:r w:rsidR="00E90FDA">
        <w:t>Ex</w:t>
      </w:r>
      <w:r w:rsidR="00307686">
        <w:t>c</w:t>
      </w:r>
      <w:r w:rsidR="00E90FDA">
        <w:t>erpt</w:t>
      </w:r>
      <w:r w:rsidR="00D70AD1">
        <w:t xml:space="preserve"> from </w:t>
      </w:r>
      <w:r w:rsidR="00EA292A" w:rsidRPr="00EA292A">
        <w:t xml:space="preserve">Table 114 </w:t>
      </w:r>
      <w:r w:rsidR="00841BEF">
        <w:t>in</w:t>
      </w:r>
      <w:r w:rsidR="003C128D">
        <w:t xml:space="preserve"> MSAC 1659 ADAR+in-line commentary</w:t>
      </w:r>
      <w:r w:rsidR="00EA292A">
        <w:t>.</w:t>
      </w:r>
    </w:p>
    <w:p w14:paraId="25AE2BAC" w14:textId="38DDED8C" w:rsidR="00772829" w:rsidRDefault="00C36633" w:rsidP="002A18BE">
      <w:pPr>
        <w:pStyle w:val="Heading2"/>
        <w:numPr>
          <w:ilvl w:val="0"/>
          <w:numId w:val="0"/>
        </w:numPr>
      </w:pPr>
      <w:r>
        <w:t>1</w:t>
      </w:r>
      <w:r w:rsidR="006E6BB4">
        <w:t>4</w:t>
      </w:r>
      <w:r>
        <w:t>.</w:t>
      </w:r>
      <w:r>
        <w:tab/>
      </w:r>
      <w:r w:rsidR="00772829" w:rsidRPr="00CE28E3">
        <w:t>Financial/budgetary impacts</w:t>
      </w:r>
      <w:bookmarkEnd w:id="30"/>
    </w:p>
    <w:p w14:paraId="3AB3690E" w14:textId="688EE276" w:rsidR="00AE1BB0" w:rsidRPr="00AE1BB0" w:rsidRDefault="00AE1BB0" w:rsidP="003D2A5E">
      <w:pPr>
        <w:pStyle w:val="Heading3"/>
      </w:pPr>
      <w:r>
        <w:t xml:space="preserve">Estimated use </w:t>
      </w:r>
      <w:r w:rsidR="003D2A5E">
        <w:t>of the proposed technology</w:t>
      </w:r>
    </w:p>
    <w:p w14:paraId="6FAC5986" w14:textId="3072AAF7" w:rsidR="00D61942" w:rsidRDefault="004E16B2" w:rsidP="00C9364E">
      <w:pPr>
        <w:rPr>
          <w:rFonts w:eastAsia="Times New Roman" w:cs="Arial"/>
          <w:lang w:val="en-US" w:eastAsia="en-GB"/>
        </w:rPr>
      </w:pPr>
      <w:r w:rsidRPr="4042795E">
        <w:rPr>
          <w:rFonts w:eastAsia="Times New Roman" w:cs="Arial"/>
          <w:lang w:val="en-US" w:eastAsia="en-GB"/>
        </w:rPr>
        <w:t>A predominantly epidemiological approach was taken to determine the expected extent of usage and associated financial implications of an MBS listing for RDN.</w:t>
      </w:r>
      <w:r>
        <w:t xml:space="preserve"> </w:t>
      </w:r>
      <w:r w:rsidR="00B17829" w:rsidRPr="4042795E">
        <w:rPr>
          <w:rFonts w:eastAsia="Times New Roman" w:cs="Arial"/>
          <w:lang w:val="en-US" w:eastAsia="en-GB"/>
        </w:rPr>
        <w:t xml:space="preserve">The base case method of calculating the patient population </w:t>
      </w:r>
      <w:r w:rsidR="009A6FCE" w:rsidRPr="4042795E">
        <w:rPr>
          <w:rFonts w:eastAsia="Times New Roman" w:cs="Arial"/>
          <w:lang w:val="en-US" w:eastAsia="en-GB"/>
        </w:rPr>
        <w:t>started</w:t>
      </w:r>
      <w:r w:rsidR="00B17829" w:rsidRPr="4042795E">
        <w:rPr>
          <w:rFonts w:eastAsia="Times New Roman" w:cs="Arial"/>
          <w:lang w:val="en-US" w:eastAsia="en-GB"/>
        </w:rPr>
        <w:t xml:space="preserve"> with patients treated with antihypertensives from a 10% </w:t>
      </w:r>
      <w:r w:rsidR="00405CB8" w:rsidRPr="4042795E">
        <w:rPr>
          <w:rFonts w:eastAsia="Times New Roman" w:cs="Arial"/>
          <w:lang w:val="en-US" w:eastAsia="en-GB"/>
        </w:rPr>
        <w:t>Pharmaceutical Benefits Scheme (</w:t>
      </w:r>
      <w:r w:rsidR="00B17829" w:rsidRPr="4042795E">
        <w:rPr>
          <w:rFonts w:eastAsia="Times New Roman" w:cs="Arial"/>
          <w:lang w:val="en-US" w:eastAsia="en-GB"/>
        </w:rPr>
        <w:t>PBS</w:t>
      </w:r>
      <w:r w:rsidR="00405CB8" w:rsidRPr="4042795E">
        <w:rPr>
          <w:rFonts w:eastAsia="Times New Roman" w:cs="Arial"/>
          <w:lang w:val="en-US" w:eastAsia="en-GB"/>
        </w:rPr>
        <w:t>)</w:t>
      </w:r>
      <w:r w:rsidR="00B17829" w:rsidRPr="4042795E">
        <w:rPr>
          <w:rFonts w:eastAsia="Times New Roman" w:cs="Arial"/>
          <w:lang w:val="en-US" w:eastAsia="en-GB"/>
        </w:rPr>
        <w:t xml:space="preserve"> sample</w:t>
      </w:r>
      <w:r w:rsidR="00AE18F3" w:rsidRPr="4042795E">
        <w:rPr>
          <w:rFonts w:eastAsia="Times New Roman" w:cs="Arial"/>
          <w:lang w:val="en-US" w:eastAsia="en-GB"/>
        </w:rPr>
        <w:t xml:space="preserve"> </w:t>
      </w:r>
      <w:r w:rsidR="00B17829" w:rsidRPr="4042795E">
        <w:rPr>
          <w:rFonts w:eastAsia="Times New Roman" w:cs="Arial"/>
          <w:lang w:val="en-US" w:eastAsia="en-GB"/>
        </w:rPr>
        <w:t xml:space="preserve">of </w:t>
      </w:r>
      <w:r w:rsidR="002021C6" w:rsidRPr="4042795E">
        <w:rPr>
          <w:rFonts w:eastAsia="Times New Roman" w:cs="Arial"/>
          <w:lang w:val="en-US" w:eastAsia="en-GB"/>
        </w:rPr>
        <w:t>adults</w:t>
      </w:r>
      <w:r w:rsidR="00B17829" w:rsidRPr="4042795E">
        <w:rPr>
          <w:rFonts w:eastAsia="Times New Roman" w:cs="Arial"/>
          <w:lang w:val="en-US" w:eastAsia="en-GB"/>
        </w:rPr>
        <w:t xml:space="preserve"> prescribed PBS </w:t>
      </w:r>
      <w:r w:rsidR="002021C6" w:rsidRPr="4042795E">
        <w:rPr>
          <w:rFonts w:eastAsia="Times New Roman" w:cs="Arial"/>
          <w:lang w:val="en-US" w:eastAsia="en-GB"/>
        </w:rPr>
        <w:t xml:space="preserve">antihypertensive </w:t>
      </w:r>
      <w:r w:rsidR="00B17829" w:rsidRPr="4042795E">
        <w:rPr>
          <w:rFonts w:eastAsia="Times New Roman" w:cs="Arial"/>
          <w:lang w:val="en-US" w:eastAsia="en-GB"/>
        </w:rPr>
        <w:t>medication</w:t>
      </w:r>
      <w:r w:rsidR="00AE18F3" w:rsidRPr="4042795E">
        <w:rPr>
          <w:rFonts w:eastAsia="Times New Roman" w:cs="Arial"/>
          <w:lang w:val="en-US" w:eastAsia="en-GB"/>
        </w:rPr>
        <w:t>,</w:t>
      </w:r>
      <w:r w:rsidR="00B17829" w:rsidRPr="4042795E">
        <w:rPr>
          <w:rFonts w:eastAsia="Times New Roman" w:cs="Arial"/>
          <w:lang w:val="en-US" w:eastAsia="en-GB"/>
        </w:rPr>
        <w:t xml:space="preserve"> extrapolated to the rest of the </w:t>
      </w:r>
      <w:r w:rsidR="002021C6" w:rsidRPr="4042795E">
        <w:rPr>
          <w:rFonts w:eastAsia="Times New Roman" w:cs="Arial"/>
          <w:lang w:val="en-US" w:eastAsia="en-GB"/>
        </w:rPr>
        <w:t xml:space="preserve">adult </w:t>
      </w:r>
      <w:r w:rsidR="00B17829" w:rsidRPr="4042795E">
        <w:rPr>
          <w:rFonts w:eastAsia="Times New Roman" w:cs="Arial"/>
          <w:lang w:val="en-US" w:eastAsia="en-GB"/>
        </w:rPr>
        <w:t>population</w:t>
      </w:r>
      <w:r w:rsidR="0014284F" w:rsidRPr="4042795E">
        <w:rPr>
          <w:rFonts w:eastAsia="Times New Roman" w:cs="Arial"/>
          <w:lang w:val="en-US" w:eastAsia="en-GB"/>
        </w:rPr>
        <w:t xml:space="preserve"> in Australia</w:t>
      </w:r>
      <w:r w:rsidR="00B17829" w:rsidRPr="4042795E">
        <w:rPr>
          <w:rFonts w:eastAsia="Times New Roman" w:cs="Arial"/>
          <w:lang w:val="en-US" w:eastAsia="en-GB"/>
        </w:rPr>
        <w:t xml:space="preserve">. </w:t>
      </w:r>
      <w:r w:rsidR="00314256" w:rsidRPr="4042795E">
        <w:rPr>
          <w:rFonts w:eastAsia="Times New Roman" w:cs="Arial"/>
          <w:lang w:val="en-US" w:eastAsia="en-GB"/>
        </w:rPr>
        <w:t xml:space="preserve">Other </w:t>
      </w:r>
      <w:r w:rsidR="00D025BD" w:rsidRPr="4042795E">
        <w:rPr>
          <w:rFonts w:eastAsia="Times New Roman" w:cs="Arial"/>
          <w:lang w:val="en-US" w:eastAsia="en-GB"/>
        </w:rPr>
        <w:t xml:space="preserve">published and unpublished </w:t>
      </w:r>
      <w:r w:rsidR="00A64BF7" w:rsidRPr="4042795E">
        <w:rPr>
          <w:rFonts w:eastAsia="Times New Roman" w:cs="Arial"/>
          <w:lang w:val="en-US" w:eastAsia="en-GB"/>
        </w:rPr>
        <w:t xml:space="preserve">data </w:t>
      </w:r>
      <w:r w:rsidR="00314256" w:rsidRPr="4042795E">
        <w:rPr>
          <w:rFonts w:eastAsia="Times New Roman" w:cs="Arial"/>
          <w:lang w:val="en-US" w:eastAsia="en-GB"/>
        </w:rPr>
        <w:t xml:space="preserve">sources </w:t>
      </w:r>
      <w:r w:rsidR="00C46533" w:rsidRPr="4042795E">
        <w:rPr>
          <w:rFonts w:eastAsia="Times New Roman" w:cs="Arial"/>
          <w:lang w:val="en-US" w:eastAsia="en-GB"/>
        </w:rPr>
        <w:t xml:space="preserve">(including </w:t>
      </w:r>
      <w:r w:rsidR="00E86E74" w:rsidRPr="4042795E">
        <w:rPr>
          <w:rFonts w:eastAsia="Times New Roman" w:cs="Arial"/>
          <w:lang w:val="en-US" w:eastAsia="en-GB"/>
        </w:rPr>
        <w:t>subgroup analyses from the G</w:t>
      </w:r>
      <w:r w:rsidR="00727B78" w:rsidRPr="4042795E">
        <w:rPr>
          <w:rFonts w:eastAsia="Times New Roman" w:cs="Arial"/>
          <w:lang w:val="en-US" w:eastAsia="en-GB"/>
        </w:rPr>
        <w:t xml:space="preserve">lobal </w:t>
      </w:r>
      <w:r w:rsidR="00E86E74" w:rsidRPr="4042795E">
        <w:rPr>
          <w:rFonts w:eastAsia="Times New Roman" w:cs="Arial"/>
          <w:lang w:val="en-US" w:eastAsia="en-GB"/>
        </w:rPr>
        <w:t>S</w:t>
      </w:r>
      <w:r w:rsidR="00727B78" w:rsidRPr="4042795E">
        <w:rPr>
          <w:rFonts w:eastAsia="Times New Roman" w:cs="Arial"/>
          <w:lang w:val="en-US" w:eastAsia="en-GB"/>
        </w:rPr>
        <w:t xml:space="preserve">YMPLICITY </w:t>
      </w:r>
      <w:r w:rsidR="00E86E74" w:rsidRPr="4042795E">
        <w:rPr>
          <w:rFonts w:eastAsia="Times New Roman" w:cs="Arial"/>
          <w:lang w:val="en-US" w:eastAsia="en-GB"/>
        </w:rPr>
        <w:t>R</w:t>
      </w:r>
      <w:r w:rsidR="00727B78" w:rsidRPr="4042795E">
        <w:rPr>
          <w:rFonts w:eastAsia="Times New Roman" w:cs="Arial"/>
          <w:lang w:val="en-US" w:eastAsia="en-GB"/>
        </w:rPr>
        <w:t>egistry</w:t>
      </w:r>
      <w:r w:rsidR="00E86E74" w:rsidRPr="4042795E">
        <w:rPr>
          <w:rFonts w:eastAsia="Times New Roman" w:cs="Arial"/>
          <w:lang w:val="en-US" w:eastAsia="en-GB"/>
        </w:rPr>
        <w:t xml:space="preserve">) </w:t>
      </w:r>
      <w:r w:rsidR="00A64BF7" w:rsidRPr="4042795E">
        <w:rPr>
          <w:rFonts w:eastAsia="Times New Roman" w:cs="Arial"/>
          <w:lang w:val="en-US" w:eastAsia="en-GB"/>
        </w:rPr>
        <w:t>were then</w:t>
      </w:r>
      <w:r w:rsidR="00E86E74" w:rsidRPr="4042795E">
        <w:rPr>
          <w:rFonts w:eastAsia="Times New Roman" w:cs="Arial"/>
          <w:lang w:val="en-US" w:eastAsia="en-GB"/>
        </w:rPr>
        <w:t xml:space="preserve"> used to determine the </w:t>
      </w:r>
      <w:r w:rsidR="00C911D4" w:rsidRPr="4042795E">
        <w:rPr>
          <w:rFonts w:eastAsia="Times New Roman" w:cs="Arial"/>
          <w:lang w:val="en-US" w:eastAsia="en-GB"/>
        </w:rPr>
        <w:t xml:space="preserve">proportion </w:t>
      </w:r>
      <w:r w:rsidR="009A0E07" w:rsidRPr="4042795E">
        <w:rPr>
          <w:rFonts w:eastAsia="Times New Roman" w:cs="Arial"/>
          <w:lang w:val="en-US" w:eastAsia="en-GB"/>
        </w:rPr>
        <w:t>of</w:t>
      </w:r>
      <w:r w:rsidR="00C911D4" w:rsidRPr="4042795E">
        <w:rPr>
          <w:rFonts w:eastAsia="Times New Roman" w:cs="Arial"/>
          <w:lang w:val="en-US" w:eastAsia="en-GB"/>
        </w:rPr>
        <w:t xml:space="preserve"> </w:t>
      </w:r>
      <w:r w:rsidR="0014284F" w:rsidRPr="4042795E">
        <w:rPr>
          <w:rFonts w:eastAsia="Times New Roman" w:cs="Arial"/>
          <w:lang w:val="en-US" w:eastAsia="en-GB"/>
        </w:rPr>
        <w:t xml:space="preserve">hypertensive </w:t>
      </w:r>
      <w:r w:rsidR="00C911D4" w:rsidRPr="4042795E">
        <w:rPr>
          <w:rFonts w:eastAsia="Times New Roman" w:cs="Arial"/>
          <w:lang w:val="en-US" w:eastAsia="en-GB"/>
        </w:rPr>
        <w:t xml:space="preserve">patients who would </w:t>
      </w:r>
      <w:r w:rsidR="004A0258" w:rsidRPr="4042795E">
        <w:rPr>
          <w:rFonts w:eastAsia="Times New Roman" w:cs="Arial"/>
          <w:lang w:val="en-US" w:eastAsia="en-GB"/>
        </w:rPr>
        <w:t xml:space="preserve">ultimately </w:t>
      </w:r>
      <w:r w:rsidR="009A0E07" w:rsidRPr="4042795E">
        <w:rPr>
          <w:rFonts w:eastAsia="Times New Roman" w:cs="Arial"/>
          <w:lang w:val="en-US" w:eastAsia="en-GB"/>
        </w:rPr>
        <w:t xml:space="preserve">be eligible </w:t>
      </w:r>
      <w:r w:rsidR="009B3600" w:rsidRPr="4042795E">
        <w:rPr>
          <w:rFonts w:eastAsia="Times New Roman" w:cs="Arial"/>
          <w:lang w:val="en-US" w:eastAsia="en-GB"/>
        </w:rPr>
        <w:t>(</w:t>
      </w:r>
      <w:r w:rsidR="009A0E07" w:rsidRPr="4042795E">
        <w:rPr>
          <w:rFonts w:eastAsia="Times New Roman" w:cs="Arial"/>
          <w:lang w:val="en-US" w:eastAsia="en-GB"/>
        </w:rPr>
        <w:t xml:space="preserve">proposed </w:t>
      </w:r>
      <w:r w:rsidR="00525AEE" w:rsidRPr="4042795E">
        <w:rPr>
          <w:rFonts w:eastAsia="Times New Roman" w:cs="Arial"/>
          <w:lang w:val="en-US" w:eastAsia="en-GB"/>
        </w:rPr>
        <w:t xml:space="preserve">MBS </w:t>
      </w:r>
      <w:r w:rsidR="009B3600" w:rsidRPr="4042795E">
        <w:rPr>
          <w:rFonts w:eastAsia="Times New Roman" w:cs="Arial"/>
          <w:lang w:val="en-US" w:eastAsia="en-GB"/>
        </w:rPr>
        <w:t>population)</w:t>
      </w:r>
      <w:r w:rsidR="00112DAE" w:rsidRPr="4042795E">
        <w:rPr>
          <w:rFonts w:eastAsia="Times New Roman" w:cs="Arial"/>
          <w:lang w:val="en-US" w:eastAsia="en-GB"/>
        </w:rPr>
        <w:t xml:space="preserve"> and </w:t>
      </w:r>
      <w:r w:rsidR="00062E3C" w:rsidRPr="4042795E">
        <w:rPr>
          <w:rFonts w:eastAsia="Times New Roman" w:cs="Arial"/>
          <w:lang w:val="en-US" w:eastAsia="en-GB"/>
        </w:rPr>
        <w:t>may</w:t>
      </w:r>
      <w:r w:rsidR="004246CD" w:rsidRPr="4042795E">
        <w:rPr>
          <w:rFonts w:eastAsia="Times New Roman" w:cs="Arial"/>
          <w:lang w:val="en-US" w:eastAsia="en-GB"/>
        </w:rPr>
        <w:t xml:space="preserve"> </w:t>
      </w:r>
      <w:r w:rsidR="00095A21" w:rsidRPr="4042795E">
        <w:rPr>
          <w:rFonts w:eastAsia="Times New Roman" w:cs="Arial"/>
          <w:lang w:val="en-US" w:eastAsia="en-GB"/>
        </w:rPr>
        <w:t>elect</w:t>
      </w:r>
      <w:r w:rsidR="00112DAE" w:rsidRPr="4042795E">
        <w:rPr>
          <w:rFonts w:eastAsia="Times New Roman" w:cs="Arial"/>
          <w:lang w:val="en-US" w:eastAsia="en-GB"/>
        </w:rPr>
        <w:t xml:space="preserve"> to receive RDN</w:t>
      </w:r>
      <w:r w:rsidR="00615752" w:rsidRPr="4042795E">
        <w:rPr>
          <w:rFonts w:eastAsia="Times New Roman" w:cs="Arial"/>
          <w:lang w:val="en-US" w:eastAsia="en-GB"/>
        </w:rPr>
        <w:t xml:space="preserve">, taking </w:t>
      </w:r>
      <w:r w:rsidR="00352682" w:rsidRPr="4042795E">
        <w:rPr>
          <w:rFonts w:eastAsia="Times New Roman" w:cs="Arial"/>
          <w:lang w:val="en-US" w:eastAsia="en-GB"/>
        </w:rPr>
        <w:t xml:space="preserve">private health insurance </w:t>
      </w:r>
      <w:r w:rsidR="00F728BE" w:rsidRPr="4042795E">
        <w:rPr>
          <w:rFonts w:eastAsia="Times New Roman" w:cs="Arial"/>
          <w:lang w:val="en-US" w:eastAsia="en-GB"/>
        </w:rPr>
        <w:t xml:space="preserve">(PHI) </w:t>
      </w:r>
      <w:r w:rsidR="00195627" w:rsidRPr="4042795E">
        <w:rPr>
          <w:rFonts w:eastAsia="Times New Roman" w:cs="Arial"/>
          <w:lang w:val="en-US" w:eastAsia="en-GB"/>
        </w:rPr>
        <w:t xml:space="preserve">status </w:t>
      </w:r>
      <w:r w:rsidR="00352682" w:rsidRPr="4042795E">
        <w:rPr>
          <w:rFonts w:eastAsia="Times New Roman" w:cs="Arial"/>
          <w:lang w:val="en-US" w:eastAsia="en-GB"/>
        </w:rPr>
        <w:t xml:space="preserve">and </w:t>
      </w:r>
      <w:r w:rsidR="00CD70EC" w:rsidRPr="4042795E">
        <w:rPr>
          <w:rFonts w:eastAsia="Times New Roman" w:cs="Arial"/>
          <w:lang w:val="en-US" w:eastAsia="en-GB"/>
        </w:rPr>
        <w:t xml:space="preserve">patient preference </w:t>
      </w:r>
      <w:r w:rsidR="00413345" w:rsidRPr="4042795E">
        <w:rPr>
          <w:rFonts w:eastAsia="Times New Roman" w:cs="Arial"/>
          <w:lang w:val="en-US" w:eastAsia="en-GB"/>
        </w:rPr>
        <w:t xml:space="preserve">(“demand”) </w:t>
      </w:r>
      <w:r w:rsidR="00CD70EC" w:rsidRPr="4042795E">
        <w:rPr>
          <w:rFonts w:eastAsia="Times New Roman" w:cs="Arial"/>
          <w:lang w:val="en-US" w:eastAsia="en-GB"/>
        </w:rPr>
        <w:t>into consideration</w:t>
      </w:r>
      <w:r w:rsidR="00A51966" w:rsidRPr="4042795E">
        <w:rPr>
          <w:rFonts w:eastAsia="Times New Roman" w:cs="Arial"/>
          <w:lang w:val="en-US" w:eastAsia="en-GB"/>
        </w:rPr>
        <w:t>.</w:t>
      </w:r>
    </w:p>
    <w:p w14:paraId="29F75FB0" w14:textId="24A2392D" w:rsidR="00764BB4" w:rsidRDefault="00B17829" w:rsidP="00C9364E">
      <w:pPr>
        <w:rPr>
          <w:rFonts w:eastAsia="Times New Roman" w:cs="Arial"/>
          <w:szCs w:val="24"/>
          <w:lang w:val="en-US" w:eastAsia="en-GB"/>
        </w:rPr>
      </w:pPr>
      <w:r w:rsidRPr="00B17829">
        <w:rPr>
          <w:rFonts w:eastAsia="Times New Roman" w:cs="Arial"/>
          <w:szCs w:val="24"/>
          <w:lang w:val="en-US" w:eastAsia="en-GB"/>
        </w:rPr>
        <w:t xml:space="preserve">A separate epidemiological method of calculating the budget impact was conducted in an additional sensitivity analysis, applying alternative sources to the total population of Australia. </w:t>
      </w:r>
      <w:r w:rsidR="007A523A">
        <w:rPr>
          <w:rFonts w:eastAsia="Times New Roman" w:cs="Arial"/>
          <w:szCs w:val="24"/>
          <w:lang w:val="en-US" w:eastAsia="en-GB"/>
        </w:rPr>
        <w:t>The ADAR claimed this</w:t>
      </w:r>
      <w:r w:rsidR="007A523A" w:rsidRPr="00B17829">
        <w:rPr>
          <w:rFonts w:eastAsia="Times New Roman" w:cs="Arial"/>
          <w:szCs w:val="24"/>
          <w:lang w:val="en-US" w:eastAsia="en-GB"/>
        </w:rPr>
        <w:t xml:space="preserve"> </w:t>
      </w:r>
      <w:r w:rsidRPr="00B17829">
        <w:rPr>
          <w:rFonts w:eastAsia="Times New Roman" w:cs="Arial"/>
          <w:szCs w:val="24"/>
          <w:lang w:val="en-US" w:eastAsia="en-GB"/>
        </w:rPr>
        <w:t xml:space="preserve">triangulation approach </w:t>
      </w:r>
      <w:r w:rsidR="008469D8">
        <w:rPr>
          <w:rFonts w:eastAsia="Times New Roman" w:cs="Arial"/>
          <w:szCs w:val="24"/>
          <w:lang w:val="en-US" w:eastAsia="en-GB"/>
        </w:rPr>
        <w:t>provide</w:t>
      </w:r>
      <w:r w:rsidR="007A523A">
        <w:rPr>
          <w:rFonts w:eastAsia="Times New Roman" w:cs="Arial"/>
          <w:szCs w:val="24"/>
          <w:lang w:val="en-US" w:eastAsia="en-GB"/>
        </w:rPr>
        <w:t>d</w:t>
      </w:r>
      <w:r w:rsidR="008469D8">
        <w:rPr>
          <w:rFonts w:eastAsia="Times New Roman" w:cs="Arial"/>
          <w:szCs w:val="24"/>
          <w:lang w:val="en-US" w:eastAsia="en-GB"/>
        </w:rPr>
        <w:t xml:space="preserve"> </w:t>
      </w:r>
      <w:r w:rsidR="006B566B">
        <w:rPr>
          <w:rFonts w:eastAsia="Times New Roman" w:cs="Arial"/>
          <w:szCs w:val="24"/>
          <w:lang w:val="en-US" w:eastAsia="en-GB"/>
        </w:rPr>
        <w:t xml:space="preserve">greater certainty in the </w:t>
      </w:r>
      <w:r w:rsidR="00BB11E3">
        <w:rPr>
          <w:rFonts w:eastAsia="Times New Roman" w:cs="Arial"/>
          <w:szCs w:val="24"/>
          <w:lang w:val="en-US" w:eastAsia="en-GB"/>
        </w:rPr>
        <w:t xml:space="preserve">estimated </w:t>
      </w:r>
      <w:r w:rsidR="00553AF5">
        <w:rPr>
          <w:rFonts w:eastAsia="Times New Roman" w:cs="Arial"/>
          <w:szCs w:val="24"/>
          <w:lang w:val="en-US" w:eastAsia="en-GB"/>
        </w:rPr>
        <w:t>pool</w:t>
      </w:r>
      <w:r w:rsidR="00BB11E3">
        <w:rPr>
          <w:rFonts w:eastAsia="Times New Roman" w:cs="Arial"/>
          <w:szCs w:val="24"/>
          <w:lang w:val="en-US" w:eastAsia="en-GB"/>
        </w:rPr>
        <w:t xml:space="preserve"> of </w:t>
      </w:r>
      <w:r w:rsidR="007D0C9F">
        <w:rPr>
          <w:rFonts w:eastAsia="Times New Roman" w:cs="Arial"/>
          <w:szCs w:val="24"/>
          <w:lang w:val="en-US" w:eastAsia="en-GB"/>
        </w:rPr>
        <w:t xml:space="preserve">prevalent and incident </w:t>
      </w:r>
      <w:r w:rsidR="00BB11E3">
        <w:rPr>
          <w:rFonts w:eastAsia="Times New Roman" w:cs="Arial"/>
          <w:szCs w:val="24"/>
          <w:lang w:val="en-US" w:eastAsia="en-GB"/>
        </w:rPr>
        <w:t xml:space="preserve">patients </w:t>
      </w:r>
      <w:r w:rsidR="00DF5758">
        <w:rPr>
          <w:rFonts w:eastAsia="Times New Roman" w:cs="Arial"/>
          <w:szCs w:val="24"/>
          <w:lang w:val="en-US" w:eastAsia="en-GB"/>
        </w:rPr>
        <w:t xml:space="preserve">who may </w:t>
      </w:r>
      <w:r w:rsidR="00BB11E3">
        <w:rPr>
          <w:rFonts w:eastAsia="Times New Roman" w:cs="Arial"/>
          <w:szCs w:val="24"/>
          <w:lang w:val="en-US" w:eastAsia="en-GB"/>
        </w:rPr>
        <w:t>pote</w:t>
      </w:r>
      <w:r w:rsidR="00553AF5">
        <w:rPr>
          <w:rFonts w:eastAsia="Times New Roman" w:cs="Arial"/>
          <w:szCs w:val="24"/>
          <w:lang w:val="en-US" w:eastAsia="en-GB"/>
        </w:rPr>
        <w:t xml:space="preserve">ntially </w:t>
      </w:r>
      <w:r w:rsidR="007D0C9F">
        <w:rPr>
          <w:rFonts w:eastAsia="Times New Roman" w:cs="Arial"/>
          <w:szCs w:val="24"/>
          <w:lang w:val="en-US" w:eastAsia="en-GB"/>
        </w:rPr>
        <w:t xml:space="preserve">seek </w:t>
      </w:r>
      <w:r w:rsidR="005D3E08">
        <w:rPr>
          <w:rFonts w:eastAsia="Times New Roman" w:cs="Arial"/>
          <w:szCs w:val="24"/>
          <w:lang w:val="en-US" w:eastAsia="en-GB"/>
        </w:rPr>
        <w:t>RDN treatment</w:t>
      </w:r>
      <w:r w:rsidR="00D27193">
        <w:rPr>
          <w:rFonts w:eastAsia="Times New Roman" w:cs="Arial"/>
          <w:szCs w:val="24"/>
          <w:lang w:val="en-US" w:eastAsia="en-GB"/>
        </w:rPr>
        <w:t xml:space="preserve"> </w:t>
      </w:r>
      <w:r w:rsidR="00CA1BAF">
        <w:rPr>
          <w:rFonts w:eastAsia="Times New Roman" w:cs="Arial"/>
          <w:szCs w:val="24"/>
          <w:lang w:val="en-US" w:eastAsia="en-GB"/>
        </w:rPr>
        <w:t>under</w:t>
      </w:r>
      <w:r w:rsidR="00B8484D">
        <w:rPr>
          <w:rFonts w:eastAsia="Times New Roman" w:cs="Arial"/>
          <w:szCs w:val="24"/>
          <w:lang w:val="en-US" w:eastAsia="en-GB"/>
        </w:rPr>
        <w:t xml:space="preserve"> the </w:t>
      </w:r>
      <w:r w:rsidR="00BF3B17">
        <w:rPr>
          <w:rFonts w:eastAsia="Times New Roman" w:cs="Arial"/>
          <w:szCs w:val="24"/>
          <w:lang w:val="en-US" w:eastAsia="en-GB"/>
        </w:rPr>
        <w:t>MBS</w:t>
      </w:r>
      <w:r w:rsidR="005D3E08">
        <w:rPr>
          <w:rFonts w:eastAsia="Times New Roman" w:cs="Arial"/>
          <w:szCs w:val="24"/>
          <w:lang w:val="en-US" w:eastAsia="en-GB"/>
        </w:rPr>
        <w:t xml:space="preserve">. </w:t>
      </w:r>
    </w:p>
    <w:p w14:paraId="78C5C96A" w14:textId="2B9A0291" w:rsidR="00B17829" w:rsidRDefault="00166944" w:rsidP="4042795E">
      <w:pPr>
        <w:rPr>
          <w:rFonts w:eastAsia="Times New Roman" w:cs="Arial"/>
          <w:lang w:val="en-US" w:eastAsia="en-GB"/>
        </w:rPr>
      </w:pPr>
      <w:r w:rsidRPr="4042795E">
        <w:rPr>
          <w:rFonts w:eastAsia="Times New Roman" w:cs="Arial"/>
          <w:lang w:val="en-US" w:eastAsia="en-GB"/>
        </w:rPr>
        <w:t>T</w:t>
      </w:r>
      <w:r w:rsidR="00D47E46" w:rsidRPr="4042795E">
        <w:rPr>
          <w:rFonts w:eastAsia="Times New Roman" w:cs="Arial"/>
          <w:lang w:val="en-US" w:eastAsia="en-GB"/>
        </w:rPr>
        <w:t xml:space="preserve">he </w:t>
      </w:r>
      <w:r w:rsidR="000B1DE3" w:rsidRPr="4042795E">
        <w:rPr>
          <w:rFonts w:eastAsia="Times New Roman" w:cs="Arial"/>
          <w:lang w:val="en-US" w:eastAsia="en-GB"/>
        </w:rPr>
        <w:t xml:space="preserve">ADAR </w:t>
      </w:r>
      <w:r w:rsidR="0070603C" w:rsidRPr="4042795E">
        <w:rPr>
          <w:rFonts w:eastAsia="Times New Roman" w:cs="Arial"/>
          <w:lang w:val="en-US" w:eastAsia="en-GB"/>
        </w:rPr>
        <w:t>subsequent</w:t>
      </w:r>
      <w:r w:rsidR="00C5733D" w:rsidRPr="4042795E">
        <w:rPr>
          <w:rFonts w:eastAsia="Times New Roman" w:cs="Arial"/>
          <w:lang w:val="en-US" w:eastAsia="en-GB"/>
        </w:rPr>
        <w:t>ly</w:t>
      </w:r>
      <w:r w:rsidR="00B8484D" w:rsidRPr="4042795E">
        <w:rPr>
          <w:rFonts w:eastAsia="Times New Roman" w:cs="Arial"/>
          <w:lang w:val="en-US" w:eastAsia="en-GB"/>
        </w:rPr>
        <w:t xml:space="preserve"> applied</w:t>
      </w:r>
      <w:r w:rsidR="002609A6" w:rsidRPr="4042795E">
        <w:rPr>
          <w:rFonts w:eastAsia="Times New Roman" w:cs="Arial"/>
          <w:lang w:val="en-US" w:eastAsia="en-GB"/>
        </w:rPr>
        <w:t xml:space="preserve"> </w:t>
      </w:r>
      <w:r w:rsidR="008C1E58" w:rsidRPr="4042795E">
        <w:rPr>
          <w:rFonts w:eastAsia="Times New Roman" w:cs="Arial"/>
          <w:lang w:val="en-US" w:eastAsia="en-GB"/>
        </w:rPr>
        <w:t xml:space="preserve">assumptions regarding </w:t>
      </w:r>
      <w:r w:rsidR="00307982" w:rsidRPr="4042795E">
        <w:rPr>
          <w:rFonts w:eastAsia="Times New Roman" w:cs="Arial"/>
          <w:lang w:val="en-US" w:eastAsia="en-GB"/>
        </w:rPr>
        <w:t>organi</w:t>
      </w:r>
      <w:r w:rsidR="00337017" w:rsidRPr="4042795E">
        <w:rPr>
          <w:rFonts w:eastAsia="Times New Roman" w:cs="Arial"/>
          <w:lang w:val="en-US" w:eastAsia="en-GB"/>
        </w:rPr>
        <w:t>s</w:t>
      </w:r>
      <w:r w:rsidR="00307982" w:rsidRPr="4042795E">
        <w:rPr>
          <w:rFonts w:eastAsia="Times New Roman" w:cs="Arial"/>
          <w:lang w:val="en-US" w:eastAsia="en-GB"/>
        </w:rPr>
        <w:t xml:space="preserve">ational and infrastructure </w:t>
      </w:r>
      <w:r w:rsidR="00337017" w:rsidRPr="4042795E">
        <w:rPr>
          <w:rFonts w:eastAsia="Times New Roman" w:cs="Arial"/>
          <w:lang w:val="en-US" w:eastAsia="en-GB"/>
        </w:rPr>
        <w:t xml:space="preserve">capacity </w:t>
      </w:r>
      <w:r w:rsidR="00396EDE" w:rsidRPr="4042795E">
        <w:rPr>
          <w:rFonts w:eastAsia="Times New Roman" w:cs="Arial"/>
          <w:lang w:val="en-US" w:eastAsia="en-GB"/>
        </w:rPr>
        <w:t xml:space="preserve">constraints </w:t>
      </w:r>
      <w:r w:rsidR="00C5733D" w:rsidRPr="4042795E">
        <w:rPr>
          <w:rFonts w:eastAsia="Times New Roman" w:cs="Arial"/>
          <w:lang w:val="en-US" w:eastAsia="en-GB"/>
        </w:rPr>
        <w:t xml:space="preserve">that would </w:t>
      </w:r>
      <w:r w:rsidRPr="4042795E">
        <w:rPr>
          <w:rFonts w:eastAsia="Times New Roman" w:cs="Arial"/>
          <w:lang w:val="en-US" w:eastAsia="en-GB"/>
        </w:rPr>
        <w:t>likely</w:t>
      </w:r>
      <w:r w:rsidR="004D1F49" w:rsidRPr="4042795E">
        <w:rPr>
          <w:rFonts w:eastAsia="Times New Roman" w:cs="Arial"/>
          <w:lang w:val="en-US" w:eastAsia="en-GB"/>
        </w:rPr>
        <w:t xml:space="preserve"> </w:t>
      </w:r>
      <w:r w:rsidR="001014A2" w:rsidRPr="4042795E">
        <w:rPr>
          <w:rFonts w:eastAsia="Times New Roman" w:cs="Arial"/>
          <w:lang w:val="en-US" w:eastAsia="en-GB"/>
        </w:rPr>
        <w:t>restrict</w:t>
      </w:r>
      <w:r w:rsidR="00337017" w:rsidRPr="4042795E">
        <w:rPr>
          <w:rFonts w:eastAsia="Times New Roman" w:cs="Arial"/>
          <w:lang w:val="en-US" w:eastAsia="en-GB"/>
        </w:rPr>
        <w:t xml:space="preserve"> the </w:t>
      </w:r>
      <w:r w:rsidR="00344250" w:rsidRPr="4042795E">
        <w:rPr>
          <w:rFonts w:eastAsia="Times New Roman" w:cs="Arial"/>
          <w:lang w:val="en-US" w:eastAsia="en-GB"/>
        </w:rPr>
        <w:t xml:space="preserve">number of </w:t>
      </w:r>
      <w:r w:rsidR="004E01FB" w:rsidRPr="4042795E">
        <w:rPr>
          <w:rFonts w:eastAsia="Times New Roman" w:cs="Arial"/>
          <w:lang w:val="en-US" w:eastAsia="en-GB"/>
        </w:rPr>
        <w:t xml:space="preserve">RDN procedures that </w:t>
      </w:r>
      <w:r w:rsidR="00263865" w:rsidRPr="4042795E">
        <w:rPr>
          <w:rFonts w:eastAsia="Times New Roman" w:cs="Arial"/>
          <w:lang w:val="en-US" w:eastAsia="en-GB"/>
        </w:rPr>
        <w:t xml:space="preserve">can be performed </w:t>
      </w:r>
      <w:r w:rsidR="006F26A2" w:rsidRPr="4042795E">
        <w:rPr>
          <w:rFonts w:eastAsia="Times New Roman" w:cs="Arial"/>
          <w:lang w:val="en-US" w:eastAsia="en-GB"/>
        </w:rPr>
        <w:t>each</w:t>
      </w:r>
      <w:r w:rsidR="00980F41" w:rsidRPr="4042795E">
        <w:rPr>
          <w:rFonts w:eastAsia="Times New Roman" w:cs="Arial"/>
          <w:lang w:val="en-US" w:eastAsia="en-GB"/>
        </w:rPr>
        <w:t xml:space="preserve"> year.</w:t>
      </w:r>
      <w:r w:rsidR="001014A2" w:rsidRPr="4042795E">
        <w:rPr>
          <w:rFonts w:eastAsia="Times New Roman" w:cs="Arial"/>
          <w:lang w:val="en-US" w:eastAsia="en-GB"/>
        </w:rPr>
        <w:t xml:space="preserve"> </w:t>
      </w:r>
      <w:r w:rsidR="002C73AC" w:rsidRPr="0023699E">
        <w:rPr>
          <w:rFonts w:eastAsia="Times New Roman" w:cs="Arial"/>
          <w:lang w:val="en-US" w:eastAsia="en-GB"/>
        </w:rPr>
        <w:t>The</w:t>
      </w:r>
      <w:r w:rsidR="00C23D98" w:rsidRPr="0023699E">
        <w:rPr>
          <w:rFonts w:eastAsia="Times New Roman" w:cs="Arial"/>
          <w:lang w:val="en-US" w:eastAsia="en-GB"/>
        </w:rPr>
        <w:t xml:space="preserve">se </w:t>
      </w:r>
      <w:r w:rsidR="002C73AC" w:rsidRPr="0023699E">
        <w:rPr>
          <w:rFonts w:eastAsia="Times New Roman" w:cs="Arial"/>
          <w:lang w:val="en-US" w:eastAsia="en-GB"/>
        </w:rPr>
        <w:t xml:space="preserve">assumptions regarding </w:t>
      </w:r>
      <w:r w:rsidR="00536A03" w:rsidRPr="0023699E">
        <w:rPr>
          <w:rFonts w:eastAsia="Times New Roman" w:cs="Arial"/>
          <w:lang w:val="en-US" w:eastAsia="en-GB"/>
        </w:rPr>
        <w:t>catheteris</w:t>
      </w:r>
      <w:r w:rsidR="00C23D98" w:rsidRPr="0023699E">
        <w:rPr>
          <w:rFonts w:eastAsia="Times New Roman" w:cs="Arial"/>
          <w:lang w:val="en-US" w:eastAsia="en-GB"/>
        </w:rPr>
        <w:t xml:space="preserve">ation laboratory </w:t>
      </w:r>
      <w:r w:rsidR="000A5D4B" w:rsidRPr="0023699E">
        <w:rPr>
          <w:rFonts w:eastAsia="Times New Roman" w:cs="Arial"/>
          <w:lang w:val="en-US" w:eastAsia="en-GB"/>
        </w:rPr>
        <w:t xml:space="preserve">capacity </w:t>
      </w:r>
      <w:r w:rsidR="00A33518" w:rsidRPr="008D7F36">
        <w:rPr>
          <w:rFonts w:eastAsia="Times New Roman" w:cs="Arial"/>
          <w:lang w:val="en-US" w:eastAsia="en-GB"/>
        </w:rPr>
        <w:t>(</w:t>
      </w:r>
      <w:r w:rsidR="008D7F36" w:rsidRPr="002152A4">
        <w:rPr>
          <w:rFonts w:eastAsia="Times New Roman" w:cs="Arial"/>
          <w:b/>
          <w:bCs/>
          <w:lang w:val="en-US" w:eastAsia="en-GB"/>
        </w:rPr>
        <w:t>redacted</w:t>
      </w:r>
      <w:r w:rsidR="00670FE6" w:rsidRPr="008D7F36">
        <w:rPr>
          <w:rFonts w:eastAsia="Times New Roman" w:cs="Arial"/>
          <w:lang w:val="en-US" w:eastAsia="en-GB"/>
        </w:rPr>
        <w:t>)</w:t>
      </w:r>
      <w:r w:rsidR="008D0724" w:rsidRPr="0023699E">
        <w:rPr>
          <w:rFonts w:eastAsia="Times New Roman" w:cs="Arial"/>
          <w:lang w:val="en-US" w:eastAsia="en-GB"/>
        </w:rPr>
        <w:t xml:space="preserve"> </w:t>
      </w:r>
      <w:r w:rsidR="000A5D4B" w:rsidRPr="0023699E">
        <w:rPr>
          <w:rFonts w:eastAsia="Times New Roman" w:cs="Arial"/>
          <w:lang w:val="en-US" w:eastAsia="en-GB"/>
        </w:rPr>
        <w:t xml:space="preserve">and interventional cardiologist capacity </w:t>
      </w:r>
      <w:r w:rsidR="00670FE6" w:rsidRPr="008D7F36">
        <w:rPr>
          <w:rFonts w:eastAsia="Times New Roman" w:cs="Arial"/>
          <w:lang w:val="en-US" w:eastAsia="en-GB"/>
        </w:rPr>
        <w:t>(</w:t>
      </w:r>
      <w:r w:rsidR="00D86AF5" w:rsidRPr="002152A4">
        <w:rPr>
          <w:rFonts w:eastAsia="Times New Roman" w:cs="Arial"/>
          <w:b/>
          <w:bCs/>
          <w:lang w:val="en-US" w:eastAsia="en-GB"/>
        </w:rPr>
        <w:t>redacted</w:t>
      </w:r>
      <w:r w:rsidR="00EF28CF" w:rsidRPr="008D7F36">
        <w:rPr>
          <w:rFonts w:eastAsia="Times New Roman" w:cs="Arial"/>
          <w:lang w:val="en-US" w:eastAsia="en-GB"/>
        </w:rPr>
        <w:t>)</w:t>
      </w:r>
      <w:r w:rsidR="008B525D" w:rsidRPr="0023699E">
        <w:rPr>
          <w:rFonts w:eastAsia="Times New Roman" w:cs="Arial"/>
          <w:lang w:val="en-US" w:eastAsia="en-GB"/>
        </w:rPr>
        <w:t xml:space="preserve"> are highly uncertain. </w:t>
      </w:r>
      <w:r w:rsidR="008B525D" w:rsidRPr="4042795E">
        <w:rPr>
          <w:rFonts w:eastAsia="Times New Roman" w:cs="Arial"/>
          <w:lang w:val="en-US" w:eastAsia="en-GB"/>
        </w:rPr>
        <w:t xml:space="preserve">Furthermore, </w:t>
      </w:r>
      <w:r w:rsidR="007335FC" w:rsidRPr="4042795E">
        <w:rPr>
          <w:rFonts w:eastAsia="Times New Roman" w:cs="Arial"/>
          <w:lang w:val="en-US" w:eastAsia="en-GB"/>
        </w:rPr>
        <w:t xml:space="preserve">these </w:t>
      </w:r>
      <w:r w:rsidR="00B747AA" w:rsidRPr="4042795E">
        <w:rPr>
          <w:rFonts w:eastAsia="Times New Roman" w:cs="Arial"/>
          <w:lang w:val="en-US" w:eastAsia="en-GB"/>
        </w:rPr>
        <w:t xml:space="preserve">assumptions </w:t>
      </w:r>
      <w:r w:rsidR="007335FC" w:rsidRPr="4042795E">
        <w:rPr>
          <w:rFonts w:eastAsia="Times New Roman" w:cs="Arial"/>
          <w:lang w:val="en-US" w:eastAsia="en-GB"/>
        </w:rPr>
        <w:t xml:space="preserve">do not take into consideration that RDN could also be performed by providers other than </w:t>
      </w:r>
      <w:r w:rsidR="00C52AE0" w:rsidRPr="4042795E">
        <w:rPr>
          <w:rFonts w:eastAsia="Times New Roman" w:cs="Arial"/>
          <w:lang w:val="en-US" w:eastAsia="en-GB"/>
        </w:rPr>
        <w:t>interventional cardiologist</w:t>
      </w:r>
      <w:r w:rsidR="007335FC" w:rsidRPr="4042795E">
        <w:rPr>
          <w:rFonts w:eastAsia="Times New Roman" w:cs="Arial"/>
          <w:lang w:val="en-US" w:eastAsia="en-GB"/>
        </w:rPr>
        <w:t>s</w:t>
      </w:r>
      <w:r w:rsidR="00A102E4" w:rsidRPr="4042795E">
        <w:rPr>
          <w:rFonts w:eastAsia="Times New Roman" w:cs="Arial"/>
          <w:lang w:val="en-US" w:eastAsia="en-GB"/>
        </w:rPr>
        <w:t xml:space="preserve"> (</w:t>
      </w:r>
      <w:r w:rsidR="009F44ED" w:rsidRPr="4042795E">
        <w:rPr>
          <w:rFonts w:eastAsia="Times New Roman" w:cs="Arial"/>
          <w:lang w:val="en-US" w:eastAsia="en-GB"/>
        </w:rPr>
        <w:t xml:space="preserve">notably, </w:t>
      </w:r>
      <w:r w:rsidR="00A102E4">
        <w:t>interventional radiologists, interventional nephrologists and vascular surgeons</w:t>
      </w:r>
      <w:r w:rsidR="007A138E">
        <w:t>)</w:t>
      </w:r>
      <w:r w:rsidR="007335FC" w:rsidRPr="4042795E">
        <w:rPr>
          <w:rFonts w:eastAsia="Times New Roman" w:cs="Arial"/>
          <w:lang w:val="en-US" w:eastAsia="en-GB"/>
        </w:rPr>
        <w:t xml:space="preserve"> and in settings other than private cath</w:t>
      </w:r>
      <w:r w:rsidR="00C52AE0" w:rsidRPr="4042795E">
        <w:rPr>
          <w:rFonts w:eastAsia="Times New Roman" w:cs="Arial"/>
          <w:lang w:val="en-US" w:eastAsia="en-GB"/>
        </w:rPr>
        <w:t>eterisation</w:t>
      </w:r>
      <w:r w:rsidR="007335FC" w:rsidRPr="4042795E">
        <w:rPr>
          <w:rFonts w:eastAsia="Times New Roman" w:cs="Arial"/>
          <w:lang w:val="en-US" w:eastAsia="en-GB"/>
        </w:rPr>
        <w:t xml:space="preserve"> lab</w:t>
      </w:r>
      <w:r w:rsidR="00C52AE0" w:rsidRPr="4042795E">
        <w:rPr>
          <w:rFonts w:eastAsia="Times New Roman" w:cs="Arial"/>
          <w:lang w:val="en-US" w:eastAsia="en-GB"/>
        </w:rPr>
        <w:t>oratorie</w:t>
      </w:r>
      <w:r w:rsidR="007335FC" w:rsidRPr="4042795E">
        <w:rPr>
          <w:rFonts w:eastAsia="Times New Roman" w:cs="Arial"/>
          <w:lang w:val="en-US" w:eastAsia="en-GB"/>
        </w:rPr>
        <w:t>s.</w:t>
      </w:r>
      <w:r w:rsidR="008504AC" w:rsidRPr="4042795E">
        <w:rPr>
          <w:rFonts w:eastAsia="Times New Roman" w:cs="Arial"/>
          <w:lang w:val="en-US" w:eastAsia="en-GB"/>
        </w:rPr>
        <w:t xml:space="preserve"> </w:t>
      </w:r>
      <w:r w:rsidR="00BB1D93" w:rsidRPr="4042795E">
        <w:rPr>
          <w:rFonts w:eastAsia="Times New Roman" w:cs="Arial"/>
          <w:lang w:val="en-US" w:eastAsia="en-GB"/>
        </w:rPr>
        <w:t xml:space="preserve">The ADAR </w:t>
      </w:r>
      <w:r w:rsidR="00FA4FAA" w:rsidRPr="4042795E">
        <w:rPr>
          <w:rFonts w:eastAsia="Times New Roman" w:cs="Arial"/>
          <w:lang w:val="en-US" w:eastAsia="en-GB"/>
        </w:rPr>
        <w:t>claim</w:t>
      </w:r>
      <w:r w:rsidR="00A12183" w:rsidRPr="4042795E">
        <w:rPr>
          <w:rFonts w:eastAsia="Times New Roman" w:cs="Arial"/>
          <w:lang w:val="en-US" w:eastAsia="en-GB"/>
        </w:rPr>
        <w:t>ed</w:t>
      </w:r>
      <w:r w:rsidR="00BB1D93" w:rsidRPr="4042795E">
        <w:rPr>
          <w:rFonts w:eastAsia="Times New Roman" w:cs="Arial"/>
          <w:lang w:val="en-US" w:eastAsia="en-GB"/>
        </w:rPr>
        <w:t xml:space="preserve"> that </w:t>
      </w:r>
      <w:r w:rsidR="008F4D8A" w:rsidRPr="4042795E">
        <w:rPr>
          <w:rFonts w:eastAsia="Times New Roman" w:cs="Arial"/>
          <w:lang w:val="en-US" w:eastAsia="en-GB"/>
        </w:rPr>
        <w:t xml:space="preserve">over time the </w:t>
      </w:r>
      <w:r w:rsidR="000F3C4D" w:rsidRPr="4042795E">
        <w:rPr>
          <w:rFonts w:eastAsia="Times New Roman" w:cs="Arial"/>
          <w:lang w:val="en-US" w:eastAsia="en-GB"/>
        </w:rPr>
        <w:t xml:space="preserve">prevalent pool of eligible patients </w:t>
      </w:r>
      <w:r w:rsidR="005A284F" w:rsidRPr="4042795E">
        <w:rPr>
          <w:rFonts w:eastAsia="Times New Roman" w:cs="Arial"/>
          <w:lang w:val="en-US" w:eastAsia="en-GB"/>
        </w:rPr>
        <w:t xml:space="preserve">is expected to decrease </w:t>
      </w:r>
      <w:r w:rsidR="0037428E" w:rsidRPr="4042795E">
        <w:rPr>
          <w:rFonts w:eastAsia="Times New Roman" w:cs="Arial"/>
          <w:lang w:val="en-US" w:eastAsia="en-GB"/>
        </w:rPr>
        <w:t>until</w:t>
      </w:r>
      <w:r w:rsidR="00975716" w:rsidRPr="4042795E">
        <w:rPr>
          <w:rFonts w:eastAsia="Times New Roman" w:cs="Arial"/>
          <w:lang w:val="en-US" w:eastAsia="en-GB"/>
        </w:rPr>
        <w:t xml:space="preserve"> </w:t>
      </w:r>
      <w:r w:rsidR="00674FC0" w:rsidRPr="4042795E">
        <w:rPr>
          <w:rFonts w:eastAsia="Times New Roman" w:cs="Arial"/>
          <w:lang w:val="en-US" w:eastAsia="en-GB"/>
        </w:rPr>
        <w:t xml:space="preserve">there is sufficient capacity </w:t>
      </w:r>
      <w:r w:rsidR="00EB00C1" w:rsidRPr="4042795E">
        <w:rPr>
          <w:rFonts w:eastAsia="Times New Roman" w:cs="Arial"/>
          <w:lang w:val="en-US" w:eastAsia="en-GB"/>
        </w:rPr>
        <w:t>to</w:t>
      </w:r>
      <w:r w:rsidR="00F542C7" w:rsidRPr="4042795E">
        <w:rPr>
          <w:rFonts w:eastAsia="Times New Roman" w:cs="Arial"/>
          <w:lang w:val="en-US" w:eastAsia="en-GB"/>
        </w:rPr>
        <w:t xml:space="preserve"> provide</w:t>
      </w:r>
      <w:r w:rsidR="00EB00C1" w:rsidRPr="4042795E">
        <w:rPr>
          <w:rFonts w:eastAsia="Times New Roman" w:cs="Arial"/>
          <w:lang w:val="en-US" w:eastAsia="en-GB"/>
        </w:rPr>
        <w:t xml:space="preserve"> </w:t>
      </w:r>
      <w:r w:rsidR="00BF7C0B" w:rsidRPr="4042795E">
        <w:rPr>
          <w:rFonts w:eastAsia="Times New Roman" w:cs="Arial"/>
          <w:lang w:val="en-US" w:eastAsia="en-GB"/>
        </w:rPr>
        <w:t>service</w:t>
      </w:r>
      <w:r w:rsidR="00F542C7" w:rsidRPr="4042795E">
        <w:rPr>
          <w:rFonts w:eastAsia="Times New Roman" w:cs="Arial"/>
          <w:lang w:val="en-US" w:eastAsia="en-GB"/>
        </w:rPr>
        <w:t>s</w:t>
      </w:r>
      <w:r w:rsidR="00EE128B" w:rsidRPr="4042795E">
        <w:rPr>
          <w:rFonts w:eastAsia="Times New Roman" w:cs="Arial"/>
          <w:lang w:val="en-US" w:eastAsia="en-GB"/>
        </w:rPr>
        <w:t xml:space="preserve"> to</w:t>
      </w:r>
      <w:r w:rsidR="00BF7C0B" w:rsidRPr="4042795E">
        <w:rPr>
          <w:rFonts w:eastAsia="Times New Roman" w:cs="Arial"/>
          <w:lang w:val="en-US" w:eastAsia="en-GB"/>
        </w:rPr>
        <w:t xml:space="preserve"> </w:t>
      </w:r>
      <w:r w:rsidR="00975716" w:rsidRPr="4042795E">
        <w:rPr>
          <w:rFonts w:eastAsia="Times New Roman" w:cs="Arial"/>
          <w:lang w:val="en-US" w:eastAsia="en-GB"/>
        </w:rPr>
        <w:t xml:space="preserve">all </w:t>
      </w:r>
      <w:r w:rsidR="0010713F" w:rsidRPr="4042795E">
        <w:rPr>
          <w:rFonts w:eastAsia="Times New Roman" w:cs="Arial"/>
          <w:lang w:val="en-US" w:eastAsia="en-GB"/>
        </w:rPr>
        <w:t xml:space="preserve">incident patients </w:t>
      </w:r>
      <w:r w:rsidR="00EA339F" w:rsidRPr="4042795E">
        <w:rPr>
          <w:rFonts w:eastAsia="Times New Roman" w:cs="Arial"/>
          <w:lang w:val="en-US" w:eastAsia="en-GB"/>
        </w:rPr>
        <w:t xml:space="preserve">seeking </w:t>
      </w:r>
      <w:r w:rsidR="00180D10" w:rsidRPr="4042795E">
        <w:rPr>
          <w:rFonts w:eastAsia="Times New Roman" w:cs="Arial"/>
          <w:lang w:val="en-US" w:eastAsia="en-GB"/>
        </w:rPr>
        <w:t>RDN.</w:t>
      </w:r>
    </w:p>
    <w:p w14:paraId="32E9C37F" w14:textId="6215B69E" w:rsidR="00E62A5F" w:rsidRDefault="009B10CC" w:rsidP="4042795E">
      <w:pPr>
        <w:rPr>
          <w:rFonts w:eastAsia="Times New Roman" w:cs="Arial"/>
          <w:lang w:val="en-US" w:eastAsia="en-GB"/>
        </w:rPr>
      </w:pPr>
      <w:r w:rsidRPr="4042795E">
        <w:rPr>
          <w:rStyle w:val="normaltextrun"/>
          <w:rFonts w:cs="Segoe UI"/>
          <w:shd w:val="clear" w:color="auto" w:fill="FFFFFF"/>
          <w:lang w:val="en-US"/>
        </w:rPr>
        <w:t>The applicant’s</w:t>
      </w:r>
      <w:r w:rsidR="00E62A5F" w:rsidRPr="4042795E">
        <w:rPr>
          <w:rStyle w:val="normaltextrun"/>
          <w:rFonts w:cs="Segoe UI"/>
          <w:shd w:val="clear" w:color="auto" w:fill="FFFFFF"/>
          <w:lang w:val="en-US"/>
        </w:rPr>
        <w:t xml:space="preserve"> pre-ESC response</w:t>
      </w:r>
      <w:r w:rsidRPr="4042795E">
        <w:rPr>
          <w:rStyle w:val="normaltextrun"/>
          <w:rFonts w:cs="Segoe UI"/>
          <w:lang w:val="en-US"/>
        </w:rPr>
        <w:t xml:space="preserve"> </w:t>
      </w:r>
      <w:r w:rsidRPr="4042795E">
        <w:rPr>
          <w:rStyle w:val="normaltextrun"/>
          <w:rFonts w:cs="Segoe UI"/>
          <w:shd w:val="clear" w:color="auto" w:fill="FFFFFF"/>
          <w:lang w:val="en-US"/>
        </w:rPr>
        <w:t>stated</w:t>
      </w:r>
      <w:r w:rsidR="00E62A5F" w:rsidRPr="4042795E">
        <w:rPr>
          <w:rStyle w:val="normaltextrun"/>
          <w:rFonts w:cs="Segoe UI"/>
          <w:lang w:val="en-US"/>
        </w:rPr>
        <w:t xml:space="preserve"> that the RDN procedure would only be performed by specialists who have undergone appropriate training</w:t>
      </w:r>
      <w:r w:rsidR="00E62A5F" w:rsidRPr="4042795E">
        <w:rPr>
          <w:rStyle w:val="normaltextrun"/>
          <w:rFonts w:cs="Segoe UI"/>
          <w:shd w:val="clear" w:color="auto" w:fill="FFFFFF"/>
          <w:lang w:val="en-US"/>
        </w:rPr>
        <w:t>. The Australian subgroup analysis of the GSR showed that 97% of procedures were performed by interventional cardiologists. The applicant further noted that catheterisation</w:t>
      </w:r>
      <w:r w:rsidR="00E62A5F" w:rsidRPr="4042795E">
        <w:rPr>
          <w:rStyle w:val="normaltextrun"/>
          <w:rFonts w:cs="Segoe UI"/>
          <w:lang w:val="en-US"/>
        </w:rPr>
        <w:t xml:space="preserve"> labs are better equipped to perform the RDN procedure and the RDN procedure would primarily be performed in the private sector due to the limited capacity of public hospitals to accommodate non-emergent procedures for private patients. Due to these reasons the applicant considered the RDN procedure to be likely limited</w:t>
      </w:r>
      <w:r w:rsidR="00E62A5F" w:rsidRPr="4042795E">
        <w:rPr>
          <w:rStyle w:val="normaltextrun"/>
          <w:rFonts w:cs="Segoe UI"/>
          <w:shd w:val="clear" w:color="auto" w:fill="FFFFFF"/>
          <w:lang w:val="en-US"/>
        </w:rPr>
        <w:t xml:space="preserve"> to interventional cardiologists in private catheterisation laboratories in the short to medium term.</w:t>
      </w:r>
      <w:r w:rsidR="00E62A5F" w:rsidRPr="4042795E">
        <w:rPr>
          <w:rStyle w:val="eop"/>
          <w:shd w:val="clear" w:color="auto" w:fill="FFFFFF"/>
        </w:rPr>
        <w:t> </w:t>
      </w:r>
    </w:p>
    <w:p w14:paraId="2276AF16" w14:textId="2820AFA0" w:rsidR="001B641C" w:rsidRPr="00CE28E3" w:rsidRDefault="001B641C" w:rsidP="001B641C">
      <w:pPr>
        <w:pStyle w:val="Caption"/>
      </w:pPr>
      <w:r w:rsidRPr="00CE28E3">
        <w:t>Table</w:t>
      </w:r>
      <w:r>
        <w:t> </w:t>
      </w:r>
      <w:r>
        <w:fldChar w:fldCharType="begin"/>
      </w:r>
      <w:r>
        <w:instrText>SEQ Table \* ARABIC</w:instrText>
      </w:r>
      <w:r>
        <w:fldChar w:fldCharType="separate"/>
      </w:r>
      <w:r w:rsidR="003D5203">
        <w:rPr>
          <w:noProof/>
        </w:rPr>
        <w:t>17</w:t>
      </w:r>
      <w:r>
        <w:fldChar w:fldCharType="end"/>
      </w:r>
      <w:r w:rsidRPr="00CE28E3">
        <w:tab/>
      </w:r>
      <w:r>
        <w:t>Patients potentially seeking renal denervation</w:t>
      </w:r>
    </w:p>
    <w:tbl>
      <w:tblPr>
        <w:tblW w:w="0" w:type="auto"/>
        <w:tblCellMar>
          <w:left w:w="0" w:type="dxa"/>
          <w:right w:w="0" w:type="dxa"/>
        </w:tblCellMar>
        <w:tblLook w:val="04A0" w:firstRow="1" w:lastRow="0" w:firstColumn="1" w:lastColumn="0" w:noHBand="0" w:noVBand="1"/>
        <w:tblCaption w:val="Patients potentially seeking RDN"/>
        <w:tblDescription w:val="Estimates of patients seeking RDN and impact of capacity constraints from 2025 to 2030"/>
      </w:tblPr>
      <w:tblGrid>
        <w:gridCol w:w="2784"/>
        <w:gridCol w:w="1037"/>
        <w:gridCol w:w="1037"/>
        <w:gridCol w:w="1037"/>
        <w:gridCol w:w="1037"/>
        <w:gridCol w:w="1037"/>
        <w:gridCol w:w="1037"/>
      </w:tblGrid>
      <w:tr w:rsidR="001B641C" w:rsidRPr="00CE28E3" w14:paraId="162934F3" w14:textId="77777777">
        <w:trPr>
          <w:tblHeader/>
        </w:trPr>
        <w:tc>
          <w:tcPr>
            <w:tcW w:w="2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7A354" w14:textId="77777777" w:rsidR="001B641C" w:rsidRPr="00CE28E3" w:rsidRDefault="001B641C" w:rsidP="00F71956">
            <w:pPr>
              <w:pStyle w:val="TableHeading0"/>
            </w:pPr>
            <w:r>
              <w:t xml:space="preserve">Parameter </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19A2C" w14:textId="77777777" w:rsidR="001B641C" w:rsidRPr="00CE28E3" w:rsidRDefault="001B641C" w:rsidP="0045573B">
            <w:pPr>
              <w:pStyle w:val="TableHeading0"/>
            </w:pPr>
            <w:r w:rsidRPr="00CE28E3">
              <w:t xml:space="preserve">Year </w:t>
            </w:r>
            <w:r>
              <w:t>1</w:t>
            </w:r>
            <w:r>
              <w:br/>
              <w:t>2025</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4367D" w14:textId="77777777" w:rsidR="001B641C" w:rsidRPr="00CE28E3" w:rsidRDefault="001B641C" w:rsidP="0045573B">
            <w:pPr>
              <w:pStyle w:val="TableHeading0"/>
            </w:pPr>
            <w:r w:rsidRPr="00CE28E3">
              <w:t>Year</w:t>
            </w:r>
            <w:r>
              <w:t xml:space="preserve"> 2</w:t>
            </w:r>
            <w:r>
              <w:br/>
              <w:t>2026</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B5591" w14:textId="77777777" w:rsidR="001B641C" w:rsidRPr="00CE28E3" w:rsidRDefault="001B641C" w:rsidP="0045573B">
            <w:pPr>
              <w:pStyle w:val="TableHeading0"/>
            </w:pPr>
            <w:r w:rsidRPr="00CE28E3">
              <w:t xml:space="preserve">Year </w:t>
            </w:r>
            <w:r>
              <w:t>3</w:t>
            </w:r>
            <w:r>
              <w:br/>
              <w:t>2027</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E74B0" w14:textId="77777777" w:rsidR="001B641C" w:rsidRPr="00CE28E3" w:rsidRDefault="001B641C" w:rsidP="0045573B">
            <w:pPr>
              <w:pStyle w:val="TableHeading0"/>
            </w:pPr>
            <w:r w:rsidRPr="00CE28E3">
              <w:t xml:space="preserve">Year </w:t>
            </w:r>
            <w:r>
              <w:t>4</w:t>
            </w:r>
            <w:r>
              <w:br/>
              <w:t>2028</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F7C0D" w14:textId="77777777" w:rsidR="001B641C" w:rsidRPr="00CE28E3" w:rsidRDefault="001B641C" w:rsidP="0045573B">
            <w:pPr>
              <w:pStyle w:val="TableHeading0"/>
            </w:pPr>
            <w:r w:rsidRPr="00CE28E3">
              <w:t xml:space="preserve">Year </w:t>
            </w:r>
            <w:r>
              <w:t>5</w:t>
            </w:r>
            <w:r>
              <w:br/>
              <w:t>2029</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6B8B8" w14:textId="77777777" w:rsidR="001B641C" w:rsidRPr="00CE28E3" w:rsidRDefault="001B641C" w:rsidP="0045573B">
            <w:pPr>
              <w:pStyle w:val="TableHeading0"/>
            </w:pPr>
            <w:r w:rsidRPr="00CE28E3">
              <w:t xml:space="preserve">Year </w:t>
            </w:r>
            <w:r>
              <w:t>6</w:t>
            </w:r>
            <w:r>
              <w:br/>
              <w:t>2030</w:t>
            </w:r>
          </w:p>
        </w:tc>
      </w:tr>
      <w:tr w:rsidR="001B641C" w:rsidRPr="00CE28E3" w14:paraId="45951CF0" w14:textId="77777777">
        <w:tc>
          <w:tcPr>
            <w:tcW w:w="27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E11A68" w14:textId="77777777" w:rsidR="001B641C" w:rsidRPr="00CE28E3" w:rsidRDefault="001B641C">
            <w:pPr>
              <w:pStyle w:val="TableText"/>
              <w:keepNext/>
            </w:pPr>
            <w:r w:rsidRPr="00CE28E3">
              <w:t xml:space="preserve">Number of people </w:t>
            </w:r>
            <w:r>
              <w:t>potentially seeking RDN treatment (prevalence only)</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BED03C" w14:textId="4EC515AB" w:rsidR="001B641C" w:rsidRPr="002152A4" w:rsidRDefault="00C97058" w:rsidP="002152A4">
            <w:pPr>
              <w:pStyle w:val="TableText"/>
              <w:keepNext/>
              <w:rPr>
                <w:strike/>
              </w:rPr>
            </w:pPr>
            <w:r w:rsidRPr="00E80189">
              <w:rPr>
                <w:b/>
                <w:bCs/>
              </w:rPr>
              <w:t>redacted</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E478071" w14:textId="31A95961" w:rsidR="001B641C" w:rsidRPr="002152A4" w:rsidRDefault="00C97058" w:rsidP="002152A4">
            <w:pPr>
              <w:pStyle w:val="TableText"/>
              <w:keepNext/>
              <w:rPr>
                <w:strike/>
              </w:rPr>
            </w:pPr>
            <w:r w:rsidRPr="00E80189">
              <w:rPr>
                <w:b/>
                <w:bCs/>
              </w:rPr>
              <w:t>redacted</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8171F15" w14:textId="115D83C3" w:rsidR="001B641C" w:rsidRPr="002152A4" w:rsidRDefault="00C97058" w:rsidP="002152A4">
            <w:pPr>
              <w:pStyle w:val="TableText"/>
              <w:keepNext/>
              <w:rPr>
                <w:strike/>
              </w:rPr>
            </w:pPr>
            <w:r w:rsidRPr="00E80189">
              <w:rPr>
                <w:b/>
                <w:bCs/>
              </w:rPr>
              <w:t>redacted</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A102CA9" w14:textId="49A71562" w:rsidR="001B641C" w:rsidRPr="002152A4" w:rsidRDefault="00C97058" w:rsidP="002152A4">
            <w:pPr>
              <w:pStyle w:val="TableText"/>
              <w:keepNext/>
              <w:rPr>
                <w:strike/>
              </w:rPr>
            </w:pPr>
            <w:r w:rsidRPr="00E80189">
              <w:rPr>
                <w:b/>
                <w:bCs/>
              </w:rPr>
              <w:t>redacted</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98E4CE7" w14:textId="0E512272" w:rsidR="001B641C" w:rsidRPr="002152A4" w:rsidRDefault="00C97058" w:rsidP="002152A4">
            <w:pPr>
              <w:pStyle w:val="TableText"/>
              <w:keepNext/>
              <w:rPr>
                <w:strike/>
              </w:rPr>
            </w:pPr>
            <w:r w:rsidRPr="00E80189">
              <w:rPr>
                <w:b/>
                <w:bCs/>
              </w:rPr>
              <w:t>redacted</w:t>
            </w:r>
          </w:p>
        </w:tc>
        <w:tc>
          <w:tcPr>
            <w:tcW w:w="10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328F6E9" w14:textId="5899AF05" w:rsidR="001B641C" w:rsidRPr="002152A4" w:rsidRDefault="00C97058" w:rsidP="002152A4">
            <w:pPr>
              <w:pStyle w:val="TableText"/>
              <w:keepNext/>
              <w:rPr>
                <w:strike/>
              </w:rPr>
            </w:pPr>
            <w:r w:rsidRPr="00E80189">
              <w:rPr>
                <w:b/>
                <w:bCs/>
              </w:rPr>
              <w:t>redacted</w:t>
            </w:r>
          </w:p>
        </w:tc>
      </w:tr>
      <w:tr w:rsidR="001B641C" w:rsidRPr="00CE28E3" w14:paraId="7F7BF792" w14:textId="77777777">
        <w:tc>
          <w:tcPr>
            <w:tcW w:w="27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840A4B" w14:textId="735512BF" w:rsidR="001B641C" w:rsidRPr="00CE28E3" w:rsidRDefault="001B641C">
            <w:pPr>
              <w:pStyle w:val="TableText"/>
              <w:keepNext/>
            </w:pPr>
            <w:r w:rsidRPr="00CE28E3">
              <w:t xml:space="preserve">Number of people </w:t>
            </w:r>
            <w:r>
              <w:t>potentially seeking RDN treatment (</w:t>
            </w:r>
            <w:r w:rsidR="00AB7B79">
              <w:t xml:space="preserve">Yr 1: </w:t>
            </w:r>
            <w:r w:rsidR="00FB036D">
              <w:t xml:space="preserve">current </w:t>
            </w:r>
            <w:r>
              <w:t>prevalen</w:t>
            </w:r>
            <w:r w:rsidR="00FB036D">
              <w:t>t</w:t>
            </w:r>
            <w:r>
              <w:t xml:space="preserve"> </w:t>
            </w:r>
            <w:r w:rsidR="00E24FCF">
              <w:t>cases</w:t>
            </w:r>
            <w:r w:rsidR="00B108D5">
              <w:t xml:space="preserve"> </w:t>
            </w:r>
            <w:r>
              <w:t xml:space="preserve">and </w:t>
            </w:r>
            <w:r w:rsidR="00AB7B79">
              <w:t xml:space="preserve">Yr 2-6: </w:t>
            </w:r>
            <w:r>
              <w:t>incidence)</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8B9053" w14:textId="33F8E773" w:rsidR="001B641C" w:rsidRPr="002152A4" w:rsidRDefault="00C97058" w:rsidP="002152A4">
            <w:pPr>
              <w:pStyle w:val="TableText"/>
              <w:keepN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2C9904" w14:textId="66719455" w:rsidR="001B641C" w:rsidRPr="002152A4" w:rsidRDefault="00C97058" w:rsidP="002152A4">
            <w:pPr>
              <w:pStyle w:val="TableText"/>
              <w:keepN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F718A1" w14:textId="218ED29A" w:rsidR="001B641C" w:rsidRPr="002152A4" w:rsidRDefault="00C97058" w:rsidP="002152A4">
            <w:pPr>
              <w:pStyle w:val="TableText"/>
              <w:keepN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789ACD" w14:textId="073F26D8" w:rsidR="001B641C" w:rsidRPr="002152A4" w:rsidRDefault="00C97058" w:rsidP="002152A4">
            <w:pPr>
              <w:pStyle w:val="TableText"/>
              <w:keepN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D77ACC" w14:textId="414ADC21" w:rsidR="001B641C" w:rsidRPr="002152A4" w:rsidRDefault="00C97058" w:rsidP="002152A4">
            <w:pPr>
              <w:pStyle w:val="TableText"/>
              <w:keepN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8EB328" w14:textId="2EFDB02F" w:rsidR="001B641C" w:rsidRPr="002152A4" w:rsidRDefault="00C97058" w:rsidP="002152A4">
            <w:pPr>
              <w:pStyle w:val="TableText"/>
              <w:keepNext/>
              <w:rPr>
                <w:strike/>
              </w:rPr>
            </w:pPr>
            <w:r w:rsidRPr="00E80189">
              <w:rPr>
                <w:b/>
                <w:bCs/>
              </w:rPr>
              <w:t>redacted</w:t>
            </w:r>
          </w:p>
        </w:tc>
      </w:tr>
      <w:tr w:rsidR="001B641C" w:rsidRPr="00CE28E3" w14:paraId="00BC1807" w14:textId="77777777">
        <w:tc>
          <w:tcPr>
            <w:tcW w:w="27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D58769" w14:textId="77777777" w:rsidR="001B641C" w:rsidRPr="009E7D32" w:rsidRDefault="001B641C" w:rsidP="00F71956">
            <w:pPr>
              <w:pStyle w:val="TableText"/>
            </w:pPr>
            <w:r w:rsidRPr="009E7D32">
              <w:t>Cat</w:t>
            </w:r>
            <w:r>
              <w:t>h</w:t>
            </w:r>
            <w:r w:rsidRPr="009E7D32">
              <w:t xml:space="preserve"> lab constraints</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B8AC3A" w14:textId="2F4243B0"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B3E1D2" w14:textId="3C27493B"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EB0A55" w14:textId="698E0122"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F83EF0" w14:textId="4EB36BE3"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9351C8" w14:textId="7B891C48"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B54244" w14:textId="753BDC02" w:rsidR="001B641C" w:rsidRPr="002152A4" w:rsidRDefault="00C97058" w:rsidP="002152A4">
            <w:pPr>
              <w:pStyle w:val="TableText"/>
              <w:rPr>
                <w:strike/>
              </w:rPr>
            </w:pPr>
            <w:r w:rsidRPr="00E80189">
              <w:rPr>
                <w:b/>
                <w:bCs/>
              </w:rPr>
              <w:t>redacted</w:t>
            </w:r>
          </w:p>
        </w:tc>
      </w:tr>
      <w:tr w:rsidR="001B641C" w:rsidRPr="00CE28E3" w14:paraId="3FFBD4C2" w14:textId="77777777">
        <w:tc>
          <w:tcPr>
            <w:tcW w:w="27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F2789E" w14:textId="77777777" w:rsidR="001B641C" w:rsidRPr="00CE28E3" w:rsidRDefault="001B641C" w:rsidP="00F71956">
            <w:pPr>
              <w:pStyle w:val="TableText"/>
            </w:pPr>
            <w:r w:rsidRPr="009E7D32">
              <w:t>Patients potentially seeking RDN treatment (based on patient preference and cath lab</w:t>
            </w:r>
            <w:r>
              <w:t xml:space="preserve"> capacity</w:t>
            </w:r>
            <w:r w:rsidRPr="009E7D32">
              <w:t>)</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0A2874" w14:textId="03432815"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BED464" w14:textId="7E1E64AB"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E6C988" w14:textId="14F4487C"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CE5200" w14:textId="56CD3E9A"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2CC3E8" w14:textId="6F2F3B69"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648981" w14:textId="35EF8C32" w:rsidR="001B641C" w:rsidRPr="002152A4" w:rsidRDefault="00C97058" w:rsidP="002152A4">
            <w:pPr>
              <w:pStyle w:val="TableText"/>
              <w:rPr>
                <w:strike/>
              </w:rPr>
            </w:pPr>
            <w:r w:rsidRPr="00E80189">
              <w:rPr>
                <w:b/>
                <w:bCs/>
              </w:rPr>
              <w:t>redacted</w:t>
            </w:r>
          </w:p>
        </w:tc>
      </w:tr>
      <w:tr w:rsidR="001B641C" w:rsidRPr="00CE28E3" w14:paraId="78D42E1F" w14:textId="77777777" w:rsidTr="00F71956">
        <w:tc>
          <w:tcPr>
            <w:tcW w:w="27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B1DE77A" w14:textId="77777777" w:rsidR="001B641C" w:rsidRPr="009E7D32" w:rsidRDefault="001B641C" w:rsidP="0053198E">
            <w:pPr>
              <w:pStyle w:val="TableText"/>
            </w:pPr>
            <w:r w:rsidRPr="009E7D32">
              <w:t>I</w:t>
            </w:r>
            <w:r>
              <w:t>nterventional cardiologist capacity</w:t>
            </w:r>
            <w:r w:rsidRPr="009E7D32">
              <w:t xml:space="preserve"> </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45F45D" w14:textId="52E78560"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BC3A5F" w14:textId="52CCEA39"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183D42" w14:textId="7EB63762"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F2D249" w14:textId="73E13D4D"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7A1509" w14:textId="52305C08" w:rsidR="001B641C" w:rsidRPr="002152A4" w:rsidRDefault="00C97058" w:rsidP="002152A4">
            <w:pPr>
              <w:pStyle w:val="TableText"/>
              <w:rPr>
                <w:strike/>
              </w:rPr>
            </w:pPr>
            <w:r w:rsidRPr="00E80189">
              <w:rPr>
                <w:b/>
                <w:bCs/>
              </w:rPr>
              <w:t>redacted</w:t>
            </w:r>
          </w:p>
        </w:tc>
        <w:tc>
          <w:tcPr>
            <w:tcW w:w="10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85BDED" w14:textId="79CA10C0" w:rsidR="001B641C" w:rsidRPr="002152A4" w:rsidRDefault="00C97058" w:rsidP="002152A4">
            <w:pPr>
              <w:pStyle w:val="TableText"/>
              <w:rPr>
                <w:strike/>
              </w:rPr>
            </w:pPr>
            <w:r w:rsidRPr="00E80189">
              <w:rPr>
                <w:b/>
                <w:bCs/>
              </w:rPr>
              <w:t>redacted</w:t>
            </w:r>
          </w:p>
        </w:tc>
      </w:tr>
    </w:tbl>
    <w:p w14:paraId="14E543ED" w14:textId="1D9F4536" w:rsidR="00872432" w:rsidRPr="004013D9" w:rsidRDefault="007F1B88" w:rsidP="00872432">
      <w:pPr>
        <w:pStyle w:val="Tablenotes0"/>
      </w:pPr>
      <w:r>
        <w:t xml:space="preserve">cath = catheterisation; </w:t>
      </w:r>
      <w:r w:rsidR="00872432" w:rsidRPr="004013D9">
        <w:t>RDN = renal denervation</w:t>
      </w:r>
    </w:p>
    <w:p w14:paraId="7EFA535E" w14:textId="5E9E6D11" w:rsidR="001B641C" w:rsidRDefault="001B641C" w:rsidP="006E6197">
      <w:pPr>
        <w:pStyle w:val="Tablenotes0"/>
      </w:pPr>
      <w:r w:rsidRPr="00FC74E5">
        <w:t xml:space="preserve">Source: </w:t>
      </w:r>
      <w:r w:rsidR="003C120F">
        <w:t>Compiled for the commentary</w:t>
      </w:r>
      <w:r w:rsidR="00251436" w:rsidRPr="00FC74E5">
        <w:t xml:space="preserve"> from </w:t>
      </w:r>
      <w:r w:rsidRPr="00FC74E5">
        <w:t>Table 130</w:t>
      </w:r>
      <w:r w:rsidR="006907B4">
        <w:t xml:space="preserve">, Table 131 and Table </w:t>
      </w:r>
      <w:r w:rsidRPr="00FC74E5">
        <w:t xml:space="preserve">132 in </w:t>
      </w:r>
      <w:r w:rsidR="00251436" w:rsidRPr="00FC74E5">
        <w:t>MSAC 1659 ADAR+in-line commentary</w:t>
      </w:r>
      <w:r w:rsidRPr="00FC74E5">
        <w:t>.</w:t>
      </w:r>
    </w:p>
    <w:p w14:paraId="73163669" w14:textId="4E079E38" w:rsidR="00484D5F" w:rsidRPr="00484D5F" w:rsidRDefault="00484D5F" w:rsidP="00484D5F">
      <w:pPr>
        <w:rPr>
          <w:rFonts w:eastAsia="Times New Roman" w:cs="Arial"/>
          <w:szCs w:val="24"/>
          <w:lang w:val="en-US" w:eastAsia="en-GB"/>
        </w:rPr>
      </w:pPr>
      <w:r>
        <w:rPr>
          <w:rFonts w:eastAsia="Times New Roman" w:cs="Arial"/>
          <w:szCs w:val="24"/>
          <w:lang w:val="en-US" w:eastAsia="en-GB"/>
        </w:rPr>
        <w:t xml:space="preserve">Of concern, </w:t>
      </w:r>
      <w:r w:rsidRPr="007E2A51">
        <w:rPr>
          <w:rFonts w:eastAsia="Times New Roman" w:cs="Arial"/>
          <w:szCs w:val="24"/>
          <w:lang w:val="en-US" w:eastAsia="en-GB"/>
        </w:rPr>
        <w:t xml:space="preserve">if </w:t>
      </w:r>
      <w:r>
        <w:rPr>
          <w:rFonts w:eastAsia="Times New Roman" w:cs="Arial"/>
          <w:szCs w:val="24"/>
          <w:lang w:val="en-US" w:eastAsia="en-GB"/>
        </w:rPr>
        <w:t>interventional cardiologists and other providers</w:t>
      </w:r>
      <w:r w:rsidRPr="007E2A51">
        <w:rPr>
          <w:rFonts w:eastAsia="Times New Roman" w:cs="Arial"/>
          <w:szCs w:val="24"/>
          <w:lang w:val="en-US" w:eastAsia="en-GB"/>
        </w:rPr>
        <w:t xml:space="preserve"> are performing RDN at low volume, the treatment effect observed in the clinical trials may not translate to clinical practice. </w:t>
      </w:r>
      <w:r w:rsidR="006E602E">
        <w:rPr>
          <w:rFonts w:eastAsia="Times New Roman" w:cs="Arial"/>
          <w:szCs w:val="24"/>
          <w:lang w:val="en-US" w:eastAsia="en-GB"/>
        </w:rPr>
        <w:t>In t</w:t>
      </w:r>
      <w:r w:rsidR="00FF2CBC">
        <w:rPr>
          <w:rFonts w:eastAsia="Times New Roman" w:cs="Arial"/>
          <w:szCs w:val="24"/>
          <w:lang w:val="en-US" w:eastAsia="en-GB"/>
        </w:rPr>
        <w:t xml:space="preserve">he RDN trials </w:t>
      </w:r>
      <w:r w:rsidR="008D7B90">
        <w:rPr>
          <w:rFonts w:eastAsia="Times New Roman" w:cs="Arial"/>
          <w:szCs w:val="24"/>
          <w:lang w:val="en-US" w:eastAsia="en-GB"/>
        </w:rPr>
        <w:t>using the SYMPLICITY Spyral catheter</w:t>
      </w:r>
      <w:r w:rsidR="006E602E">
        <w:rPr>
          <w:rFonts w:eastAsia="Times New Roman" w:cs="Arial"/>
          <w:szCs w:val="24"/>
          <w:lang w:val="en-US" w:eastAsia="en-GB"/>
        </w:rPr>
        <w:t xml:space="preserve">, procedures were performed by highly experienced operators </w:t>
      </w:r>
      <w:r w:rsidR="002D3752">
        <w:rPr>
          <w:rFonts w:eastAsia="Times New Roman" w:cs="Arial"/>
          <w:szCs w:val="24"/>
          <w:lang w:val="en-US" w:eastAsia="en-GB"/>
        </w:rPr>
        <w:t>and employed advanced RF ablation techniques (</w:t>
      </w:r>
      <w:r w:rsidR="00820E5B">
        <w:rPr>
          <w:rFonts w:eastAsia="Times New Roman" w:cs="Arial"/>
          <w:szCs w:val="24"/>
          <w:lang w:val="en-US" w:eastAsia="en-GB"/>
        </w:rPr>
        <w:t xml:space="preserve">more complete ablation with </w:t>
      </w:r>
      <w:r w:rsidRPr="007E2A51">
        <w:rPr>
          <w:rFonts w:eastAsia="Times New Roman" w:cs="Arial"/>
          <w:szCs w:val="24"/>
          <w:lang w:val="en-US" w:eastAsia="en-GB"/>
        </w:rPr>
        <w:t>extension beyond the main renal artery into renal artery branch vessels</w:t>
      </w:r>
      <w:r w:rsidR="005A009A">
        <w:rPr>
          <w:rFonts w:eastAsia="Times New Roman" w:cs="Arial"/>
          <w:szCs w:val="24"/>
          <w:lang w:val="en-US" w:eastAsia="en-GB"/>
        </w:rPr>
        <w:t>)</w:t>
      </w:r>
      <w:r w:rsidRPr="007E2A51">
        <w:rPr>
          <w:rFonts w:eastAsia="Times New Roman" w:cs="Arial"/>
          <w:szCs w:val="24"/>
          <w:lang w:val="en-US" w:eastAsia="en-GB"/>
        </w:rPr>
        <w:t>.</w:t>
      </w:r>
    </w:p>
    <w:p w14:paraId="4F4720D9" w14:textId="6A266F3F" w:rsidR="00612B21" w:rsidRDefault="00332746" w:rsidP="00332746">
      <w:pPr>
        <w:pStyle w:val="Heading3"/>
      </w:pPr>
      <w:r>
        <w:t>Estimation of financial impact to the MBS</w:t>
      </w:r>
    </w:p>
    <w:p w14:paraId="5F306175" w14:textId="1EF79440" w:rsidR="00556F57" w:rsidRDefault="00D428B9" w:rsidP="00330A0A">
      <w:r>
        <w:t xml:space="preserve">The financial implications to the </w:t>
      </w:r>
      <w:r w:rsidR="005F33E5">
        <w:t xml:space="preserve">MBS </w:t>
      </w:r>
      <w:r>
        <w:t xml:space="preserve">resulting from the proposed listing of </w:t>
      </w:r>
      <w:r w:rsidR="005F33E5">
        <w:t>RDN for TRHTN</w:t>
      </w:r>
      <w:r>
        <w:t xml:space="preserve"> are summarised in </w:t>
      </w:r>
      <w:r>
        <w:fldChar w:fldCharType="begin"/>
      </w:r>
      <w:r>
        <w:instrText xml:space="preserve"> REF _Ref69726382 \h  \* MERGEFORMAT </w:instrText>
      </w:r>
      <w:r>
        <w:fldChar w:fldCharType="separate"/>
      </w:r>
      <w:r w:rsidR="003D5203">
        <w:t>Table 18</w:t>
      </w:r>
      <w:r>
        <w:fldChar w:fldCharType="end"/>
      </w:r>
      <w:r w:rsidR="00CF3393">
        <w:t xml:space="preserve">. These estimates </w:t>
      </w:r>
      <w:r w:rsidR="000D609E">
        <w:t>take into consideration</w:t>
      </w:r>
      <w:r w:rsidR="00371F7B">
        <w:t xml:space="preserve"> the interventional cardiologist capacity restrictions discussed above</w:t>
      </w:r>
      <w:r>
        <w:t>.</w:t>
      </w:r>
      <w:r w:rsidR="006C4AA9">
        <w:t xml:space="preserve"> </w:t>
      </w:r>
      <w:r w:rsidR="00DB60D6">
        <w:t>The number of services (starting from 2025) is based on a one-time procedure</w:t>
      </w:r>
      <w:r w:rsidR="00371F7B">
        <w:t>.</w:t>
      </w:r>
      <w:r w:rsidR="00DB60D6">
        <w:t xml:space="preserve"> </w:t>
      </w:r>
      <w:r w:rsidR="00E440FB">
        <w:t xml:space="preserve">The </w:t>
      </w:r>
      <w:r w:rsidR="00A81477">
        <w:t xml:space="preserve">estimates </w:t>
      </w:r>
      <w:r w:rsidR="003E1B29">
        <w:t xml:space="preserve">in </w:t>
      </w:r>
      <w:r>
        <w:fldChar w:fldCharType="begin"/>
      </w:r>
      <w:r>
        <w:instrText xml:space="preserve"> REF _Ref69726382 \h  \* MERGEFORMAT </w:instrText>
      </w:r>
      <w:r>
        <w:fldChar w:fldCharType="separate"/>
      </w:r>
      <w:r w:rsidR="003D5203">
        <w:t>Table 18</w:t>
      </w:r>
      <w:r>
        <w:fldChar w:fldCharType="end"/>
      </w:r>
      <w:r w:rsidR="003E1B29">
        <w:t xml:space="preserve"> </w:t>
      </w:r>
      <w:r w:rsidR="00096168">
        <w:t>deviate from</w:t>
      </w:r>
      <w:r w:rsidR="00D400D1">
        <w:t xml:space="preserve"> those provided in the ADAR </w:t>
      </w:r>
      <w:r w:rsidR="00096168">
        <w:t>because they</w:t>
      </w:r>
      <w:r w:rsidR="00D400D1">
        <w:t xml:space="preserve"> </w:t>
      </w:r>
      <w:r w:rsidR="00096168">
        <w:t>incorp</w:t>
      </w:r>
      <w:r w:rsidR="00DE4EFB">
        <w:t>orate</w:t>
      </w:r>
      <w:r w:rsidR="00D400D1">
        <w:t xml:space="preserve"> procedures </w:t>
      </w:r>
      <w:r w:rsidR="00F149C9">
        <w:t xml:space="preserve">that </w:t>
      </w:r>
      <w:r w:rsidR="00D400D1">
        <w:t>do not proceed to RDN due to unsuitable renal anatomy</w:t>
      </w:r>
      <w:r w:rsidR="00F149C9">
        <w:t xml:space="preserve"> </w:t>
      </w:r>
      <w:r w:rsidR="00D20204">
        <w:t xml:space="preserve">and MBS </w:t>
      </w:r>
      <w:r w:rsidR="00D2584E">
        <w:t>costs</w:t>
      </w:r>
      <w:r w:rsidR="00D20204">
        <w:t xml:space="preserve"> </w:t>
      </w:r>
      <w:r w:rsidR="00D2584E">
        <w:t xml:space="preserve">(75% Benefits) </w:t>
      </w:r>
      <w:r w:rsidR="00D20204">
        <w:t>at 01 July 2023</w:t>
      </w:r>
      <w:r w:rsidR="00D400D1">
        <w:t>.</w:t>
      </w:r>
      <w:r w:rsidR="006A6ED7">
        <w:t xml:space="preserve"> </w:t>
      </w:r>
      <w:r>
        <w:fldChar w:fldCharType="begin"/>
      </w:r>
      <w:r>
        <w:instrText xml:space="preserve"> REF _Ref69726382 \h  \* MERGEFORMAT </w:instrText>
      </w:r>
      <w:r>
        <w:fldChar w:fldCharType="separate"/>
      </w:r>
      <w:r w:rsidR="003D5203">
        <w:t>Table 18</w:t>
      </w:r>
      <w:r>
        <w:fldChar w:fldCharType="end"/>
      </w:r>
      <w:r w:rsidR="00FB68F6">
        <w:t xml:space="preserve"> also shows t</w:t>
      </w:r>
      <w:r w:rsidR="002A5411">
        <w:t xml:space="preserve">he impact of aligning the </w:t>
      </w:r>
      <w:r w:rsidR="0019750D">
        <w:t xml:space="preserve">proposed fee for RDN with the fee for MBS item </w:t>
      </w:r>
      <w:r w:rsidR="00857885">
        <w:t>33527 (Department</w:t>
      </w:r>
      <w:r w:rsidR="00915623">
        <w:t xml:space="preserve"> advice</w:t>
      </w:r>
      <w:r w:rsidR="00857885">
        <w:t>).</w:t>
      </w:r>
    </w:p>
    <w:p w14:paraId="33FCA9D4" w14:textId="113A3586" w:rsidR="00D428B9" w:rsidRPr="00CE28E3" w:rsidRDefault="00D428B9" w:rsidP="00215AFB">
      <w:pPr>
        <w:pStyle w:val="Caption"/>
      </w:pPr>
      <w:bookmarkStart w:id="49" w:name="_Ref69726382"/>
      <w:r w:rsidRPr="00CE28E3">
        <w:t>Table</w:t>
      </w:r>
      <w:r w:rsidR="003571C2">
        <w:t> </w:t>
      </w:r>
      <w:r>
        <w:fldChar w:fldCharType="begin"/>
      </w:r>
      <w:r>
        <w:instrText>SEQ Table \* ARABIC</w:instrText>
      </w:r>
      <w:r>
        <w:fldChar w:fldCharType="separate"/>
      </w:r>
      <w:r w:rsidR="003D5203">
        <w:rPr>
          <w:noProof/>
        </w:rPr>
        <w:t>18</w:t>
      </w:r>
      <w:r>
        <w:fldChar w:fldCharType="end"/>
      </w:r>
      <w:bookmarkEnd w:id="49"/>
      <w:r w:rsidRPr="00CE28E3">
        <w:tab/>
        <w:t xml:space="preserve">Net financial implications of </w:t>
      </w:r>
      <w:r w:rsidR="00265CAB">
        <w:rPr>
          <w:rFonts w:cs="Arial"/>
        </w:rPr>
        <w:t>radiofrequency renal denervation</w:t>
      </w:r>
      <w:r w:rsidRPr="00CE28E3">
        <w:t xml:space="preserve"> to the</w:t>
      </w:r>
      <w:r w:rsidR="00265CAB">
        <w:t xml:space="preserve"> MBS</w:t>
      </w:r>
      <w:r w:rsidR="00DF4734">
        <w:t xml:space="preserve"> </w:t>
      </w:r>
      <w:r w:rsidR="00B87A0C">
        <w:t>–</w:t>
      </w:r>
      <w:r w:rsidR="00DF4734">
        <w:t xml:space="preserve"> </w:t>
      </w:r>
      <w:r w:rsidR="00B87A0C">
        <w:t xml:space="preserve">assuming </w:t>
      </w:r>
      <w:r w:rsidR="00520CA0">
        <w:t xml:space="preserve">supply </w:t>
      </w:r>
      <w:r w:rsidR="00B87A0C">
        <w:t>constraints</w:t>
      </w:r>
    </w:p>
    <w:tbl>
      <w:tblPr>
        <w:tblW w:w="0" w:type="auto"/>
        <w:tblCellMar>
          <w:left w:w="0" w:type="dxa"/>
          <w:right w:w="0" w:type="dxa"/>
        </w:tblCellMar>
        <w:tblLook w:val="04A0" w:firstRow="1" w:lastRow="0" w:firstColumn="1" w:lastColumn="0" w:noHBand="0" w:noVBand="1"/>
        <w:tblCaption w:val="Net financial implications of RF RDN to the MBS"/>
        <w:tblDescription w:val="Estimates of net financial impact to the MBS of the new listing, assuming supply constraints, 2025 to 2030"/>
      </w:tblPr>
      <w:tblGrid>
        <w:gridCol w:w="1369"/>
        <w:gridCol w:w="992"/>
        <w:gridCol w:w="1329"/>
        <w:gridCol w:w="1329"/>
        <w:gridCol w:w="1329"/>
        <w:gridCol w:w="1329"/>
        <w:gridCol w:w="1329"/>
      </w:tblGrid>
      <w:tr w:rsidR="00D428B9" w:rsidRPr="00CE28E3" w14:paraId="10C955A8" w14:textId="77777777" w:rsidTr="002152A4">
        <w:trPr>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F71956">
            <w:pPr>
              <w:pStyle w:val="TableHeading0"/>
            </w:pPr>
            <w:bookmarkStart w:id="50" w:name="Title_Table12" w:colFirst="0" w:colLast="0"/>
            <w:bookmarkStart w:id="51" w:name="_Hlk68276802"/>
            <w:r>
              <w:t>Parameter</w:t>
            </w:r>
            <w:r w:rsidR="001531D6">
              <w:t xml:space="preserve"> </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25A99FA5" w:rsidR="00D428B9" w:rsidRPr="00CE28E3" w:rsidRDefault="00D428B9" w:rsidP="0045573B">
            <w:pPr>
              <w:pStyle w:val="TableHeading0"/>
            </w:pPr>
            <w:r w:rsidRPr="00CE28E3">
              <w:t xml:space="preserve">Year </w:t>
            </w:r>
            <w:r w:rsidR="002363ED">
              <w:t>1</w:t>
            </w:r>
            <w:r w:rsidR="002363ED">
              <w:br/>
            </w:r>
            <w:r w:rsidR="00D77B20">
              <w:t>20</w:t>
            </w:r>
            <w:r w:rsidR="002363ED">
              <w:t>2</w:t>
            </w:r>
            <w:r w:rsidR="00D56D20">
              <w:t>5</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5F55B56A" w:rsidR="00D428B9" w:rsidRPr="00CE28E3" w:rsidRDefault="00D428B9" w:rsidP="0045573B">
            <w:pPr>
              <w:pStyle w:val="TableHeading0"/>
            </w:pPr>
            <w:r w:rsidRPr="00CE28E3">
              <w:t>Year</w:t>
            </w:r>
            <w:r w:rsidR="002363ED">
              <w:t xml:space="preserve"> 2</w:t>
            </w:r>
            <w:r w:rsidR="002363ED">
              <w:br/>
            </w:r>
            <w:r w:rsidR="00D56D20">
              <w:t>2026</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2B2F7763" w:rsidR="00D428B9" w:rsidRPr="00CE28E3" w:rsidRDefault="00D428B9" w:rsidP="0045573B">
            <w:pPr>
              <w:pStyle w:val="TableHeading0"/>
            </w:pPr>
            <w:r w:rsidRPr="00CE28E3">
              <w:t xml:space="preserve">Year </w:t>
            </w:r>
            <w:r w:rsidR="002363ED">
              <w:t>3</w:t>
            </w:r>
            <w:r w:rsidR="002363ED">
              <w:br/>
            </w:r>
            <w:r w:rsidR="00D77B20">
              <w:t>20</w:t>
            </w:r>
            <w:r w:rsidR="00D56D20">
              <w:t>27</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15BC79F5" w:rsidR="00D428B9" w:rsidRPr="00CE28E3" w:rsidRDefault="00D428B9" w:rsidP="0045573B">
            <w:pPr>
              <w:pStyle w:val="TableHeading0"/>
            </w:pPr>
            <w:r w:rsidRPr="00CE28E3">
              <w:t xml:space="preserve">Year </w:t>
            </w:r>
            <w:r w:rsidR="002363ED">
              <w:t>4</w:t>
            </w:r>
            <w:r w:rsidR="002363ED">
              <w:br/>
            </w:r>
            <w:r w:rsidR="00D77B20">
              <w:t>20</w:t>
            </w:r>
            <w:r w:rsidR="00D56D20">
              <w:t>28</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AE014F4" w:rsidR="00D428B9" w:rsidRPr="00CE28E3" w:rsidRDefault="00D428B9" w:rsidP="0045573B">
            <w:pPr>
              <w:pStyle w:val="TableHeading0"/>
            </w:pPr>
            <w:r w:rsidRPr="00CE28E3">
              <w:t xml:space="preserve">Year </w:t>
            </w:r>
            <w:r w:rsidR="002363ED">
              <w:t>5</w:t>
            </w:r>
            <w:r w:rsidR="002363ED">
              <w:br/>
            </w:r>
            <w:r w:rsidR="00D77B20">
              <w:t>20</w:t>
            </w:r>
            <w:r w:rsidR="00D56D20">
              <w:t>29</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39FB7496" w:rsidR="00D428B9" w:rsidRPr="00CE28E3" w:rsidRDefault="00D428B9" w:rsidP="0045573B">
            <w:pPr>
              <w:pStyle w:val="TableHeading0"/>
            </w:pPr>
            <w:r w:rsidRPr="00CE28E3">
              <w:t xml:space="preserve">Year </w:t>
            </w:r>
            <w:r w:rsidR="002363ED">
              <w:t>6</w:t>
            </w:r>
            <w:r w:rsidR="002363ED">
              <w:br/>
            </w:r>
            <w:r w:rsidR="00D77B20">
              <w:t>20</w:t>
            </w:r>
            <w:r w:rsidR="00D56D20">
              <w:t>30</w:t>
            </w:r>
          </w:p>
        </w:tc>
      </w:tr>
      <w:bookmarkEnd w:id="50"/>
      <w:tr w:rsidR="00090A81" w:rsidRPr="00CE28E3" w14:paraId="06BC6FB0" w14:textId="77777777" w:rsidTr="002152A4">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068E7" w14:textId="37B4D3B9" w:rsidR="00090A81" w:rsidRPr="00CE28E3" w:rsidRDefault="00090A81" w:rsidP="00674114">
            <w:pPr>
              <w:pStyle w:val="TableText"/>
              <w:keepNext/>
            </w:pPr>
            <w:r w:rsidRPr="00CE28E3">
              <w:t xml:space="preserve">Number of people who </w:t>
            </w:r>
            <w:r>
              <w:t xml:space="preserve">do not </w:t>
            </w:r>
            <w:r w:rsidRPr="00CE28E3">
              <w:t xml:space="preserve">receive </w:t>
            </w:r>
            <w:r>
              <w:t>RDN</w:t>
            </w:r>
            <w:r w:rsidR="003B59DB">
              <w:t xml:space="preserve"> (</w:t>
            </w:r>
            <w:r>
              <w:t>unsuitable anatomy</w:t>
            </w:r>
            <w:r w:rsidR="003B59DB">
              <w:t>)</w:t>
            </w:r>
            <w:r w:rsidRPr="00090A81">
              <w:rPr>
                <w:vertAlign w:val="superscript"/>
              </w:rPr>
              <w:t>a</w:t>
            </w:r>
          </w:p>
        </w:tc>
        <w:tc>
          <w:tcPr>
            <w:tcW w:w="758" w:type="dxa"/>
            <w:tcBorders>
              <w:top w:val="nil"/>
              <w:left w:val="nil"/>
              <w:bottom w:val="single" w:sz="8" w:space="0" w:color="auto"/>
              <w:right w:val="single" w:sz="8" w:space="0" w:color="auto"/>
            </w:tcBorders>
            <w:tcMar>
              <w:top w:w="0" w:type="dxa"/>
              <w:left w:w="108" w:type="dxa"/>
              <w:bottom w:w="0" w:type="dxa"/>
              <w:right w:w="108" w:type="dxa"/>
            </w:tcMar>
          </w:tcPr>
          <w:p w14:paraId="52D52741" w14:textId="2418998F" w:rsidR="00090A81"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564FD170" w14:textId="3D322090" w:rsidR="00090A81"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4F2293F2" w14:textId="159606CE" w:rsidR="00090A81"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7C929815" w14:textId="2C1564A7" w:rsidR="00090A81"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1EE1506C" w14:textId="762EF4F0" w:rsidR="00090A81"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44D6FD33" w14:textId="605D0C40" w:rsidR="00090A81" w:rsidRPr="002152A4" w:rsidRDefault="00C97058" w:rsidP="002152A4">
            <w:pPr>
              <w:pStyle w:val="TableText"/>
              <w:keepNext/>
              <w:rPr>
                <w:strike/>
              </w:rPr>
            </w:pPr>
            <w:r w:rsidRPr="00E80189">
              <w:rPr>
                <w:b/>
                <w:bCs/>
              </w:rPr>
              <w:t>redacted</w:t>
            </w:r>
          </w:p>
        </w:tc>
      </w:tr>
      <w:tr w:rsidR="007777A7" w:rsidRPr="00CE28E3" w14:paraId="16C50CDA" w14:textId="77777777" w:rsidTr="002152A4">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586058F4" w:rsidR="007777A7" w:rsidRPr="00CE28E3" w:rsidRDefault="007777A7" w:rsidP="007777A7">
            <w:pPr>
              <w:pStyle w:val="TableText"/>
              <w:keepNext/>
            </w:pPr>
            <w:r w:rsidRPr="00CE28E3">
              <w:t>Number of people</w:t>
            </w:r>
            <w:r>
              <w:t xml:space="preserve"> who receive RDN</w:t>
            </w:r>
          </w:p>
        </w:tc>
        <w:tc>
          <w:tcPr>
            <w:tcW w:w="758" w:type="dxa"/>
            <w:tcBorders>
              <w:top w:val="nil"/>
              <w:left w:val="nil"/>
              <w:bottom w:val="single" w:sz="8" w:space="0" w:color="auto"/>
              <w:right w:val="single" w:sz="8" w:space="0" w:color="auto"/>
            </w:tcBorders>
            <w:tcMar>
              <w:top w:w="0" w:type="dxa"/>
              <w:left w:w="108" w:type="dxa"/>
              <w:bottom w:w="0" w:type="dxa"/>
              <w:right w:w="108" w:type="dxa"/>
            </w:tcMar>
          </w:tcPr>
          <w:p w14:paraId="73095266" w14:textId="0FFAEA19" w:rsidR="007777A7"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47AB12F5" w14:textId="56EF8854" w:rsidR="007777A7"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09031D3F" w14:textId="76AE4A41" w:rsidR="007777A7"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57859E00" w14:textId="1F82022F" w:rsidR="007777A7"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3C0B54F8" w14:textId="65B6B733" w:rsidR="007777A7" w:rsidRPr="002152A4" w:rsidRDefault="00C97058" w:rsidP="002152A4">
            <w:pPr>
              <w:pStyle w:val="TableText"/>
              <w:keepNext/>
              <w:rPr>
                <w:strike/>
              </w:rPr>
            </w:pP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19C7884F" w14:textId="08CC1908" w:rsidR="007777A7" w:rsidRPr="002152A4" w:rsidRDefault="00C97058" w:rsidP="002152A4">
            <w:pPr>
              <w:pStyle w:val="TableText"/>
              <w:keepNext/>
              <w:rPr>
                <w:strike/>
              </w:rPr>
            </w:pPr>
            <w:r w:rsidRPr="00E80189">
              <w:rPr>
                <w:b/>
                <w:bCs/>
              </w:rPr>
              <w:t>redacted</w:t>
            </w:r>
          </w:p>
        </w:tc>
      </w:tr>
      <w:tr w:rsidR="002B01AA" w:rsidRPr="00CE28E3" w14:paraId="76953248" w14:textId="77777777" w:rsidTr="002152A4">
        <w:tc>
          <w:tcPr>
            <w:tcW w:w="140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6699BDED" w14:textId="74E12486" w:rsidR="002B01AA" w:rsidRPr="00CE28E3" w:rsidRDefault="002B01AA" w:rsidP="002B01AA">
            <w:pPr>
              <w:pStyle w:val="TableText"/>
              <w:keepNext/>
            </w:pPr>
            <w:r>
              <w:t xml:space="preserve">Financial impact </w:t>
            </w:r>
            <w:r w:rsidR="00F8292D">
              <w:t xml:space="preserve">to the MBS </w:t>
            </w:r>
            <w:r>
              <w:t xml:space="preserve">of </w:t>
            </w:r>
            <w:r w:rsidR="00CB7611">
              <w:t xml:space="preserve">the proposed </w:t>
            </w:r>
            <w:r>
              <w:t>RDN service</w:t>
            </w:r>
            <w:r w:rsidR="00A84890" w:rsidRPr="00A84890">
              <w:rPr>
                <w:vertAlign w:val="superscript"/>
              </w:rPr>
              <w:t>b</w:t>
            </w:r>
          </w:p>
        </w:tc>
        <w:tc>
          <w:tcPr>
            <w:tcW w:w="75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331814E0" w14:textId="090660C1" w:rsidR="002B01AA" w:rsidRPr="002152A4" w:rsidRDefault="00CB4AF5" w:rsidP="002152A4">
            <w:pPr>
              <w:pStyle w:val="TableText"/>
              <w:keepNext/>
              <w:rPr>
                <w:strike/>
              </w:rPr>
            </w:pPr>
            <w:r w:rsidRPr="00CB4AF5">
              <w:t>$</w:t>
            </w:r>
            <w:r w:rsidR="00C97058"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3DE59ECE" w14:textId="2914D1A2" w:rsidR="002B01AA" w:rsidRPr="002152A4" w:rsidRDefault="00CB4AF5" w:rsidP="002152A4">
            <w:pPr>
              <w:pStyle w:val="TableText"/>
              <w:keepNext/>
              <w:rPr>
                <w:strike/>
              </w:rPr>
            </w:pPr>
            <w:r w:rsidRPr="00E80189">
              <w:t>$</w:t>
            </w:r>
            <w:r w:rsidR="00C97058"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2D0A1EFA" w14:textId="16A5D32B" w:rsidR="002B01AA" w:rsidRPr="002152A4" w:rsidRDefault="00CB4AF5" w:rsidP="002152A4">
            <w:pPr>
              <w:pStyle w:val="TableText"/>
              <w:keepNext/>
              <w:rPr>
                <w:strike/>
              </w:rPr>
            </w:pPr>
            <w:r w:rsidRPr="00E80189">
              <w:t>$</w:t>
            </w:r>
            <w:r w:rsidR="00C97058"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8532400" w14:textId="1C43C1A2" w:rsidR="002B01AA" w:rsidRPr="002152A4" w:rsidRDefault="00CB4AF5" w:rsidP="002152A4">
            <w:pPr>
              <w:pStyle w:val="TableText"/>
              <w:keepNext/>
              <w:rPr>
                <w:strike/>
              </w:rPr>
            </w:pPr>
            <w:r w:rsidRPr="00E80189">
              <w:t>$</w:t>
            </w:r>
            <w:r w:rsidR="00C97058"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28990345" w14:textId="43370CAE" w:rsidR="002B01AA" w:rsidRPr="002152A4" w:rsidRDefault="00CB4AF5" w:rsidP="002152A4">
            <w:pPr>
              <w:pStyle w:val="TableText"/>
              <w:keepNext/>
              <w:rPr>
                <w:strike/>
              </w:rPr>
            </w:pPr>
            <w:r w:rsidRPr="00E80189">
              <w:t>$</w:t>
            </w:r>
            <w:r w:rsidR="00C97058"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111F3DDE" w14:textId="1B55B457" w:rsidR="002B01AA" w:rsidRPr="002152A4" w:rsidRDefault="00CB4AF5" w:rsidP="002152A4">
            <w:pPr>
              <w:pStyle w:val="TableText"/>
              <w:keepNext/>
              <w:rPr>
                <w:strike/>
              </w:rPr>
            </w:pPr>
            <w:r w:rsidRPr="00E80189">
              <w:t>$</w:t>
            </w:r>
            <w:r w:rsidR="00C97058" w:rsidRPr="00E80189">
              <w:rPr>
                <w:b/>
                <w:bCs/>
              </w:rPr>
              <w:t>redacted</w:t>
            </w:r>
          </w:p>
        </w:tc>
      </w:tr>
      <w:tr w:rsidR="003866BB" w:rsidRPr="00CE28E3" w14:paraId="6F2F9F87" w14:textId="77777777" w:rsidTr="002152A4">
        <w:tc>
          <w:tcPr>
            <w:tcW w:w="140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33C72F3F" w14:textId="1C91B324" w:rsidR="003866BB" w:rsidRDefault="003866BB" w:rsidP="003866BB">
            <w:pPr>
              <w:pStyle w:val="TableText"/>
              <w:keepNext/>
            </w:pPr>
            <w:r>
              <w:t>Financial impact to the MBS of the proposed RDN service</w:t>
            </w:r>
            <w:r w:rsidRPr="00760366">
              <w:rPr>
                <w:vertAlign w:val="superscript"/>
              </w:rPr>
              <w:t>c</w:t>
            </w:r>
          </w:p>
        </w:tc>
        <w:tc>
          <w:tcPr>
            <w:tcW w:w="75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7B6C509C" w14:textId="1FA76153" w:rsidR="003866BB" w:rsidRPr="002152A4" w:rsidRDefault="00C97058" w:rsidP="002152A4">
            <w:pPr>
              <w:pStyle w:val="TableText"/>
              <w:keepNext/>
              <w:rPr>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055D70E1" w14:textId="4D1967DF" w:rsidR="003866BB" w:rsidRPr="002152A4" w:rsidRDefault="00C97058" w:rsidP="002152A4">
            <w:pPr>
              <w:pStyle w:val="TableText"/>
              <w:keepNext/>
              <w:rPr>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6CC0131F" w14:textId="0727116F" w:rsidR="003866BB" w:rsidRPr="002152A4" w:rsidRDefault="00C97058" w:rsidP="002152A4">
            <w:pPr>
              <w:pStyle w:val="TableText"/>
              <w:keepNext/>
              <w:rPr>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1FAA6C9F" w14:textId="6F73C5E7" w:rsidR="003866BB" w:rsidRPr="002152A4" w:rsidRDefault="00C97058" w:rsidP="002152A4">
            <w:pPr>
              <w:pStyle w:val="TableText"/>
              <w:keepNext/>
              <w:rPr>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6815DA03" w14:textId="26E04F96" w:rsidR="003866BB" w:rsidRPr="002152A4" w:rsidRDefault="00C97058" w:rsidP="002152A4">
            <w:pPr>
              <w:pStyle w:val="TableText"/>
              <w:keepNext/>
              <w:rPr>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2959A585" w14:textId="40A35615" w:rsidR="003866BB" w:rsidRPr="002152A4" w:rsidRDefault="00C97058" w:rsidP="002152A4">
            <w:pPr>
              <w:pStyle w:val="TableText"/>
              <w:keepNext/>
              <w:rPr>
                <w:strike/>
              </w:rPr>
            </w:pPr>
            <w:r w:rsidRPr="00C97058">
              <w:t>$</w:t>
            </w:r>
            <w:r w:rsidRPr="00E80189">
              <w:rPr>
                <w:b/>
                <w:bCs/>
              </w:rPr>
              <w:t>redacted</w:t>
            </w:r>
          </w:p>
        </w:tc>
      </w:tr>
      <w:tr w:rsidR="00760366" w:rsidRPr="00CE28E3" w14:paraId="01CF2586" w14:textId="77777777" w:rsidTr="002152A4">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B6DCAE" w14:textId="5D6877E5" w:rsidR="00760366" w:rsidRPr="00CE28E3" w:rsidRDefault="00760366" w:rsidP="00760366">
            <w:pPr>
              <w:pStyle w:val="TableText"/>
              <w:keepNext/>
            </w:pPr>
            <w:r>
              <w:t>Financial impact to the MBS of associated services</w:t>
            </w:r>
            <w:r w:rsidR="00492DF8">
              <w:rPr>
                <w:vertAlign w:val="superscript"/>
              </w:rPr>
              <w:t>d</w:t>
            </w:r>
          </w:p>
        </w:tc>
        <w:tc>
          <w:tcPr>
            <w:tcW w:w="758" w:type="dxa"/>
            <w:tcBorders>
              <w:top w:val="nil"/>
              <w:left w:val="nil"/>
              <w:bottom w:val="single" w:sz="8" w:space="0" w:color="auto"/>
              <w:right w:val="single" w:sz="8" w:space="0" w:color="auto"/>
            </w:tcBorders>
            <w:tcMar>
              <w:top w:w="0" w:type="dxa"/>
              <w:left w:w="108" w:type="dxa"/>
              <w:bottom w:w="0" w:type="dxa"/>
              <w:right w:w="108" w:type="dxa"/>
            </w:tcMar>
          </w:tcPr>
          <w:p w14:paraId="063CE80A" w14:textId="7E3C091E" w:rsidR="00760366" w:rsidRPr="002152A4" w:rsidRDefault="00C97058" w:rsidP="002152A4">
            <w:pPr>
              <w:pStyle w:val="TableText"/>
              <w:keepNext/>
              <w:rPr>
                <w:strike/>
              </w:rPr>
            </w:pPr>
            <w:r w:rsidRPr="00C97058">
              <w:t>$</w:t>
            </w: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699E7F87" w14:textId="6F0C10BA" w:rsidR="00760366" w:rsidRPr="002152A4" w:rsidRDefault="00C97058" w:rsidP="002152A4">
            <w:pPr>
              <w:pStyle w:val="TableText"/>
              <w:keepNext/>
              <w:rPr>
                <w:strike/>
              </w:rPr>
            </w:pPr>
            <w:r w:rsidRPr="00C97058">
              <w:t>$</w:t>
            </w: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008F4B38" w14:textId="25A61AF3" w:rsidR="00760366" w:rsidRPr="002152A4" w:rsidRDefault="00C97058" w:rsidP="002152A4">
            <w:pPr>
              <w:pStyle w:val="TableText"/>
              <w:keepNext/>
              <w:rPr>
                <w:strike/>
              </w:rPr>
            </w:pPr>
            <w:r w:rsidRPr="00C97058">
              <w:t>$</w:t>
            </w: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14454969" w14:textId="3FFB8BD6" w:rsidR="00760366" w:rsidRPr="002152A4" w:rsidRDefault="00C97058" w:rsidP="002152A4">
            <w:pPr>
              <w:pStyle w:val="TableText"/>
              <w:keepNext/>
              <w:rPr>
                <w:strike/>
              </w:rPr>
            </w:pPr>
            <w:r w:rsidRPr="00C97058">
              <w:t>$</w:t>
            </w: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411DFF1D" w14:textId="7F4DBA31" w:rsidR="00760366" w:rsidRPr="002152A4" w:rsidRDefault="00C97058" w:rsidP="002152A4">
            <w:pPr>
              <w:pStyle w:val="TableText"/>
              <w:keepNext/>
              <w:rPr>
                <w:strike/>
              </w:rPr>
            </w:pPr>
            <w:r w:rsidRPr="00C97058">
              <w:t>$</w:t>
            </w:r>
            <w:r w:rsidRPr="00E80189">
              <w:rPr>
                <w:b/>
                <w:bCs/>
              </w:rPr>
              <w:t>redacted</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36D0C2D5" w14:textId="58493E3D" w:rsidR="00760366" w:rsidRPr="002152A4" w:rsidRDefault="00C97058" w:rsidP="002152A4">
            <w:pPr>
              <w:pStyle w:val="TableText"/>
              <w:keepNext/>
              <w:rPr>
                <w:strike/>
              </w:rPr>
            </w:pPr>
            <w:r w:rsidRPr="00C97058">
              <w:t>$</w:t>
            </w:r>
            <w:r w:rsidRPr="00E80189">
              <w:rPr>
                <w:b/>
                <w:bCs/>
              </w:rPr>
              <w:t>redacted</w:t>
            </w:r>
          </w:p>
        </w:tc>
      </w:tr>
      <w:tr w:rsidR="00760366" w:rsidRPr="00CE28E3" w14:paraId="141B431A" w14:textId="77777777" w:rsidTr="002152A4">
        <w:tc>
          <w:tcPr>
            <w:tcW w:w="140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673F8140" w14:textId="68B3B698" w:rsidR="00760366" w:rsidRPr="009A5DDF" w:rsidRDefault="00760366" w:rsidP="00760366">
            <w:pPr>
              <w:pStyle w:val="TableText"/>
              <w:keepNext/>
              <w:rPr>
                <w:b/>
                <w:bCs/>
              </w:rPr>
            </w:pPr>
            <w:r w:rsidRPr="009A5DDF">
              <w:rPr>
                <w:b/>
                <w:bCs/>
              </w:rPr>
              <w:t>Net financial impact to the MBS</w:t>
            </w:r>
            <w:r>
              <w:rPr>
                <w:b/>
                <w:bCs/>
              </w:rPr>
              <w:t xml:space="preserve"> of the new listing for RDN</w:t>
            </w:r>
            <w:r w:rsidR="00BA6315" w:rsidRPr="00F71956">
              <w:rPr>
                <w:b/>
                <w:bCs/>
                <w:vertAlign w:val="superscript"/>
              </w:rPr>
              <w:t>b</w:t>
            </w:r>
          </w:p>
        </w:tc>
        <w:tc>
          <w:tcPr>
            <w:tcW w:w="75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0A4E6D7D" w14:textId="261A37A3" w:rsidR="00760366" w:rsidRPr="002152A4" w:rsidRDefault="00C97058" w:rsidP="00760366">
            <w:pPr>
              <w:pStyle w:val="TableText"/>
              <w:keepNext/>
              <w:rPr>
                <w:b/>
                <w:bCs/>
                <w:strike/>
              </w:rPr>
            </w:pPr>
            <w:r w:rsidRPr="00C97058">
              <w:t>$</w:t>
            </w:r>
            <w:r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DCB03D6" w14:textId="5EB85D80" w:rsidR="00760366" w:rsidRPr="002152A4" w:rsidRDefault="00C97058" w:rsidP="00760366">
            <w:pPr>
              <w:pStyle w:val="TableText"/>
              <w:keepNext/>
              <w:rPr>
                <w:b/>
                <w:bCs/>
                <w:strike/>
              </w:rPr>
            </w:pPr>
            <w:r w:rsidRPr="00C97058">
              <w:t>$</w:t>
            </w:r>
            <w:r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05F281E" w14:textId="19003064" w:rsidR="00760366" w:rsidRPr="002152A4" w:rsidRDefault="00C97058" w:rsidP="00760366">
            <w:pPr>
              <w:pStyle w:val="TableText"/>
              <w:keepNext/>
              <w:rPr>
                <w:b/>
                <w:bCs/>
                <w:strike/>
              </w:rPr>
            </w:pPr>
            <w:r w:rsidRPr="00C97058">
              <w:t>$</w:t>
            </w:r>
            <w:r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0D92FF03" w14:textId="6684E43C" w:rsidR="00760366" w:rsidRPr="002152A4" w:rsidRDefault="00C97058" w:rsidP="00760366">
            <w:pPr>
              <w:pStyle w:val="TableText"/>
              <w:keepNext/>
              <w:rPr>
                <w:b/>
                <w:bCs/>
                <w:strike/>
              </w:rPr>
            </w:pPr>
            <w:r w:rsidRPr="00C97058">
              <w:t>$</w:t>
            </w:r>
            <w:r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5B4DD028" w14:textId="0ABD7DEC" w:rsidR="00760366" w:rsidRPr="002152A4" w:rsidRDefault="00C97058" w:rsidP="00760366">
            <w:pPr>
              <w:pStyle w:val="TableText"/>
              <w:keepNext/>
              <w:rPr>
                <w:b/>
                <w:bCs/>
                <w:strike/>
              </w:rPr>
            </w:pPr>
            <w:r w:rsidRPr="00C97058">
              <w:t>$</w:t>
            </w:r>
            <w:r w:rsidRPr="00E80189">
              <w:rPr>
                <w:b/>
                <w:bCs/>
              </w:rPr>
              <w:t>redacted</w:t>
            </w:r>
          </w:p>
        </w:tc>
        <w:tc>
          <w:tcPr>
            <w:tcW w:w="1368"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533785F7" w14:textId="62BBDBCC" w:rsidR="00760366" w:rsidRPr="002152A4" w:rsidRDefault="00C97058" w:rsidP="00760366">
            <w:pPr>
              <w:pStyle w:val="TableText"/>
              <w:keepNext/>
              <w:rPr>
                <w:b/>
                <w:bCs/>
                <w:strike/>
              </w:rPr>
            </w:pPr>
            <w:r w:rsidRPr="00C97058">
              <w:t>$</w:t>
            </w:r>
            <w:r w:rsidRPr="00E80189">
              <w:rPr>
                <w:b/>
                <w:bCs/>
              </w:rPr>
              <w:t>redacted</w:t>
            </w:r>
          </w:p>
        </w:tc>
      </w:tr>
      <w:tr w:rsidR="00A7488B" w:rsidRPr="00CE28E3" w14:paraId="419DACF9" w14:textId="77777777" w:rsidTr="002152A4">
        <w:tc>
          <w:tcPr>
            <w:tcW w:w="140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31774E43" w14:textId="7CB2AC9A" w:rsidR="00A7488B" w:rsidRPr="009A5DDF" w:rsidRDefault="00A7488B" w:rsidP="00A7488B">
            <w:pPr>
              <w:pStyle w:val="TableText"/>
              <w:keepNext/>
              <w:rPr>
                <w:b/>
                <w:bCs/>
              </w:rPr>
            </w:pPr>
            <w:r w:rsidRPr="009A5DDF">
              <w:rPr>
                <w:b/>
                <w:bCs/>
              </w:rPr>
              <w:t>Net financial impact to the MBS</w:t>
            </w:r>
            <w:r>
              <w:rPr>
                <w:b/>
                <w:bCs/>
              </w:rPr>
              <w:t xml:space="preserve"> of the new listing for RDN</w:t>
            </w:r>
            <w:r w:rsidRPr="00A7488B">
              <w:rPr>
                <w:b/>
                <w:bCs/>
                <w:vertAlign w:val="superscript"/>
              </w:rPr>
              <w:t>c</w:t>
            </w:r>
          </w:p>
        </w:tc>
        <w:tc>
          <w:tcPr>
            <w:tcW w:w="75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49023934" w14:textId="099F4159" w:rsidR="00A7488B" w:rsidRPr="002152A4" w:rsidRDefault="00C97058" w:rsidP="00A7488B">
            <w:pPr>
              <w:pStyle w:val="TableText"/>
              <w:keepNext/>
              <w:rPr>
                <w:b/>
                <w:bCs/>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75596A10" w14:textId="176913A9" w:rsidR="00A7488B" w:rsidRPr="002152A4" w:rsidRDefault="00C97058" w:rsidP="00A7488B">
            <w:pPr>
              <w:pStyle w:val="TableText"/>
              <w:keepNext/>
              <w:rPr>
                <w:b/>
                <w:bCs/>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0246D06B" w14:textId="2BD7D3D9" w:rsidR="00A7488B" w:rsidRPr="002152A4" w:rsidRDefault="00C97058" w:rsidP="00A7488B">
            <w:pPr>
              <w:pStyle w:val="TableText"/>
              <w:keepNext/>
              <w:rPr>
                <w:b/>
                <w:bCs/>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71B63BDC" w14:textId="39F97E66" w:rsidR="00A7488B" w:rsidRPr="002152A4" w:rsidRDefault="00C97058" w:rsidP="00A7488B">
            <w:pPr>
              <w:pStyle w:val="TableText"/>
              <w:keepNext/>
              <w:rPr>
                <w:b/>
                <w:bCs/>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77236074" w14:textId="006E5385" w:rsidR="00A7488B" w:rsidRPr="002152A4" w:rsidRDefault="00C97058" w:rsidP="00A7488B">
            <w:pPr>
              <w:pStyle w:val="TableText"/>
              <w:keepNext/>
              <w:rPr>
                <w:b/>
                <w:bCs/>
                <w:strike/>
              </w:rPr>
            </w:pPr>
            <w:r w:rsidRPr="00C97058">
              <w:t>$</w:t>
            </w:r>
            <w:r w:rsidRPr="00E80189">
              <w:rPr>
                <w:b/>
                <w:bCs/>
              </w:rPr>
              <w:t>redacted</w:t>
            </w:r>
          </w:p>
        </w:tc>
        <w:tc>
          <w:tcPr>
            <w:tcW w:w="1368" w:type="dxa"/>
            <w:tcBorders>
              <w:top w:val="dotted" w:sz="4" w:space="0" w:color="auto"/>
              <w:left w:val="nil"/>
              <w:bottom w:val="single" w:sz="8" w:space="0" w:color="auto"/>
              <w:right w:val="single" w:sz="8" w:space="0" w:color="auto"/>
            </w:tcBorders>
            <w:tcMar>
              <w:top w:w="0" w:type="dxa"/>
              <w:left w:w="108" w:type="dxa"/>
              <w:bottom w:w="0" w:type="dxa"/>
              <w:right w:w="108" w:type="dxa"/>
            </w:tcMar>
          </w:tcPr>
          <w:p w14:paraId="23384AE3" w14:textId="7E49D51B" w:rsidR="00A7488B" w:rsidRPr="002152A4" w:rsidRDefault="00C97058" w:rsidP="00A7488B">
            <w:pPr>
              <w:pStyle w:val="TableText"/>
              <w:keepNext/>
              <w:rPr>
                <w:b/>
                <w:bCs/>
                <w:strike/>
              </w:rPr>
            </w:pPr>
            <w:r w:rsidRPr="00C97058">
              <w:t>$</w:t>
            </w:r>
            <w:r w:rsidRPr="00E80189">
              <w:rPr>
                <w:b/>
                <w:bCs/>
              </w:rPr>
              <w:t>redacted</w:t>
            </w:r>
          </w:p>
        </w:tc>
      </w:tr>
    </w:tbl>
    <w:p w14:paraId="0355769D" w14:textId="73E17E2A" w:rsidR="00297EBA" w:rsidRPr="004013D9" w:rsidRDefault="00297EBA" w:rsidP="00297EBA">
      <w:pPr>
        <w:pStyle w:val="Tablenotes0"/>
      </w:pPr>
      <w:bookmarkStart w:id="52" w:name="_Hlk68276814"/>
      <w:bookmarkEnd w:id="51"/>
      <w:r>
        <w:t>MBS = Medicare Benefits Schedule</w:t>
      </w:r>
      <w:r w:rsidRPr="004013D9">
        <w:t xml:space="preserve">; RDN = renal denervation </w:t>
      </w:r>
    </w:p>
    <w:p w14:paraId="2C8A261D" w14:textId="6A5BE251" w:rsidR="009B1DD9" w:rsidRDefault="006E415F" w:rsidP="006E6197">
      <w:pPr>
        <w:pStyle w:val="Tablenotes0"/>
      </w:pPr>
      <w:r>
        <w:t xml:space="preserve">a </w:t>
      </w:r>
      <w:r w:rsidR="0007567D">
        <w:t xml:space="preserve">Assumes 5% of </w:t>
      </w:r>
      <w:r w:rsidR="00B102A1">
        <w:t xml:space="preserve">eligible </w:t>
      </w:r>
      <w:r w:rsidR="0007567D">
        <w:t xml:space="preserve">patients </w:t>
      </w:r>
      <w:r w:rsidR="00EA2132">
        <w:t xml:space="preserve">do not proceed </w:t>
      </w:r>
      <w:r w:rsidR="00B102A1">
        <w:t xml:space="preserve">to RDN due to </w:t>
      </w:r>
      <w:r w:rsidR="00EB5B93">
        <w:t>unsuitable renal anatomy.</w:t>
      </w:r>
    </w:p>
    <w:p w14:paraId="24FC566A" w14:textId="0BCE29B0" w:rsidR="00CA671C" w:rsidRDefault="00EB5B93" w:rsidP="006E6197">
      <w:pPr>
        <w:pStyle w:val="Tablenotes0"/>
      </w:pPr>
      <w:r>
        <w:t xml:space="preserve">b </w:t>
      </w:r>
      <w:r w:rsidR="00663856">
        <w:t xml:space="preserve">Assumes </w:t>
      </w:r>
      <w:r w:rsidR="00DD5FD2">
        <w:t xml:space="preserve">MBS fee </w:t>
      </w:r>
      <w:r w:rsidR="003A5785">
        <w:t xml:space="preserve">for RDN is </w:t>
      </w:r>
      <w:r w:rsidR="007E1682">
        <w:t xml:space="preserve">equivalent to </w:t>
      </w:r>
      <w:r w:rsidR="00A71BF8" w:rsidRPr="00A71BF8">
        <w:t>MBS item 38287</w:t>
      </w:r>
      <w:r w:rsidR="00D2684D">
        <w:t xml:space="preserve"> (proposed in ADAR)</w:t>
      </w:r>
      <w:r w:rsidR="008A0A31">
        <w:t>. I</w:t>
      </w:r>
      <w:r w:rsidR="00A92295">
        <w:t>ncorporates imaging for RDN suitability.</w:t>
      </w:r>
    </w:p>
    <w:p w14:paraId="66332015" w14:textId="59944816" w:rsidR="005F6F7D" w:rsidRDefault="005F6F7D" w:rsidP="006E6197">
      <w:pPr>
        <w:pStyle w:val="Tablenotes0"/>
      </w:pPr>
      <w:r>
        <w:t xml:space="preserve">c </w:t>
      </w:r>
      <w:r w:rsidR="00F1654E">
        <w:t xml:space="preserve">Assumes MBS fee for RDN is equivalent to MBS item </w:t>
      </w:r>
      <w:r w:rsidR="00030D83">
        <w:t>33527 (</w:t>
      </w:r>
      <w:r w:rsidR="004A2257">
        <w:t>advised by Department</w:t>
      </w:r>
      <w:r w:rsidR="00030D83">
        <w:t>)</w:t>
      </w:r>
      <w:r w:rsidR="008A0A31">
        <w:t>. I</w:t>
      </w:r>
      <w:r w:rsidR="00030D83">
        <w:t xml:space="preserve">ncorporates </w:t>
      </w:r>
      <w:r w:rsidR="00FE0493">
        <w:t>imaging for RDN suitability.</w:t>
      </w:r>
    </w:p>
    <w:p w14:paraId="216783CF" w14:textId="7F21E980" w:rsidR="00EB5B93" w:rsidRDefault="005F6F7D" w:rsidP="006E6197">
      <w:pPr>
        <w:pStyle w:val="Tablenotes0"/>
      </w:pPr>
      <w:r>
        <w:t xml:space="preserve">d </w:t>
      </w:r>
      <w:r w:rsidR="00EF654E">
        <w:t xml:space="preserve">Includes </w:t>
      </w:r>
      <w:r w:rsidR="00BE6B6B">
        <w:t xml:space="preserve">items for </w:t>
      </w:r>
      <w:r w:rsidR="00774CF1">
        <w:t>anaesthesia (</w:t>
      </w:r>
      <w:r w:rsidR="0095645C">
        <w:t xml:space="preserve">MBS item 21942) </w:t>
      </w:r>
      <w:r w:rsidR="003E730B">
        <w:t>in all eligible patients</w:t>
      </w:r>
      <w:r w:rsidR="00510AA8">
        <w:t xml:space="preserve">. Includes items for </w:t>
      </w:r>
      <w:r w:rsidR="00CA671C">
        <w:t>imaging</w:t>
      </w:r>
      <w:r w:rsidR="00510AA8">
        <w:t xml:space="preserve"> in patients who do not proceed with RDN</w:t>
      </w:r>
      <w:r w:rsidR="00CA671C">
        <w:t xml:space="preserve"> </w:t>
      </w:r>
      <w:r w:rsidR="00BE6B6B">
        <w:t xml:space="preserve">(MBS item </w:t>
      </w:r>
      <w:r w:rsidR="0013311E">
        <w:t xml:space="preserve">60027, MBS item </w:t>
      </w:r>
      <w:r w:rsidR="00B87F3C">
        <w:t>60075)</w:t>
      </w:r>
      <w:r w:rsidR="00510AA8">
        <w:t>.</w:t>
      </w:r>
    </w:p>
    <w:p w14:paraId="1497F2D7" w14:textId="77777777" w:rsidR="00A22971" w:rsidRDefault="00A22971" w:rsidP="00A22971">
      <w:pPr>
        <w:pStyle w:val="Tablenotes0"/>
      </w:pPr>
      <w:r>
        <w:t xml:space="preserve">Note: MBS costs relate to 75% Benefit at 01 July 2023. </w:t>
      </w:r>
    </w:p>
    <w:p w14:paraId="26639F20" w14:textId="5307C5EA" w:rsidR="00DD5883" w:rsidRDefault="00DD5883" w:rsidP="006E6197">
      <w:pPr>
        <w:pStyle w:val="Tablenotes0"/>
      </w:pPr>
      <w:r>
        <w:t xml:space="preserve">Source: </w:t>
      </w:r>
      <w:r w:rsidR="0048506A">
        <w:t>Compiled for the commentary</w:t>
      </w:r>
      <w:r w:rsidR="00AB2ADE">
        <w:t xml:space="preserve"> from</w:t>
      </w:r>
      <w:r w:rsidR="004D7DCC">
        <w:t xml:space="preserve"> Table 133 and</w:t>
      </w:r>
      <w:r w:rsidR="00AB2ADE">
        <w:t xml:space="preserve"> </w:t>
      </w:r>
      <w:r>
        <w:t xml:space="preserve">Table 134 in </w:t>
      </w:r>
      <w:r w:rsidR="00AB2ADE">
        <w:t>MSAC 1659 ADAR+in-line commentary</w:t>
      </w:r>
      <w:r>
        <w:t>.</w:t>
      </w:r>
    </w:p>
    <w:p w14:paraId="7CE5083B" w14:textId="03A672F9" w:rsidR="00A4751D" w:rsidRPr="00065A69" w:rsidRDefault="00A4751D" w:rsidP="00A4751D">
      <w:r>
        <w:t>Although highly unrealistic in practice, a sensitivity analysis without supply constraints suggest</w:t>
      </w:r>
      <w:r w:rsidR="00592CD2">
        <w:t>ed</w:t>
      </w:r>
      <w:r>
        <w:t xml:space="preserve"> the net cost to the MBS could be in excess of </w:t>
      </w:r>
      <w:r w:rsidRPr="00C97058">
        <w:t>$</w:t>
      </w:r>
      <w:r w:rsidR="00134020" w:rsidRPr="00E80189">
        <w:rPr>
          <w:b/>
          <w:bCs/>
        </w:rPr>
        <w:t>redacted</w:t>
      </w:r>
      <w:r>
        <w:t xml:space="preserve"> in Year 1. </w:t>
      </w:r>
      <w:r w:rsidRPr="00065A69">
        <w:t>In acknowledgement that estimates are highly uncertain, Medtronic Australasia has offered their willingness to explore a risk-sharing arrangement.</w:t>
      </w:r>
    </w:p>
    <w:p w14:paraId="4942EADF" w14:textId="56977D09" w:rsidR="00C42A73" w:rsidRDefault="00A00AA3" w:rsidP="00A00AA3">
      <w:pPr>
        <w:pStyle w:val="Heading3"/>
      </w:pPr>
      <w:r>
        <w:t>Estimation of impact to other health budgets</w:t>
      </w:r>
    </w:p>
    <w:p w14:paraId="2691F10F" w14:textId="3F3D294E" w:rsidR="00964DAC" w:rsidRDefault="00E067A7" w:rsidP="00964DAC">
      <w:r>
        <w:t>RDN</w:t>
      </w:r>
      <w:r w:rsidR="003A5B89">
        <w:t xml:space="preserve"> is intended as a one-time treatment adjunct, to be used in addition to current practice (</w:t>
      </w:r>
      <w:r w:rsidR="00457EAD">
        <w:t>OMM</w:t>
      </w:r>
      <w:r w:rsidR="003A5B89">
        <w:t xml:space="preserve">). </w:t>
      </w:r>
      <w:r>
        <w:t xml:space="preserve">That is, it </w:t>
      </w:r>
      <w:r w:rsidR="003A5B89">
        <w:t xml:space="preserve">is not intended to replace or substitute current practice. Since RDN </w:t>
      </w:r>
      <w:r w:rsidR="00773DCD">
        <w:t>is not intended to replace</w:t>
      </w:r>
      <w:r w:rsidR="003A5B89">
        <w:t xml:space="preserve"> any medicines, an MBS listing for RDN for the treatment of TRHTN is not expected to impact the use of currently used therapies (“standard of care”).</w:t>
      </w:r>
    </w:p>
    <w:p w14:paraId="2F36FC10" w14:textId="24EACB0D" w:rsidR="00901E74" w:rsidRDefault="00901E74" w:rsidP="00964DAC">
      <w:r>
        <w:t>The total cost of the RDN procedure</w:t>
      </w:r>
      <w:r w:rsidR="00210AFF">
        <w:t xml:space="preserve"> (</w:t>
      </w:r>
      <w:r w:rsidR="006238F3">
        <w:t xml:space="preserve">incorporating </w:t>
      </w:r>
      <w:r w:rsidR="00097B67">
        <w:t>cost</w:t>
      </w:r>
      <w:r w:rsidR="00AC38E9">
        <w:t>s</w:t>
      </w:r>
      <w:r w:rsidR="00097B67">
        <w:t xml:space="preserve"> </w:t>
      </w:r>
      <w:r w:rsidR="00AC38E9">
        <w:t>for</w:t>
      </w:r>
      <w:r w:rsidR="00097B67">
        <w:t xml:space="preserve"> the </w:t>
      </w:r>
      <w:r w:rsidR="00210AFF">
        <w:t xml:space="preserve">single use device, MBS </w:t>
      </w:r>
      <w:r w:rsidR="00823C73">
        <w:t>services</w:t>
      </w:r>
      <w:r w:rsidR="002D15E4">
        <w:t xml:space="preserve"> for </w:t>
      </w:r>
      <w:r w:rsidR="00F46BCA">
        <w:t xml:space="preserve">the procedure and </w:t>
      </w:r>
      <w:r w:rsidR="002D15E4">
        <w:t>anaesthesia</w:t>
      </w:r>
      <w:r w:rsidR="00053A64">
        <w:t xml:space="preserve"> [75% Benefits]</w:t>
      </w:r>
      <w:r w:rsidR="001B7BD9">
        <w:t xml:space="preserve">, theatre </w:t>
      </w:r>
      <w:r w:rsidR="00004891">
        <w:t>and</w:t>
      </w:r>
      <w:r>
        <w:t xml:space="preserve"> day admission</w:t>
      </w:r>
      <w:r w:rsidR="00006CD2">
        <w:t>)</w:t>
      </w:r>
      <w:r>
        <w:t xml:space="preserve"> is </w:t>
      </w:r>
      <w:r w:rsidR="00D17EDE">
        <w:t xml:space="preserve">estimated to be </w:t>
      </w:r>
      <w:r w:rsidRPr="00C97058">
        <w:t>$</w:t>
      </w:r>
      <w:r w:rsidR="00134020" w:rsidRPr="00E80189">
        <w:rPr>
          <w:b/>
          <w:bCs/>
        </w:rPr>
        <w:t>redacted</w:t>
      </w:r>
      <w:r w:rsidR="00134020" w:rsidRPr="00134020">
        <w:t>.</w:t>
      </w:r>
      <w:r w:rsidR="00097B67">
        <w:t xml:space="preserve"> This e</w:t>
      </w:r>
      <w:r>
        <w:t>xclud</w:t>
      </w:r>
      <w:r w:rsidR="00097B67">
        <w:t>es</w:t>
      </w:r>
      <w:r>
        <w:t xml:space="preserve"> </w:t>
      </w:r>
      <w:r w:rsidR="00D17EDE">
        <w:t xml:space="preserve">costs associated with </w:t>
      </w:r>
      <w:r>
        <w:t xml:space="preserve">renal imaging </w:t>
      </w:r>
      <w:r w:rsidR="00E16C79">
        <w:t xml:space="preserve">immediately prior to RDN </w:t>
      </w:r>
      <w:r w:rsidR="00097B67">
        <w:t xml:space="preserve">(assumed to be captured in the MBS Fee) </w:t>
      </w:r>
      <w:r>
        <w:t>and capital equipment depreciation</w:t>
      </w:r>
      <w:r w:rsidR="00097B67">
        <w:t>.</w:t>
      </w:r>
      <w:r w:rsidR="00380126">
        <w:t xml:space="preserve"> </w:t>
      </w:r>
      <w:r w:rsidR="008367E4">
        <w:t>The commentary also noted that c</w:t>
      </w:r>
      <w:r w:rsidR="00380126">
        <w:t xml:space="preserve">osts for renal imaging at follow up timepoints post RDN (to monitor for renal stenosis) were not included </w:t>
      </w:r>
      <w:r w:rsidR="00F65BA0">
        <w:t>but also acknowledged that it is</w:t>
      </w:r>
      <w:r w:rsidR="008367E4">
        <w:t xml:space="preserve"> </w:t>
      </w:r>
      <w:r w:rsidR="00F65BA0">
        <w:t>unclear whether follow up imaging is undertaken in Australia.</w:t>
      </w:r>
    </w:p>
    <w:p w14:paraId="793A308B" w14:textId="54AFB613" w:rsidR="00E95972" w:rsidRDefault="0069164A" w:rsidP="00964DAC">
      <w:r w:rsidRPr="00134020">
        <w:t xml:space="preserve">The </w:t>
      </w:r>
      <w:r w:rsidR="00024FB5" w:rsidRPr="00134020">
        <w:t xml:space="preserve">ADAR </w:t>
      </w:r>
      <w:r w:rsidR="00AB530E" w:rsidRPr="00134020">
        <w:t>assume</w:t>
      </w:r>
      <w:r w:rsidR="00024FB5" w:rsidRPr="00134020">
        <w:t>d</w:t>
      </w:r>
      <w:r w:rsidR="00AB530E" w:rsidRPr="00134020">
        <w:t xml:space="preserve"> </w:t>
      </w:r>
      <w:r w:rsidR="00EE769A" w:rsidRPr="00134020">
        <w:t>th</w:t>
      </w:r>
      <w:r w:rsidR="003F57BE" w:rsidRPr="00134020">
        <w:t>at</w:t>
      </w:r>
      <w:r w:rsidR="00EE769A" w:rsidRPr="00134020">
        <w:t xml:space="preserve"> </w:t>
      </w:r>
      <w:r w:rsidR="00ED4D3F" w:rsidRPr="00134020">
        <w:t xml:space="preserve">RDN </w:t>
      </w:r>
      <w:r w:rsidR="007B6F57" w:rsidRPr="00134020">
        <w:t>catheter</w:t>
      </w:r>
      <w:r w:rsidR="003F57BE" w:rsidRPr="00134020">
        <w:t>s</w:t>
      </w:r>
      <w:r w:rsidR="007B6F57" w:rsidRPr="00134020">
        <w:t xml:space="preserve"> </w:t>
      </w:r>
      <w:r w:rsidR="0093446D" w:rsidRPr="00134020">
        <w:t>will be listed on Part C of the PL</w:t>
      </w:r>
      <w:r w:rsidR="00A769C2" w:rsidRPr="00134020">
        <w:t xml:space="preserve">. The </w:t>
      </w:r>
      <w:r w:rsidR="003A7497" w:rsidRPr="00134020">
        <w:t xml:space="preserve">proposed </w:t>
      </w:r>
      <w:r w:rsidR="00D37357" w:rsidRPr="00134020">
        <w:t>device cost</w:t>
      </w:r>
      <w:r w:rsidR="003A7497" w:rsidRPr="00134020">
        <w:t xml:space="preserve"> </w:t>
      </w:r>
      <w:r w:rsidR="00A769C2" w:rsidRPr="00134020">
        <w:t>is</w:t>
      </w:r>
      <w:r w:rsidR="003A7497" w:rsidRPr="00134020">
        <w:t xml:space="preserve"> </w:t>
      </w:r>
      <w:r w:rsidR="003A7497" w:rsidRPr="00C97058">
        <w:t>$</w:t>
      </w:r>
      <w:r w:rsidR="00134020" w:rsidRPr="00E80189">
        <w:rPr>
          <w:b/>
          <w:bCs/>
        </w:rPr>
        <w:t>redacted</w:t>
      </w:r>
      <w:r w:rsidR="003A7497" w:rsidRPr="00134020">
        <w:t xml:space="preserve">. </w:t>
      </w:r>
      <w:r w:rsidR="00D826BA" w:rsidRPr="00134020">
        <w:t>If a PL listing is not achieved, the cost of the catheter could potentially be passed on to hospitals or patients.</w:t>
      </w:r>
      <w:r w:rsidR="00E95972" w:rsidRPr="00134020">
        <w:t xml:space="preserve"> </w:t>
      </w:r>
      <w:r w:rsidR="00E95972">
        <w:t>Patient out-of-pocket costs are not considered in the ADAR.</w:t>
      </w:r>
    </w:p>
    <w:p w14:paraId="1F679FC8" w14:textId="00FAFD3D" w:rsidR="00F26DF0" w:rsidRDefault="003F360A" w:rsidP="00964DAC">
      <w:r>
        <w:t xml:space="preserve">The </w:t>
      </w:r>
      <w:r w:rsidR="00875D50">
        <w:t xml:space="preserve">expected </w:t>
      </w:r>
      <w:r w:rsidR="00F71714">
        <w:t xml:space="preserve">net </w:t>
      </w:r>
      <w:r w:rsidR="00C3203B">
        <w:t xml:space="preserve">financial impact to </w:t>
      </w:r>
      <w:r w:rsidR="002D4CB0">
        <w:t xml:space="preserve">PHIs </w:t>
      </w:r>
      <w:r w:rsidR="00875D50">
        <w:t xml:space="preserve">is shown in </w:t>
      </w:r>
      <w:r w:rsidR="00875D50">
        <w:fldChar w:fldCharType="begin"/>
      </w:r>
      <w:r w:rsidR="00875D50">
        <w:instrText xml:space="preserve"> REF _Ref141814501 \h </w:instrText>
      </w:r>
      <w:r w:rsidR="00875D50">
        <w:fldChar w:fldCharType="separate"/>
      </w:r>
      <w:r w:rsidR="003D5203" w:rsidRPr="00CE28E3">
        <w:t>Table</w:t>
      </w:r>
      <w:r w:rsidR="003D5203">
        <w:t> </w:t>
      </w:r>
      <w:r w:rsidR="003D5203">
        <w:rPr>
          <w:noProof/>
        </w:rPr>
        <w:t>19</w:t>
      </w:r>
      <w:r w:rsidR="00875D50">
        <w:fldChar w:fldCharType="end"/>
      </w:r>
      <w:r w:rsidR="004B4FBD">
        <w:t xml:space="preserve">, </w:t>
      </w:r>
      <w:r w:rsidR="004B4FBD" w:rsidRPr="00D20204">
        <w:t xml:space="preserve">assuming </w:t>
      </w:r>
      <w:r w:rsidR="008C1A86">
        <w:t>supply constraints</w:t>
      </w:r>
      <w:r w:rsidR="00875D50">
        <w:t xml:space="preserve">. </w:t>
      </w:r>
      <w:r w:rsidR="004346FE">
        <w:t xml:space="preserve">The estimates assume </w:t>
      </w:r>
      <w:r w:rsidR="00457FAD">
        <w:t>day admission only</w:t>
      </w:r>
      <w:r w:rsidR="00D71255">
        <w:t xml:space="preserve"> for the RDN procedure. </w:t>
      </w:r>
    </w:p>
    <w:p w14:paraId="4BECCD6C" w14:textId="586DB4CB" w:rsidR="003F360A" w:rsidRPr="00CE28E3" w:rsidRDefault="003F360A" w:rsidP="003F360A">
      <w:pPr>
        <w:pStyle w:val="Caption"/>
      </w:pPr>
      <w:bookmarkStart w:id="53" w:name="_Ref141814501"/>
      <w:r w:rsidRPr="00CE28E3">
        <w:t>Table</w:t>
      </w:r>
      <w:r>
        <w:t> </w:t>
      </w:r>
      <w:r>
        <w:fldChar w:fldCharType="begin"/>
      </w:r>
      <w:r>
        <w:instrText>SEQ Table \* ARABIC</w:instrText>
      </w:r>
      <w:r>
        <w:fldChar w:fldCharType="separate"/>
      </w:r>
      <w:r w:rsidR="003D5203">
        <w:rPr>
          <w:noProof/>
        </w:rPr>
        <w:t>19</w:t>
      </w:r>
      <w:r>
        <w:fldChar w:fldCharType="end"/>
      </w:r>
      <w:bookmarkEnd w:id="53"/>
      <w:r w:rsidRPr="00CE28E3">
        <w:tab/>
        <w:t xml:space="preserve">Net financial implications of </w:t>
      </w:r>
      <w:r>
        <w:rPr>
          <w:rFonts w:cs="Arial"/>
        </w:rPr>
        <w:t>radiofrequency renal denervation</w:t>
      </w:r>
      <w:r w:rsidRPr="00CE28E3">
        <w:t xml:space="preserve"> to </w:t>
      </w:r>
      <w:r w:rsidR="004E2FD0">
        <w:t>private health insurers</w:t>
      </w:r>
      <w:r w:rsidR="00A7214C">
        <w:t xml:space="preserve"> – assuming </w:t>
      </w:r>
      <w:r w:rsidR="00520CA0">
        <w:t xml:space="preserve">supply </w:t>
      </w:r>
      <w:r w:rsidR="00A7214C">
        <w:t>constraints</w:t>
      </w:r>
    </w:p>
    <w:tbl>
      <w:tblPr>
        <w:tblW w:w="0" w:type="auto"/>
        <w:tblCellMar>
          <w:left w:w="0" w:type="dxa"/>
          <w:right w:w="0" w:type="dxa"/>
        </w:tblCellMar>
        <w:tblLook w:val="04A0" w:firstRow="1" w:lastRow="0" w:firstColumn="1" w:lastColumn="0" w:noHBand="0" w:noVBand="1"/>
        <w:tblCaption w:val="Net financial implications of RF RDN to PHIs"/>
        <w:tblDescription w:val="Estimates of net finanial impact to PHIs of a new MBS listing for RDN, assuming supply constraints, 2025 to 2030"/>
      </w:tblPr>
      <w:tblGrid>
        <w:gridCol w:w="1457"/>
        <w:gridCol w:w="991"/>
        <w:gridCol w:w="1270"/>
        <w:gridCol w:w="1322"/>
        <w:gridCol w:w="1322"/>
        <w:gridCol w:w="1322"/>
        <w:gridCol w:w="1322"/>
      </w:tblGrid>
      <w:tr w:rsidR="003F360A" w:rsidRPr="00CE28E3" w14:paraId="4664B2FC" w14:textId="77777777" w:rsidTr="0045573B">
        <w:trPr>
          <w:tblHead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919747" w14:textId="77777777" w:rsidR="003F360A" w:rsidRPr="00CE28E3" w:rsidRDefault="003F360A" w:rsidP="00F71956">
            <w:pPr>
              <w:pStyle w:val="TableHeading0"/>
            </w:pPr>
            <w:r>
              <w:t xml:space="preserve">Parameter </w:t>
            </w:r>
          </w:p>
        </w:tc>
        <w:tc>
          <w:tcPr>
            <w:tcW w:w="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5FFA" w14:textId="77777777" w:rsidR="003F360A" w:rsidRPr="00CE28E3" w:rsidRDefault="003F360A" w:rsidP="0045573B">
            <w:pPr>
              <w:pStyle w:val="TableHeading0"/>
            </w:pPr>
            <w:r w:rsidRPr="00CE28E3">
              <w:t xml:space="preserve">Year </w:t>
            </w:r>
            <w:r>
              <w:t>1</w:t>
            </w:r>
            <w:r>
              <w:br/>
              <w:t>2025</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FC3DA" w14:textId="77777777" w:rsidR="003F360A" w:rsidRPr="00CE28E3" w:rsidRDefault="003F360A" w:rsidP="0045573B">
            <w:pPr>
              <w:pStyle w:val="TableHeading0"/>
            </w:pPr>
            <w:r w:rsidRPr="00CE28E3">
              <w:t>Year</w:t>
            </w:r>
            <w:r>
              <w:t xml:space="preserve"> 2</w:t>
            </w:r>
            <w:r>
              <w:br/>
              <w:t>2026</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9475A" w14:textId="77777777" w:rsidR="003F360A" w:rsidRPr="00CE28E3" w:rsidRDefault="003F360A" w:rsidP="0045573B">
            <w:pPr>
              <w:pStyle w:val="TableHeading0"/>
            </w:pPr>
            <w:r w:rsidRPr="00CE28E3">
              <w:t xml:space="preserve">Year </w:t>
            </w:r>
            <w:r>
              <w:t>3</w:t>
            </w:r>
            <w:r>
              <w:br/>
              <w:t>2027</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33AA3" w14:textId="77777777" w:rsidR="003F360A" w:rsidRPr="00CE28E3" w:rsidRDefault="003F360A" w:rsidP="0045573B">
            <w:pPr>
              <w:pStyle w:val="TableHeading0"/>
            </w:pPr>
            <w:r w:rsidRPr="00CE28E3">
              <w:t xml:space="preserve">Year </w:t>
            </w:r>
            <w:r>
              <w:t>4</w:t>
            </w:r>
            <w:r>
              <w:br/>
              <w:t>2028</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D4B45" w14:textId="77777777" w:rsidR="003F360A" w:rsidRPr="00CE28E3" w:rsidRDefault="003F360A" w:rsidP="0045573B">
            <w:pPr>
              <w:pStyle w:val="TableHeading0"/>
            </w:pPr>
            <w:r w:rsidRPr="00CE28E3">
              <w:t xml:space="preserve">Year </w:t>
            </w:r>
            <w:r>
              <w:t>5</w:t>
            </w:r>
            <w:r>
              <w:br/>
              <w:t>2029</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D578E" w14:textId="77777777" w:rsidR="003F360A" w:rsidRPr="00CE28E3" w:rsidRDefault="003F360A" w:rsidP="0045573B">
            <w:pPr>
              <w:pStyle w:val="TableHeading0"/>
            </w:pPr>
            <w:r w:rsidRPr="00CE28E3">
              <w:t xml:space="preserve">Year </w:t>
            </w:r>
            <w:r>
              <w:t>6</w:t>
            </w:r>
            <w:r>
              <w:br/>
              <w:t>2030</w:t>
            </w:r>
          </w:p>
        </w:tc>
      </w:tr>
      <w:tr w:rsidR="00B260EB" w:rsidRPr="00CE28E3" w14:paraId="0FB10666" w14:textId="77777777" w:rsidTr="0045573B">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0D9C1" w14:textId="30E5FD40" w:rsidR="00B260EB" w:rsidRPr="00CE28E3" w:rsidRDefault="00B260EB" w:rsidP="00B260EB">
            <w:pPr>
              <w:pStyle w:val="TableText"/>
              <w:keepNext/>
            </w:pPr>
            <w:r>
              <w:t xml:space="preserve">Financial impact </w:t>
            </w:r>
            <w:r w:rsidR="004B4191">
              <w:t>of</w:t>
            </w:r>
            <w:r>
              <w:t xml:space="preserve"> PL </w:t>
            </w:r>
            <w:r w:rsidR="000237C7">
              <w:t>Benefits payable for</w:t>
            </w:r>
            <w:r>
              <w:t xml:space="preserve"> the proposed RDN service</w:t>
            </w:r>
            <w:r>
              <w:rPr>
                <w:vertAlign w:val="superscript"/>
              </w:rPr>
              <w:t>a</w:t>
            </w:r>
          </w:p>
        </w:tc>
        <w:tc>
          <w:tcPr>
            <w:tcW w:w="555" w:type="dxa"/>
            <w:tcBorders>
              <w:top w:val="nil"/>
              <w:left w:val="nil"/>
              <w:bottom w:val="single" w:sz="8" w:space="0" w:color="auto"/>
              <w:right w:val="single" w:sz="8" w:space="0" w:color="auto"/>
            </w:tcBorders>
            <w:tcMar>
              <w:top w:w="0" w:type="dxa"/>
              <w:left w:w="108" w:type="dxa"/>
              <w:bottom w:w="0" w:type="dxa"/>
              <w:right w:w="108" w:type="dxa"/>
            </w:tcMar>
          </w:tcPr>
          <w:p w14:paraId="2F8E89A5" w14:textId="22995842" w:rsidR="00B260EB" w:rsidRPr="0045573B" w:rsidRDefault="00BD33FA" w:rsidP="0045573B">
            <w:pPr>
              <w:pStyle w:val="TableText"/>
              <w:keepNext/>
              <w:rPr>
                <w:strike/>
              </w:rPr>
            </w:pPr>
            <w:r w:rsidRPr="00C97058">
              <w:t>$</w:t>
            </w:r>
            <w:r w:rsidRPr="00E80189">
              <w:rPr>
                <w:b/>
                <w:bCs/>
              </w:rPr>
              <w:t>redacted</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14:paraId="0A435231" w14:textId="2E93EED7" w:rsidR="00B260EB"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53B4CDB5" w14:textId="0AD2E6FC" w:rsidR="00B260EB"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5A448387" w14:textId="59D0C299" w:rsidR="00B260EB"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176A5AB" w14:textId="7D9E4FF5" w:rsidR="00B260EB"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0FBE3983" w14:textId="331D2FFF" w:rsidR="00B260EB" w:rsidRPr="0045573B" w:rsidRDefault="00BD33FA" w:rsidP="0045573B">
            <w:pPr>
              <w:pStyle w:val="TableText"/>
              <w:keepNext/>
              <w:rPr>
                <w:strike/>
              </w:rPr>
            </w:pPr>
            <w:r w:rsidRPr="00C97058">
              <w:t>$</w:t>
            </w:r>
            <w:r w:rsidRPr="00E80189">
              <w:rPr>
                <w:b/>
                <w:bCs/>
              </w:rPr>
              <w:t>redacted</w:t>
            </w:r>
          </w:p>
        </w:tc>
      </w:tr>
      <w:tr w:rsidR="009449D6" w:rsidRPr="00CE28E3" w14:paraId="189A156E" w14:textId="77777777" w:rsidTr="0045573B">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F2630" w14:textId="2BA5D9A4" w:rsidR="009449D6" w:rsidRPr="00CE28E3" w:rsidRDefault="009449D6" w:rsidP="009449D6">
            <w:pPr>
              <w:pStyle w:val="TableText"/>
              <w:keepNext/>
            </w:pPr>
            <w:r>
              <w:t>Financial impact of theatre and hospital stay</w:t>
            </w:r>
            <w:r>
              <w:rPr>
                <w:vertAlign w:val="superscript"/>
              </w:rPr>
              <w:t>b</w:t>
            </w:r>
          </w:p>
        </w:tc>
        <w:tc>
          <w:tcPr>
            <w:tcW w:w="555" w:type="dxa"/>
            <w:tcBorders>
              <w:top w:val="nil"/>
              <w:left w:val="nil"/>
              <w:bottom w:val="single" w:sz="8" w:space="0" w:color="auto"/>
              <w:right w:val="single" w:sz="8" w:space="0" w:color="auto"/>
            </w:tcBorders>
            <w:tcMar>
              <w:top w:w="0" w:type="dxa"/>
              <w:left w:w="108" w:type="dxa"/>
              <w:bottom w:w="0" w:type="dxa"/>
              <w:right w:w="108" w:type="dxa"/>
            </w:tcMar>
          </w:tcPr>
          <w:p w14:paraId="1878BC95" w14:textId="6F98DD82" w:rsidR="009449D6" w:rsidRPr="0045573B" w:rsidRDefault="00BD33FA" w:rsidP="0045573B">
            <w:pPr>
              <w:pStyle w:val="TableText"/>
              <w:keepNext/>
              <w:rPr>
                <w:strike/>
              </w:rPr>
            </w:pPr>
            <w:r w:rsidRPr="00C97058">
              <w:t>$</w:t>
            </w:r>
            <w:r w:rsidRPr="00E80189">
              <w:rPr>
                <w:b/>
                <w:bCs/>
              </w:rPr>
              <w:t>redacted</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14:paraId="6AE75BFF" w14:textId="7A430D3B" w:rsidR="009449D6"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48C1247F" w14:textId="325D1517" w:rsidR="009449D6"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34A1F47A" w14:textId="213F90A1" w:rsidR="009449D6"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442CCC14" w14:textId="76D2799D" w:rsidR="009449D6" w:rsidRPr="0045573B" w:rsidRDefault="00BD33FA" w:rsidP="0045573B">
            <w:pPr>
              <w:pStyle w:val="TableText"/>
              <w:keepNext/>
              <w:rPr>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059DFA5B" w14:textId="0EE8B1D5" w:rsidR="009449D6" w:rsidRPr="0045573B" w:rsidRDefault="00BD33FA" w:rsidP="0045573B">
            <w:pPr>
              <w:pStyle w:val="TableText"/>
              <w:keepNext/>
              <w:rPr>
                <w:strike/>
              </w:rPr>
            </w:pPr>
            <w:r w:rsidRPr="00C97058">
              <w:t>$</w:t>
            </w:r>
            <w:r w:rsidRPr="00E80189">
              <w:rPr>
                <w:b/>
                <w:bCs/>
              </w:rPr>
              <w:t>redacted</w:t>
            </w:r>
          </w:p>
        </w:tc>
      </w:tr>
      <w:tr w:rsidR="003F360A" w:rsidRPr="00CE28E3" w14:paraId="6349F436" w14:textId="77777777" w:rsidTr="0045573B">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4E26B" w14:textId="71FC4AE6" w:rsidR="003F360A" w:rsidRPr="009A5DDF" w:rsidRDefault="003F360A">
            <w:pPr>
              <w:pStyle w:val="TableText"/>
              <w:keepNext/>
              <w:rPr>
                <w:b/>
                <w:bCs/>
              </w:rPr>
            </w:pPr>
            <w:r w:rsidRPr="009A5DDF">
              <w:rPr>
                <w:b/>
                <w:bCs/>
              </w:rPr>
              <w:t xml:space="preserve">Net financial impact to </w:t>
            </w:r>
            <w:r w:rsidR="00E95D2E">
              <w:rPr>
                <w:b/>
                <w:bCs/>
              </w:rPr>
              <w:t>PHIs</w:t>
            </w:r>
          </w:p>
        </w:tc>
        <w:tc>
          <w:tcPr>
            <w:tcW w:w="555" w:type="dxa"/>
            <w:tcBorders>
              <w:top w:val="nil"/>
              <w:left w:val="nil"/>
              <w:bottom w:val="single" w:sz="8" w:space="0" w:color="auto"/>
              <w:right w:val="single" w:sz="8" w:space="0" w:color="auto"/>
            </w:tcBorders>
            <w:tcMar>
              <w:top w:w="0" w:type="dxa"/>
              <w:left w:w="108" w:type="dxa"/>
              <w:bottom w:w="0" w:type="dxa"/>
              <w:right w:w="108" w:type="dxa"/>
            </w:tcMar>
          </w:tcPr>
          <w:p w14:paraId="09DF0B53" w14:textId="7397583C" w:rsidR="003F360A" w:rsidRPr="0045573B" w:rsidRDefault="00BD33FA">
            <w:pPr>
              <w:pStyle w:val="TableText"/>
              <w:keepNext/>
              <w:rPr>
                <w:b/>
                <w:bCs/>
                <w:strike/>
              </w:rPr>
            </w:pPr>
            <w:r w:rsidRPr="00C97058">
              <w:t>$</w:t>
            </w:r>
            <w:r w:rsidRPr="00E80189">
              <w:rPr>
                <w:b/>
                <w:bCs/>
              </w:rPr>
              <w:t>redacted</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14:paraId="4CC22A92" w14:textId="79BD73C6" w:rsidR="003F360A" w:rsidRPr="0045573B" w:rsidRDefault="00BD33FA">
            <w:pPr>
              <w:pStyle w:val="TableText"/>
              <w:keepNext/>
              <w:rPr>
                <w:b/>
                <w:bCs/>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4FE7FE73" w14:textId="2BDACD43" w:rsidR="003F360A" w:rsidRPr="0045573B" w:rsidRDefault="00BD33FA">
            <w:pPr>
              <w:pStyle w:val="TableText"/>
              <w:keepNext/>
              <w:rPr>
                <w:b/>
                <w:bCs/>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21972B3" w14:textId="269E3C61" w:rsidR="003F360A" w:rsidRPr="0045573B" w:rsidRDefault="00BD33FA">
            <w:pPr>
              <w:pStyle w:val="TableText"/>
              <w:keepNext/>
              <w:rPr>
                <w:b/>
                <w:bCs/>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7551E63C" w14:textId="14E54D12" w:rsidR="003F360A" w:rsidRPr="0045573B" w:rsidRDefault="00BD33FA">
            <w:pPr>
              <w:pStyle w:val="TableText"/>
              <w:keepNext/>
              <w:rPr>
                <w:b/>
                <w:bCs/>
                <w:strike/>
              </w:rPr>
            </w:pPr>
            <w:r w:rsidRPr="00C97058">
              <w:t>$</w:t>
            </w:r>
            <w:r w:rsidRPr="00E80189">
              <w:rPr>
                <w:b/>
                <w:bCs/>
              </w:rPr>
              <w:t>redacted</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61FA8840" w14:textId="6E4E8ABD" w:rsidR="003F360A" w:rsidRPr="0045573B" w:rsidRDefault="00BD33FA">
            <w:pPr>
              <w:pStyle w:val="TableText"/>
              <w:keepNext/>
              <w:rPr>
                <w:b/>
                <w:bCs/>
                <w:strike/>
              </w:rPr>
            </w:pPr>
            <w:r w:rsidRPr="00C97058">
              <w:t>$</w:t>
            </w:r>
            <w:r w:rsidRPr="00E80189">
              <w:rPr>
                <w:b/>
                <w:bCs/>
              </w:rPr>
              <w:t>redacted</w:t>
            </w:r>
          </w:p>
        </w:tc>
      </w:tr>
    </w:tbl>
    <w:p w14:paraId="62A88EEA" w14:textId="087D09F5" w:rsidR="00CC1523" w:rsidRPr="004013D9" w:rsidRDefault="00DE4E75" w:rsidP="00CC1523">
      <w:pPr>
        <w:pStyle w:val="Tablenotes0"/>
      </w:pPr>
      <w:r>
        <w:t>PHI = private health insurer; PL</w:t>
      </w:r>
      <w:r w:rsidR="00CC1523">
        <w:t xml:space="preserve"> = </w:t>
      </w:r>
      <w:r>
        <w:t>Prescribed List</w:t>
      </w:r>
      <w:r w:rsidR="00CC1523" w:rsidRPr="004013D9">
        <w:t xml:space="preserve">; RDN = renal denervation </w:t>
      </w:r>
    </w:p>
    <w:p w14:paraId="12E004AC" w14:textId="77777777" w:rsidR="00F5318B" w:rsidRDefault="00F5318B" w:rsidP="006E6197">
      <w:pPr>
        <w:pStyle w:val="Tablenotes0"/>
      </w:pPr>
      <w:r>
        <w:t>a Assumes 5% of eligible patients do not proceed to RDN due to unsuitable renal anatomy.</w:t>
      </w:r>
    </w:p>
    <w:p w14:paraId="34E74267" w14:textId="01CD0414" w:rsidR="00DB0E33" w:rsidRDefault="00DB0E33" w:rsidP="006E6197">
      <w:pPr>
        <w:pStyle w:val="Tablenotes0"/>
      </w:pPr>
      <w:r>
        <w:t>b I</w:t>
      </w:r>
      <w:r w:rsidRPr="00DB0E33">
        <w:t>nclude</w:t>
      </w:r>
      <w:r w:rsidR="000E0286">
        <w:t>s</w:t>
      </w:r>
      <w:r w:rsidRPr="00DB0E33">
        <w:t xml:space="preserve"> </w:t>
      </w:r>
      <w:r w:rsidR="00141E45">
        <w:t xml:space="preserve">theatre fees </w:t>
      </w:r>
      <w:r w:rsidR="00A37AF1">
        <w:t>(</w:t>
      </w:r>
      <w:r w:rsidR="004A2474" w:rsidRPr="008A0066">
        <w:t>$2</w:t>
      </w:r>
      <w:r w:rsidR="004A2474">
        <w:t>,186.92</w:t>
      </w:r>
      <w:r w:rsidR="00A37AF1">
        <w:t xml:space="preserve">) and </w:t>
      </w:r>
      <w:r w:rsidRPr="00DB0E33">
        <w:t xml:space="preserve">accommodation costs </w:t>
      </w:r>
      <w:r w:rsidR="00A37AF1">
        <w:t>(</w:t>
      </w:r>
      <w:r w:rsidRPr="00DB0E33">
        <w:t>$647.65</w:t>
      </w:r>
      <w:r w:rsidR="00A37AF1">
        <w:t>)</w:t>
      </w:r>
      <w:r w:rsidRPr="00DB0E33">
        <w:t xml:space="preserve"> for all patients, including those who receive renal imaging but not RDN.</w:t>
      </w:r>
    </w:p>
    <w:p w14:paraId="5CCBE978" w14:textId="4D01A730" w:rsidR="00FC37AE" w:rsidRPr="0045573B" w:rsidRDefault="00FC37AE" w:rsidP="00FC37AE">
      <w:pPr>
        <w:pStyle w:val="Tablenotes0"/>
        <w:rPr>
          <w:strike/>
        </w:rPr>
      </w:pPr>
      <w:r w:rsidRPr="00BD33FA">
        <w:t xml:space="preserve">Note: Assumes single use RDN catheters will be listed on the PL at a Benefit of </w:t>
      </w:r>
      <w:r w:rsidRPr="00C97058">
        <w:t>$</w:t>
      </w:r>
      <w:r w:rsidR="00BD33FA" w:rsidRPr="00E80189">
        <w:rPr>
          <w:b/>
          <w:bCs/>
        </w:rPr>
        <w:t>redacted</w:t>
      </w:r>
      <w:r w:rsidR="00BD33FA">
        <w:rPr>
          <w:b/>
          <w:bCs/>
        </w:rPr>
        <w:t>.</w:t>
      </w:r>
    </w:p>
    <w:p w14:paraId="12E7A754" w14:textId="6FA310CC" w:rsidR="00DD5883" w:rsidRDefault="00DD5883" w:rsidP="006E6197">
      <w:pPr>
        <w:pStyle w:val="Tablenotes0"/>
      </w:pPr>
      <w:r>
        <w:t xml:space="preserve">Source: </w:t>
      </w:r>
      <w:r w:rsidR="00901BF8">
        <w:t>Derived</w:t>
      </w:r>
      <w:r w:rsidR="00643DC6">
        <w:t xml:space="preserve"> from </w:t>
      </w:r>
      <w:r>
        <w:t xml:space="preserve">Table </w:t>
      </w:r>
      <w:r w:rsidR="00DE77F7">
        <w:t>136</w:t>
      </w:r>
      <w:r>
        <w:t xml:space="preserve"> in </w:t>
      </w:r>
      <w:r w:rsidR="00643DC6">
        <w:t>MSAC 1659 ADAR+in-line commentary</w:t>
      </w:r>
      <w:r>
        <w:t>.</w:t>
      </w:r>
    </w:p>
    <w:p w14:paraId="2860D2A0" w14:textId="5DC85785" w:rsidR="003F360A" w:rsidRDefault="00FE4C3E" w:rsidP="00964DAC">
      <w:r>
        <w:t xml:space="preserve">Costs for consumable items typically used in endovascular procedures are not incorporated in the estimates, nor are costs </w:t>
      </w:r>
      <w:r w:rsidR="001F2AFF">
        <w:t>associated with</w:t>
      </w:r>
      <w:r>
        <w:t xml:space="preserve"> vascular closure devices (used in approximately </w:t>
      </w:r>
      <w:r w:rsidR="007345CB">
        <w:t>69</w:t>
      </w:r>
      <w:r>
        <w:t>% of procedures</w:t>
      </w:r>
      <w:r w:rsidR="009B799A">
        <w:t xml:space="preserve"> and available on the PL</w:t>
      </w:r>
      <w:r>
        <w:t>).</w:t>
      </w:r>
    </w:p>
    <w:p w14:paraId="7838A9FF" w14:textId="49C9243D" w:rsidR="00772829" w:rsidRDefault="00C36633" w:rsidP="002A18BE">
      <w:pPr>
        <w:pStyle w:val="Heading2"/>
        <w:numPr>
          <w:ilvl w:val="0"/>
          <w:numId w:val="0"/>
        </w:numPr>
      </w:pPr>
      <w:bookmarkStart w:id="54" w:name="_Toc69491427"/>
      <w:bookmarkEnd w:id="52"/>
      <w:r>
        <w:t>1</w:t>
      </w:r>
      <w:r w:rsidR="006E6BB4">
        <w:t>5</w:t>
      </w:r>
      <w:r>
        <w:t>.</w:t>
      </w:r>
      <w:r>
        <w:tab/>
      </w:r>
      <w:r w:rsidR="00772829" w:rsidRPr="00CE28E3">
        <w:t xml:space="preserve">Other relevant </w:t>
      </w:r>
      <w:bookmarkEnd w:id="54"/>
      <w:r w:rsidR="00FA5766">
        <w:t>information</w:t>
      </w:r>
    </w:p>
    <w:p w14:paraId="3D0E6BB6" w14:textId="7B22AEC2" w:rsidR="00737389" w:rsidRDefault="00737389" w:rsidP="00D9604C">
      <w:r>
        <w:t>The ADAR describe</w:t>
      </w:r>
      <w:r w:rsidR="00092FD4">
        <w:t>d</w:t>
      </w:r>
      <w:r>
        <w:t xml:space="preserve"> the substantial </w:t>
      </w:r>
      <w:r w:rsidR="00CD2BEF">
        <w:t xml:space="preserve">cost of </w:t>
      </w:r>
      <w:r w:rsidR="00A25EB3">
        <w:t xml:space="preserve">HTN </w:t>
      </w:r>
      <w:r w:rsidR="00CD2BEF">
        <w:t xml:space="preserve">in Australia </w:t>
      </w:r>
      <w:r w:rsidR="00443674">
        <w:t>primarily</w:t>
      </w:r>
      <w:r w:rsidR="00CD2BEF">
        <w:t xml:space="preserve"> </w:t>
      </w:r>
      <w:r w:rsidR="00841DF9">
        <w:t xml:space="preserve">in </w:t>
      </w:r>
      <w:r w:rsidR="00780FD9">
        <w:t xml:space="preserve">terms of </w:t>
      </w:r>
      <w:r w:rsidR="00D62688">
        <w:t>t</w:t>
      </w:r>
      <w:r w:rsidR="004B1CBF">
        <w:t>he</w:t>
      </w:r>
      <w:r w:rsidR="00D62688">
        <w:t xml:space="preserve"> </w:t>
      </w:r>
      <w:r w:rsidR="003A1FC5">
        <w:t xml:space="preserve">heightened risk of </w:t>
      </w:r>
      <w:r w:rsidR="00EF2E7E">
        <w:t xml:space="preserve">developing </w:t>
      </w:r>
      <w:r w:rsidR="001635F5">
        <w:t>CVD</w:t>
      </w:r>
      <w:r w:rsidR="00443674">
        <w:t xml:space="preserve"> or</w:t>
      </w:r>
      <w:r w:rsidR="001635F5">
        <w:t xml:space="preserve"> CKD</w:t>
      </w:r>
      <w:r w:rsidR="00F17FCF">
        <w:t xml:space="preserve"> </w:t>
      </w:r>
      <w:r w:rsidR="00BD301D">
        <w:t xml:space="preserve">and </w:t>
      </w:r>
      <w:r w:rsidR="00E476A7">
        <w:t>the</w:t>
      </w:r>
      <w:r w:rsidR="00443674">
        <w:t xml:space="preserve"> resultant</w:t>
      </w:r>
      <w:r w:rsidR="00E476A7">
        <w:t xml:space="preserve"> impact on</w:t>
      </w:r>
      <w:r w:rsidR="00841DF9">
        <w:t xml:space="preserve"> </w:t>
      </w:r>
      <w:r w:rsidR="0055081E">
        <w:t xml:space="preserve">healthcare expenditure </w:t>
      </w:r>
      <w:r w:rsidR="00E476A7">
        <w:t>and lost productivity</w:t>
      </w:r>
      <w:r w:rsidR="007D476B">
        <w:t>.</w:t>
      </w:r>
      <w:r w:rsidR="00A47C4D">
        <w:t xml:space="preserve"> </w:t>
      </w:r>
      <w:r w:rsidR="007D476B">
        <w:t>The ADAR</w:t>
      </w:r>
      <w:r w:rsidR="00A47C4D">
        <w:t xml:space="preserve"> note</w:t>
      </w:r>
      <w:r w:rsidR="007D476B">
        <w:t>d</w:t>
      </w:r>
      <w:r w:rsidR="00A47C4D">
        <w:t xml:space="preserve"> the </w:t>
      </w:r>
      <w:r w:rsidR="00855C2A">
        <w:t xml:space="preserve">greater prevalence of </w:t>
      </w:r>
      <w:r w:rsidR="00A25EB3">
        <w:t xml:space="preserve">HTN </w:t>
      </w:r>
      <w:r w:rsidR="00855C2A">
        <w:t>in</w:t>
      </w:r>
      <w:r w:rsidR="00A21B91">
        <w:t xml:space="preserve"> l</w:t>
      </w:r>
      <w:r w:rsidR="0051667B">
        <w:t xml:space="preserve">ower socioeconomic </w:t>
      </w:r>
      <w:r w:rsidR="007A75CB">
        <w:t xml:space="preserve">and remote </w:t>
      </w:r>
      <w:r w:rsidR="0051667B">
        <w:t xml:space="preserve">areas, </w:t>
      </w:r>
      <w:r w:rsidR="00987378">
        <w:t>and</w:t>
      </w:r>
      <w:r w:rsidR="00850C51">
        <w:t xml:space="preserve"> the disparity</w:t>
      </w:r>
      <w:r w:rsidR="00ED0772">
        <w:t xml:space="preserve"> experienced by</w:t>
      </w:r>
      <w:r w:rsidR="001F411A" w:rsidRPr="001F411A">
        <w:t xml:space="preserve"> </w:t>
      </w:r>
      <w:r w:rsidR="001F411A">
        <w:t xml:space="preserve">Indigenous Australians </w:t>
      </w:r>
      <w:r w:rsidR="0070335D">
        <w:t>who have</w:t>
      </w:r>
      <w:r w:rsidR="0051667B">
        <w:t xml:space="preserve"> </w:t>
      </w:r>
      <w:r w:rsidR="00D0584E">
        <w:t>higher</w:t>
      </w:r>
      <w:r w:rsidR="0044517B">
        <w:t xml:space="preserve"> </w:t>
      </w:r>
      <w:r w:rsidR="00D0584E">
        <w:t>rates of</w:t>
      </w:r>
      <w:r w:rsidR="00D25CDB">
        <w:t xml:space="preserve"> </w:t>
      </w:r>
      <w:r w:rsidR="00A25EB3">
        <w:t>HTN</w:t>
      </w:r>
      <w:r w:rsidR="005340BC">
        <w:t>,</w:t>
      </w:r>
      <w:r w:rsidR="00D25CDB">
        <w:t xml:space="preserve"> </w:t>
      </w:r>
      <w:r w:rsidR="00A27F95">
        <w:t>with</w:t>
      </w:r>
      <w:r w:rsidR="009D07A0">
        <w:t xml:space="preserve"> a</w:t>
      </w:r>
      <w:r w:rsidR="003F01C4">
        <w:t xml:space="preserve"> </w:t>
      </w:r>
      <w:r w:rsidR="000B5E97">
        <w:t>lower age</w:t>
      </w:r>
      <w:r w:rsidR="00A96FF5">
        <w:t xml:space="preserve"> o</w:t>
      </w:r>
      <w:r w:rsidR="009D07A0">
        <w:t>f</w:t>
      </w:r>
      <w:r w:rsidR="00A96FF5">
        <w:t xml:space="preserve"> onset</w:t>
      </w:r>
      <w:r w:rsidR="00A27F95">
        <w:t>,</w:t>
      </w:r>
      <w:r w:rsidR="0026036B">
        <w:t xml:space="preserve"> </w:t>
      </w:r>
      <w:r w:rsidR="00B454C4">
        <w:t>than non-Indigenous Australians</w:t>
      </w:r>
      <w:r w:rsidR="009D07A0">
        <w:t xml:space="preserve">. </w:t>
      </w:r>
      <w:r w:rsidR="00DE5AF7">
        <w:t xml:space="preserve">The </w:t>
      </w:r>
      <w:r w:rsidR="00F15282">
        <w:t xml:space="preserve">ADAR </w:t>
      </w:r>
      <w:r w:rsidR="00795B6C">
        <w:t>consider</w:t>
      </w:r>
      <w:r w:rsidR="00F37F5F">
        <w:t>ed</w:t>
      </w:r>
      <w:r w:rsidR="0042292E">
        <w:t xml:space="preserve"> the </w:t>
      </w:r>
      <w:r w:rsidR="00795B6C">
        <w:t>potential for</w:t>
      </w:r>
      <w:r w:rsidR="00DE5AF7">
        <w:t xml:space="preserve"> RDN</w:t>
      </w:r>
      <w:r w:rsidR="00F723B7">
        <w:t xml:space="preserve">, in conjunction with </w:t>
      </w:r>
      <w:r w:rsidR="005C63AA">
        <w:t>OMM</w:t>
      </w:r>
      <w:r w:rsidR="00F723B7">
        <w:t>,</w:t>
      </w:r>
      <w:r w:rsidR="00591159">
        <w:t xml:space="preserve"> to</w:t>
      </w:r>
      <w:r w:rsidR="00DE5AF7">
        <w:t xml:space="preserve"> </w:t>
      </w:r>
      <w:r w:rsidR="00FC7250">
        <w:t>address</w:t>
      </w:r>
      <w:r w:rsidR="00591159">
        <w:t xml:space="preserve"> this disparity</w:t>
      </w:r>
      <w:r w:rsidR="00E34622">
        <w:t>. O</w:t>
      </w:r>
      <w:r w:rsidR="001070DB">
        <w:t xml:space="preserve">ne </w:t>
      </w:r>
      <w:r w:rsidR="00654CC1">
        <w:t xml:space="preserve">unpublished </w:t>
      </w:r>
      <w:r w:rsidR="001070DB">
        <w:t>Medtronic</w:t>
      </w:r>
      <w:r w:rsidR="002355CC">
        <w:t xml:space="preserve"> study</w:t>
      </w:r>
      <w:r w:rsidR="00176D0E">
        <w:t xml:space="preserve"> </w:t>
      </w:r>
      <w:r w:rsidR="00475063">
        <w:t>interviewed 10 patients</w:t>
      </w:r>
      <w:r w:rsidR="009F7DD5">
        <w:t xml:space="preserve"> that were willing to try an interventional proce</w:t>
      </w:r>
      <w:r w:rsidR="00287DF8">
        <w:t>dure</w:t>
      </w:r>
      <w:r w:rsidR="002355CC">
        <w:t xml:space="preserve"> in the Australian setting</w:t>
      </w:r>
      <w:r w:rsidR="00475063">
        <w:t>, and</w:t>
      </w:r>
      <w:r w:rsidR="002355CC">
        <w:t xml:space="preserve"> found</w:t>
      </w:r>
      <w:r w:rsidR="00591159">
        <w:t xml:space="preserve"> </w:t>
      </w:r>
      <w:r w:rsidR="002355CC">
        <w:t>90</w:t>
      </w:r>
      <w:r w:rsidR="00591159">
        <w:t xml:space="preserve">% of </w:t>
      </w:r>
      <w:r w:rsidR="00F91E7C">
        <w:t xml:space="preserve">the </w:t>
      </w:r>
      <w:r w:rsidR="00337A77">
        <w:t xml:space="preserve">interviewed </w:t>
      </w:r>
      <w:r w:rsidR="00591159">
        <w:t xml:space="preserve">patients </w:t>
      </w:r>
      <w:r w:rsidR="00DB3CC1">
        <w:t xml:space="preserve">were extremely willing to </w:t>
      </w:r>
      <w:r w:rsidR="004A0FC7">
        <w:t>undergo RDN if recommended by their physician</w:t>
      </w:r>
      <w:r w:rsidR="004B4BCD">
        <w:t>. However,</w:t>
      </w:r>
      <w:r w:rsidR="00BC250A">
        <w:t xml:space="preserve"> </w:t>
      </w:r>
      <w:r w:rsidR="00942C86">
        <w:t xml:space="preserve">the scope of addressing such a prevalent issue </w:t>
      </w:r>
      <w:r w:rsidR="00074C49">
        <w:t xml:space="preserve">with RDN is </w:t>
      </w:r>
      <w:r w:rsidR="007E17AA">
        <w:t>c</w:t>
      </w:r>
      <w:r w:rsidR="00DD12BF">
        <w:t>onstrained</w:t>
      </w:r>
      <w:r w:rsidR="002370CC">
        <w:t xml:space="preserve"> by th</w:t>
      </w:r>
      <w:r w:rsidR="002317C7">
        <w:t>e</w:t>
      </w:r>
      <w:r w:rsidR="002370CC">
        <w:t xml:space="preserve"> </w:t>
      </w:r>
      <w:r w:rsidR="0044099A">
        <w:t xml:space="preserve">limited </w:t>
      </w:r>
      <w:r w:rsidR="002317C7">
        <w:t>cap</w:t>
      </w:r>
      <w:r w:rsidR="004C01E6">
        <w:t>acity</w:t>
      </w:r>
      <w:r w:rsidR="002317C7">
        <w:t xml:space="preserve"> o</w:t>
      </w:r>
      <w:r w:rsidR="004C01E6">
        <w:t xml:space="preserve">f </w:t>
      </w:r>
      <w:r w:rsidR="00FE09A1">
        <w:t>catheterisation laboratories</w:t>
      </w:r>
      <w:r w:rsidR="00C90A7C">
        <w:t xml:space="preserve"> </w:t>
      </w:r>
      <w:r w:rsidR="00C90A7C" w:rsidRPr="00C90A7C">
        <w:t>and potentially by the capacity/uptake of providers performing the procedure</w:t>
      </w:r>
      <w:r w:rsidR="009C6C02">
        <w:t xml:space="preserve">, </w:t>
      </w:r>
      <w:r w:rsidR="00D73C5E">
        <w:t xml:space="preserve">making it likely this intervention </w:t>
      </w:r>
      <w:r w:rsidR="0044099A">
        <w:t>would</w:t>
      </w:r>
      <w:r w:rsidR="0016301D">
        <w:t xml:space="preserve"> be </w:t>
      </w:r>
      <w:r w:rsidR="008F6C4E">
        <w:t>restricted to those at e</w:t>
      </w:r>
      <w:r w:rsidR="00B61E78">
        <w:t>xtremely high clinical need</w:t>
      </w:r>
      <w:r w:rsidR="006D7806">
        <w:t>.</w:t>
      </w:r>
    </w:p>
    <w:p w14:paraId="02F974B6" w14:textId="71A55321" w:rsidR="00A472AC" w:rsidRDefault="00A472AC" w:rsidP="00A472AC">
      <w:bookmarkStart w:id="55" w:name="_Toc69491428"/>
      <w:r>
        <w:t xml:space="preserve">The commentary noted that the high out-of-pocket costs (particularly if the RDN catheter is not listed on the PL) is likely to be a significant barrier for low socioeconomic and </w:t>
      </w:r>
      <w:r w:rsidR="00B952C6">
        <w:t>i</w:t>
      </w:r>
      <w:r>
        <w:t xml:space="preserve">ndigenous groups. </w:t>
      </w:r>
    </w:p>
    <w:p w14:paraId="45C94873" w14:textId="72618CAB" w:rsidR="00A472AC" w:rsidRDefault="00A472AC" w:rsidP="00A472AC">
      <w:r>
        <w:t>R</w:t>
      </w:r>
      <w:r w:rsidRPr="00730285">
        <w:t>emote residents will have to travel considerable distance</w:t>
      </w:r>
      <w:r w:rsidR="0074432A">
        <w:t>s</w:t>
      </w:r>
      <w:r w:rsidRPr="00730285">
        <w:t xml:space="preserve"> to access this hospital-based service.</w:t>
      </w:r>
    </w:p>
    <w:p w14:paraId="55ED4F60" w14:textId="77777777" w:rsidR="00A472AC" w:rsidRPr="00D9604C" w:rsidRDefault="00A472AC" w:rsidP="00A472AC">
      <w:r>
        <w:t>The commentary speculated that patients who undergo RDN may be less inclined to adhere to OMM, thereby accruing the cost of the RDN procedure but not the potential benefit of OMM and adjunctive RDN.</w:t>
      </w:r>
      <w:bookmarkEnd w:id="55"/>
    </w:p>
    <w:p w14:paraId="003F5BAD" w14:textId="77777777" w:rsidR="006E6BB4" w:rsidRDefault="006E6BB4" w:rsidP="006E6BB4">
      <w:pPr>
        <w:pStyle w:val="Heading2"/>
        <w:numPr>
          <w:ilvl w:val="0"/>
          <w:numId w:val="0"/>
        </w:numPr>
        <w:spacing w:after="0"/>
      </w:pPr>
      <w:r>
        <w:t>16.</w:t>
      </w:r>
      <w:r>
        <w:tab/>
        <w:t>Key issues from ESC to MSAC</w:t>
      </w:r>
    </w:p>
    <w:tbl>
      <w:tblPr>
        <w:tblStyle w:val="TableGrid"/>
        <w:tblpPr w:leftFromText="180" w:rightFromText="180" w:vertAnchor="text" w:horzAnchor="margin" w:tblpY="512"/>
        <w:tblW w:w="0" w:type="auto"/>
        <w:tblLook w:val="04A0" w:firstRow="1" w:lastRow="0" w:firstColumn="1" w:lastColumn="0" w:noHBand="0" w:noVBand="1"/>
      </w:tblPr>
      <w:tblGrid>
        <w:gridCol w:w="9016"/>
      </w:tblGrid>
      <w:tr w:rsidR="006E6BB4" w:rsidRPr="000C21C8" w14:paraId="1B355063" w14:textId="77777777">
        <w:tc>
          <w:tcPr>
            <w:tcW w:w="9016" w:type="dxa"/>
          </w:tcPr>
          <w:p w14:paraId="29C7B252" w14:textId="77777777" w:rsidR="006E6BB4" w:rsidRPr="006B4E4A" w:rsidRDefault="006E6BB4" w:rsidP="006E6BB4">
            <w:pPr>
              <w:keepNext/>
              <w:spacing w:before="0"/>
              <w:outlineLvl w:val="1"/>
              <w:rPr>
                <w:rFonts w:cs="Arial"/>
                <w:b/>
                <w:bCs/>
                <w:iCs/>
                <w:sz w:val="24"/>
                <w:szCs w:val="28"/>
                <w:lang w:eastAsia="en-AU"/>
              </w:rPr>
            </w:pPr>
            <w:r w:rsidRPr="006B4E4A">
              <w:rPr>
                <w:rFonts w:cs="Arial"/>
                <w:b/>
                <w:bCs/>
                <w:iCs/>
                <w:sz w:val="24"/>
                <w:szCs w:val="28"/>
                <w:lang w:eastAsia="en-AU"/>
              </w:rPr>
              <w:t xml:space="preserve">Main issues for MSAC consideration </w:t>
            </w:r>
          </w:p>
          <w:p w14:paraId="6D10C575" w14:textId="77777777" w:rsidR="006E6BB4" w:rsidRPr="006B4E4A" w:rsidRDefault="006E6BB4" w:rsidP="006E6BB4">
            <w:pPr>
              <w:keepNext/>
              <w:outlineLvl w:val="1"/>
              <w:rPr>
                <w:rFonts w:cs="Arial"/>
                <w:b/>
                <w:bCs/>
                <w:sz w:val="24"/>
                <w:szCs w:val="24"/>
                <w:lang w:eastAsia="en-AU"/>
              </w:rPr>
            </w:pPr>
            <w:r w:rsidRPr="4042795E">
              <w:rPr>
                <w:rFonts w:cs="Arial"/>
                <w:b/>
                <w:bCs/>
                <w:sz w:val="24"/>
                <w:szCs w:val="24"/>
                <w:lang w:eastAsia="en-AU"/>
              </w:rPr>
              <w:t>Clinical issues:</w:t>
            </w:r>
          </w:p>
          <w:p w14:paraId="37741942" w14:textId="77777777" w:rsidR="006E6BB4" w:rsidRPr="002A2130" w:rsidRDefault="006E6BB4" w:rsidP="006E6BB4">
            <w:pPr>
              <w:pStyle w:val="Instructionaltext-bullet"/>
              <w:rPr>
                <w:color w:val="auto"/>
              </w:rPr>
            </w:pPr>
            <w:r w:rsidRPr="2DA06066">
              <w:rPr>
                <w:color w:val="auto"/>
              </w:rPr>
              <w:t xml:space="preserve">Renal denervation (RDN) with radiofrequency (RF) ablation appears to have non-inferior safety compared to similar procedures, including renal angiography, which was used as the “sham” procedure in the control arms of the blinded RCTs. However, there </w:t>
            </w:r>
            <w:r>
              <w:rPr>
                <w:color w:val="auto"/>
              </w:rPr>
              <w:t>are</w:t>
            </w:r>
            <w:r w:rsidRPr="2DA06066">
              <w:rPr>
                <w:color w:val="auto"/>
              </w:rPr>
              <w:t xml:space="preserve"> no data available for patients with severe renal dysfunction and therefore MSAC may wish to consider excluding these patients from the intervention. </w:t>
            </w:r>
          </w:p>
          <w:p w14:paraId="7BF9C746" w14:textId="77777777" w:rsidR="006E6BB4" w:rsidRPr="002A2130" w:rsidRDefault="006E6BB4" w:rsidP="006E6BB4">
            <w:pPr>
              <w:pStyle w:val="Instructionaltext-bullet"/>
              <w:rPr>
                <w:color w:val="auto"/>
              </w:rPr>
            </w:pPr>
            <w:r w:rsidRPr="2DA06066">
              <w:rPr>
                <w:color w:val="auto"/>
              </w:rPr>
              <w:t xml:space="preserve">RDN appears to have superior effectiveness compared with both sham procedure or no RDN procedure. The between-group differences of -4.08 mmHg for 'change from baseline mean office systolic blood pressure (OSBP)’ and -1.92 mmHg for ‘change from baseline in mean 24-hour ambulatory systolic blood pressure (ASBP)’ were statistically significant. The treatment effect size of RDN in the clinical setting is likely to approach, but not exceed, the clinically relevant thresholds described by the </w:t>
            </w:r>
            <w:r w:rsidRPr="00AC0F4E">
              <w:rPr>
                <w:color w:val="auto"/>
              </w:rPr>
              <w:t>European Clinical Consensus Conference and the Hypertension Academic Research Consortium</w:t>
            </w:r>
            <w:r w:rsidRPr="2DA06066">
              <w:rPr>
                <w:color w:val="auto"/>
              </w:rPr>
              <w:t xml:space="preserve">. However, according to other published literature, including a meta-regression analysis of 55 randomised trials, positive cardiovascular health outcomes have been demonstrated from </w:t>
            </w:r>
            <w:r>
              <w:rPr>
                <w:color w:val="auto"/>
              </w:rPr>
              <w:t>systolic blood pressure (</w:t>
            </w:r>
            <w:r w:rsidRPr="2DA06066">
              <w:rPr>
                <w:color w:val="auto"/>
              </w:rPr>
              <w:t>SBP</w:t>
            </w:r>
            <w:r>
              <w:rPr>
                <w:color w:val="auto"/>
              </w:rPr>
              <w:t>)</w:t>
            </w:r>
            <w:r w:rsidRPr="2DA06066">
              <w:rPr>
                <w:color w:val="auto"/>
              </w:rPr>
              <w:t xml:space="preserve"> reduction</w:t>
            </w:r>
            <w:r>
              <w:rPr>
                <w:color w:val="auto"/>
              </w:rPr>
              <w:t>s</w:t>
            </w:r>
            <w:r w:rsidRPr="2DA06066">
              <w:rPr>
                <w:color w:val="auto"/>
              </w:rPr>
              <w:t xml:space="preserve"> of this magnitude. </w:t>
            </w:r>
          </w:p>
          <w:p w14:paraId="385EC184" w14:textId="77777777" w:rsidR="006E6BB4" w:rsidRPr="00677070" w:rsidRDefault="006E6BB4" w:rsidP="006E6BB4">
            <w:pPr>
              <w:pStyle w:val="Instructionaltext-bullet"/>
              <w:spacing w:line="259" w:lineRule="auto"/>
              <w:ind w:left="720" w:hanging="360"/>
              <w:rPr>
                <w:color w:val="auto"/>
              </w:rPr>
            </w:pPr>
            <w:r w:rsidRPr="2DA06066">
              <w:rPr>
                <w:color w:val="auto"/>
              </w:rPr>
              <w:t xml:space="preserve">The service should be limited to “once per lifetime” in the MBS item descriptor. The descriptor should also reference the use of a multidisciplinary team to assess patient suitability for the procedure and restrict use to the intended population. </w:t>
            </w:r>
          </w:p>
          <w:p w14:paraId="2632ACD0" w14:textId="77777777" w:rsidR="006E6BB4" w:rsidRPr="006B4E4A" w:rsidRDefault="006E6BB4" w:rsidP="006E6BB4">
            <w:pPr>
              <w:keepNext/>
              <w:outlineLvl w:val="1"/>
              <w:rPr>
                <w:rFonts w:cs="Arial"/>
                <w:b/>
                <w:bCs/>
                <w:iCs/>
                <w:sz w:val="24"/>
                <w:szCs w:val="28"/>
                <w:lang w:eastAsia="en-AU"/>
              </w:rPr>
            </w:pPr>
            <w:r w:rsidRPr="006B4E4A">
              <w:rPr>
                <w:rFonts w:cs="Arial"/>
                <w:b/>
                <w:bCs/>
                <w:iCs/>
                <w:sz w:val="24"/>
                <w:szCs w:val="28"/>
                <w:lang w:eastAsia="en-AU"/>
              </w:rPr>
              <w:t>Economic issues:</w:t>
            </w:r>
          </w:p>
          <w:p w14:paraId="011C6276" w14:textId="77777777" w:rsidR="006E6BB4" w:rsidRPr="004E4806" w:rsidRDefault="006E6BB4" w:rsidP="006E6BB4">
            <w:pPr>
              <w:pStyle w:val="Instructionaltext-bullet"/>
              <w:rPr>
                <w:color w:val="auto"/>
              </w:rPr>
            </w:pPr>
            <w:r w:rsidRPr="004E4806">
              <w:rPr>
                <w:color w:val="auto"/>
              </w:rPr>
              <w:t>The economic model is informed by a small, post-hoc subgroup of a single trial. MSAC may wish to consider the appropriateness of this approach, given there are other larger trials available with populations that appear to better fit the proposed population.</w:t>
            </w:r>
          </w:p>
          <w:p w14:paraId="38F9F381" w14:textId="77777777" w:rsidR="006E6BB4" w:rsidRPr="004E4806" w:rsidRDefault="006E6BB4" w:rsidP="006E6BB4">
            <w:pPr>
              <w:pStyle w:val="Instructionaltext-bullet"/>
              <w:rPr>
                <w:color w:val="auto"/>
              </w:rPr>
            </w:pPr>
            <w:r w:rsidRPr="2DA06066">
              <w:rPr>
                <w:color w:val="auto"/>
              </w:rPr>
              <w:t xml:space="preserve">Although registry and open label data are encouraging, the long-term results cannot be attributed to the effectiveness of RDN with any certainty given the evolving nature of anti-hypertensive treatment for these patients. The ICER varies considerably depending on the time horizon used. </w:t>
            </w:r>
          </w:p>
          <w:p w14:paraId="67FF5CE6" w14:textId="580B9591" w:rsidR="006E6BB4" w:rsidRDefault="006E6BB4" w:rsidP="006E6BB4">
            <w:pPr>
              <w:pStyle w:val="Instructionaltext-bullet"/>
              <w:spacing w:line="259" w:lineRule="auto"/>
              <w:rPr>
                <w:color w:val="auto"/>
              </w:rPr>
            </w:pPr>
            <w:r w:rsidRPr="2DA06066">
              <w:rPr>
                <w:color w:val="auto"/>
              </w:rPr>
              <w:t xml:space="preserve">The choice of relative </w:t>
            </w:r>
            <w:r w:rsidRPr="002A5073">
              <w:rPr>
                <w:color w:val="auto"/>
              </w:rPr>
              <w:t xml:space="preserve">risks (for </w:t>
            </w:r>
            <w:r w:rsidRPr="00AD7310">
              <w:rPr>
                <w:color w:val="auto"/>
              </w:rPr>
              <w:t>avoiding chronic heart disease, stroke and heart failure events</w:t>
            </w:r>
            <w:r>
              <w:rPr>
                <w:color w:val="auto"/>
              </w:rPr>
              <w:t>)</w:t>
            </w:r>
            <w:r w:rsidRPr="2DA06066">
              <w:rPr>
                <w:color w:val="auto"/>
              </w:rPr>
              <w:t xml:space="preserve"> from the literature used in the model highly impacts the ICER. MSAC may wish to consider the importance of this uncertainty.</w:t>
            </w:r>
          </w:p>
          <w:p w14:paraId="09E4BE46" w14:textId="77777777" w:rsidR="006E6BB4" w:rsidRPr="006B4E4A" w:rsidRDefault="006E6BB4" w:rsidP="006E6BB4">
            <w:pPr>
              <w:keepNext/>
              <w:outlineLvl w:val="1"/>
              <w:rPr>
                <w:rFonts w:cs="Arial"/>
                <w:b/>
                <w:bCs/>
                <w:iCs/>
                <w:sz w:val="24"/>
                <w:szCs w:val="28"/>
                <w:lang w:eastAsia="en-AU"/>
              </w:rPr>
            </w:pPr>
            <w:r w:rsidRPr="006B4E4A">
              <w:rPr>
                <w:rFonts w:cs="Arial"/>
                <w:b/>
                <w:bCs/>
                <w:iCs/>
                <w:sz w:val="24"/>
                <w:szCs w:val="28"/>
                <w:lang w:eastAsia="en-AU"/>
              </w:rPr>
              <w:t>Financial issues:</w:t>
            </w:r>
          </w:p>
          <w:p w14:paraId="4D8C5212" w14:textId="4F3DD3C3" w:rsidR="006E6BB4" w:rsidRPr="006E6BB4" w:rsidRDefault="006E6BB4" w:rsidP="006E6BB4">
            <w:pPr>
              <w:pStyle w:val="Instructionaltext-bullet"/>
              <w:spacing w:line="259" w:lineRule="auto"/>
              <w:rPr>
                <w:color w:val="auto"/>
              </w:rPr>
            </w:pPr>
            <w:r w:rsidRPr="0014017F">
              <w:rPr>
                <w:color w:val="auto"/>
              </w:rPr>
              <w:t xml:space="preserve">The pool of potential recipients is large, and the budget analysis assumes that service provision will be restricted by capacity constraints. However, these assumptions are highly uncertain. MSAC </w:t>
            </w:r>
            <w:r>
              <w:rPr>
                <w:color w:val="auto"/>
              </w:rPr>
              <w:t>may wish to</w:t>
            </w:r>
            <w:r w:rsidRPr="0014017F">
              <w:rPr>
                <w:color w:val="auto"/>
              </w:rPr>
              <w:t xml:space="preserve"> consider the reasonableness of these assumptions in light of the applicant’s offer to explore a risk-sharing arrangement. </w:t>
            </w:r>
          </w:p>
        </w:tc>
      </w:tr>
    </w:tbl>
    <w:p w14:paraId="5EF4DD82" w14:textId="77777777" w:rsidR="006E6BB4" w:rsidRPr="006B4E4A" w:rsidRDefault="006E6BB4" w:rsidP="006E6BB4">
      <w:pPr>
        <w:keepNext/>
        <w:spacing w:before="240"/>
        <w:outlineLvl w:val="1"/>
        <w:rPr>
          <w:rFonts w:cs="Arial"/>
          <w:b/>
          <w:bCs/>
          <w:iCs/>
          <w:sz w:val="24"/>
          <w:szCs w:val="28"/>
          <w:lang w:eastAsia="en-AU"/>
        </w:rPr>
      </w:pPr>
      <w:r w:rsidRPr="006B4E4A">
        <w:rPr>
          <w:rFonts w:cs="Arial"/>
          <w:b/>
          <w:bCs/>
          <w:iCs/>
          <w:sz w:val="24"/>
          <w:szCs w:val="28"/>
          <w:lang w:eastAsia="en-AU"/>
        </w:rPr>
        <w:t>ESC discussion</w:t>
      </w:r>
    </w:p>
    <w:p w14:paraId="72E2B584" w14:textId="77777777" w:rsidR="006E6BB4" w:rsidRPr="009E596F" w:rsidRDefault="006E6BB4" w:rsidP="006E6BB4">
      <w:r>
        <w:t xml:space="preserve">ESC noted that this application from Medtronic Australasia Pty Ltd requested Medicare Benefits Schedule (MBS) listing of renal denervation (RDN) with a radiofrequency (RF) ablation catheter for the treatment of patients with specialist-confirmed treatment-resistant hypertension (TRHTN). ESC considered that specialist confirmed TRHTN is distinct from uncontrolled hypertension (HTN). </w:t>
      </w:r>
    </w:p>
    <w:p w14:paraId="7E5A7B5D" w14:textId="2E0F5EFC" w:rsidR="006E6BB4" w:rsidRDefault="006E6BB4" w:rsidP="006E6BB4">
      <w:r w:rsidRPr="00972AE3">
        <w:t xml:space="preserve">ESC noted that the applicant had previously </w:t>
      </w:r>
      <w:bookmarkStart w:id="56" w:name="_Int_ubVBamI3"/>
      <w:r w:rsidRPr="00972AE3">
        <w:t>submitted an application</w:t>
      </w:r>
      <w:bookmarkEnd w:id="56"/>
      <w:r w:rsidRPr="00972AE3">
        <w:t xml:space="preserve"> seeking </w:t>
      </w:r>
      <w:r w:rsidRPr="00972AE3">
        <w:fldChar w:fldCharType="begin"/>
      </w:r>
      <w:r w:rsidR="00634656">
        <w:rPr>
          <w:strike/>
        </w:rPr>
        <w:fldChar w:fldCharType="separate"/>
      </w:r>
      <w:r w:rsidRPr="00972AE3">
        <w:rPr>
          <w:rStyle w:val="Hyperlink"/>
        </w:rPr>
        <w:fldChar w:fldCharType="end"/>
      </w:r>
      <w:r w:rsidRPr="00972AE3">
        <w:t>MBS listing of RDN for TRHTN (</w:t>
      </w:r>
      <w:hyperlink r:id="rId14">
        <w:r w:rsidRPr="00972AE3">
          <w:rPr>
            <w:rStyle w:val="Hyperlink"/>
          </w:rPr>
          <w:t>MSAC application 1338</w:t>
        </w:r>
      </w:hyperlink>
      <w:r w:rsidRPr="00972AE3">
        <w:rPr>
          <w:u w:val="single"/>
        </w:rPr>
        <w:t>)</w:t>
      </w:r>
      <w:r w:rsidRPr="00972AE3">
        <w:t xml:space="preserve">. ESC noted the previous application was withdrawn before being considered by MSAC because, shortly after submitting MSAC application 1338, results from </w:t>
      </w:r>
      <w:r w:rsidRPr="00972AE3">
        <w:rPr>
          <w:rFonts w:eastAsia="Franklin Gothic Book" w:cs="Franklin Gothic Book"/>
        </w:rPr>
        <w:t>a single-blind, randomised, sham-controlled clinical trial</w:t>
      </w:r>
      <w:r w:rsidRPr="00972AE3">
        <w:t xml:space="preserve"> (SYMPLICITY HTN-3) became available, which failed to confirm a significant beneficial effect of RDN on blood pressure (BP) compared with the sham procedure. </w:t>
      </w:r>
      <w:bookmarkStart w:id="57" w:name="_Int_zCNDap1e"/>
      <w:r w:rsidRPr="00972AE3">
        <w:rPr>
          <w:rFonts w:eastAsia="Franklin Gothic Book" w:cs="Franklin Gothic Book"/>
          <w:color w:val="000000" w:themeColor="text1"/>
        </w:rPr>
        <w:t>As a consequence of</w:t>
      </w:r>
      <w:bookmarkEnd w:id="57"/>
      <w:r w:rsidRPr="00972AE3">
        <w:rPr>
          <w:rFonts w:eastAsia="Franklin Gothic Book" w:cs="Franklin Gothic Book"/>
          <w:color w:val="000000" w:themeColor="text1"/>
        </w:rPr>
        <w:t xml:space="preserve"> the outcome of the SYMPLICITY HTN-3 trial, many programs for the development of various RDN devices were halted or suspended and </w:t>
      </w:r>
      <w:r w:rsidRPr="00972AE3">
        <w:t>MSAC application 1338 was withdrawn.</w:t>
      </w:r>
      <w:r>
        <w:t xml:space="preserve"> ESC noted that since then more data has become available: long-term data from SYMPLICITY HTN-3 and other trials, data from the Global SYMPLICITY Registry (GSR) and recent randomised sham-controlled trials of RDN involving the next-generation SYMPLICITY Spyral RDN system.</w:t>
      </w:r>
    </w:p>
    <w:p w14:paraId="703BAD12" w14:textId="77777777" w:rsidR="006E6BB4" w:rsidRDefault="006E6BB4" w:rsidP="006E6BB4">
      <w:r>
        <w:t>ESC noted the consumer feedback from Hearts4heart, which supported the application. The feedback suggested that RDN was a viable option for patients resistant to anti-hypertensive medication, who have exhausted all other alternatives and emphasised that this procedure would increase the quality of life for these individuals.</w:t>
      </w:r>
    </w:p>
    <w:p w14:paraId="3C6B8958" w14:textId="0670D0B9" w:rsidR="006E6BB4" w:rsidRPr="007D04EF" w:rsidRDefault="006E6BB4" w:rsidP="006E6BB4">
      <w:r w:rsidRPr="000B4F4D">
        <w:t xml:space="preserve">ESC noted that the applicant developed assessment report (ADAR) stated that the RDN catheter costs </w:t>
      </w:r>
      <w:r w:rsidRPr="00C97058">
        <w:t>$</w:t>
      </w:r>
      <w:r w:rsidR="000B4F4D" w:rsidRPr="00E80189">
        <w:rPr>
          <w:b/>
          <w:bCs/>
        </w:rPr>
        <w:t>redacted</w:t>
      </w:r>
      <w:r w:rsidRPr="000B4F4D">
        <w:t xml:space="preserve"> and is currently not listed on the Prescribed List of Medical Devices and Human Tissue Products (PL). ESC noted that if the cost of the RDN catheter is not covered by private health insurance (because the device is not on the PL), this</w:t>
      </w:r>
      <w:r w:rsidRPr="000B4F4D" w:rsidDel="0078540F">
        <w:t xml:space="preserve"> </w:t>
      </w:r>
      <w:r w:rsidRPr="000B4F4D">
        <w:t>could result in significant and likely prohibitive out-of-pocket costs for patients.</w:t>
      </w:r>
      <w:r w:rsidDel="00594716">
        <w:t xml:space="preserve"> </w:t>
      </w:r>
      <w:r>
        <w:t>ESC also noted that access to the service may be an issue for patients in rural or remote areas.</w:t>
      </w:r>
    </w:p>
    <w:p w14:paraId="0480CDEA" w14:textId="77777777" w:rsidR="006E6BB4" w:rsidRDefault="006E6BB4" w:rsidP="006E6BB4">
      <w:pPr>
        <w:pStyle w:val="NormalBeforeBullet0"/>
      </w:pPr>
      <w:r>
        <w:t>ESC noted the proposed MBS item descriptor and considered that:</w:t>
      </w:r>
    </w:p>
    <w:p w14:paraId="5C682E6C" w14:textId="77777777" w:rsidR="006E6BB4" w:rsidRDefault="006E6BB4" w:rsidP="006E6BB4">
      <w:pPr>
        <w:pStyle w:val="Bullet"/>
        <w:numPr>
          <w:ilvl w:val="0"/>
          <w:numId w:val="98"/>
        </w:numPr>
        <w:spacing w:before="0"/>
      </w:pPr>
      <w:r>
        <w:t>“Applicable only once per lifetime” was appropriate for this procedure to ensure that denervation of both kidneys is performed at the same time</w:t>
      </w:r>
    </w:p>
    <w:p w14:paraId="23C9C9B7" w14:textId="77777777" w:rsidR="006E6BB4" w:rsidRDefault="006E6BB4" w:rsidP="006E6BB4">
      <w:pPr>
        <w:pStyle w:val="Bullet"/>
        <w:numPr>
          <w:ilvl w:val="0"/>
          <w:numId w:val="98"/>
        </w:numPr>
        <w:spacing w:before="0"/>
      </w:pPr>
      <w:r>
        <w:t>the renal angiogram should be included in the service (</w:t>
      </w:r>
      <w:bookmarkStart w:id="58" w:name="_Int_2VWF4PcI"/>
      <w:r>
        <w:t>i.e.</w:t>
      </w:r>
      <w:bookmarkEnd w:id="58"/>
      <w:r>
        <w:t xml:space="preserve"> not billed separately)</w:t>
      </w:r>
    </w:p>
    <w:p w14:paraId="0F4C3B37" w14:textId="77777777" w:rsidR="006E6BB4" w:rsidRDefault="006E6BB4" w:rsidP="006E6BB4">
      <w:pPr>
        <w:pStyle w:val="Bullet"/>
        <w:numPr>
          <w:ilvl w:val="0"/>
          <w:numId w:val="98"/>
        </w:numPr>
        <w:spacing w:before="0"/>
      </w:pPr>
      <w:bookmarkStart w:id="59" w:name="_Int_5yGt4MBj"/>
      <w:r>
        <w:rPr>
          <w:lang w:val="en-US"/>
        </w:rPr>
        <w:t>a multidisciplinary</w:t>
      </w:r>
      <w:bookmarkEnd w:id="59"/>
      <w:r>
        <w:rPr>
          <w:lang w:val="en-US"/>
        </w:rPr>
        <w:t xml:space="preserve"> team should be a part of the patient suitability assessment process, </w:t>
      </w:r>
      <w:bookmarkStart w:id="60" w:name="_Int_m3sQXl49"/>
      <w:r>
        <w:rPr>
          <w:lang w:val="en-US"/>
        </w:rPr>
        <w:t>and that</w:t>
      </w:r>
      <w:bookmarkEnd w:id="60"/>
      <w:r>
        <w:rPr>
          <w:lang w:val="en-US"/>
        </w:rPr>
        <w:t xml:space="preserve"> this should be specified in the MBS item descriptor </w:t>
      </w:r>
      <w:r w:rsidRPr="00EE44D8">
        <w:t>to restrict use of the proposed service to the intended population</w:t>
      </w:r>
      <w:r>
        <w:t>. This is consistent with</w:t>
      </w:r>
      <w:r w:rsidRPr="00EE44D8">
        <w:t xml:space="preserve"> the advice in recent guidance released by the National Institute for Health and Care Excellence (NICE 2023), and the European Society of Cardiology Council on Hypertension and the European Association of Percutaneous Cardiovascular Interventions (ESC/EAPCI, Barbato 2023)</w:t>
      </w:r>
    </w:p>
    <w:p w14:paraId="7A885643" w14:textId="77777777" w:rsidR="006E6BB4" w:rsidRDefault="006E6BB4" w:rsidP="006E6BB4">
      <w:pPr>
        <w:pStyle w:val="BulletLast"/>
        <w:numPr>
          <w:ilvl w:val="0"/>
          <w:numId w:val="98"/>
        </w:numPr>
        <w:rPr>
          <w:lang w:val="en-US"/>
        </w:rPr>
      </w:pPr>
      <w:r>
        <w:t xml:space="preserve">it should include wording to indicate that the procedure is </w:t>
      </w:r>
      <w:r w:rsidRPr="00F0358C">
        <w:rPr>
          <w:lang w:val="en-US"/>
        </w:rPr>
        <w:t>an in-hospital service</w:t>
      </w:r>
      <w:r>
        <w:rPr>
          <w:lang w:val="en-US"/>
        </w:rPr>
        <w:t xml:space="preserve"> </w:t>
      </w:r>
      <w:r w:rsidRPr="7C62DD71">
        <w:rPr>
          <w:lang w:val="en-US"/>
        </w:rPr>
        <w:t>with</w:t>
      </w:r>
      <w:r>
        <w:rPr>
          <w:lang w:val="en-US"/>
        </w:rPr>
        <w:t xml:space="preserve"> an “</w:t>
      </w:r>
      <w:r w:rsidRPr="00F0358C">
        <w:rPr>
          <w:lang w:val="en-US"/>
        </w:rPr>
        <w:t>assistance component</w:t>
      </w:r>
      <w:r>
        <w:rPr>
          <w:lang w:val="en-US"/>
        </w:rPr>
        <w:t>”.</w:t>
      </w:r>
    </w:p>
    <w:p w14:paraId="5B624BC3" w14:textId="77777777" w:rsidR="006E6BB4" w:rsidRPr="009C5935" w:rsidRDefault="006E6BB4" w:rsidP="006E6BB4">
      <w:r>
        <w:t>ESC noted that the p</w:t>
      </w:r>
      <w:r w:rsidRPr="009C5935">
        <w:t xml:space="preserve">roposed MBS </w:t>
      </w:r>
      <w:r>
        <w:t>i</w:t>
      </w:r>
      <w:r w:rsidRPr="009C5935">
        <w:t xml:space="preserve">tem fee </w:t>
      </w:r>
      <w:r>
        <w:t xml:space="preserve">was </w:t>
      </w:r>
      <w:r w:rsidRPr="009C5935">
        <w:t>$2,218.50</w:t>
      </w:r>
      <w:r>
        <w:t xml:space="preserve">, which was </w:t>
      </w:r>
      <w:r w:rsidRPr="009C5935">
        <w:t>equivalent to</w:t>
      </w:r>
      <w:r>
        <w:t xml:space="preserve"> the fee for atrial chamber </w:t>
      </w:r>
      <w:r w:rsidRPr="009C5935">
        <w:t xml:space="preserve">ablation </w:t>
      </w:r>
      <w:r>
        <w:t xml:space="preserve">(MBS item 38287). ESC noted the </w:t>
      </w:r>
      <w:r w:rsidRPr="009C5935">
        <w:t>Department</w:t>
      </w:r>
      <w:r>
        <w:t>’s</w:t>
      </w:r>
      <w:r w:rsidRPr="009C5935">
        <w:t xml:space="preserve"> suggest</w:t>
      </w:r>
      <w:r>
        <w:t>ion that</w:t>
      </w:r>
      <w:r w:rsidRPr="009C5935">
        <w:t xml:space="preserve"> this comparison is inappropriate and </w:t>
      </w:r>
      <w:r>
        <w:t xml:space="preserve">that </w:t>
      </w:r>
      <w:r w:rsidRPr="009C5935">
        <w:t xml:space="preserve">comparison with bilateral renal endarterectomy </w:t>
      </w:r>
      <w:r>
        <w:t xml:space="preserve">(MBS item 33527) is </w:t>
      </w:r>
      <w:r w:rsidRPr="009C5935">
        <w:t>more suitable (</w:t>
      </w:r>
      <w:r>
        <w:t xml:space="preserve">fee of </w:t>
      </w:r>
      <w:r w:rsidRPr="009C5935">
        <w:t>$2,067.05)</w:t>
      </w:r>
      <w:r>
        <w:t>. ESC noted that this fee difference did not have a large impact on the economic or financial analysis.</w:t>
      </w:r>
    </w:p>
    <w:p w14:paraId="650168C1" w14:textId="77777777" w:rsidR="006E6BB4" w:rsidRDefault="006E6BB4" w:rsidP="006E6BB4">
      <w:r w:rsidRPr="74C46169">
        <w:rPr>
          <w:lang w:val="en-US"/>
        </w:rPr>
        <w:t>ESC noted the clinical management algorithm.</w:t>
      </w:r>
      <w:r>
        <w:rPr>
          <w:lang w:val="en-US"/>
        </w:rPr>
        <w:t xml:space="preserve"> T</w:t>
      </w:r>
      <w:r>
        <w:t xml:space="preserve">he RDN procedure is preceded by an aortogram and selective renal angiogram to determine patient suitability; about 5% of patients are not suitable due to </w:t>
      </w:r>
      <w:r w:rsidRPr="00B76893">
        <w:t>anatomical contraindications</w:t>
      </w:r>
      <w:r>
        <w:t>.</w:t>
      </w:r>
      <w:r w:rsidRPr="00B76893">
        <w:t xml:space="preserve"> For </w:t>
      </w:r>
      <w:r>
        <w:t>the remaining 95%</w:t>
      </w:r>
      <w:r w:rsidRPr="00B76893">
        <w:t xml:space="preserve"> that do progress to RDN, </w:t>
      </w:r>
      <w:r>
        <w:t>between</w:t>
      </w:r>
      <w:r w:rsidRPr="00B76893">
        <w:t xml:space="preserve"> 16–107 (average of 47) </w:t>
      </w:r>
      <w:r>
        <w:t>ablations</w:t>
      </w:r>
      <w:r w:rsidRPr="00B76893">
        <w:t xml:space="preserve"> are required to </w:t>
      </w:r>
      <w:r>
        <w:t>denervate</w:t>
      </w:r>
      <w:r w:rsidRPr="00B76893">
        <w:t xml:space="preserve"> both kidneys </w:t>
      </w:r>
      <w:r>
        <w:t>(derived from</w:t>
      </w:r>
      <w:r w:rsidRPr="00B76893">
        <w:t xml:space="preserve"> the SYMPLICITY Spyral </w:t>
      </w:r>
      <w:r>
        <w:t xml:space="preserve">trials). The total procedure requires approximately 1.5-2 hours to complete. ESC noted that it is not possible to check </w:t>
      </w:r>
      <w:r w:rsidRPr="7C9AA7E9">
        <w:rPr>
          <w:lang w:val="en-US"/>
        </w:rPr>
        <w:t xml:space="preserve">whether </w:t>
      </w:r>
      <w:r>
        <w:t xml:space="preserve">the kidneys have been successfully denervated during the procedure itself. </w:t>
      </w:r>
    </w:p>
    <w:p w14:paraId="021CAA0E" w14:textId="77777777" w:rsidR="006E6BB4" w:rsidRDefault="006E6BB4" w:rsidP="006E6BB4">
      <w:pPr>
        <w:pStyle w:val="NormalBeforeBullet0"/>
      </w:pPr>
      <w:r>
        <w:t>ESC noted that t</w:t>
      </w:r>
      <w:r w:rsidRPr="009900D8">
        <w:t>he clinical evidence presented in th</w:t>
      </w:r>
      <w:r>
        <w:t>e</w:t>
      </w:r>
      <w:r w:rsidRPr="009900D8">
        <w:t xml:space="preserve"> ADAR comprise</w:t>
      </w:r>
      <w:r>
        <w:t>d</w:t>
      </w:r>
      <w:r w:rsidRPr="009900D8">
        <w:t xml:space="preserve"> data from eight</w:t>
      </w:r>
      <w:r>
        <w:t> randomised controlled trials (</w:t>
      </w:r>
      <w:r w:rsidRPr="009900D8">
        <w:t>RCTs</w:t>
      </w:r>
      <w:r>
        <w:t>):</w:t>
      </w:r>
    </w:p>
    <w:p w14:paraId="20B48AD1" w14:textId="77777777" w:rsidR="006E6BB4" w:rsidRDefault="006E6BB4" w:rsidP="006E6BB4">
      <w:pPr>
        <w:pStyle w:val="Bullet"/>
        <w:numPr>
          <w:ilvl w:val="0"/>
          <w:numId w:val="98"/>
        </w:numPr>
        <w:spacing w:before="0"/>
      </w:pPr>
      <w:r w:rsidRPr="009900D8">
        <w:t>four</w:t>
      </w:r>
      <w:r>
        <w:t> </w:t>
      </w:r>
      <w:r w:rsidRPr="009900D8">
        <w:t>sham</w:t>
      </w:r>
      <w:r>
        <w:t>-</w:t>
      </w:r>
      <w:r w:rsidRPr="009900D8">
        <w:t xml:space="preserve">controlled studies: </w:t>
      </w:r>
      <w:r w:rsidRPr="6C396612">
        <w:rPr>
          <w:rFonts w:eastAsia="Franklin Gothic Book" w:cs="Franklin Gothic Book"/>
        </w:rPr>
        <w:t>SPYRAL</w:t>
      </w:r>
      <w:r w:rsidRPr="6C396612">
        <w:t xml:space="preserve"> </w:t>
      </w:r>
      <w:r w:rsidRPr="009900D8">
        <w:t xml:space="preserve">HTN-OFF MED, </w:t>
      </w:r>
      <w:r w:rsidRPr="7A038CB1">
        <w:rPr>
          <w:rFonts w:eastAsia="Franklin Gothic Book" w:cs="Franklin Gothic Book"/>
        </w:rPr>
        <w:t>SPYRAL</w:t>
      </w:r>
      <w:r w:rsidRPr="7A038CB1">
        <w:t xml:space="preserve"> </w:t>
      </w:r>
      <w:r w:rsidRPr="009900D8">
        <w:t xml:space="preserve">HTN-ON MED, </w:t>
      </w:r>
      <w:r>
        <w:t>SYMPLICITY HTN</w:t>
      </w:r>
      <w:r w:rsidRPr="009900D8">
        <w:t>-3, ReSET</w:t>
      </w:r>
    </w:p>
    <w:p w14:paraId="493E4274" w14:textId="77777777" w:rsidR="006E6BB4" w:rsidRDefault="006E6BB4" w:rsidP="006E6BB4">
      <w:pPr>
        <w:pStyle w:val="BulletLast"/>
        <w:numPr>
          <w:ilvl w:val="0"/>
          <w:numId w:val="98"/>
        </w:numPr>
      </w:pPr>
      <w:r w:rsidRPr="009900D8">
        <w:t>four</w:t>
      </w:r>
      <w:r>
        <w:t> </w:t>
      </w:r>
      <w:r w:rsidRPr="009900D8">
        <w:t>open</w:t>
      </w:r>
      <w:r>
        <w:t>-</w:t>
      </w:r>
      <w:r w:rsidRPr="009900D8">
        <w:t xml:space="preserve">label studies: </w:t>
      </w:r>
      <w:r w:rsidRPr="7C62DD71">
        <w:rPr>
          <w:rFonts w:eastAsia="Franklin Gothic Book" w:cs="Franklin Gothic Book"/>
        </w:rPr>
        <w:t>SYMPLICITY</w:t>
      </w:r>
      <w:r w:rsidRPr="4D7EB3E4">
        <w:t xml:space="preserve"> </w:t>
      </w:r>
      <w:r w:rsidRPr="009900D8">
        <w:t xml:space="preserve">HTN-2, </w:t>
      </w:r>
      <w:r w:rsidRPr="7C62DD71">
        <w:rPr>
          <w:rFonts w:eastAsia="Franklin Gothic Book" w:cs="Franklin Gothic Book"/>
        </w:rPr>
        <w:t>SYMPLICITY</w:t>
      </w:r>
      <w:r w:rsidRPr="58FC44E5">
        <w:t xml:space="preserve"> </w:t>
      </w:r>
      <w:r w:rsidRPr="009900D8">
        <w:t>HTN-Japan, RDN OSA and DENER-HTN</w:t>
      </w:r>
      <w:r>
        <w:t xml:space="preserve">. </w:t>
      </w:r>
    </w:p>
    <w:p w14:paraId="74883467" w14:textId="77777777" w:rsidR="006E6BB4" w:rsidRDefault="006E6BB4" w:rsidP="006E6BB4">
      <w:r>
        <w:t xml:space="preserve">ESC agreed with the commentary that the SYMPLICITY HTN-3, ReSET and SPYRAL HTN-ON MED sham-controlled trials, excluding </w:t>
      </w:r>
      <w:r w:rsidRPr="499CD9AA">
        <w:rPr>
          <w:rFonts w:eastAsia="Franklin Gothic Book" w:cs="Franklin Gothic Book"/>
        </w:rPr>
        <w:t xml:space="preserve">SPYRAL </w:t>
      </w:r>
      <w:r>
        <w:t xml:space="preserve">HTN-OFF MED, are the key evidence base for RDN. Results of </w:t>
      </w:r>
      <w:r w:rsidRPr="499CD9AA">
        <w:rPr>
          <w:rFonts w:eastAsia="Franklin Gothic Book" w:cs="Franklin Gothic Book"/>
        </w:rPr>
        <w:t xml:space="preserve">SPYRAL </w:t>
      </w:r>
      <w:r>
        <w:t xml:space="preserve">HTN-OFF MED were considered supplementary evidence due to lack of alignment with the PICO and proposed MBS population. </w:t>
      </w:r>
    </w:p>
    <w:p w14:paraId="284F5293" w14:textId="77777777" w:rsidR="006E6BB4" w:rsidRPr="00F048DC" w:rsidRDefault="006E6BB4" w:rsidP="006E6BB4">
      <w:r>
        <w:t xml:space="preserve">ESC noted that all RCTs presented in the ADAR had a 3 - </w:t>
      </w:r>
      <w:bookmarkStart w:id="61" w:name="_Int_FtSgvYWt"/>
      <w:r>
        <w:t>6 month</w:t>
      </w:r>
      <w:bookmarkEnd w:id="61"/>
      <w:r>
        <w:t xml:space="preserve"> follow-up window. Longer term data beyond the randomised trial period was available, with up to 36 months of follow-up for four of these studies (pilot cohort of </w:t>
      </w:r>
      <w:r w:rsidRPr="30B037EE">
        <w:rPr>
          <w:rFonts w:eastAsia="Franklin Gothic Book" w:cs="Franklin Gothic Book"/>
        </w:rPr>
        <w:t xml:space="preserve">SPYRAL </w:t>
      </w:r>
      <w:r>
        <w:t xml:space="preserve">HTN-ON MED, </w:t>
      </w:r>
      <w:r w:rsidRPr="30B037EE">
        <w:rPr>
          <w:rFonts w:eastAsia="Franklin Gothic Book" w:cs="Franklin Gothic Book"/>
        </w:rPr>
        <w:t xml:space="preserve">SYMPLICITY </w:t>
      </w:r>
      <w:r>
        <w:t xml:space="preserve">HTN-3, </w:t>
      </w:r>
      <w:r w:rsidRPr="30B037EE">
        <w:rPr>
          <w:rFonts w:eastAsia="Franklin Gothic Book" w:cs="Franklin Gothic Book"/>
        </w:rPr>
        <w:t xml:space="preserve">SYMPLICITY </w:t>
      </w:r>
      <w:r>
        <w:t xml:space="preserve">HTN-2 and </w:t>
      </w:r>
      <w:r w:rsidRPr="30B037EE">
        <w:rPr>
          <w:rFonts w:eastAsia="Franklin Gothic Book" w:cs="Franklin Gothic Book"/>
        </w:rPr>
        <w:t xml:space="preserve">SYMPLICITY </w:t>
      </w:r>
      <w:r>
        <w:t>HTN-Japan). In addition, up to 10 years of long-term follow-up data was provided by the GSR, and other observational cohort studies. ESC, however, raised concerns regarding the reliability of the long-term data due to potential sampling bias caused by loss to follow up and limitations associated with extended follow-up in single arm studies, particularly in HTN intervention studies where outcomes are influenced by patient behaviour and medication changes.</w:t>
      </w:r>
    </w:p>
    <w:p w14:paraId="061F8E53" w14:textId="77777777" w:rsidR="006E6BB4" w:rsidRDefault="006E6BB4" w:rsidP="006E6BB4">
      <w:pPr>
        <w:keepNext/>
      </w:pPr>
      <w:r>
        <w:t xml:space="preserve">Regarding comparative safety, ESC noted that the rates of major adverse events (MAE) were similar for the RDN procedure versus the sham control at </w:t>
      </w:r>
      <w:bookmarkStart w:id="62" w:name="_Int_KBdRqlmS"/>
      <w:r>
        <w:t>one month</w:t>
      </w:r>
      <w:bookmarkEnd w:id="62"/>
      <w:r>
        <w:t xml:space="preserve"> (1.06%, n=6/568 for RDN versus 0.66%, n=2/301 for sham) and six months (2.66%, n=15/563 for RDN versus 2.69, n=8/297 for sham) timepoints. ESC agreed with the commentary’s assessment that the rates of adverse events in patients at high cardiovascular (CV) risk undergoing RDN were no more than what would be expected for patients with the baseline comorbidity profile, and that no significant increase in </w:t>
      </w:r>
      <w:r w:rsidRPr="00447A51">
        <w:rPr>
          <w:i/>
          <w:iCs/>
        </w:rPr>
        <w:t>de novo</w:t>
      </w:r>
      <w:r>
        <w:t xml:space="preserve"> renal artery stenosis or worsening kidney function was seen in long-term follow up beyond the expected rates in patients with HTN and reduced kidney function. ESC considered that the safety of RDN was non-inferior to similar procedures including renal angiography, which was used as the sham procedure in the blinded RCTs. However, ESC noted that people with stage 3 kidney disease were not included in the safety studies and that patients with an estimated glomerular filtration rate (eGFR) of &lt;40-45 mL/min were excluded in the key RCTs. As such, ESC agreed with the commentary’s conclusion that patients with severely reduced kidney function have not been satisfactorily investigated in either the sham-controlled trials of RDN or the GSR analyses. Therefore, ESC considered that the renal safety of RDN can only </w:t>
      </w:r>
      <w:bookmarkStart w:id="63" w:name="_Int_uN582G5U"/>
      <w:r>
        <w:t>be considered to be</w:t>
      </w:r>
      <w:bookmarkEnd w:id="63"/>
      <w:r>
        <w:t xml:space="preserve"> non-inferior in patients with normal or mild-to-moderate reduced kidney function. ESC also considered that MSAC may wish to consider whether the criteria for MBS funding should be amended to specify that patients must have an eGFR of at least 45 mL/min </w:t>
      </w:r>
      <w:bookmarkStart w:id="64" w:name="_Int_z5C7hM15"/>
      <w:r>
        <w:t>in order to</w:t>
      </w:r>
      <w:bookmarkEnd w:id="64"/>
      <w:r>
        <w:t xml:space="preserve"> exclude patients with severely reduced kidney function, ensuring consistency with the evidence base.</w:t>
      </w:r>
    </w:p>
    <w:p w14:paraId="03A3AD1E" w14:textId="77777777" w:rsidR="006E6BB4" w:rsidRDefault="006E6BB4" w:rsidP="006E6BB4">
      <w:pPr>
        <w:keepNext/>
      </w:pPr>
      <w:r>
        <w:t>For the comparative effectiveness assessment, ESC agreed with the ADAR that a change in</w:t>
      </w:r>
      <w:r w:rsidDel="00333E32">
        <w:t xml:space="preserve"> </w:t>
      </w:r>
      <w:r>
        <w:t xml:space="preserve">systolic BP (SBP) is a more sensitive indicator of cardiovascular risk and future outcomes compared to diastolic BP and is consistent with </w:t>
      </w:r>
      <w:r w:rsidRPr="009900D8">
        <w:t xml:space="preserve">the National </w:t>
      </w:r>
      <w:r>
        <w:t>H</w:t>
      </w:r>
      <w:r w:rsidRPr="009900D8">
        <w:t>eart Foundation of Australia guidelines</w:t>
      </w:r>
      <w:r>
        <w:rPr>
          <w:rStyle w:val="FootnoteReference"/>
        </w:rPr>
        <w:footnoteReference w:id="14"/>
      </w:r>
      <w:r w:rsidRPr="009900D8">
        <w:t xml:space="preserve"> for the management of HTN </w:t>
      </w:r>
      <w:r>
        <w:t xml:space="preserve">in which most of the evidence is </w:t>
      </w:r>
      <w:r w:rsidRPr="009900D8">
        <w:t>based on SBP.</w:t>
      </w:r>
      <w:r>
        <w:t xml:space="preserve"> ESC also agreed with the ADAR that the </w:t>
      </w:r>
      <w:r w:rsidRPr="009900D8">
        <w:t>key primary clinical outcome of relevance is</w:t>
      </w:r>
      <w:r>
        <w:t xml:space="preserve"> office-based SBP (OSBP) rather than 24-hour ambulatory SBP (ASBP). ESC noted that OSBP can give false elevated readings due to the stress some patients experience in a clinician’s office (known as white coat HTN). However, </w:t>
      </w:r>
      <w:r w:rsidRPr="00CE592C">
        <w:t xml:space="preserve">ESC considered that the </w:t>
      </w:r>
      <w:r>
        <w:t>office-based</w:t>
      </w:r>
      <w:r w:rsidRPr="00CE592C">
        <w:t xml:space="preserve"> measurement is more appropriate for the Australian context,</w:t>
      </w:r>
      <w:r>
        <w:t xml:space="preserve"> noting that ambulatory blood pressure measurement is not reimbursed under the MBS for patients with diagnosed HTN and that the Australian clinical guidelines also acknowledge that most of the studies providing evidence for management and treatment of HTN are based on office-based measurements. ESC noted a meta-analysis of the </w:t>
      </w:r>
      <w:r w:rsidRPr="54940A98">
        <w:rPr>
          <w:rFonts w:eastAsia="Franklin Gothic Book" w:cs="Franklin Gothic Book"/>
        </w:rPr>
        <w:t xml:space="preserve">SYMPLICITY </w:t>
      </w:r>
      <w:r>
        <w:t xml:space="preserve">HTN-3 and </w:t>
      </w:r>
      <w:r w:rsidRPr="7A038CB1">
        <w:rPr>
          <w:rFonts w:eastAsia="Franklin Gothic Book" w:cs="Franklin Gothic Book"/>
        </w:rPr>
        <w:t xml:space="preserve">SPYRAL </w:t>
      </w:r>
      <w:r>
        <w:t xml:space="preserve">HTN-ON MED RCTs, which compared RDN plus baseline medication compared to baseline medication alone. This found that the mean between-group difference in </w:t>
      </w:r>
      <w:r w:rsidRPr="009900D8">
        <w:t>OSBP</w:t>
      </w:r>
      <w:r>
        <w:t xml:space="preserve"> between the treatment arms was -4.08 mmHg at 3–6 months, favouring RDN. However, ESC agreed with the commentary that the data that best aligned with the PICO population was the meta-analysis of the </w:t>
      </w:r>
      <w:r w:rsidRPr="7A038CB1">
        <w:rPr>
          <w:rFonts w:eastAsia="Franklin Gothic Book" w:cs="Franklin Gothic Book"/>
        </w:rPr>
        <w:t xml:space="preserve">SPYRAL </w:t>
      </w:r>
      <w:r>
        <w:t xml:space="preserve">HTN-ON MED subgroup that aligned with the PICO, along with the entire TRHTN population of SYMPLICITY HTN-3. In this meta-analysis performed by the commentary, the mean between-group difference in OSBP was - 3.57 mmHg (P=0.05). </w:t>
      </w:r>
      <w:r w:rsidRPr="33AD536A">
        <w:rPr>
          <w:rFonts w:eastAsia="Franklin Gothic Book" w:cs="Franklin Gothic Book"/>
        </w:rPr>
        <w:t xml:space="preserve">ESC noted a meta-analysis of the SYMPLICITY HTN-3, SPYRAL HTN-ON MED and ReSET RCTs which compared changes in 24-hour ASBP in RDN plus baseline medication compared to baseline medication alone. </w:t>
      </w:r>
      <w:r>
        <w:t>The mean between-group difference in 24-hour ASBP between the treatment arms was -1.92 mmHg at 3–6 months, again favouring RDN.</w:t>
      </w:r>
    </w:p>
    <w:p w14:paraId="39351CC2" w14:textId="77777777" w:rsidR="006E6BB4" w:rsidRDefault="006E6BB4" w:rsidP="006E6BB4">
      <w:r>
        <w:t>ESC noted that the ADAR reported reduction in SBP appeared to be maintained at 36 months, and perhaps even further reduced, compared with SBP measurements at 3–6 months post-intervention. However, ESC noted that the medication burden for patients in SPYRAL HTN-ON MED RCT showed a gradual increase in medication burden over time in both the RDN and sham control arms. ESC agreed with the commentary that this could at least partly account for the maintenance in treatment effect. ESC also agreed with the commentary’s assessment that the long-term data are consistent with, but do not establish, durability of effect. Furthermore, as noted earlier, the long-term data could represent biased sampling. As such, ESC considered the ADAR’s claim that the reduction in SBP, after RDN, continues to reduce over time was uncertain.</w:t>
      </w:r>
    </w:p>
    <w:p w14:paraId="459D158B" w14:textId="77777777" w:rsidR="006E6BB4" w:rsidRDefault="006E6BB4" w:rsidP="006E6BB4">
      <w:r>
        <w:t xml:space="preserve">ESC noted the ADAR reported that data from the GSR (at 36 months) suggested that, in patients who underwent RDN, there was a 26% (all patients) and 34% (TRHTN patients) relative risk reduction for major adverse CV events, compared with patients receiving only standard of care therapy. ESC also noted that the ADAR reported an analysis of the GSR data on time in therapeutic BP range that indicated a longer time in the target range after RDN was associated with a lower incidence of stroke, myocardial infarction and CV death. </w:t>
      </w:r>
    </w:p>
    <w:p w14:paraId="365051E2" w14:textId="77777777" w:rsidR="006E6BB4" w:rsidRDefault="006E6BB4" w:rsidP="006E6BB4">
      <w:r>
        <w:t xml:space="preserve">ESC noted that the commentary queried whether the </w:t>
      </w:r>
      <w:r w:rsidRPr="00BC2DB9">
        <w:t>difference in</w:t>
      </w:r>
      <w:r>
        <w:t xml:space="preserve"> OSBP and ASBP reduction between RDN and sham was clinically meaningful (i.e., a mean difference of -3.57 mmHg for the change in OSBP from baseline between the RDN and sham group). </w:t>
      </w:r>
      <w:r w:rsidRPr="00BB3C34">
        <w:t xml:space="preserve">ESC agreed with </w:t>
      </w:r>
      <w:r>
        <w:t xml:space="preserve">the </w:t>
      </w:r>
      <w:r w:rsidRPr="00BB3C34">
        <w:t>commentary</w:t>
      </w:r>
      <w:r>
        <w:t xml:space="preserve">, that if the thresholds </w:t>
      </w:r>
      <w:r w:rsidRPr="00BB3C34">
        <w:t xml:space="preserve">described by the </w:t>
      </w:r>
      <w:r w:rsidRPr="0016108A">
        <w:t xml:space="preserve">European Clinical Consensus Conference </w:t>
      </w:r>
      <w:r w:rsidRPr="00BB3C34">
        <w:t xml:space="preserve">and </w:t>
      </w:r>
      <w:r>
        <w:t xml:space="preserve">the </w:t>
      </w:r>
      <w:r w:rsidRPr="003F3A1B">
        <w:t>Hypertension Academic Research Consortium</w:t>
      </w:r>
      <w:r>
        <w:t xml:space="preserve"> were applied then, </w:t>
      </w:r>
      <w:r w:rsidRPr="00BB3C34">
        <w:t>the treatment effect size of RDN in the clinical setting is likely to approach, but not exceed, the clinically relevant thresholds</w:t>
      </w:r>
      <w:r>
        <w:t>. However, ESC also noted and agreed with the applicant’s pre-ESC response that other studies (including a meta-regression analysis of 55 randomised trials</w:t>
      </w:r>
      <w:r w:rsidRPr="0690BFF7">
        <w:rPr>
          <w:rStyle w:val="FootnoteReference"/>
        </w:rPr>
        <w:footnoteReference w:id="15"/>
      </w:r>
      <w:r>
        <w:t xml:space="preserve">) have demonstrated positive cardiovascular health outcomes from a SBP reduction of this magnitude. Overall, ESC </w:t>
      </w:r>
      <w:r w:rsidRPr="00DF5806">
        <w:t xml:space="preserve">considered the </w:t>
      </w:r>
      <w:r>
        <w:t xml:space="preserve">mean between-group difference in OSBP of </w:t>
      </w:r>
      <w:r w:rsidRPr="00F71956">
        <w:t>- 3.57 mmHg</w:t>
      </w:r>
      <w:r w:rsidRPr="00DF5806" w:rsidDel="00DF5806">
        <w:t xml:space="preserve"> to</w:t>
      </w:r>
      <w:r>
        <w:t xml:space="preserve"> be clinically meaningful and that the available clinical evidence demonstrated that RDN has superior effectiveness compared to </w:t>
      </w:r>
      <w:r w:rsidRPr="00C86BD8">
        <w:t>either sham procedure or no RDN procedure</w:t>
      </w:r>
      <w:r>
        <w:t>.</w:t>
      </w:r>
    </w:p>
    <w:p w14:paraId="42622384" w14:textId="77777777" w:rsidR="006E6BB4" w:rsidRDefault="006E6BB4" w:rsidP="006E6BB4">
      <w:r>
        <w:t xml:space="preserve">ESC noted that the economic model was a cost-utility analysis from an Australian healthcare system perspective. Inputs for the base case were background event risks derived from published risk equations (function of population characteristics); and RDN treatment benefit (in the form of mean difference in OSBP [mmHg]) translated to relative risk of avoiding chronic heart disease, stroke and heart failure (HF) events, which were transformed to costs and quality-adjusted life-years (QALYs). The output was expressed as cost per QALY gained from RDN relative to optimal medical management. Each health state was modelled as “initial” and then post-event health states that were split into a further two states for some conditions (for example, stroke, HF, and stroke plus HF). ESC considered this to be a complex, but appropriate, model. ESC sought clarification from the evaluation group regarding the issue raised in the commentary </w:t>
      </w:r>
      <w:r w:rsidRPr="2DA06066">
        <w:rPr>
          <w:rFonts w:eastAsia="Franklin Gothic Book" w:cs="Franklin Gothic Book"/>
        </w:rPr>
        <w:t>that the ADAR model was based on but deviated from the Geisler et al. (2012) model and that the deviation resulted in “dual-application” of treatment effect. The evaluation group clarified that in Geisler et al. (2012), the outcome incidence was calculated for the intervention and comparator groups through application of risk equations (with SBP as one variable within these), which were then used to calculate a relative risk for each outcome as reported in these authors’ paper. The ADAR used relative risks from the literature, which were then multiplied by the baseline probabilities for optimal medical management group (except for ESRD where the approach was replicated from the Geisler et al. (2012) model). The probabilities for the optimal medical management group were derived from cohort-based risk equations as described in the ADAR. This clarification indicated that the</w:t>
      </w:r>
      <w:r>
        <w:t xml:space="preserve"> </w:t>
      </w:r>
      <w:r w:rsidRPr="2DA06066">
        <w:rPr>
          <w:rFonts w:eastAsia="Franklin Gothic Book" w:cs="Franklin Gothic Book"/>
        </w:rPr>
        <w:t xml:space="preserve">concern for dual application of the SBP treatment effect is reduced, </w:t>
      </w:r>
      <w:r>
        <w:rPr>
          <w:rFonts w:eastAsia="Franklin Gothic Book" w:cs="Franklin Gothic Book"/>
        </w:rPr>
        <w:t>al</w:t>
      </w:r>
      <w:r w:rsidRPr="2DA06066">
        <w:rPr>
          <w:rFonts w:eastAsia="Franklin Gothic Book" w:cs="Franklin Gothic Book"/>
        </w:rPr>
        <w:t>though the optimal medical management probabilities are affected by the baseline SBP.</w:t>
      </w:r>
    </w:p>
    <w:p w14:paraId="49F965AE" w14:textId="7C2D727A" w:rsidR="006E6BB4" w:rsidRPr="00BC661C" w:rsidRDefault="006E6BB4" w:rsidP="006E6BB4">
      <w:r>
        <w:t xml:space="preserve">ESC noted that the incremental cost-effectiveness ratio (ICER) presented in the ADAR was </w:t>
      </w:r>
      <w:r w:rsidRPr="00C97058">
        <w:t>$</w:t>
      </w:r>
      <w:r w:rsidR="00732310" w:rsidRPr="00E80189">
        <w:rPr>
          <w:b/>
          <w:bCs/>
        </w:rPr>
        <w:t>redacted</w:t>
      </w:r>
      <w:r w:rsidR="004D7B6A">
        <w:rPr>
          <w:b/>
          <w:bCs/>
        </w:rPr>
        <w:t xml:space="preserve"> </w:t>
      </w:r>
      <w:r>
        <w:t xml:space="preserve">per quality adjusted life year (QALY). ESC noted </w:t>
      </w:r>
      <w:r w:rsidDel="009A40FB">
        <w:t xml:space="preserve">the </w:t>
      </w:r>
      <w:r w:rsidRPr="00534986">
        <w:t xml:space="preserve">data used to inform </w:t>
      </w:r>
      <w:r>
        <w:t xml:space="preserve">treatment </w:t>
      </w:r>
      <w:r w:rsidRPr="00EB56A3">
        <w:t>efficacy</w:t>
      </w:r>
      <w:r w:rsidRPr="00534986">
        <w:t xml:space="preserve"> </w:t>
      </w:r>
      <w:r>
        <w:t>of RDN in the ADAR’s economic model was based on</w:t>
      </w:r>
      <w:r w:rsidRPr="00534986">
        <w:t xml:space="preserve"> post</w:t>
      </w:r>
      <w:r>
        <w:t>-</w:t>
      </w:r>
      <w:r w:rsidRPr="00534986">
        <w:t xml:space="preserve">hoc subgroup of </w:t>
      </w:r>
      <w:r>
        <w:t xml:space="preserve">patients who met the PICO criteria from the </w:t>
      </w:r>
      <w:r w:rsidRPr="386066C0">
        <w:rPr>
          <w:rFonts w:eastAsia="Franklin Gothic Book" w:cs="Franklin Gothic Book"/>
        </w:rPr>
        <w:t xml:space="preserve">SPYRAL </w:t>
      </w:r>
      <w:r>
        <w:t>HTN-ON MED RCT. A mean between group difference in OSBP of -5.20 mmHg from baseline was observed for this subgroup, favouring RDN. However, ESC agreed with the c</w:t>
      </w:r>
      <w:r w:rsidRPr="00534986">
        <w:t xml:space="preserve">ommentary </w:t>
      </w:r>
      <w:r>
        <w:t>that it was more</w:t>
      </w:r>
      <w:r w:rsidRPr="00534986">
        <w:t xml:space="preserve"> appropriate to</w:t>
      </w:r>
      <w:r>
        <w:t xml:space="preserve"> use</w:t>
      </w:r>
      <w:r w:rsidRPr="00534986">
        <w:t xml:space="preserve"> </w:t>
      </w:r>
      <w:r>
        <w:t xml:space="preserve">the treatment effect (-3.57 mmHg mean between-group difference in OSBP) from the meta-analysis of the SPYRAL HTN-ON MED subgroup with the entire TRHTN population of SYMPLICITY HTN-3. ESC noted that using the -3.57 mmHg treatment effect for RDN increased the ICER to </w:t>
      </w:r>
      <w:r w:rsidRPr="00C97058">
        <w:t>$</w:t>
      </w:r>
      <w:r w:rsidR="00732310" w:rsidRPr="00E80189">
        <w:rPr>
          <w:b/>
          <w:bCs/>
        </w:rPr>
        <w:t>redacted</w:t>
      </w:r>
      <w:r>
        <w:t>/QALY. U</w:t>
      </w:r>
      <w:r w:rsidRPr="00E93B02">
        <w:t xml:space="preserve">sing </w:t>
      </w:r>
      <w:r>
        <w:t>mean between-group difference in O</w:t>
      </w:r>
      <w:r w:rsidRPr="00E93B02">
        <w:t>SBP from SYMPLICITY HTN-3 alone</w:t>
      </w:r>
      <w:r>
        <w:t xml:space="preserve"> (-2.39 mmHg)</w:t>
      </w:r>
      <w:r w:rsidRPr="00E93B02">
        <w:t xml:space="preserve"> </w:t>
      </w:r>
      <w:r>
        <w:t xml:space="preserve">increased the ICER to </w:t>
      </w:r>
      <w:r w:rsidRPr="00C97058">
        <w:t>$</w:t>
      </w:r>
      <w:r w:rsidR="00732310" w:rsidRPr="00E80189">
        <w:rPr>
          <w:b/>
          <w:bCs/>
        </w:rPr>
        <w:t>redacted</w:t>
      </w:r>
      <w:r>
        <w:t xml:space="preserve">/QALY. </w:t>
      </w:r>
    </w:p>
    <w:p w14:paraId="7FBE9F2C" w14:textId="0AA78E7C" w:rsidR="006E6BB4" w:rsidRDefault="006E6BB4" w:rsidP="006E6BB4">
      <w:r>
        <w:t xml:space="preserve">ESC noted the ICERs generated from the sensitivity analyses conducted in the ADAR and by the commentary (see </w:t>
      </w:r>
      <w:r>
        <w:fldChar w:fldCharType="begin"/>
      </w:r>
      <w:r>
        <w:instrText xml:space="preserve"> REF _Ref69726347 \h </w:instrText>
      </w:r>
      <w:r>
        <w:fldChar w:fldCharType="separate"/>
      </w:r>
      <w:r>
        <w:t>Table </w:t>
      </w:r>
      <w:r w:rsidRPr="4042795E">
        <w:rPr>
          <w:noProof/>
        </w:rPr>
        <w:t>16</w:t>
      </w:r>
      <w:r>
        <w:fldChar w:fldCharType="end"/>
      </w:r>
      <w:r>
        <w:t>). The key drivers of the model were SBP reduction, the model time horizon, starting age of the model population and the risk ratio source underpinning the analysis. ESC queried whether the modelled time horizon of 35 years was reasonable when the starting age of patients in the model was 65.6 years, and that reducing the time horizon to 30, 20 and 15 years increased the ICER to $</w:t>
      </w:r>
      <w:r w:rsidR="000B4F4D" w:rsidRPr="00E80189">
        <w:rPr>
          <w:b/>
          <w:bCs/>
        </w:rPr>
        <w:t>redacted</w:t>
      </w:r>
      <w:r w:rsidR="000B4F4D">
        <w:rPr>
          <w:b/>
          <w:bCs/>
        </w:rPr>
        <w:t xml:space="preserve">, </w:t>
      </w:r>
      <w:r w:rsidR="000B4F4D" w:rsidRPr="00C97058">
        <w:t>$</w:t>
      </w:r>
      <w:r w:rsidR="000B4F4D" w:rsidRPr="00E80189">
        <w:rPr>
          <w:b/>
          <w:bCs/>
        </w:rPr>
        <w:t>redacted</w:t>
      </w:r>
      <w:r w:rsidR="000B4F4D" w:rsidDel="000B4F4D">
        <w:t xml:space="preserve"> </w:t>
      </w:r>
      <w:r w:rsidR="000B4F4D">
        <w:t xml:space="preserve">and </w:t>
      </w:r>
      <w:r w:rsidR="000B4F4D" w:rsidRPr="00C97058">
        <w:t>$</w:t>
      </w:r>
      <w:r w:rsidR="000B4F4D" w:rsidRPr="00E80189">
        <w:rPr>
          <w:b/>
          <w:bCs/>
        </w:rPr>
        <w:t>redacted</w:t>
      </w:r>
      <w:r>
        <w:t xml:space="preserve">, respectively (see </w:t>
      </w:r>
      <w:r>
        <w:fldChar w:fldCharType="begin"/>
      </w:r>
      <w:r>
        <w:instrText xml:space="preserve"> REF _Ref69726347 \h </w:instrText>
      </w:r>
      <w:r>
        <w:fldChar w:fldCharType="separate"/>
      </w:r>
      <w:r>
        <w:t>Table </w:t>
      </w:r>
      <w:r w:rsidRPr="4042795E">
        <w:rPr>
          <w:noProof/>
        </w:rPr>
        <w:t>16</w:t>
      </w:r>
      <w:r>
        <w:fldChar w:fldCharType="end"/>
      </w:r>
      <w:r>
        <w:t xml:space="preserve">). ESC noted that costs and utility values were largely unimportant drivers, </w:t>
      </w:r>
      <w:r w:rsidRPr="000B4F4D">
        <w:t>aside from the cost of the RDN catheter (</w:t>
      </w:r>
      <w:r w:rsidRPr="00C97058">
        <w:t>$</w:t>
      </w:r>
      <w:r w:rsidR="000B4F4D" w:rsidRPr="00E80189">
        <w:rPr>
          <w:b/>
          <w:bCs/>
        </w:rPr>
        <w:t>redacted</w:t>
      </w:r>
      <w:r w:rsidRPr="000B4F4D">
        <w:t>). A lower RDN catheter cost of $3,700 was modelled in the commentary’s sensitivity analysis, which reduced the ICERs substantially (</w:t>
      </w:r>
      <w:r w:rsidRPr="00C97058">
        <w:t>$</w:t>
      </w:r>
      <w:r w:rsidR="000B4F4D" w:rsidRPr="00E80189">
        <w:rPr>
          <w:b/>
          <w:bCs/>
        </w:rPr>
        <w:t>redacted</w:t>
      </w:r>
      <w:r w:rsidR="000B4F4D" w:rsidRPr="000B4F4D" w:rsidDel="000B4F4D">
        <w:t xml:space="preserve"> </w:t>
      </w:r>
      <w:r w:rsidRPr="000B4F4D">
        <w:t>–</w:t>
      </w:r>
      <w:r w:rsidRPr="00C97058">
        <w:t>$</w:t>
      </w:r>
      <w:r w:rsidR="000B4F4D" w:rsidRPr="00E80189">
        <w:rPr>
          <w:b/>
          <w:bCs/>
        </w:rPr>
        <w:t>redacted</w:t>
      </w:r>
      <w:r w:rsidR="000B4F4D" w:rsidRPr="000B4F4D" w:rsidDel="000B4F4D">
        <w:t xml:space="preserve"> </w:t>
      </w:r>
      <w:r w:rsidRPr="000B4F4D">
        <w:t>/QALY, depending on the OSBP reduction used).</w:t>
      </w:r>
      <w:r>
        <w:t xml:space="preserve"> ESC also noted that some intervention costs were potentially excluded, such as possible overnight stays, the possible use of heparin and use of closure devices. However, since costs were not a major driver of the model, ESC considered that these omissions may be insignificant for decision-making. ESC noted other minor issues raised by the commentary, including potentially overestimating the costs related to heart failure treatment, but, again, ESC noted that these costs were not major drivers of the model. </w:t>
      </w:r>
    </w:p>
    <w:p w14:paraId="4EED4874" w14:textId="77777777" w:rsidR="006E6BB4" w:rsidRDefault="006E6BB4" w:rsidP="006E6BB4">
      <w:pPr>
        <w:spacing w:line="257" w:lineRule="auto"/>
        <w:rPr>
          <w:lang w:val="en-US"/>
        </w:rPr>
      </w:pPr>
      <w:r>
        <w:t>ESC noted that the ADAR estimated the utilisation and financial impact using</w:t>
      </w:r>
      <w:r w:rsidRPr="2DA06066">
        <w:rPr>
          <w:lang w:val="en-US"/>
        </w:rPr>
        <w:t xml:space="preserve"> an epidemiological approach. The ADAR assumed that 50% of eligible patients would want to access the intervention based on preference studies (tested in sensitivity analyses). </w:t>
      </w:r>
      <w:r>
        <w:t xml:space="preserve">ESC noted the ADAR also claimed that utilisation of this intervention would be limited by the number of interventional cardiologists able to perform the procedure and capacity of catheterisation laboratories. However, ESC agreed with the commentary’s observation that this claim is uncertain and does not take into consideration that other providers could perform RDN and in settings other than private catheterisation laboratories. </w:t>
      </w:r>
      <w:r w:rsidRPr="2DA06066">
        <w:rPr>
          <w:lang w:val="en-US"/>
        </w:rPr>
        <w:t xml:space="preserve"> </w:t>
      </w:r>
    </w:p>
    <w:p w14:paraId="00017285" w14:textId="36BB4BB3" w:rsidR="006E6BB4" w:rsidRPr="00065A69" w:rsidRDefault="006E6BB4" w:rsidP="006E6BB4">
      <w:r>
        <w:rPr>
          <w:lang w:val="en-US"/>
        </w:rPr>
        <w:t xml:space="preserve">ESC noted </w:t>
      </w:r>
      <w:r w:rsidRPr="33AD536A">
        <w:rPr>
          <w:lang w:val="en-US"/>
        </w:rPr>
        <w:t xml:space="preserve">that </w:t>
      </w:r>
      <w:r>
        <w:rPr>
          <w:lang w:val="en-US"/>
        </w:rPr>
        <w:t xml:space="preserve">the ADAR estimated the financial impact to the MBS ranged from </w:t>
      </w:r>
      <w:r w:rsidRPr="00C97058">
        <w:t>$</w:t>
      </w:r>
      <w:r w:rsidR="000B4F4D" w:rsidRPr="00E80189">
        <w:rPr>
          <w:b/>
          <w:bCs/>
        </w:rPr>
        <w:t>redacted</w:t>
      </w:r>
      <w:r>
        <w:t xml:space="preserve"> in year 1 to </w:t>
      </w:r>
      <w:r w:rsidRPr="00C97058">
        <w:t>$</w:t>
      </w:r>
      <w:r w:rsidR="000B4F4D" w:rsidRPr="00E80189">
        <w:rPr>
          <w:b/>
          <w:bCs/>
        </w:rPr>
        <w:t>redacted</w:t>
      </w:r>
      <w:r>
        <w:t xml:space="preserve"> in year 6 using the ADAR’s proposed 75% rebate, and from </w:t>
      </w:r>
      <w:r w:rsidRPr="00C97058">
        <w:t>$</w:t>
      </w:r>
      <w:r w:rsidR="000B4F4D" w:rsidRPr="00E80189">
        <w:rPr>
          <w:b/>
          <w:bCs/>
        </w:rPr>
        <w:t>redacted</w:t>
      </w:r>
      <w:r>
        <w:t xml:space="preserve"> in year 1 to </w:t>
      </w:r>
      <w:r w:rsidRPr="00C97058">
        <w:t>$</w:t>
      </w:r>
      <w:r w:rsidR="000B4F4D" w:rsidRPr="00E80189">
        <w:rPr>
          <w:b/>
          <w:bCs/>
        </w:rPr>
        <w:t>redacted</w:t>
      </w:r>
      <w:r>
        <w:t xml:space="preserve"> in year 6 using the Department’s suggested lower 75% rebate (i.e., equivalent to </w:t>
      </w:r>
      <w:r w:rsidRPr="001D2A3B">
        <w:t>MBS item 33527</w:t>
      </w:r>
      <w:r>
        <w:t xml:space="preserve"> - </w:t>
      </w:r>
      <w:r w:rsidRPr="001D2A3B">
        <w:t>bilateral renal endarterectomy)</w:t>
      </w:r>
      <w:r>
        <w:t>. ESC noted the commentary also presented an alternative, a</w:t>
      </w:r>
      <w:r w:rsidRPr="00F15839">
        <w:t xml:space="preserve">lthough </w:t>
      </w:r>
      <w:r>
        <w:t xml:space="preserve">likely </w:t>
      </w:r>
      <w:r w:rsidRPr="00F15839">
        <w:t xml:space="preserve">highly unrealistic, </w:t>
      </w:r>
      <w:r>
        <w:t>sensitivity analysis that explored the cost to the MBS if there were no</w:t>
      </w:r>
      <w:r w:rsidRPr="00F15839" w:rsidDel="008D6820">
        <w:t xml:space="preserve"> </w:t>
      </w:r>
      <w:r w:rsidRPr="00F15839">
        <w:t>supply constraints</w:t>
      </w:r>
      <w:r>
        <w:t>,</w:t>
      </w:r>
      <w:r w:rsidRPr="00F15839">
        <w:t xml:space="preserve"> </w:t>
      </w:r>
      <w:r>
        <w:t xml:space="preserve">which indicated the </w:t>
      </w:r>
      <w:r w:rsidRPr="00F15839">
        <w:t>net cost</w:t>
      </w:r>
      <w:r>
        <w:t>s</w:t>
      </w:r>
      <w:r w:rsidRPr="00F15839">
        <w:t xml:space="preserve"> to the MBS </w:t>
      </w:r>
      <w:r>
        <w:t>would be</w:t>
      </w:r>
      <w:r w:rsidRPr="00F15839">
        <w:t xml:space="preserve"> </w:t>
      </w:r>
      <w:r>
        <w:t xml:space="preserve">more than </w:t>
      </w:r>
      <w:r w:rsidRPr="00C97058">
        <w:t>$</w:t>
      </w:r>
      <w:r w:rsidR="000B4F4D" w:rsidRPr="00E80189">
        <w:rPr>
          <w:b/>
          <w:bCs/>
        </w:rPr>
        <w:t>redacted</w:t>
      </w:r>
      <w:r w:rsidRPr="00F15839">
        <w:t xml:space="preserve"> in </w:t>
      </w:r>
      <w:r>
        <w:t>y</w:t>
      </w:r>
      <w:r w:rsidRPr="00F15839">
        <w:t>ear</w:t>
      </w:r>
      <w:r>
        <w:t> </w:t>
      </w:r>
      <w:r w:rsidRPr="00F15839">
        <w:t xml:space="preserve">1. </w:t>
      </w:r>
      <w:r w:rsidRPr="000B4F4D">
        <w:t>ESC highlighted that the largest budget impact would be to private health insurers due to the cost of the catheter (</w:t>
      </w:r>
      <w:r w:rsidRPr="00C97058">
        <w:t>$</w:t>
      </w:r>
      <w:r w:rsidR="000B4F4D" w:rsidRPr="00E80189">
        <w:rPr>
          <w:b/>
          <w:bCs/>
        </w:rPr>
        <w:t>redacted</w:t>
      </w:r>
      <w:r w:rsidRPr="000B4F4D">
        <w:t xml:space="preserve">) and hospital stays (about </w:t>
      </w:r>
      <w:r w:rsidRPr="00C97058">
        <w:t>$</w:t>
      </w:r>
      <w:r w:rsidR="000B4F4D" w:rsidRPr="00E80189">
        <w:rPr>
          <w:b/>
          <w:bCs/>
        </w:rPr>
        <w:t>redacted</w:t>
      </w:r>
      <w:r w:rsidRPr="000B4F4D">
        <w:t xml:space="preserve"> in year 1 to </w:t>
      </w:r>
      <w:r w:rsidRPr="00C97058">
        <w:t>$</w:t>
      </w:r>
      <w:r w:rsidR="000B4F4D" w:rsidRPr="00E80189">
        <w:rPr>
          <w:b/>
          <w:bCs/>
        </w:rPr>
        <w:t>redacted</w:t>
      </w:r>
      <w:r w:rsidRPr="000B4F4D">
        <w:t xml:space="preserve"> in year 6). </w:t>
      </w:r>
      <w:r w:rsidRPr="00065A69">
        <w:t xml:space="preserve">ESC noted </w:t>
      </w:r>
      <w:r w:rsidRPr="00065A69" w:rsidDel="0037542D">
        <w:t xml:space="preserve">the </w:t>
      </w:r>
      <w:r w:rsidRPr="00065A69">
        <w:t>ADAR stated the applicant is willing to explore a risk-sharing arrangement in acknowledgement of the uncertain utilisation estimates.</w:t>
      </w:r>
    </w:p>
    <w:p w14:paraId="4A8BCAE8" w14:textId="77777777" w:rsidR="008E2BC5" w:rsidRDefault="008E2BC5" w:rsidP="008E2BC5">
      <w:pPr>
        <w:pStyle w:val="Heading2"/>
        <w:numPr>
          <w:ilvl w:val="0"/>
          <w:numId w:val="0"/>
        </w:numPr>
      </w:pPr>
      <w:r>
        <w:t>17.</w:t>
      </w:r>
      <w:r>
        <w:tab/>
        <w:t>Applicant comments on MSAC’s Public Summary Document</w:t>
      </w:r>
    </w:p>
    <w:p w14:paraId="14A57D8D" w14:textId="77777777" w:rsidR="0045573B" w:rsidRPr="0045573B" w:rsidRDefault="006B4D42" w:rsidP="0045573B">
      <w:pPr>
        <w:pStyle w:val="Heading2"/>
        <w:numPr>
          <w:ilvl w:val="0"/>
          <w:numId w:val="0"/>
        </w:numPr>
        <w:spacing w:before="120" w:after="160" w:line="257" w:lineRule="auto"/>
        <w:rPr>
          <w:rFonts w:ascii="Franklin Gothic Book" w:hAnsi="Franklin Gothic Book"/>
          <w:color w:val="auto"/>
          <w:sz w:val="22"/>
          <w:szCs w:val="22"/>
        </w:rPr>
      </w:pPr>
      <w:r w:rsidRPr="0045573B">
        <w:rPr>
          <w:rFonts w:ascii="Franklin Gothic Book" w:hAnsi="Franklin Gothic Book"/>
          <w:color w:val="auto"/>
          <w:sz w:val="22"/>
          <w:szCs w:val="22"/>
        </w:rPr>
        <w:t>Medtronic Australasia is disappointed with MSAC’s decision to not support public funding of its catheter-based RDN for the treatment of patients with True Resistant HTN (TRHTN) with uncontrolled elevated systolic blood (SBP; ≥150 mmHg) and/or elevated diastolic blood pressure (DBP; ≥110 mmHg) despite optimal medical management (OMM). Medtronic Australasia is of the firm belief that the evidence presented represents the best level evidence available for its RF-RDN technology however acknowledges the inherent limitations with conducting a sham controlled RCT in the hypertension device therapy area. We were pleased that MSAC considered that further defining the patient population to identify patients who may represent a higher clinical need for RDN and most likely to benefit from the intervention, may provide a way forward for RF-RDN. The current level of adoption of the Symplicity</w:t>
      </w:r>
      <w:r w:rsidRPr="0045573B">
        <w:rPr>
          <w:rFonts w:ascii="Franklin Gothic Book" w:hAnsi="Franklin Gothic Book"/>
          <w:color w:val="auto"/>
          <w:sz w:val="22"/>
          <w:szCs w:val="22"/>
          <w:vertAlign w:val="superscript"/>
        </w:rPr>
        <w:t>TM</w:t>
      </w:r>
      <w:r w:rsidRPr="0045573B">
        <w:rPr>
          <w:rFonts w:ascii="Franklin Gothic Book" w:hAnsi="Franklin Gothic Book"/>
          <w:color w:val="auto"/>
          <w:sz w:val="22"/>
          <w:szCs w:val="22"/>
        </w:rPr>
        <w:t xml:space="preserve"> Spyral RF-RDN System by Interventional Cardiologists and referral physicians within Australia demonstrates the value of the technology. Medtronic Australasia continues to be fully committed to working with clinicians to support patient access to this important innovation in the treatment of resistant hypertension.</w:t>
      </w:r>
    </w:p>
    <w:p w14:paraId="004DA493" w14:textId="56EE7258" w:rsidR="008E2BC5" w:rsidRDefault="008E2BC5" w:rsidP="008E2BC5">
      <w:pPr>
        <w:pStyle w:val="Heading2"/>
        <w:numPr>
          <w:ilvl w:val="0"/>
          <w:numId w:val="0"/>
        </w:numPr>
      </w:pPr>
      <w:r>
        <w:t>18.</w:t>
      </w:r>
      <w:r>
        <w:tab/>
        <w:t>Further information on MSAC</w:t>
      </w:r>
    </w:p>
    <w:p w14:paraId="69A44B97" w14:textId="5648EE72" w:rsidR="006E6BB4" w:rsidRPr="008E2BC5" w:rsidRDefault="008E2BC5" w:rsidP="008E2BC5">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5" w:tooltip="Link to the MSAC website" w:history="1">
        <w:r w:rsidRPr="00F309FA">
          <w:rPr>
            <w:rStyle w:val="Hyperlink"/>
            <w:rFonts w:ascii="Franklin Gothic Book" w:hAnsi="Franklin Gothic Book"/>
            <w:bCs/>
            <w:iCs/>
            <w:sz w:val="22"/>
          </w:rPr>
          <w:t>visit the MSAC website</w:t>
        </w:r>
      </w:hyperlink>
    </w:p>
    <w:sectPr w:rsidR="006E6BB4" w:rsidRPr="008E2BC5" w:rsidSect="00784341">
      <w:headerReference w:type="even" r:id="rId16"/>
      <w:headerReference w:type="default" r:id="rId17"/>
      <w:footerReference w:type="even" r:id="rId18"/>
      <w:footerReference w:type="default" r:id="rId19"/>
      <w:headerReference w:type="first" r:id="rId20"/>
      <w:footerReference w:type="first" r:id="rId2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8230" w14:textId="77777777" w:rsidR="00055822" w:rsidRDefault="00055822" w:rsidP="00B62DF2">
      <w:pPr>
        <w:spacing w:after="0" w:line="240" w:lineRule="auto"/>
      </w:pPr>
      <w:r>
        <w:separator/>
      </w:r>
    </w:p>
  </w:endnote>
  <w:endnote w:type="continuationSeparator" w:id="0">
    <w:p w14:paraId="3E657E05" w14:textId="77777777" w:rsidR="00055822" w:rsidRDefault="00055822" w:rsidP="00B62DF2">
      <w:pPr>
        <w:spacing w:after="0" w:line="240" w:lineRule="auto"/>
      </w:pPr>
      <w:r>
        <w:continuationSeparator/>
      </w:r>
    </w:p>
  </w:endnote>
  <w:endnote w:type="continuationNotice" w:id="1">
    <w:p w14:paraId="5FDBF4B6" w14:textId="77777777" w:rsidR="00055822" w:rsidRDefault="000558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6DC75788" w:rsidR="005947B5" w:rsidRDefault="005947B5" w:rsidP="006E6BB4">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48ED7B90"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C208" w14:textId="77777777" w:rsidR="00634656" w:rsidRDefault="0063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5A33" w14:textId="77777777" w:rsidR="00055822" w:rsidRDefault="00055822" w:rsidP="00B62DF2">
      <w:pPr>
        <w:spacing w:after="0" w:line="240" w:lineRule="auto"/>
      </w:pPr>
      <w:r>
        <w:separator/>
      </w:r>
    </w:p>
  </w:footnote>
  <w:footnote w:type="continuationSeparator" w:id="0">
    <w:p w14:paraId="27810F49" w14:textId="77777777" w:rsidR="00055822" w:rsidRDefault="00055822" w:rsidP="00B62DF2">
      <w:pPr>
        <w:spacing w:after="0" w:line="240" w:lineRule="auto"/>
      </w:pPr>
      <w:r>
        <w:continuationSeparator/>
      </w:r>
    </w:p>
  </w:footnote>
  <w:footnote w:type="continuationNotice" w:id="1">
    <w:p w14:paraId="778D5651" w14:textId="77777777" w:rsidR="00055822" w:rsidRDefault="00055822">
      <w:pPr>
        <w:spacing w:before="0" w:after="0" w:line="240" w:lineRule="auto"/>
      </w:pPr>
    </w:p>
  </w:footnote>
  <w:footnote w:id="2">
    <w:p w14:paraId="667D6141" w14:textId="01236686" w:rsidR="00FB5173" w:rsidRDefault="00FB5173">
      <w:pPr>
        <w:pStyle w:val="FootnoteText"/>
      </w:pPr>
      <w:r>
        <w:rPr>
          <w:rStyle w:val="FootnoteReference"/>
        </w:rPr>
        <w:footnoteRef/>
      </w:r>
      <w:r>
        <w:t xml:space="preserve"> National Institute for Health and Care Excellence (NICE) (2023) </w:t>
      </w:r>
      <w:r w:rsidRPr="00403381">
        <w:t>Percutaneous transluminal renal sympathetic denervation for resistant hypertension</w:t>
      </w:r>
      <w:r>
        <w:t xml:space="preserve">. Interventional procedures guidance [IPG754]. </w:t>
      </w:r>
      <w:hyperlink r:id="rId1" w:history="1">
        <w:r w:rsidR="00105796" w:rsidRPr="00713A9D">
          <w:rPr>
            <w:rStyle w:val="Hyperlink"/>
          </w:rPr>
          <w:t>https://www.nice.org.uk/guidance/ipg754</w:t>
        </w:r>
      </w:hyperlink>
      <w:r w:rsidR="00105796">
        <w:t>.</w:t>
      </w:r>
    </w:p>
  </w:footnote>
  <w:footnote w:id="3">
    <w:p w14:paraId="55C7ED42" w14:textId="735C11BE" w:rsidR="009370C2" w:rsidRDefault="009370C2">
      <w:pPr>
        <w:pStyle w:val="FootnoteText"/>
      </w:pPr>
      <w:r>
        <w:rPr>
          <w:rStyle w:val="FootnoteReference"/>
        </w:rPr>
        <w:footnoteRef/>
      </w:r>
      <w:r>
        <w:t xml:space="preserve"> </w:t>
      </w:r>
      <w:r w:rsidR="008F2F51" w:rsidRPr="008F2F51">
        <w:t>US Food and Drug   Administration (FDA)</w:t>
      </w:r>
      <w:r w:rsidR="008F2F51">
        <w:t xml:space="preserve"> Pre</w:t>
      </w:r>
      <w:r w:rsidR="00DB1292">
        <w:t xml:space="preserve">market Approval (PMA) Number </w:t>
      </w:r>
      <w:hyperlink r:id="rId2" w:history="1">
        <w:r w:rsidR="000E1417" w:rsidRPr="008A6012">
          <w:rPr>
            <w:rStyle w:val="Hyperlink"/>
          </w:rPr>
          <w:t>P</w:t>
        </w:r>
        <w:r w:rsidR="001704B5" w:rsidRPr="008A6012">
          <w:rPr>
            <w:rStyle w:val="Hyperlink"/>
          </w:rPr>
          <w:t>220026</w:t>
        </w:r>
        <w:r w:rsidR="00D7633F" w:rsidRPr="008A6012">
          <w:rPr>
            <w:rStyle w:val="Hyperlink"/>
          </w:rPr>
          <w:t xml:space="preserve"> - </w:t>
        </w:r>
        <w:r w:rsidR="008A6012" w:rsidRPr="008A6012">
          <w:rPr>
            <w:rStyle w:val="Hyperlink"/>
          </w:rPr>
          <w:t>Symplicity Spyral™ Renal Denervation System</w:t>
        </w:r>
      </w:hyperlink>
      <w:r w:rsidR="003473D8">
        <w:t xml:space="preserve">, approved </w:t>
      </w:r>
      <w:r w:rsidR="00381FE6">
        <w:t>1</w:t>
      </w:r>
      <w:r w:rsidR="00B1354E">
        <w:t>7</w:t>
      </w:r>
      <w:r w:rsidR="00381FE6">
        <w:t xml:space="preserve"> November 2023.</w:t>
      </w:r>
    </w:p>
  </w:footnote>
  <w:footnote w:id="4">
    <w:p w14:paraId="120398C8" w14:textId="79361AB8" w:rsidR="00C231D3" w:rsidRDefault="00C231D3">
      <w:pPr>
        <w:pStyle w:val="FootnoteText"/>
      </w:pPr>
      <w:r>
        <w:rPr>
          <w:rStyle w:val="FootnoteReference"/>
        </w:rPr>
        <w:footnoteRef/>
      </w:r>
      <w:r>
        <w:t xml:space="preserve"> ClinicalTrials.gov</w:t>
      </w:r>
    </w:p>
  </w:footnote>
  <w:footnote w:id="5">
    <w:p w14:paraId="0DDEFA3E" w14:textId="23B98402" w:rsidR="004A6AAB" w:rsidRPr="00573A05" w:rsidRDefault="004A6AAB">
      <w:pPr>
        <w:pStyle w:val="FootnoteText"/>
      </w:pPr>
      <w:r>
        <w:rPr>
          <w:rStyle w:val="FootnoteReference"/>
        </w:rPr>
        <w:footnoteRef/>
      </w:r>
      <w:r>
        <w:t xml:space="preserve"> </w:t>
      </w:r>
      <w:r w:rsidR="008E5A52">
        <w:t>National Institute for Health and Care Excellence (NICE)</w:t>
      </w:r>
      <w:r w:rsidR="002B21D0">
        <w:t>(2023)</w:t>
      </w:r>
      <w:r w:rsidR="008E5A52">
        <w:t xml:space="preserve">. </w:t>
      </w:r>
      <w:r w:rsidR="00B44F50" w:rsidRPr="004543C3">
        <w:rPr>
          <w:i/>
          <w:iCs/>
        </w:rPr>
        <w:t>Interventional procedures guidance</w:t>
      </w:r>
      <w:r w:rsidR="001E7063" w:rsidRPr="004543C3">
        <w:rPr>
          <w:i/>
          <w:iCs/>
        </w:rPr>
        <w:t xml:space="preserve"> [IPG754]</w:t>
      </w:r>
      <w:r w:rsidR="00EF10BA" w:rsidRPr="004543C3">
        <w:rPr>
          <w:i/>
          <w:iCs/>
        </w:rPr>
        <w:t xml:space="preserve">: </w:t>
      </w:r>
      <w:r w:rsidR="001E7063" w:rsidRPr="004543C3">
        <w:rPr>
          <w:i/>
          <w:iCs/>
        </w:rPr>
        <w:t>Percutaneous transluminal renal sympathetic denervation for resistant hypertension</w:t>
      </w:r>
      <w:r w:rsidR="001E7063">
        <w:t xml:space="preserve">. </w:t>
      </w:r>
      <w:hyperlink r:id="rId3" w:tooltip="Hyperlink to NICE guidance" w:history="1">
        <w:r w:rsidR="00EF10BA" w:rsidRPr="00F71956">
          <w:rPr>
            <w:rStyle w:val="Hyperlink"/>
            <w:rFonts w:ascii="Arial Narrow" w:eastAsia="Times New Roman" w:hAnsi="Arial Narrow" w:cs="Tahoma"/>
            <w:szCs w:val="18"/>
            <w:lang w:eastAsia="en-AU"/>
          </w:rPr>
          <w:t>https://www.nice.org.uk/guidance/ipg754</w:t>
        </w:r>
      </w:hyperlink>
    </w:p>
  </w:footnote>
  <w:footnote w:id="6">
    <w:p w14:paraId="1B7B177B" w14:textId="3FFE0FBA" w:rsidR="00A96F55" w:rsidRDefault="00A96F55">
      <w:pPr>
        <w:pStyle w:val="FootnoteText"/>
      </w:pPr>
      <w:r>
        <w:rPr>
          <w:rStyle w:val="FootnoteReference"/>
        </w:rPr>
        <w:footnoteRef/>
      </w:r>
      <w:r>
        <w:t xml:space="preserve"> Barbato E et al. </w:t>
      </w:r>
      <w:r w:rsidR="00DE1F27">
        <w:t xml:space="preserve">(2023) </w:t>
      </w:r>
      <w:r w:rsidR="00AD182C">
        <w:t>‘</w:t>
      </w:r>
      <w:r w:rsidRPr="005838B6">
        <w:t>Renal denervation in the management of hypertension in adults. A clinical consensus statement of the ESC Council on Hypertension and the European Association of Percutaneous Cardiovascular Interventions (EAPCI)</w:t>
      </w:r>
      <w:r w:rsidR="00AD182C">
        <w:t>’,</w:t>
      </w:r>
      <w:r w:rsidRPr="005838B6">
        <w:t xml:space="preserve"> </w:t>
      </w:r>
      <w:r w:rsidRPr="00AD182C">
        <w:rPr>
          <w:i/>
          <w:iCs/>
        </w:rPr>
        <w:t>European Heart Journal</w:t>
      </w:r>
      <w:r w:rsidR="00CF622D">
        <w:t>,</w:t>
      </w:r>
      <w:r>
        <w:t xml:space="preserve"> 44(15):1313-1330.</w:t>
      </w:r>
    </w:p>
  </w:footnote>
  <w:footnote w:id="7">
    <w:p w14:paraId="24DB144F" w14:textId="73F5899F" w:rsidR="00060863" w:rsidRDefault="00060863">
      <w:pPr>
        <w:pStyle w:val="FootnoteText"/>
      </w:pPr>
      <w:r>
        <w:rPr>
          <w:rStyle w:val="FootnoteReference"/>
        </w:rPr>
        <w:footnoteRef/>
      </w:r>
      <w:r>
        <w:t xml:space="preserve"> National Heart Foundation </w:t>
      </w:r>
      <w:r w:rsidR="00B35BA9">
        <w:t xml:space="preserve">of Australia </w:t>
      </w:r>
      <w:r w:rsidR="004E7C24">
        <w:t>(2016) ‘</w:t>
      </w:r>
      <w:r>
        <w:t>Guideline for the diagnosis and management of hypertension in adults</w:t>
      </w:r>
      <w:r w:rsidR="004E7C24">
        <w:t>’</w:t>
      </w:r>
      <w:r w:rsidR="00132F63">
        <w:t>,</w:t>
      </w:r>
      <w:r w:rsidR="00A4005B">
        <w:t xml:space="preserve"> accessed 30 August 2023</w:t>
      </w:r>
      <w:r>
        <w:t xml:space="preserve">. </w:t>
      </w:r>
      <w:hyperlink r:id="rId4" w:tooltip="Hyperlink to NHFA guideline on HTN" w:history="1">
        <w:r w:rsidR="006243B3" w:rsidRPr="00E35321">
          <w:rPr>
            <w:rStyle w:val="Hyperlink"/>
          </w:rPr>
          <w:t>https://www.heartfoundation.org.au/bundles/for-professionals/hypertension</w:t>
        </w:r>
      </w:hyperlink>
      <w:r w:rsidR="006243B3">
        <w:t xml:space="preserve"> </w:t>
      </w:r>
    </w:p>
  </w:footnote>
  <w:footnote w:id="8">
    <w:p w14:paraId="1AB76B23" w14:textId="5D954BBE" w:rsidR="00146E0E" w:rsidRDefault="00146E0E">
      <w:pPr>
        <w:pStyle w:val="FootnoteText"/>
      </w:pPr>
      <w:r>
        <w:rPr>
          <w:rStyle w:val="FootnoteReference"/>
        </w:rPr>
        <w:footnoteRef/>
      </w:r>
      <w:r>
        <w:t xml:space="preserve"> </w:t>
      </w:r>
      <w:r w:rsidR="009722EB">
        <w:t xml:space="preserve">Current </w:t>
      </w:r>
      <w:r w:rsidR="00AB5361">
        <w:t>HTN</w:t>
      </w:r>
      <w:r w:rsidR="009722EB">
        <w:t xml:space="preserve"> guidelines from the European Society of Cardiology and European Society of Hypertension (ESC/ESH 2018) recommend that </w:t>
      </w:r>
      <w:r w:rsidR="00AB5361">
        <w:t>HTN</w:t>
      </w:r>
      <w:r w:rsidR="009722EB">
        <w:t xml:space="preserve"> be defined as resistant to treatment after failure of </w:t>
      </w:r>
      <w:r w:rsidR="009722EB" w:rsidRPr="002843FC">
        <w:t>an</w:t>
      </w:r>
      <w:r w:rsidR="009722EB">
        <w:t xml:space="preserve"> </w:t>
      </w:r>
      <w:r w:rsidR="009722EB" w:rsidRPr="002843FC">
        <w:t>appropriate</w:t>
      </w:r>
      <w:r w:rsidR="009722EB">
        <w:t xml:space="preserve"> </w:t>
      </w:r>
      <w:r w:rsidR="009722EB" w:rsidRPr="002843FC">
        <w:t>therapeutic</w:t>
      </w:r>
      <w:r w:rsidR="009722EB">
        <w:t xml:space="preserve"> </w:t>
      </w:r>
      <w:r w:rsidR="009722EB" w:rsidRPr="002843FC">
        <w:t>strategy</w:t>
      </w:r>
      <w:r w:rsidR="009722EB">
        <w:t xml:space="preserve">, </w:t>
      </w:r>
      <w:r w:rsidR="009722EB" w:rsidRPr="002843FC">
        <w:t>which should</w:t>
      </w:r>
      <w:r w:rsidR="009722EB">
        <w:t xml:space="preserve"> </w:t>
      </w:r>
      <w:r w:rsidR="009722EB" w:rsidRPr="002843FC">
        <w:t>include</w:t>
      </w:r>
      <w:r w:rsidR="009722EB">
        <w:t xml:space="preserve"> </w:t>
      </w:r>
      <w:r w:rsidR="009722EB" w:rsidRPr="002843FC">
        <w:t>a</w:t>
      </w:r>
      <w:r w:rsidR="009722EB">
        <w:t xml:space="preserve"> </w:t>
      </w:r>
      <w:r w:rsidR="009722EB" w:rsidRPr="002843FC">
        <w:t>diuretic</w:t>
      </w:r>
      <w:r w:rsidR="00A62F75">
        <w:t xml:space="preserve">. </w:t>
      </w:r>
      <w:r w:rsidR="00741452">
        <w:t xml:space="preserve">The therapeutic strategy would </w:t>
      </w:r>
      <w:r w:rsidR="009722EB" w:rsidRPr="002843FC">
        <w:t>typically</w:t>
      </w:r>
      <w:r w:rsidR="009722EB">
        <w:t xml:space="preserve"> </w:t>
      </w:r>
      <w:r w:rsidR="00741452">
        <w:t xml:space="preserve">involve </w:t>
      </w:r>
      <w:r w:rsidR="009722EB" w:rsidRPr="002843FC">
        <w:t>an</w:t>
      </w:r>
      <w:r w:rsidR="009722EB">
        <w:t xml:space="preserve"> angiotensin-converting enzyme </w:t>
      </w:r>
      <w:r w:rsidR="00741452">
        <w:t>(</w:t>
      </w:r>
      <w:r w:rsidR="009722EB" w:rsidRPr="002843FC">
        <w:t>ACE</w:t>
      </w:r>
      <w:r w:rsidR="00741452">
        <w:t xml:space="preserve">) </w:t>
      </w:r>
      <w:r w:rsidR="009722EB" w:rsidRPr="002843FC">
        <w:t>inhibitor</w:t>
      </w:r>
      <w:r w:rsidR="009722EB">
        <w:t xml:space="preserve"> </w:t>
      </w:r>
      <w:r w:rsidR="009722EB" w:rsidRPr="002843FC">
        <w:t>or</w:t>
      </w:r>
      <w:r w:rsidR="009722EB">
        <w:t xml:space="preserve"> </w:t>
      </w:r>
      <w:r w:rsidR="009722EB" w:rsidRPr="002843FC">
        <w:t>an</w:t>
      </w:r>
      <w:r w:rsidR="009722EB">
        <w:t xml:space="preserve"> angiotensin receptor blocker </w:t>
      </w:r>
      <w:r w:rsidR="00741452">
        <w:t>(</w:t>
      </w:r>
      <w:r w:rsidR="009722EB" w:rsidRPr="002843FC">
        <w:t>ARB</w:t>
      </w:r>
      <w:r w:rsidR="00741452">
        <w:t>)</w:t>
      </w:r>
      <w:r w:rsidR="009722EB">
        <w:t xml:space="preserve"> </w:t>
      </w:r>
      <w:r w:rsidR="009722EB" w:rsidRPr="002843FC">
        <w:t>with</w:t>
      </w:r>
      <w:r w:rsidR="009722EB">
        <w:t xml:space="preserve"> </w:t>
      </w:r>
      <w:r w:rsidR="009722EB" w:rsidRPr="002843FC">
        <w:t>a</w:t>
      </w:r>
      <w:r w:rsidR="009722EB">
        <w:t xml:space="preserve"> calcium channel blocker </w:t>
      </w:r>
      <w:r w:rsidR="009722EB" w:rsidRPr="002843FC">
        <w:t>and</w:t>
      </w:r>
      <w:r w:rsidR="009722EB">
        <w:t xml:space="preserve"> </w:t>
      </w:r>
      <w:r w:rsidR="009722EB" w:rsidRPr="002843FC">
        <w:t>a</w:t>
      </w:r>
      <w:r w:rsidR="009722EB">
        <w:t xml:space="preserve"> </w:t>
      </w:r>
      <w:r w:rsidR="009722EB" w:rsidRPr="002843FC">
        <w:t>thiazide/thiazide-type</w:t>
      </w:r>
      <w:r w:rsidR="009722EB">
        <w:t xml:space="preserve"> </w:t>
      </w:r>
      <w:r w:rsidR="009722EB" w:rsidRPr="002843FC">
        <w:t>diuretic,</w:t>
      </w:r>
    </w:p>
  </w:footnote>
  <w:footnote w:id="9">
    <w:p w14:paraId="706524E1" w14:textId="76B42A2B" w:rsidR="00700BFA" w:rsidRDefault="00700BFA">
      <w:pPr>
        <w:pStyle w:val="FootnoteText"/>
      </w:pPr>
      <w:r>
        <w:rPr>
          <w:rStyle w:val="FootnoteReference"/>
        </w:rPr>
        <w:footnoteRef/>
      </w:r>
      <w:r>
        <w:t xml:space="preserve"> Ettehad </w:t>
      </w:r>
      <w:r w:rsidR="002744EF">
        <w:t xml:space="preserve">D </w:t>
      </w:r>
      <w:r>
        <w:t xml:space="preserve">et al. </w:t>
      </w:r>
      <w:r w:rsidR="00972A41">
        <w:t>(2016) ‘</w:t>
      </w:r>
      <w:r>
        <w:t>Blood pressure lowering for prevention of cardiovascular disease and death: a systematic review and meta-analysis</w:t>
      </w:r>
      <w:r w:rsidR="00972A41">
        <w:t>’,</w:t>
      </w:r>
      <w:r>
        <w:t xml:space="preserve"> </w:t>
      </w:r>
      <w:r w:rsidRPr="00972A41">
        <w:rPr>
          <w:i/>
          <w:iCs/>
        </w:rPr>
        <w:t>Lancet</w:t>
      </w:r>
      <w:r w:rsidR="00972A41">
        <w:t xml:space="preserve">, </w:t>
      </w:r>
      <w:r>
        <w:t>387:957–967</w:t>
      </w:r>
      <w:r w:rsidR="00972A41">
        <w:t>.</w:t>
      </w:r>
    </w:p>
  </w:footnote>
  <w:footnote w:id="10">
    <w:p w14:paraId="548AD886" w14:textId="783CECFF" w:rsidR="0054458B" w:rsidRDefault="0054458B">
      <w:pPr>
        <w:pStyle w:val="FootnoteText"/>
      </w:pPr>
      <w:r>
        <w:rPr>
          <w:rStyle w:val="FootnoteReference"/>
        </w:rPr>
        <w:footnoteRef/>
      </w:r>
      <w:r>
        <w:t xml:space="preserve"> </w:t>
      </w:r>
      <w:r w:rsidRPr="0045573B">
        <w:t xml:space="preserve">Kandzari </w:t>
      </w:r>
      <w:r w:rsidR="000F031A" w:rsidRPr="0045573B">
        <w:t xml:space="preserve">DE </w:t>
      </w:r>
      <w:r w:rsidRPr="0045573B">
        <w:t xml:space="preserve">et al. </w:t>
      </w:r>
      <w:r w:rsidR="00972A41" w:rsidRPr="0045573B">
        <w:t>(2022) ‘</w:t>
      </w:r>
      <w:r w:rsidRPr="00431B40">
        <w:t xml:space="preserve">Clinical </w:t>
      </w:r>
      <w:r w:rsidR="00F20D0F">
        <w:t>t</w:t>
      </w:r>
      <w:r w:rsidRPr="00431B40">
        <w:t xml:space="preserve">rial </w:t>
      </w:r>
      <w:r w:rsidR="00F20D0F">
        <w:t>d</w:t>
      </w:r>
      <w:r w:rsidRPr="00431B40">
        <w:t xml:space="preserve">esign </w:t>
      </w:r>
      <w:r w:rsidR="00F20D0F">
        <w:t>p</w:t>
      </w:r>
      <w:r w:rsidRPr="00431B40">
        <w:t xml:space="preserve">rinciples and </w:t>
      </w:r>
      <w:r w:rsidR="00F20D0F">
        <w:t>o</w:t>
      </w:r>
      <w:r w:rsidRPr="00431B40">
        <w:t xml:space="preserve">utcomes </w:t>
      </w:r>
      <w:r w:rsidR="00F20D0F">
        <w:t>d</w:t>
      </w:r>
      <w:r w:rsidRPr="00431B40">
        <w:t xml:space="preserve">efinitions for </w:t>
      </w:r>
      <w:r w:rsidR="00F20D0F">
        <w:t>d</w:t>
      </w:r>
      <w:r w:rsidRPr="00431B40">
        <w:t>evice-</w:t>
      </w:r>
      <w:r w:rsidR="00F20D0F">
        <w:t>b</w:t>
      </w:r>
      <w:r w:rsidRPr="00431B40">
        <w:t xml:space="preserve">ased </w:t>
      </w:r>
      <w:r w:rsidR="00F20D0F">
        <w:t>t</w:t>
      </w:r>
      <w:r w:rsidRPr="00431B40">
        <w:t xml:space="preserve">herapies for </w:t>
      </w:r>
      <w:r w:rsidR="00F20D0F">
        <w:t>h</w:t>
      </w:r>
      <w:r w:rsidRPr="00431B40">
        <w:t xml:space="preserve">ypertension: A </w:t>
      </w:r>
      <w:r w:rsidR="0042311B">
        <w:t>c</w:t>
      </w:r>
      <w:r w:rsidRPr="00431B40">
        <w:t xml:space="preserve">onsensus </w:t>
      </w:r>
      <w:r w:rsidR="0042311B">
        <w:t>d</w:t>
      </w:r>
      <w:r w:rsidRPr="00431B40">
        <w:t xml:space="preserve">ocument </w:t>
      </w:r>
      <w:r w:rsidR="00F20D0F">
        <w:t>f</w:t>
      </w:r>
      <w:r w:rsidRPr="00431B40">
        <w:t>rom the Hypertension Academic Research Consortium</w:t>
      </w:r>
      <w:r w:rsidR="002F4626">
        <w:t>’,</w:t>
      </w:r>
      <w:r w:rsidRPr="00431B40">
        <w:t xml:space="preserve"> </w:t>
      </w:r>
      <w:r w:rsidRPr="0045573B">
        <w:rPr>
          <w:i/>
          <w:iCs/>
        </w:rPr>
        <w:t>Circulation</w:t>
      </w:r>
      <w:r w:rsidR="002F4626" w:rsidRPr="0045573B">
        <w:t>,</w:t>
      </w:r>
      <w:r w:rsidRPr="0045573B">
        <w:t xml:space="preserve"> 145(11):847-863</w:t>
      </w:r>
      <w:r w:rsidR="002F4626" w:rsidRPr="0045573B">
        <w:t>.</w:t>
      </w:r>
    </w:p>
  </w:footnote>
  <w:footnote w:id="11">
    <w:p w14:paraId="09D30374" w14:textId="3CF007D1" w:rsidR="00306A0D" w:rsidRDefault="00306A0D">
      <w:pPr>
        <w:pStyle w:val="FootnoteText"/>
      </w:pPr>
      <w:r>
        <w:rPr>
          <w:rStyle w:val="FootnoteReference"/>
        </w:rPr>
        <w:footnoteRef/>
      </w:r>
      <w:r>
        <w:t xml:space="preserve"> Mahfoud </w:t>
      </w:r>
      <w:r w:rsidR="001923A1">
        <w:t xml:space="preserve">F </w:t>
      </w:r>
      <w:r>
        <w:t xml:space="preserve">et al. </w:t>
      </w:r>
      <w:r w:rsidR="002F4626">
        <w:t>(2017) ‘</w:t>
      </w:r>
      <w:r>
        <w:t>Proceedings from the 2</w:t>
      </w:r>
      <w:r w:rsidRPr="00A424C8">
        <w:rPr>
          <w:vertAlign w:val="superscript"/>
        </w:rPr>
        <w:t>nd</w:t>
      </w:r>
      <w:r>
        <w:t xml:space="preserve"> European Clinical Consensus Conference for device-based therapies for hypertension: state of the art and considerations for the future</w:t>
      </w:r>
      <w:r w:rsidR="002F4626">
        <w:t>’,</w:t>
      </w:r>
      <w:r>
        <w:t xml:space="preserve"> </w:t>
      </w:r>
      <w:r w:rsidR="002F4626" w:rsidRPr="002F4626">
        <w:rPr>
          <w:i/>
          <w:iCs/>
        </w:rPr>
        <w:t>European Heart Journal</w:t>
      </w:r>
      <w:r w:rsidR="002F4626">
        <w:t xml:space="preserve">, </w:t>
      </w:r>
      <w:r>
        <w:t>38(44):3272-3281</w:t>
      </w:r>
      <w:r w:rsidR="002F4626">
        <w:t>.</w:t>
      </w:r>
    </w:p>
  </w:footnote>
  <w:footnote w:id="12">
    <w:p w14:paraId="698B059B" w14:textId="036A6DEF" w:rsidR="00E62A5F" w:rsidRDefault="00E62A5F">
      <w:pPr>
        <w:pStyle w:val="FootnoteText"/>
      </w:pPr>
      <w:r>
        <w:rPr>
          <w:rStyle w:val="FootnoteReference"/>
        </w:rPr>
        <w:footnoteRef/>
      </w:r>
      <w:r w:rsidR="6D5AE1E9">
        <w:t xml:space="preserve"> </w:t>
      </w:r>
      <w:r w:rsidR="6D5AE1E9" w:rsidRPr="62328A50">
        <w:rPr>
          <w:rStyle w:val="normaltextrun"/>
          <w:rFonts w:ascii="Calibri" w:hAnsi="Calibri" w:cs="Calibri"/>
          <w:color w:val="000000"/>
          <w:shd w:val="clear" w:color="auto" w:fill="FFFFFF"/>
        </w:rPr>
        <w:t> </w:t>
      </w:r>
      <w:r w:rsidR="6D5AE1E9" w:rsidRPr="6D5AE1E9">
        <w:rPr>
          <w:rStyle w:val="normaltextrun"/>
          <w:rFonts w:ascii="Calibri" w:hAnsi="Calibri" w:cs="Calibri"/>
          <w:sz w:val="16"/>
          <w:szCs w:val="16"/>
          <w:shd w:val="clear" w:color="auto" w:fill="FFFFFF"/>
        </w:rPr>
        <w:t>Ettehad D et al. (2016). “Blood pressure lowering for prevention of cardiovascular disease and death: a systematic review and meta-analysis.” Lancet 387(10022):957-967.</w:t>
      </w:r>
      <w:r w:rsidR="6D5AE1E9" w:rsidRPr="6D5AE1E9">
        <w:rPr>
          <w:rStyle w:val="eop"/>
          <w:rFonts w:ascii="Calibri" w:hAnsi="Calibri" w:cs="Calibri"/>
          <w:shd w:val="clear" w:color="auto" w:fill="FFFFFF"/>
        </w:rPr>
        <w:t> </w:t>
      </w:r>
    </w:p>
  </w:footnote>
  <w:footnote w:id="13">
    <w:p w14:paraId="28252873" w14:textId="77DB103C" w:rsidR="0024049E" w:rsidRPr="0045573B" w:rsidRDefault="0024049E" w:rsidP="0024049E">
      <w:pPr>
        <w:pStyle w:val="FootnoteText"/>
        <w:rPr>
          <w:lang w:val="fr-FR"/>
        </w:rPr>
      </w:pPr>
      <w:r>
        <w:rPr>
          <w:rStyle w:val="FootnoteReference"/>
        </w:rPr>
        <w:footnoteRef/>
      </w:r>
      <w:r>
        <w:t xml:space="preserve"> </w:t>
      </w:r>
      <w:r w:rsidR="00681F3B">
        <w:t xml:space="preserve">National Heart Foundation of Australia (2016) ‘Guideline for the diagnosis and management of hypertension in adults’, accessed 30 August 2023. </w:t>
      </w:r>
      <w:hyperlink r:id="rId5" w:tooltip="Hyperlink to NHFA guideline on HTN" w:history="1">
        <w:r w:rsidR="00681F3B" w:rsidRPr="0045573B">
          <w:rPr>
            <w:rStyle w:val="Hyperlink"/>
            <w:lang w:val="fr-FR"/>
          </w:rPr>
          <w:t>https://www.heartfoundation.org.au/bundles/for-professionals/hypertension</w:t>
        </w:r>
      </w:hyperlink>
    </w:p>
  </w:footnote>
  <w:footnote w:id="14">
    <w:p w14:paraId="52930CC4" w14:textId="77777777" w:rsidR="006E6BB4" w:rsidRDefault="006E6BB4" w:rsidP="006E6BB4">
      <w:pPr>
        <w:pStyle w:val="FootnoteText"/>
      </w:pPr>
      <w:r>
        <w:rPr>
          <w:rStyle w:val="FootnoteReference"/>
        </w:rPr>
        <w:footnoteRef/>
      </w:r>
      <w:r w:rsidRPr="0045573B">
        <w:rPr>
          <w:lang w:val="fr-FR"/>
        </w:rPr>
        <w:t xml:space="preserve"> Chew D et al. </w:t>
      </w:r>
      <w:r>
        <w:t>(2016). “National Heart Foundation of Australia &amp; Cardiac Society of Australia and New Zealand: Australian Clinical Guidelines for the Management of Acute Coronary Syndromes 2016.” Heart, Lung and Circulation 25(9): 895-951.</w:t>
      </w:r>
    </w:p>
  </w:footnote>
  <w:footnote w:id="15">
    <w:p w14:paraId="6E5D9ABC" w14:textId="77777777" w:rsidR="006E6BB4" w:rsidRPr="00463395" w:rsidRDefault="006E6BB4" w:rsidP="006E6BB4">
      <w:pPr>
        <w:pStyle w:val="FootnoteText"/>
        <w:rPr>
          <w:rFonts w:ascii="Calibri" w:eastAsia="Calibri" w:hAnsi="Calibri" w:cs="Calibri"/>
          <w:szCs w:val="18"/>
        </w:rPr>
      </w:pPr>
      <w:r w:rsidRPr="003C428C">
        <w:rPr>
          <w:rStyle w:val="FootnoteReference"/>
          <w:szCs w:val="18"/>
        </w:rPr>
        <w:footnoteRef/>
      </w:r>
      <w:r w:rsidRPr="003C428C">
        <w:rPr>
          <w:szCs w:val="18"/>
        </w:rPr>
        <w:t xml:space="preserve"> </w:t>
      </w:r>
      <w:r w:rsidRPr="00463395">
        <w:rPr>
          <w:rFonts w:ascii="Calibri" w:eastAsia="Calibri" w:hAnsi="Calibri" w:cs="Calibri"/>
          <w:szCs w:val="18"/>
        </w:rPr>
        <w:t>Ettehad D et al. (2016). “Blood pressure lowering for prevention of cardiovascular disease and death: a systematic review and meta-analysis.” Lancet 387(10022):957-967.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4481" w14:textId="77777777" w:rsidR="00634656" w:rsidRDefault="00634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F94" w14:textId="77777777" w:rsidR="00634656" w:rsidRDefault="00634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F6B" w14:textId="77777777" w:rsidR="00634656" w:rsidRDefault="0063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2C94F83"/>
    <w:multiLevelType w:val="hybridMultilevel"/>
    <w:tmpl w:val="B3B6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D60C8"/>
    <w:multiLevelType w:val="hybridMultilevel"/>
    <w:tmpl w:val="2948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B68A9"/>
    <w:multiLevelType w:val="hybridMultilevel"/>
    <w:tmpl w:val="D23A8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47AB"/>
    <w:multiLevelType w:val="hybridMultilevel"/>
    <w:tmpl w:val="52D8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5"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F47AF3"/>
    <w:multiLevelType w:val="hybridMultilevel"/>
    <w:tmpl w:val="01BA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E0657"/>
    <w:multiLevelType w:val="hybridMultilevel"/>
    <w:tmpl w:val="3A043C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E545F1"/>
    <w:multiLevelType w:val="hybridMultilevel"/>
    <w:tmpl w:val="E146E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94E7037"/>
    <w:multiLevelType w:val="hybridMultilevel"/>
    <w:tmpl w:val="6E78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35BD5"/>
    <w:multiLevelType w:val="hybridMultilevel"/>
    <w:tmpl w:val="54A6F6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5B67C5F"/>
    <w:multiLevelType w:val="hybridMultilevel"/>
    <w:tmpl w:val="9622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B31EB0"/>
    <w:multiLevelType w:val="hybridMultilevel"/>
    <w:tmpl w:val="1D8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11705B2"/>
    <w:multiLevelType w:val="multilevel"/>
    <w:tmpl w:val="4504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82603B"/>
    <w:multiLevelType w:val="hybridMultilevel"/>
    <w:tmpl w:val="EF2C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130972143">
    <w:abstractNumId w:val="22"/>
  </w:num>
  <w:num w:numId="2" w16cid:durableId="2029990713">
    <w:abstractNumId w:val="13"/>
  </w:num>
  <w:num w:numId="3" w16cid:durableId="1822229335">
    <w:abstractNumId w:val="48"/>
  </w:num>
  <w:num w:numId="4" w16cid:durableId="317852654">
    <w:abstractNumId w:val="23"/>
  </w:num>
  <w:num w:numId="5" w16cid:durableId="398863553">
    <w:abstractNumId w:val="6"/>
  </w:num>
  <w:num w:numId="6" w16cid:durableId="1491209325">
    <w:abstractNumId w:val="14"/>
  </w:num>
  <w:num w:numId="7" w16cid:durableId="1277521270">
    <w:abstractNumId w:val="45"/>
  </w:num>
  <w:num w:numId="8" w16cid:durableId="322200706">
    <w:abstractNumId w:val="16"/>
  </w:num>
  <w:num w:numId="9" w16cid:durableId="1576932241">
    <w:abstractNumId w:val="31"/>
  </w:num>
  <w:num w:numId="10" w16cid:durableId="373122859">
    <w:abstractNumId w:val="41"/>
  </w:num>
  <w:num w:numId="11" w16cid:durableId="1665011003">
    <w:abstractNumId w:val="4"/>
  </w:num>
  <w:num w:numId="12" w16cid:durableId="1730768293">
    <w:abstractNumId w:val="12"/>
  </w:num>
  <w:num w:numId="13" w16cid:durableId="2003001118">
    <w:abstractNumId w:val="18"/>
  </w:num>
  <w:num w:numId="14" w16cid:durableId="1174496428">
    <w:abstractNumId w:val="40"/>
  </w:num>
  <w:num w:numId="15" w16cid:durableId="1724481210">
    <w:abstractNumId w:val="34"/>
  </w:num>
  <w:num w:numId="16" w16cid:durableId="1547718127">
    <w:abstractNumId w:val="47"/>
  </w:num>
  <w:num w:numId="17" w16cid:durableId="296956727">
    <w:abstractNumId w:val="20"/>
  </w:num>
  <w:num w:numId="18" w16cid:durableId="1873567769">
    <w:abstractNumId w:val="39"/>
  </w:num>
  <w:num w:numId="19" w16cid:durableId="424812035">
    <w:abstractNumId w:val="3"/>
  </w:num>
  <w:num w:numId="20" w16cid:durableId="1905799139">
    <w:abstractNumId w:val="37"/>
  </w:num>
  <w:num w:numId="21" w16cid:durableId="345983455">
    <w:abstractNumId w:val="28"/>
  </w:num>
  <w:num w:numId="22" w16cid:durableId="550506370">
    <w:abstractNumId w:val="22"/>
  </w:num>
  <w:num w:numId="23" w16cid:durableId="1030642766">
    <w:abstractNumId w:val="22"/>
  </w:num>
  <w:num w:numId="24" w16cid:durableId="885221252">
    <w:abstractNumId w:val="15"/>
  </w:num>
  <w:num w:numId="25" w16cid:durableId="883374767">
    <w:abstractNumId w:val="19"/>
  </w:num>
  <w:num w:numId="26" w16cid:durableId="1174030744">
    <w:abstractNumId w:val="7"/>
  </w:num>
  <w:num w:numId="27" w16cid:durableId="532500481">
    <w:abstractNumId w:val="1"/>
  </w:num>
  <w:num w:numId="28" w16cid:durableId="1607467082">
    <w:abstractNumId w:val="2"/>
  </w:num>
  <w:num w:numId="29" w16cid:durableId="1430782393">
    <w:abstractNumId w:val="26"/>
  </w:num>
  <w:num w:numId="30" w16cid:durableId="248082191">
    <w:abstractNumId w:val="0"/>
  </w:num>
  <w:num w:numId="31" w16cid:durableId="605113095">
    <w:abstractNumId w:val="21"/>
  </w:num>
  <w:num w:numId="32" w16cid:durableId="1487018271">
    <w:abstractNumId w:val="42"/>
  </w:num>
  <w:num w:numId="33" w16cid:durableId="1580479721">
    <w:abstractNumId w:val="5"/>
  </w:num>
  <w:num w:numId="34" w16cid:durableId="1763065380">
    <w:abstractNumId w:val="17"/>
  </w:num>
  <w:num w:numId="35" w16cid:durableId="1844125625">
    <w:abstractNumId w:val="30"/>
  </w:num>
  <w:num w:numId="36" w16cid:durableId="1354183989">
    <w:abstractNumId w:val="32"/>
  </w:num>
  <w:num w:numId="37" w16cid:durableId="2010982273">
    <w:abstractNumId w:val="22"/>
  </w:num>
  <w:num w:numId="38" w16cid:durableId="213734655">
    <w:abstractNumId w:val="22"/>
  </w:num>
  <w:num w:numId="39" w16cid:durableId="27684638">
    <w:abstractNumId w:val="22"/>
  </w:num>
  <w:num w:numId="40" w16cid:durableId="844245050">
    <w:abstractNumId w:val="22"/>
  </w:num>
  <w:num w:numId="41" w16cid:durableId="682631623">
    <w:abstractNumId w:val="22"/>
  </w:num>
  <w:num w:numId="42" w16cid:durableId="1129861812">
    <w:abstractNumId w:val="22"/>
  </w:num>
  <w:num w:numId="43" w16cid:durableId="1526868444">
    <w:abstractNumId w:val="22"/>
  </w:num>
  <w:num w:numId="44" w16cid:durableId="1272085528">
    <w:abstractNumId w:val="22"/>
  </w:num>
  <w:num w:numId="45" w16cid:durableId="1594243385">
    <w:abstractNumId w:val="22"/>
  </w:num>
  <w:num w:numId="46" w16cid:durableId="1784962825">
    <w:abstractNumId w:val="22"/>
  </w:num>
  <w:num w:numId="47" w16cid:durableId="873037306">
    <w:abstractNumId w:val="22"/>
  </w:num>
  <w:num w:numId="48" w16cid:durableId="1453938344">
    <w:abstractNumId w:val="22"/>
  </w:num>
  <w:num w:numId="49" w16cid:durableId="2114398685">
    <w:abstractNumId w:val="22"/>
  </w:num>
  <w:num w:numId="50" w16cid:durableId="1426875430">
    <w:abstractNumId w:val="22"/>
  </w:num>
  <w:num w:numId="51" w16cid:durableId="431358524">
    <w:abstractNumId w:val="22"/>
  </w:num>
  <w:num w:numId="52" w16cid:durableId="2079474734">
    <w:abstractNumId w:val="22"/>
  </w:num>
  <w:num w:numId="53" w16cid:durableId="84420859">
    <w:abstractNumId w:val="22"/>
  </w:num>
  <w:num w:numId="54" w16cid:durableId="1374381220">
    <w:abstractNumId w:val="22"/>
  </w:num>
  <w:num w:numId="55" w16cid:durableId="579295958">
    <w:abstractNumId w:val="22"/>
  </w:num>
  <w:num w:numId="56" w16cid:durableId="1786459413">
    <w:abstractNumId w:val="22"/>
  </w:num>
  <w:num w:numId="57" w16cid:durableId="566188094">
    <w:abstractNumId w:val="22"/>
  </w:num>
  <w:num w:numId="58" w16cid:durableId="125009827">
    <w:abstractNumId w:val="22"/>
  </w:num>
  <w:num w:numId="59" w16cid:durableId="77558553">
    <w:abstractNumId w:val="22"/>
  </w:num>
  <w:num w:numId="60" w16cid:durableId="1795561850">
    <w:abstractNumId w:val="22"/>
  </w:num>
  <w:num w:numId="61" w16cid:durableId="55974180">
    <w:abstractNumId w:val="22"/>
  </w:num>
  <w:num w:numId="62" w16cid:durableId="1831366741">
    <w:abstractNumId w:val="22"/>
  </w:num>
  <w:num w:numId="63" w16cid:durableId="1860073771">
    <w:abstractNumId w:val="22"/>
  </w:num>
  <w:num w:numId="64" w16cid:durableId="215706039">
    <w:abstractNumId w:val="22"/>
  </w:num>
  <w:num w:numId="65" w16cid:durableId="1680959846">
    <w:abstractNumId w:val="22"/>
  </w:num>
  <w:num w:numId="66" w16cid:durableId="711032174">
    <w:abstractNumId w:val="22"/>
  </w:num>
  <w:num w:numId="67" w16cid:durableId="1921869163">
    <w:abstractNumId w:val="22"/>
  </w:num>
  <w:num w:numId="68" w16cid:durableId="1019962934">
    <w:abstractNumId w:val="22"/>
  </w:num>
  <w:num w:numId="69" w16cid:durableId="769088560">
    <w:abstractNumId w:val="22"/>
  </w:num>
  <w:num w:numId="70" w16cid:durableId="607930407">
    <w:abstractNumId w:val="22"/>
  </w:num>
  <w:num w:numId="71" w16cid:durableId="876047759">
    <w:abstractNumId w:val="22"/>
  </w:num>
  <w:num w:numId="72" w16cid:durableId="266549569">
    <w:abstractNumId w:val="22"/>
  </w:num>
  <w:num w:numId="73" w16cid:durableId="319702641">
    <w:abstractNumId w:val="22"/>
  </w:num>
  <w:num w:numId="74" w16cid:durableId="695542898">
    <w:abstractNumId w:val="22"/>
  </w:num>
  <w:num w:numId="75" w16cid:durableId="378214815">
    <w:abstractNumId w:val="22"/>
  </w:num>
  <w:num w:numId="76" w16cid:durableId="15353491">
    <w:abstractNumId w:val="22"/>
  </w:num>
  <w:num w:numId="77" w16cid:durableId="313147122">
    <w:abstractNumId w:val="22"/>
  </w:num>
  <w:num w:numId="78" w16cid:durableId="984353485">
    <w:abstractNumId w:val="22"/>
  </w:num>
  <w:num w:numId="79" w16cid:durableId="1772123100">
    <w:abstractNumId w:val="22"/>
  </w:num>
  <w:num w:numId="80" w16cid:durableId="1904635724">
    <w:abstractNumId w:val="22"/>
  </w:num>
  <w:num w:numId="81" w16cid:durableId="558327015">
    <w:abstractNumId w:val="22"/>
  </w:num>
  <w:num w:numId="82" w16cid:durableId="334764360">
    <w:abstractNumId w:val="22"/>
  </w:num>
  <w:num w:numId="83" w16cid:durableId="1683818632">
    <w:abstractNumId w:val="22"/>
  </w:num>
  <w:num w:numId="84" w16cid:durableId="37173033">
    <w:abstractNumId w:val="22"/>
  </w:num>
  <w:num w:numId="85" w16cid:durableId="135421359">
    <w:abstractNumId w:val="22"/>
  </w:num>
  <w:num w:numId="86" w16cid:durableId="1453668590">
    <w:abstractNumId w:val="22"/>
  </w:num>
  <w:num w:numId="87" w16cid:durableId="307170171">
    <w:abstractNumId w:val="9"/>
  </w:num>
  <w:num w:numId="88" w16cid:durableId="1395469746">
    <w:abstractNumId w:val="10"/>
  </w:num>
  <w:num w:numId="89" w16cid:durableId="1312295939">
    <w:abstractNumId w:val="38"/>
  </w:num>
  <w:num w:numId="90" w16cid:durableId="1491217832">
    <w:abstractNumId w:val="44"/>
  </w:num>
  <w:num w:numId="91" w16cid:durableId="1694334827">
    <w:abstractNumId w:val="43"/>
  </w:num>
  <w:num w:numId="92" w16cid:durableId="477916387">
    <w:abstractNumId w:val="8"/>
  </w:num>
  <w:num w:numId="93" w16cid:durableId="1904098850">
    <w:abstractNumId w:val="35"/>
  </w:num>
  <w:num w:numId="94" w16cid:durableId="1607494277">
    <w:abstractNumId w:val="29"/>
  </w:num>
  <w:num w:numId="95" w16cid:durableId="2098020429">
    <w:abstractNumId w:val="25"/>
  </w:num>
  <w:num w:numId="96" w16cid:durableId="1100952765">
    <w:abstractNumId w:val="36"/>
  </w:num>
  <w:num w:numId="97" w16cid:durableId="1715303116">
    <w:abstractNumId w:val="33"/>
  </w:num>
  <w:num w:numId="98" w16cid:durableId="2114279519">
    <w:abstractNumId w:val="46"/>
  </w:num>
  <w:num w:numId="99" w16cid:durableId="836771614">
    <w:abstractNumId w:val="24"/>
  </w:num>
  <w:num w:numId="100" w16cid:durableId="1761675913">
    <w:abstractNumId w:val="11"/>
  </w:num>
  <w:num w:numId="101" w16cid:durableId="1612780145">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2EA"/>
    <w:rsid w:val="000003EF"/>
    <w:rsid w:val="000004C4"/>
    <w:rsid w:val="00000829"/>
    <w:rsid w:val="00000B98"/>
    <w:rsid w:val="0000109A"/>
    <w:rsid w:val="000012A4"/>
    <w:rsid w:val="0000146B"/>
    <w:rsid w:val="000018F9"/>
    <w:rsid w:val="00001AE6"/>
    <w:rsid w:val="00001D55"/>
    <w:rsid w:val="00002DC5"/>
    <w:rsid w:val="00003331"/>
    <w:rsid w:val="00004058"/>
    <w:rsid w:val="000040E2"/>
    <w:rsid w:val="0000419A"/>
    <w:rsid w:val="000044EA"/>
    <w:rsid w:val="000047A8"/>
    <w:rsid w:val="000047FB"/>
    <w:rsid w:val="00004891"/>
    <w:rsid w:val="00004A87"/>
    <w:rsid w:val="00004D69"/>
    <w:rsid w:val="00004F7F"/>
    <w:rsid w:val="0000521E"/>
    <w:rsid w:val="000054C9"/>
    <w:rsid w:val="00005644"/>
    <w:rsid w:val="00005657"/>
    <w:rsid w:val="0000580A"/>
    <w:rsid w:val="00005C99"/>
    <w:rsid w:val="000067BD"/>
    <w:rsid w:val="00006B78"/>
    <w:rsid w:val="00006CD2"/>
    <w:rsid w:val="0000773C"/>
    <w:rsid w:val="00007C4D"/>
    <w:rsid w:val="00007D02"/>
    <w:rsid w:val="00007DB6"/>
    <w:rsid w:val="00007F8B"/>
    <w:rsid w:val="0001011C"/>
    <w:rsid w:val="00010C81"/>
    <w:rsid w:val="00011161"/>
    <w:rsid w:val="000111AD"/>
    <w:rsid w:val="00011568"/>
    <w:rsid w:val="000118B3"/>
    <w:rsid w:val="00011959"/>
    <w:rsid w:val="00011E0A"/>
    <w:rsid w:val="00012229"/>
    <w:rsid w:val="000122ED"/>
    <w:rsid w:val="00012CCE"/>
    <w:rsid w:val="000133AC"/>
    <w:rsid w:val="00013439"/>
    <w:rsid w:val="00013492"/>
    <w:rsid w:val="00013645"/>
    <w:rsid w:val="00013733"/>
    <w:rsid w:val="0001373E"/>
    <w:rsid w:val="00013985"/>
    <w:rsid w:val="00013BF7"/>
    <w:rsid w:val="0001422C"/>
    <w:rsid w:val="0001437B"/>
    <w:rsid w:val="000143AA"/>
    <w:rsid w:val="000144E3"/>
    <w:rsid w:val="000145C6"/>
    <w:rsid w:val="000145EA"/>
    <w:rsid w:val="00014974"/>
    <w:rsid w:val="00014CEC"/>
    <w:rsid w:val="00014D10"/>
    <w:rsid w:val="0001504F"/>
    <w:rsid w:val="000152AD"/>
    <w:rsid w:val="0001581B"/>
    <w:rsid w:val="00015A8C"/>
    <w:rsid w:val="00015ADE"/>
    <w:rsid w:val="00015D26"/>
    <w:rsid w:val="00015D3B"/>
    <w:rsid w:val="00015E60"/>
    <w:rsid w:val="000166D2"/>
    <w:rsid w:val="00016731"/>
    <w:rsid w:val="00016958"/>
    <w:rsid w:val="00016B34"/>
    <w:rsid w:val="00017074"/>
    <w:rsid w:val="00017175"/>
    <w:rsid w:val="000173B5"/>
    <w:rsid w:val="0001783C"/>
    <w:rsid w:val="0001789A"/>
    <w:rsid w:val="00017B18"/>
    <w:rsid w:val="00017BA0"/>
    <w:rsid w:val="00017CCA"/>
    <w:rsid w:val="00017DDC"/>
    <w:rsid w:val="00020127"/>
    <w:rsid w:val="0002023E"/>
    <w:rsid w:val="0002038C"/>
    <w:rsid w:val="000203E2"/>
    <w:rsid w:val="00020A07"/>
    <w:rsid w:val="00020A57"/>
    <w:rsid w:val="00020B02"/>
    <w:rsid w:val="00020FAA"/>
    <w:rsid w:val="000218CE"/>
    <w:rsid w:val="00021CAD"/>
    <w:rsid w:val="0002239A"/>
    <w:rsid w:val="000225A6"/>
    <w:rsid w:val="000228B8"/>
    <w:rsid w:val="000228C6"/>
    <w:rsid w:val="00022A0D"/>
    <w:rsid w:val="00022AA4"/>
    <w:rsid w:val="00022B5F"/>
    <w:rsid w:val="000230F7"/>
    <w:rsid w:val="000231F8"/>
    <w:rsid w:val="000233E0"/>
    <w:rsid w:val="000233EE"/>
    <w:rsid w:val="0002364A"/>
    <w:rsid w:val="000237C7"/>
    <w:rsid w:val="000237ED"/>
    <w:rsid w:val="0002381B"/>
    <w:rsid w:val="00023A75"/>
    <w:rsid w:val="000247AA"/>
    <w:rsid w:val="000248CD"/>
    <w:rsid w:val="00024B91"/>
    <w:rsid w:val="00024EA5"/>
    <w:rsid w:val="00024FB5"/>
    <w:rsid w:val="000255FD"/>
    <w:rsid w:val="00025BEA"/>
    <w:rsid w:val="000263A3"/>
    <w:rsid w:val="00026767"/>
    <w:rsid w:val="00026984"/>
    <w:rsid w:val="00026B7C"/>
    <w:rsid w:val="00026C6A"/>
    <w:rsid w:val="00026D07"/>
    <w:rsid w:val="00026E26"/>
    <w:rsid w:val="00026FD0"/>
    <w:rsid w:val="000272D4"/>
    <w:rsid w:val="00027478"/>
    <w:rsid w:val="0002755F"/>
    <w:rsid w:val="00027633"/>
    <w:rsid w:val="000279F3"/>
    <w:rsid w:val="00030063"/>
    <w:rsid w:val="00030227"/>
    <w:rsid w:val="0003032A"/>
    <w:rsid w:val="000305B4"/>
    <w:rsid w:val="000306EF"/>
    <w:rsid w:val="00030B22"/>
    <w:rsid w:val="00030B44"/>
    <w:rsid w:val="00030B55"/>
    <w:rsid w:val="00030D83"/>
    <w:rsid w:val="00030EE8"/>
    <w:rsid w:val="00030F40"/>
    <w:rsid w:val="0003141D"/>
    <w:rsid w:val="0003156D"/>
    <w:rsid w:val="0003176D"/>
    <w:rsid w:val="0003228C"/>
    <w:rsid w:val="000324B8"/>
    <w:rsid w:val="00032560"/>
    <w:rsid w:val="00032671"/>
    <w:rsid w:val="00032C26"/>
    <w:rsid w:val="00032E8F"/>
    <w:rsid w:val="0003423A"/>
    <w:rsid w:val="000343E1"/>
    <w:rsid w:val="00034495"/>
    <w:rsid w:val="0003459B"/>
    <w:rsid w:val="0003466C"/>
    <w:rsid w:val="0003477F"/>
    <w:rsid w:val="00034795"/>
    <w:rsid w:val="00035077"/>
    <w:rsid w:val="000350EE"/>
    <w:rsid w:val="00035497"/>
    <w:rsid w:val="00035C22"/>
    <w:rsid w:val="00035D79"/>
    <w:rsid w:val="00035EE0"/>
    <w:rsid w:val="000361F5"/>
    <w:rsid w:val="0003667A"/>
    <w:rsid w:val="00036771"/>
    <w:rsid w:val="00036AD8"/>
    <w:rsid w:val="00036B12"/>
    <w:rsid w:val="00036B78"/>
    <w:rsid w:val="00036D4E"/>
    <w:rsid w:val="00036E7C"/>
    <w:rsid w:val="00037037"/>
    <w:rsid w:val="00037222"/>
    <w:rsid w:val="00037302"/>
    <w:rsid w:val="00037428"/>
    <w:rsid w:val="00037527"/>
    <w:rsid w:val="000375F6"/>
    <w:rsid w:val="0003760D"/>
    <w:rsid w:val="0003771B"/>
    <w:rsid w:val="00037B44"/>
    <w:rsid w:val="00037CCF"/>
    <w:rsid w:val="0004005D"/>
    <w:rsid w:val="000402EB"/>
    <w:rsid w:val="0004038C"/>
    <w:rsid w:val="000404C5"/>
    <w:rsid w:val="00040550"/>
    <w:rsid w:val="00040ADF"/>
    <w:rsid w:val="00040DD5"/>
    <w:rsid w:val="00040E8F"/>
    <w:rsid w:val="00040FB4"/>
    <w:rsid w:val="000415B1"/>
    <w:rsid w:val="000416FB"/>
    <w:rsid w:val="0004178C"/>
    <w:rsid w:val="00041F5D"/>
    <w:rsid w:val="00042259"/>
    <w:rsid w:val="00042B3D"/>
    <w:rsid w:val="00043603"/>
    <w:rsid w:val="000437AE"/>
    <w:rsid w:val="0004399F"/>
    <w:rsid w:val="00043A10"/>
    <w:rsid w:val="00043EE5"/>
    <w:rsid w:val="00044227"/>
    <w:rsid w:val="000443A6"/>
    <w:rsid w:val="000446D3"/>
    <w:rsid w:val="000449D1"/>
    <w:rsid w:val="00044A31"/>
    <w:rsid w:val="000459B6"/>
    <w:rsid w:val="00045AE8"/>
    <w:rsid w:val="00045AEB"/>
    <w:rsid w:val="00045B8D"/>
    <w:rsid w:val="00045CC5"/>
    <w:rsid w:val="00045D2B"/>
    <w:rsid w:val="00045D5E"/>
    <w:rsid w:val="0004672C"/>
    <w:rsid w:val="000468EA"/>
    <w:rsid w:val="00046B6A"/>
    <w:rsid w:val="00046C5A"/>
    <w:rsid w:val="00047066"/>
    <w:rsid w:val="00047092"/>
    <w:rsid w:val="000472D4"/>
    <w:rsid w:val="00047431"/>
    <w:rsid w:val="0004797D"/>
    <w:rsid w:val="00047BDC"/>
    <w:rsid w:val="00047E91"/>
    <w:rsid w:val="00047F8B"/>
    <w:rsid w:val="0005038D"/>
    <w:rsid w:val="00050404"/>
    <w:rsid w:val="00050886"/>
    <w:rsid w:val="00050979"/>
    <w:rsid w:val="00051E55"/>
    <w:rsid w:val="000521AC"/>
    <w:rsid w:val="000529A0"/>
    <w:rsid w:val="00052C2E"/>
    <w:rsid w:val="00052DB7"/>
    <w:rsid w:val="00052DD3"/>
    <w:rsid w:val="000531EC"/>
    <w:rsid w:val="0005326D"/>
    <w:rsid w:val="0005374A"/>
    <w:rsid w:val="00053888"/>
    <w:rsid w:val="00053A64"/>
    <w:rsid w:val="00053C17"/>
    <w:rsid w:val="00053F6C"/>
    <w:rsid w:val="00054012"/>
    <w:rsid w:val="00054877"/>
    <w:rsid w:val="0005490E"/>
    <w:rsid w:val="00054A9A"/>
    <w:rsid w:val="00054A9C"/>
    <w:rsid w:val="00054D50"/>
    <w:rsid w:val="00054D5F"/>
    <w:rsid w:val="00055306"/>
    <w:rsid w:val="00055581"/>
    <w:rsid w:val="00055822"/>
    <w:rsid w:val="000558A7"/>
    <w:rsid w:val="0005616F"/>
    <w:rsid w:val="000565D3"/>
    <w:rsid w:val="00056815"/>
    <w:rsid w:val="0005684B"/>
    <w:rsid w:val="00056C8B"/>
    <w:rsid w:val="00057C08"/>
    <w:rsid w:val="00057D68"/>
    <w:rsid w:val="00060072"/>
    <w:rsid w:val="00060347"/>
    <w:rsid w:val="000603B5"/>
    <w:rsid w:val="00060533"/>
    <w:rsid w:val="00060863"/>
    <w:rsid w:val="00060B1E"/>
    <w:rsid w:val="00060C0B"/>
    <w:rsid w:val="00060C2F"/>
    <w:rsid w:val="00060C5F"/>
    <w:rsid w:val="000612F0"/>
    <w:rsid w:val="000619BD"/>
    <w:rsid w:val="00061BF6"/>
    <w:rsid w:val="00061CB9"/>
    <w:rsid w:val="00061EB4"/>
    <w:rsid w:val="0006244A"/>
    <w:rsid w:val="000624AB"/>
    <w:rsid w:val="000625C8"/>
    <w:rsid w:val="00062B13"/>
    <w:rsid w:val="00062E3C"/>
    <w:rsid w:val="000632D1"/>
    <w:rsid w:val="0006339C"/>
    <w:rsid w:val="0006368B"/>
    <w:rsid w:val="000639AD"/>
    <w:rsid w:val="00063AD4"/>
    <w:rsid w:val="00063B7B"/>
    <w:rsid w:val="0006423A"/>
    <w:rsid w:val="000642C5"/>
    <w:rsid w:val="00064340"/>
    <w:rsid w:val="00064536"/>
    <w:rsid w:val="00064573"/>
    <w:rsid w:val="00064666"/>
    <w:rsid w:val="00064783"/>
    <w:rsid w:val="000647C2"/>
    <w:rsid w:val="00064E0A"/>
    <w:rsid w:val="00064F19"/>
    <w:rsid w:val="0006511D"/>
    <w:rsid w:val="0006528C"/>
    <w:rsid w:val="00065A16"/>
    <w:rsid w:val="00065A69"/>
    <w:rsid w:val="000666F4"/>
    <w:rsid w:val="00066B77"/>
    <w:rsid w:val="00066E8F"/>
    <w:rsid w:val="00067055"/>
    <w:rsid w:val="000670EA"/>
    <w:rsid w:val="000674E1"/>
    <w:rsid w:val="00067CDB"/>
    <w:rsid w:val="00067CF2"/>
    <w:rsid w:val="0007015D"/>
    <w:rsid w:val="0007021F"/>
    <w:rsid w:val="00070478"/>
    <w:rsid w:val="000709A0"/>
    <w:rsid w:val="00070C9F"/>
    <w:rsid w:val="0007110D"/>
    <w:rsid w:val="000714E4"/>
    <w:rsid w:val="000714F0"/>
    <w:rsid w:val="00071972"/>
    <w:rsid w:val="000719C3"/>
    <w:rsid w:val="00071C3D"/>
    <w:rsid w:val="00071E81"/>
    <w:rsid w:val="00071EEB"/>
    <w:rsid w:val="00072A34"/>
    <w:rsid w:val="00072A8A"/>
    <w:rsid w:val="00072C85"/>
    <w:rsid w:val="00072E64"/>
    <w:rsid w:val="000732BC"/>
    <w:rsid w:val="00073391"/>
    <w:rsid w:val="0007346C"/>
    <w:rsid w:val="000736D3"/>
    <w:rsid w:val="000737A8"/>
    <w:rsid w:val="000739EC"/>
    <w:rsid w:val="00073D5C"/>
    <w:rsid w:val="000740DC"/>
    <w:rsid w:val="0007411A"/>
    <w:rsid w:val="00074199"/>
    <w:rsid w:val="000749F0"/>
    <w:rsid w:val="00074C49"/>
    <w:rsid w:val="00074D3E"/>
    <w:rsid w:val="00074DB8"/>
    <w:rsid w:val="00074DC3"/>
    <w:rsid w:val="00074F0D"/>
    <w:rsid w:val="000752B6"/>
    <w:rsid w:val="00075571"/>
    <w:rsid w:val="0007567D"/>
    <w:rsid w:val="00075B24"/>
    <w:rsid w:val="00075DE9"/>
    <w:rsid w:val="00076380"/>
    <w:rsid w:val="00076566"/>
    <w:rsid w:val="00076868"/>
    <w:rsid w:val="00076DCE"/>
    <w:rsid w:val="00076E9A"/>
    <w:rsid w:val="00076EF9"/>
    <w:rsid w:val="00076F33"/>
    <w:rsid w:val="00076FD6"/>
    <w:rsid w:val="00077218"/>
    <w:rsid w:val="00077504"/>
    <w:rsid w:val="00077733"/>
    <w:rsid w:val="00077833"/>
    <w:rsid w:val="00077C7E"/>
    <w:rsid w:val="00077D8F"/>
    <w:rsid w:val="00077F97"/>
    <w:rsid w:val="00080118"/>
    <w:rsid w:val="00080241"/>
    <w:rsid w:val="000802A8"/>
    <w:rsid w:val="000804D8"/>
    <w:rsid w:val="00080604"/>
    <w:rsid w:val="0008068B"/>
    <w:rsid w:val="00080F92"/>
    <w:rsid w:val="0008112A"/>
    <w:rsid w:val="0008115A"/>
    <w:rsid w:val="00081393"/>
    <w:rsid w:val="00081512"/>
    <w:rsid w:val="0008160B"/>
    <w:rsid w:val="00081778"/>
    <w:rsid w:val="00081818"/>
    <w:rsid w:val="000818A2"/>
    <w:rsid w:val="00081A15"/>
    <w:rsid w:val="00081EB6"/>
    <w:rsid w:val="000822BC"/>
    <w:rsid w:val="00082542"/>
    <w:rsid w:val="0008265E"/>
    <w:rsid w:val="00082981"/>
    <w:rsid w:val="00082ED7"/>
    <w:rsid w:val="000833E5"/>
    <w:rsid w:val="000834D6"/>
    <w:rsid w:val="000834E0"/>
    <w:rsid w:val="000835D3"/>
    <w:rsid w:val="00083804"/>
    <w:rsid w:val="0008386C"/>
    <w:rsid w:val="0008399D"/>
    <w:rsid w:val="00083FC1"/>
    <w:rsid w:val="00084184"/>
    <w:rsid w:val="000841ED"/>
    <w:rsid w:val="000847A7"/>
    <w:rsid w:val="000847E3"/>
    <w:rsid w:val="0008489B"/>
    <w:rsid w:val="00084D84"/>
    <w:rsid w:val="00084E0A"/>
    <w:rsid w:val="00084F9B"/>
    <w:rsid w:val="00085245"/>
    <w:rsid w:val="00085381"/>
    <w:rsid w:val="0008551C"/>
    <w:rsid w:val="0008568A"/>
    <w:rsid w:val="0008574F"/>
    <w:rsid w:val="00085A56"/>
    <w:rsid w:val="000864AA"/>
    <w:rsid w:val="000864B3"/>
    <w:rsid w:val="000864C2"/>
    <w:rsid w:val="000866B9"/>
    <w:rsid w:val="00086853"/>
    <w:rsid w:val="00086DFA"/>
    <w:rsid w:val="00086E5E"/>
    <w:rsid w:val="00086EF2"/>
    <w:rsid w:val="00086FFC"/>
    <w:rsid w:val="00087089"/>
    <w:rsid w:val="000870B6"/>
    <w:rsid w:val="000871C5"/>
    <w:rsid w:val="00087255"/>
    <w:rsid w:val="000873CF"/>
    <w:rsid w:val="00087425"/>
    <w:rsid w:val="000874F7"/>
    <w:rsid w:val="000875AC"/>
    <w:rsid w:val="00087BF8"/>
    <w:rsid w:val="0009006B"/>
    <w:rsid w:val="0009035C"/>
    <w:rsid w:val="00090613"/>
    <w:rsid w:val="00090A81"/>
    <w:rsid w:val="00090BD1"/>
    <w:rsid w:val="00090BE9"/>
    <w:rsid w:val="00090D3B"/>
    <w:rsid w:val="00090EE7"/>
    <w:rsid w:val="00091422"/>
    <w:rsid w:val="0009173D"/>
    <w:rsid w:val="00091857"/>
    <w:rsid w:val="00091ADD"/>
    <w:rsid w:val="00091C59"/>
    <w:rsid w:val="00091E54"/>
    <w:rsid w:val="00092A21"/>
    <w:rsid w:val="00092FD4"/>
    <w:rsid w:val="00093026"/>
    <w:rsid w:val="00093032"/>
    <w:rsid w:val="00093135"/>
    <w:rsid w:val="000931FE"/>
    <w:rsid w:val="00093D9A"/>
    <w:rsid w:val="00094098"/>
    <w:rsid w:val="00094590"/>
    <w:rsid w:val="00094608"/>
    <w:rsid w:val="00094656"/>
    <w:rsid w:val="00094C1A"/>
    <w:rsid w:val="00094DCD"/>
    <w:rsid w:val="000951C1"/>
    <w:rsid w:val="0009521C"/>
    <w:rsid w:val="0009538C"/>
    <w:rsid w:val="000954DD"/>
    <w:rsid w:val="00095763"/>
    <w:rsid w:val="00095975"/>
    <w:rsid w:val="00095A21"/>
    <w:rsid w:val="00095B36"/>
    <w:rsid w:val="00095BFC"/>
    <w:rsid w:val="00095CE5"/>
    <w:rsid w:val="00095D1E"/>
    <w:rsid w:val="00095DC3"/>
    <w:rsid w:val="00095DD9"/>
    <w:rsid w:val="000960A4"/>
    <w:rsid w:val="00096168"/>
    <w:rsid w:val="000962C2"/>
    <w:rsid w:val="00096743"/>
    <w:rsid w:val="00096AA7"/>
    <w:rsid w:val="00096B52"/>
    <w:rsid w:val="000973A1"/>
    <w:rsid w:val="00097514"/>
    <w:rsid w:val="000977DA"/>
    <w:rsid w:val="00097AF6"/>
    <w:rsid w:val="00097B67"/>
    <w:rsid w:val="000A0510"/>
    <w:rsid w:val="000A06C7"/>
    <w:rsid w:val="000A0CC6"/>
    <w:rsid w:val="000A0DB7"/>
    <w:rsid w:val="000A10BF"/>
    <w:rsid w:val="000A1686"/>
    <w:rsid w:val="000A1694"/>
    <w:rsid w:val="000A17CE"/>
    <w:rsid w:val="000A1901"/>
    <w:rsid w:val="000A1A8C"/>
    <w:rsid w:val="000A1BCB"/>
    <w:rsid w:val="000A1CD6"/>
    <w:rsid w:val="000A1EF3"/>
    <w:rsid w:val="000A203C"/>
    <w:rsid w:val="000A22B8"/>
    <w:rsid w:val="000A27F8"/>
    <w:rsid w:val="000A283F"/>
    <w:rsid w:val="000A29B1"/>
    <w:rsid w:val="000A2A90"/>
    <w:rsid w:val="000A2ACD"/>
    <w:rsid w:val="000A2B65"/>
    <w:rsid w:val="000A2DA8"/>
    <w:rsid w:val="000A3D4F"/>
    <w:rsid w:val="000A3D8C"/>
    <w:rsid w:val="000A40DA"/>
    <w:rsid w:val="000A4374"/>
    <w:rsid w:val="000A4F27"/>
    <w:rsid w:val="000A4F57"/>
    <w:rsid w:val="000A50F9"/>
    <w:rsid w:val="000A5194"/>
    <w:rsid w:val="000A5505"/>
    <w:rsid w:val="000A58FA"/>
    <w:rsid w:val="000A5972"/>
    <w:rsid w:val="000A5AB3"/>
    <w:rsid w:val="000A5C47"/>
    <w:rsid w:val="000A5D3D"/>
    <w:rsid w:val="000A5D4B"/>
    <w:rsid w:val="000A629E"/>
    <w:rsid w:val="000A6355"/>
    <w:rsid w:val="000A63FC"/>
    <w:rsid w:val="000A6448"/>
    <w:rsid w:val="000A6679"/>
    <w:rsid w:val="000A6B30"/>
    <w:rsid w:val="000A7295"/>
    <w:rsid w:val="000A73CB"/>
    <w:rsid w:val="000A74FC"/>
    <w:rsid w:val="000A774B"/>
    <w:rsid w:val="000A77D5"/>
    <w:rsid w:val="000B0007"/>
    <w:rsid w:val="000B01C7"/>
    <w:rsid w:val="000B01EE"/>
    <w:rsid w:val="000B04BD"/>
    <w:rsid w:val="000B1099"/>
    <w:rsid w:val="000B12ED"/>
    <w:rsid w:val="000B1B93"/>
    <w:rsid w:val="000B1DE3"/>
    <w:rsid w:val="000B1EB0"/>
    <w:rsid w:val="000B1EF7"/>
    <w:rsid w:val="000B2445"/>
    <w:rsid w:val="000B247A"/>
    <w:rsid w:val="000B25DE"/>
    <w:rsid w:val="000B2833"/>
    <w:rsid w:val="000B2B88"/>
    <w:rsid w:val="000B316E"/>
    <w:rsid w:val="000B3330"/>
    <w:rsid w:val="000B3418"/>
    <w:rsid w:val="000B3794"/>
    <w:rsid w:val="000B3821"/>
    <w:rsid w:val="000B3B7A"/>
    <w:rsid w:val="000B3F60"/>
    <w:rsid w:val="000B43F9"/>
    <w:rsid w:val="000B445B"/>
    <w:rsid w:val="000B46F6"/>
    <w:rsid w:val="000B4F4D"/>
    <w:rsid w:val="000B4FE3"/>
    <w:rsid w:val="000B5144"/>
    <w:rsid w:val="000B5318"/>
    <w:rsid w:val="000B547F"/>
    <w:rsid w:val="000B55D3"/>
    <w:rsid w:val="000B564A"/>
    <w:rsid w:val="000B5828"/>
    <w:rsid w:val="000B59B2"/>
    <w:rsid w:val="000B5CD9"/>
    <w:rsid w:val="000B5E97"/>
    <w:rsid w:val="000B62B7"/>
    <w:rsid w:val="000B6A20"/>
    <w:rsid w:val="000B6BA1"/>
    <w:rsid w:val="000B6CF0"/>
    <w:rsid w:val="000B7012"/>
    <w:rsid w:val="000B720C"/>
    <w:rsid w:val="000B761D"/>
    <w:rsid w:val="000B7665"/>
    <w:rsid w:val="000B7B4A"/>
    <w:rsid w:val="000B7CFC"/>
    <w:rsid w:val="000B7DE1"/>
    <w:rsid w:val="000C0ABA"/>
    <w:rsid w:val="000C0EB1"/>
    <w:rsid w:val="000C158C"/>
    <w:rsid w:val="000C1BDD"/>
    <w:rsid w:val="000C1C64"/>
    <w:rsid w:val="000C1DA0"/>
    <w:rsid w:val="000C270C"/>
    <w:rsid w:val="000C33EC"/>
    <w:rsid w:val="000C34F6"/>
    <w:rsid w:val="000C352A"/>
    <w:rsid w:val="000C3674"/>
    <w:rsid w:val="000C3870"/>
    <w:rsid w:val="000C3E44"/>
    <w:rsid w:val="000C40FD"/>
    <w:rsid w:val="000C4423"/>
    <w:rsid w:val="000C4470"/>
    <w:rsid w:val="000C4495"/>
    <w:rsid w:val="000C451C"/>
    <w:rsid w:val="000C465E"/>
    <w:rsid w:val="000C47F3"/>
    <w:rsid w:val="000C4CB6"/>
    <w:rsid w:val="000C51F7"/>
    <w:rsid w:val="000C5291"/>
    <w:rsid w:val="000C5401"/>
    <w:rsid w:val="000C58DD"/>
    <w:rsid w:val="000C5C44"/>
    <w:rsid w:val="000C5D78"/>
    <w:rsid w:val="000C5E22"/>
    <w:rsid w:val="000C603D"/>
    <w:rsid w:val="000C6054"/>
    <w:rsid w:val="000C6AEF"/>
    <w:rsid w:val="000C6EDF"/>
    <w:rsid w:val="000C7143"/>
    <w:rsid w:val="000C73E3"/>
    <w:rsid w:val="000C7C01"/>
    <w:rsid w:val="000C7C46"/>
    <w:rsid w:val="000C7FC9"/>
    <w:rsid w:val="000D08CA"/>
    <w:rsid w:val="000D0ABE"/>
    <w:rsid w:val="000D0BEB"/>
    <w:rsid w:val="000D0DCF"/>
    <w:rsid w:val="000D0FC5"/>
    <w:rsid w:val="000D1039"/>
    <w:rsid w:val="000D1235"/>
    <w:rsid w:val="000D12CD"/>
    <w:rsid w:val="000D16A8"/>
    <w:rsid w:val="000D1A6C"/>
    <w:rsid w:val="000D1B52"/>
    <w:rsid w:val="000D20E8"/>
    <w:rsid w:val="000D25CA"/>
    <w:rsid w:val="000D263C"/>
    <w:rsid w:val="000D2750"/>
    <w:rsid w:val="000D2A36"/>
    <w:rsid w:val="000D2B89"/>
    <w:rsid w:val="000D2C19"/>
    <w:rsid w:val="000D2DF7"/>
    <w:rsid w:val="000D30C8"/>
    <w:rsid w:val="000D3513"/>
    <w:rsid w:val="000D35B8"/>
    <w:rsid w:val="000D3B42"/>
    <w:rsid w:val="000D3C89"/>
    <w:rsid w:val="000D3D44"/>
    <w:rsid w:val="000D3D4A"/>
    <w:rsid w:val="000D402F"/>
    <w:rsid w:val="000D4814"/>
    <w:rsid w:val="000D49C4"/>
    <w:rsid w:val="000D4C1B"/>
    <w:rsid w:val="000D4EEC"/>
    <w:rsid w:val="000D4F27"/>
    <w:rsid w:val="000D537C"/>
    <w:rsid w:val="000D5523"/>
    <w:rsid w:val="000D579E"/>
    <w:rsid w:val="000D58E8"/>
    <w:rsid w:val="000D5961"/>
    <w:rsid w:val="000D59E7"/>
    <w:rsid w:val="000D5B1C"/>
    <w:rsid w:val="000D5DFD"/>
    <w:rsid w:val="000D609E"/>
    <w:rsid w:val="000D6232"/>
    <w:rsid w:val="000D6674"/>
    <w:rsid w:val="000D67B1"/>
    <w:rsid w:val="000D696D"/>
    <w:rsid w:val="000D6B0B"/>
    <w:rsid w:val="000D6D6C"/>
    <w:rsid w:val="000D6DE6"/>
    <w:rsid w:val="000D7190"/>
    <w:rsid w:val="000D7584"/>
    <w:rsid w:val="000D78A4"/>
    <w:rsid w:val="000D78AC"/>
    <w:rsid w:val="000D7CA2"/>
    <w:rsid w:val="000D7D17"/>
    <w:rsid w:val="000E0286"/>
    <w:rsid w:val="000E03DC"/>
    <w:rsid w:val="000E0412"/>
    <w:rsid w:val="000E092F"/>
    <w:rsid w:val="000E10B6"/>
    <w:rsid w:val="000E1124"/>
    <w:rsid w:val="000E1198"/>
    <w:rsid w:val="000E1417"/>
    <w:rsid w:val="000E164D"/>
    <w:rsid w:val="000E1969"/>
    <w:rsid w:val="000E1A89"/>
    <w:rsid w:val="000E1CE0"/>
    <w:rsid w:val="000E1FDE"/>
    <w:rsid w:val="000E23F3"/>
    <w:rsid w:val="000E2401"/>
    <w:rsid w:val="000E257E"/>
    <w:rsid w:val="000E31E2"/>
    <w:rsid w:val="000E31E7"/>
    <w:rsid w:val="000E3658"/>
    <w:rsid w:val="000E375C"/>
    <w:rsid w:val="000E382C"/>
    <w:rsid w:val="000E3A1D"/>
    <w:rsid w:val="000E3E54"/>
    <w:rsid w:val="000E4567"/>
    <w:rsid w:val="000E49E5"/>
    <w:rsid w:val="000E4FFF"/>
    <w:rsid w:val="000E503E"/>
    <w:rsid w:val="000E5427"/>
    <w:rsid w:val="000E5531"/>
    <w:rsid w:val="000E5BB8"/>
    <w:rsid w:val="000E5D39"/>
    <w:rsid w:val="000E5EA8"/>
    <w:rsid w:val="000E60E0"/>
    <w:rsid w:val="000E614A"/>
    <w:rsid w:val="000E6410"/>
    <w:rsid w:val="000E678B"/>
    <w:rsid w:val="000E67FF"/>
    <w:rsid w:val="000E7022"/>
    <w:rsid w:val="000E75EC"/>
    <w:rsid w:val="000E7644"/>
    <w:rsid w:val="000E76C8"/>
    <w:rsid w:val="000E785A"/>
    <w:rsid w:val="000E7EB5"/>
    <w:rsid w:val="000F031A"/>
    <w:rsid w:val="000F0616"/>
    <w:rsid w:val="000F0B66"/>
    <w:rsid w:val="000F15C2"/>
    <w:rsid w:val="000F1C77"/>
    <w:rsid w:val="000F224E"/>
    <w:rsid w:val="000F226D"/>
    <w:rsid w:val="000F22BA"/>
    <w:rsid w:val="000F25CC"/>
    <w:rsid w:val="000F27BF"/>
    <w:rsid w:val="000F2947"/>
    <w:rsid w:val="000F29FF"/>
    <w:rsid w:val="000F2E01"/>
    <w:rsid w:val="000F30CE"/>
    <w:rsid w:val="000F3202"/>
    <w:rsid w:val="000F339E"/>
    <w:rsid w:val="000F3483"/>
    <w:rsid w:val="000F34FC"/>
    <w:rsid w:val="000F36E2"/>
    <w:rsid w:val="000F38B8"/>
    <w:rsid w:val="000F39BF"/>
    <w:rsid w:val="000F3A99"/>
    <w:rsid w:val="000F3C4D"/>
    <w:rsid w:val="000F3D31"/>
    <w:rsid w:val="000F3D69"/>
    <w:rsid w:val="000F41E5"/>
    <w:rsid w:val="000F43EA"/>
    <w:rsid w:val="000F46EB"/>
    <w:rsid w:val="000F4769"/>
    <w:rsid w:val="000F48C2"/>
    <w:rsid w:val="000F49F1"/>
    <w:rsid w:val="000F49F5"/>
    <w:rsid w:val="000F4B1C"/>
    <w:rsid w:val="000F5A54"/>
    <w:rsid w:val="000F5BFF"/>
    <w:rsid w:val="000F66AF"/>
    <w:rsid w:val="000F701B"/>
    <w:rsid w:val="000F7141"/>
    <w:rsid w:val="000F732E"/>
    <w:rsid w:val="000F7494"/>
    <w:rsid w:val="000F7495"/>
    <w:rsid w:val="000F78DE"/>
    <w:rsid w:val="000F792C"/>
    <w:rsid w:val="000F795E"/>
    <w:rsid w:val="000F7987"/>
    <w:rsid w:val="000F7A8F"/>
    <w:rsid w:val="000F7B98"/>
    <w:rsid w:val="000F7D54"/>
    <w:rsid w:val="0010011B"/>
    <w:rsid w:val="00100346"/>
    <w:rsid w:val="0010051C"/>
    <w:rsid w:val="00100923"/>
    <w:rsid w:val="001012BF"/>
    <w:rsid w:val="001014A2"/>
    <w:rsid w:val="00101753"/>
    <w:rsid w:val="00101933"/>
    <w:rsid w:val="00101FB5"/>
    <w:rsid w:val="00101FF0"/>
    <w:rsid w:val="00102216"/>
    <w:rsid w:val="00102240"/>
    <w:rsid w:val="00102818"/>
    <w:rsid w:val="0010315A"/>
    <w:rsid w:val="001040DA"/>
    <w:rsid w:val="0010448B"/>
    <w:rsid w:val="001048A2"/>
    <w:rsid w:val="00104BA2"/>
    <w:rsid w:val="00104C09"/>
    <w:rsid w:val="00104F04"/>
    <w:rsid w:val="0010521F"/>
    <w:rsid w:val="0010522D"/>
    <w:rsid w:val="00105309"/>
    <w:rsid w:val="00105796"/>
    <w:rsid w:val="00105887"/>
    <w:rsid w:val="00105AA5"/>
    <w:rsid w:val="0010625A"/>
    <w:rsid w:val="001063FF"/>
    <w:rsid w:val="0010665A"/>
    <w:rsid w:val="0010672A"/>
    <w:rsid w:val="001068BB"/>
    <w:rsid w:val="00106A36"/>
    <w:rsid w:val="00106E5E"/>
    <w:rsid w:val="001070DB"/>
    <w:rsid w:val="0010713F"/>
    <w:rsid w:val="00107262"/>
    <w:rsid w:val="00107524"/>
    <w:rsid w:val="00107A29"/>
    <w:rsid w:val="00107AA3"/>
    <w:rsid w:val="00107DCD"/>
    <w:rsid w:val="00107EF0"/>
    <w:rsid w:val="00110363"/>
    <w:rsid w:val="001103EC"/>
    <w:rsid w:val="001105F3"/>
    <w:rsid w:val="00110896"/>
    <w:rsid w:val="00110B0A"/>
    <w:rsid w:val="00110F40"/>
    <w:rsid w:val="001110EC"/>
    <w:rsid w:val="001111F7"/>
    <w:rsid w:val="001112A9"/>
    <w:rsid w:val="00111417"/>
    <w:rsid w:val="001119A3"/>
    <w:rsid w:val="001119F3"/>
    <w:rsid w:val="00111D02"/>
    <w:rsid w:val="00111DDB"/>
    <w:rsid w:val="00111F15"/>
    <w:rsid w:val="00112427"/>
    <w:rsid w:val="00112625"/>
    <w:rsid w:val="00112814"/>
    <w:rsid w:val="00112DAE"/>
    <w:rsid w:val="00112DCC"/>
    <w:rsid w:val="00113425"/>
    <w:rsid w:val="00113C60"/>
    <w:rsid w:val="00113FCD"/>
    <w:rsid w:val="0011416F"/>
    <w:rsid w:val="00114333"/>
    <w:rsid w:val="0011434D"/>
    <w:rsid w:val="00114A85"/>
    <w:rsid w:val="00114C3B"/>
    <w:rsid w:val="00114D87"/>
    <w:rsid w:val="00114FD6"/>
    <w:rsid w:val="001150A2"/>
    <w:rsid w:val="00115691"/>
    <w:rsid w:val="001157DE"/>
    <w:rsid w:val="00115F32"/>
    <w:rsid w:val="0011683D"/>
    <w:rsid w:val="00116ADE"/>
    <w:rsid w:val="00116D9C"/>
    <w:rsid w:val="00116DDC"/>
    <w:rsid w:val="00117039"/>
    <w:rsid w:val="00117F04"/>
    <w:rsid w:val="00120151"/>
    <w:rsid w:val="00120514"/>
    <w:rsid w:val="001206C6"/>
    <w:rsid w:val="00120B5C"/>
    <w:rsid w:val="00120BD0"/>
    <w:rsid w:val="00120BD3"/>
    <w:rsid w:val="00120EB1"/>
    <w:rsid w:val="001210A9"/>
    <w:rsid w:val="00121868"/>
    <w:rsid w:val="00121B7C"/>
    <w:rsid w:val="00121BF0"/>
    <w:rsid w:val="00121E0B"/>
    <w:rsid w:val="001226E9"/>
    <w:rsid w:val="00122962"/>
    <w:rsid w:val="00122AE3"/>
    <w:rsid w:val="00122EE1"/>
    <w:rsid w:val="00122F95"/>
    <w:rsid w:val="00123411"/>
    <w:rsid w:val="0012345E"/>
    <w:rsid w:val="00123658"/>
    <w:rsid w:val="001237AF"/>
    <w:rsid w:val="001239C6"/>
    <w:rsid w:val="00123B47"/>
    <w:rsid w:val="00123B71"/>
    <w:rsid w:val="00123F7B"/>
    <w:rsid w:val="0012414F"/>
    <w:rsid w:val="00124719"/>
    <w:rsid w:val="001247EB"/>
    <w:rsid w:val="001248B7"/>
    <w:rsid w:val="00124F3C"/>
    <w:rsid w:val="00125059"/>
    <w:rsid w:val="00125311"/>
    <w:rsid w:val="00125486"/>
    <w:rsid w:val="001259FD"/>
    <w:rsid w:val="00125A55"/>
    <w:rsid w:val="00125B61"/>
    <w:rsid w:val="00126024"/>
    <w:rsid w:val="00126122"/>
    <w:rsid w:val="0012640B"/>
    <w:rsid w:val="00126535"/>
    <w:rsid w:val="00126B3E"/>
    <w:rsid w:val="00126CCC"/>
    <w:rsid w:val="00126E80"/>
    <w:rsid w:val="00127382"/>
    <w:rsid w:val="0012778C"/>
    <w:rsid w:val="0012790E"/>
    <w:rsid w:val="00127D07"/>
    <w:rsid w:val="00127E43"/>
    <w:rsid w:val="00127FAF"/>
    <w:rsid w:val="00130673"/>
    <w:rsid w:val="001309ED"/>
    <w:rsid w:val="00130C07"/>
    <w:rsid w:val="00130D4E"/>
    <w:rsid w:val="00130FCC"/>
    <w:rsid w:val="001313CC"/>
    <w:rsid w:val="001313E4"/>
    <w:rsid w:val="00131D45"/>
    <w:rsid w:val="00131EF0"/>
    <w:rsid w:val="001320F0"/>
    <w:rsid w:val="00132B91"/>
    <w:rsid w:val="00132DF2"/>
    <w:rsid w:val="00132F63"/>
    <w:rsid w:val="0013311E"/>
    <w:rsid w:val="0013326E"/>
    <w:rsid w:val="00133332"/>
    <w:rsid w:val="001336E0"/>
    <w:rsid w:val="00133D8A"/>
    <w:rsid w:val="00133F34"/>
    <w:rsid w:val="00134020"/>
    <w:rsid w:val="001341D7"/>
    <w:rsid w:val="001345F1"/>
    <w:rsid w:val="001347A8"/>
    <w:rsid w:val="001347B8"/>
    <w:rsid w:val="00134E17"/>
    <w:rsid w:val="00135273"/>
    <w:rsid w:val="0013542A"/>
    <w:rsid w:val="001354E8"/>
    <w:rsid w:val="0013556D"/>
    <w:rsid w:val="00135710"/>
    <w:rsid w:val="00135981"/>
    <w:rsid w:val="00135B88"/>
    <w:rsid w:val="00135FC9"/>
    <w:rsid w:val="001361B8"/>
    <w:rsid w:val="001362CC"/>
    <w:rsid w:val="0013658C"/>
    <w:rsid w:val="001366EC"/>
    <w:rsid w:val="0013689D"/>
    <w:rsid w:val="00136B29"/>
    <w:rsid w:val="00136E56"/>
    <w:rsid w:val="00136F44"/>
    <w:rsid w:val="00137240"/>
    <w:rsid w:val="001372D8"/>
    <w:rsid w:val="00137595"/>
    <w:rsid w:val="00137749"/>
    <w:rsid w:val="00137797"/>
    <w:rsid w:val="00137DA4"/>
    <w:rsid w:val="0014017F"/>
    <w:rsid w:val="00140240"/>
    <w:rsid w:val="00140358"/>
    <w:rsid w:val="001404E3"/>
    <w:rsid w:val="001407FC"/>
    <w:rsid w:val="0014083A"/>
    <w:rsid w:val="001408B3"/>
    <w:rsid w:val="00140B53"/>
    <w:rsid w:val="00140D10"/>
    <w:rsid w:val="0014116B"/>
    <w:rsid w:val="001412FC"/>
    <w:rsid w:val="0014186C"/>
    <w:rsid w:val="00141A9F"/>
    <w:rsid w:val="00141E45"/>
    <w:rsid w:val="001420FC"/>
    <w:rsid w:val="00142340"/>
    <w:rsid w:val="001426AF"/>
    <w:rsid w:val="0014284F"/>
    <w:rsid w:val="0014298C"/>
    <w:rsid w:val="00142D5F"/>
    <w:rsid w:val="00142DB7"/>
    <w:rsid w:val="00142F70"/>
    <w:rsid w:val="00143478"/>
    <w:rsid w:val="001436D3"/>
    <w:rsid w:val="00143715"/>
    <w:rsid w:val="001437E5"/>
    <w:rsid w:val="00143811"/>
    <w:rsid w:val="00143F2F"/>
    <w:rsid w:val="0014443A"/>
    <w:rsid w:val="0014458A"/>
    <w:rsid w:val="001447EA"/>
    <w:rsid w:val="001449A4"/>
    <w:rsid w:val="00144A02"/>
    <w:rsid w:val="00144ECD"/>
    <w:rsid w:val="0014539D"/>
    <w:rsid w:val="00145A44"/>
    <w:rsid w:val="00145E65"/>
    <w:rsid w:val="00146041"/>
    <w:rsid w:val="00146624"/>
    <w:rsid w:val="00146A20"/>
    <w:rsid w:val="00146B27"/>
    <w:rsid w:val="00146E0E"/>
    <w:rsid w:val="00146F57"/>
    <w:rsid w:val="00147020"/>
    <w:rsid w:val="001471BC"/>
    <w:rsid w:val="0014759C"/>
    <w:rsid w:val="001476A7"/>
    <w:rsid w:val="00147C7C"/>
    <w:rsid w:val="00150376"/>
    <w:rsid w:val="00150498"/>
    <w:rsid w:val="0015058B"/>
    <w:rsid w:val="00150598"/>
    <w:rsid w:val="001507E6"/>
    <w:rsid w:val="00150860"/>
    <w:rsid w:val="00150935"/>
    <w:rsid w:val="00150CBF"/>
    <w:rsid w:val="00150D18"/>
    <w:rsid w:val="00150F4E"/>
    <w:rsid w:val="0015117B"/>
    <w:rsid w:val="00151493"/>
    <w:rsid w:val="001516AD"/>
    <w:rsid w:val="001516E3"/>
    <w:rsid w:val="0015183C"/>
    <w:rsid w:val="001519D1"/>
    <w:rsid w:val="001519F6"/>
    <w:rsid w:val="00151AFB"/>
    <w:rsid w:val="00151CF0"/>
    <w:rsid w:val="00151D5A"/>
    <w:rsid w:val="00151DBD"/>
    <w:rsid w:val="00151FCF"/>
    <w:rsid w:val="001526E1"/>
    <w:rsid w:val="00152DD4"/>
    <w:rsid w:val="0015301D"/>
    <w:rsid w:val="001531D6"/>
    <w:rsid w:val="0015321F"/>
    <w:rsid w:val="001533F0"/>
    <w:rsid w:val="00153603"/>
    <w:rsid w:val="001536E6"/>
    <w:rsid w:val="00153C28"/>
    <w:rsid w:val="00153C79"/>
    <w:rsid w:val="00153CA7"/>
    <w:rsid w:val="00153D5C"/>
    <w:rsid w:val="00153E81"/>
    <w:rsid w:val="001542C7"/>
    <w:rsid w:val="001545E9"/>
    <w:rsid w:val="001548D1"/>
    <w:rsid w:val="0015492F"/>
    <w:rsid w:val="00154A4E"/>
    <w:rsid w:val="00154B5F"/>
    <w:rsid w:val="00154C9F"/>
    <w:rsid w:val="00154DF1"/>
    <w:rsid w:val="001551F0"/>
    <w:rsid w:val="00155434"/>
    <w:rsid w:val="001556B6"/>
    <w:rsid w:val="001558AD"/>
    <w:rsid w:val="0015598E"/>
    <w:rsid w:val="00155A0E"/>
    <w:rsid w:val="00155A3F"/>
    <w:rsid w:val="00155BDA"/>
    <w:rsid w:val="00155C2A"/>
    <w:rsid w:val="001565F6"/>
    <w:rsid w:val="001569A8"/>
    <w:rsid w:val="00156FA7"/>
    <w:rsid w:val="0015711E"/>
    <w:rsid w:val="00157403"/>
    <w:rsid w:val="001577DB"/>
    <w:rsid w:val="00157D96"/>
    <w:rsid w:val="00157E9C"/>
    <w:rsid w:val="0016023A"/>
    <w:rsid w:val="00160725"/>
    <w:rsid w:val="00160ADC"/>
    <w:rsid w:val="0016108A"/>
    <w:rsid w:val="0016132B"/>
    <w:rsid w:val="001613DA"/>
    <w:rsid w:val="001614CF"/>
    <w:rsid w:val="001616C0"/>
    <w:rsid w:val="001616FD"/>
    <w:rsid w:val="00161721"/>
    <w:rsid w:val="0016188C"/>
    <w:rsid w:val="00161FD3"/>
    <w:rsid w:val="00162201"/>
    <w:rsid w:val="00162394"/>
    <w:rsid w:val="001624C6"/>
    <w:rsid w:val="00162568"/>
    <w:rsid w:val="00162744"/>
    <w:rsid w:val="001627F8"/>
    <w:rsid w:val="00162801"/>
    <w:rsid w:val="00162CC6"/>
    <w:rsid w:val="00162D2B"/>
    <w:rsid w:val="00162D8F"/>
    <w:rsid w:val="00162DBF"/>
    <w:rsid w:val="00162F3C"/>
    <w:rsid w:val="00162FB3"/>
    <w:rsid w:val="0016301D"/>
    <w:rsid w:val="00163440"/>
    <w:rsid w:val="00163463"/>
    <w:rsid w:val="00163572"/>
    <w:rsid w:val="001635F5"/>
    <w:rsid w:val="0016363A"/>
    <w:rsid w:val="00163A55"/>
    <w:rsid w:val="00163E3B"/>
    <w:rsid w:val="00163FE3"/>
    <w:rsid w:val="0016437C"/>
    <w:rsid w:val="001643BA"/>
    <w:rsid w:val="001643D2"/>
    <w:rsid w:val="00164541"/>
    <w:rsid w:val="00164731"/>
    <w:rsid w:val="001648E8"/>
    <w:rsid w:val="00164A2E"/>
    <w:rsid w:val="00164AF8"/>
    <w:rsid w:val="00164CF8"/>
    <w:rsid w:val="00164F74"/>
    <w:rsid w:val="0016514E"/>
    <w:rsid w:val="001653AE"/>
    <w:rsid w:val="00165C14"/>
    <w:rsid w:val="00165D26"/>
    <w:rsid w:val="00165F13"/>
    <w:rsid w:val="0016673F"/>
    <w:rsid w:val="00166944"/>
    <w:rsid w:val="00166B78"/>
    <w:rsid w:val="00167056"/>
    <w:rsid w:val="0016718C"/>
    <w:rsid w:val="001678C3"/>
    <w:rsid w:val="001678C7"/>
    <w:rsid w:val="00167AAA"/>
    <w:rsid w:val="00167C14"/>
    <w:rsid w:val="00167C58"/>
    <w:rsid w:val="00167D85"/>
    <w:rsid w:val="00170444"/>
    <w:rsid w:val="001704B5"/>
    <w:rsid w:val="001708C1"/>
    <w:rsid w:val="00170D5B"/>
    <w:rsid w:val="001711F1"/>
    <w:rsid w:val="00171A58"/>
    <w:rsid w:val="00172488"/>
    <w:rsid w:val="001724C7"/>
    <w:rsid w:val="00172933"/>
    <w:rsid w:val="001729AD"/>
    <w:rsid w:val="00172B8F"/>
    <w:rsid w:val="00172E17"/>
    <w:rsid w:val="00173002"/>
    <w:rsid w:val="001733CA"/>
    <w:rsid w:val="001734C0"/>
    <w:rsid w:val="001736F8"/>
    <w:rsid w:val="00173C0A"/>
    <w:rsid w:val="00173D85"/>
    <w:rsid w:val="00174F11"/>
    <w:rsid w:val="00174F2C"/>
    <w:rsid w:val="00174FD4"/>
    <w:rsid w:val="0017501B"/>
    <w:rsid w:val="00175C2F"/>
    <w:rsid w:val="00175D88"/>
    <w:rsid w:val="00176248"/>
    <w:rsid w:val="00176D0E"/>
    <w:rsid w:val="0018037B"/>
    <w:rsid w:val="001807E6"/>
    <w:rsid w:val="00180CB1"/>
    <w:rsid w:val="00180D10"/>
    <w:rsid w:val="001812A2"/>
    <w:rsid w:val="001812E2"/>
    <w:rsid w:val="00181300"/>
    <w:rsid w:val="001813CD"/>
    <w:rsid w:val="001813D3"/>
    <w:rsid w:val="00181493"/>
    <w:rsid w:val="00181552"/>
    <w:rsid w:val="0018196E"/>
    <w:rsid w:val="00182559"/>
    <w:rsid w:val="00182916"/>
    <w:rsid w:val="00182ADD"/>
    <w:rsid w:val="00182DE6"/>
    <w:rsid w:val="00182E2D"/>
    <w:rsid w:val="00183093"/>
    <w:rsid w:val="001831EE"/>
    <w:rsid w:val="0018326D"/>
    <w:rsid w:val="00183274"/>
    <w:rsid w:val="00183299"/>
    <w:rsid w:val="001840C8"/>
    <w:rsid w:val="001841A5"/>
    <w:rsid w:val="00184202"/>
    <w:rsid w:val="00184528"/>
    <w:rsid w:val="00184803"/>
    <w:rsid w:val="001849D2"/>
    <w:rsid w:val="00184A83"/>
    <w:rsid w:val="00184BAE"/>
    <w:rsid w:val="00184C68"/>
    <w:rsid w:val="0018597B"/>
    <w:rsid w:val="00185B3B"/>
    <w:rsid w:val="0018635F"/>
    <w:rsid w:val="0018648B"/>
    <w:rsid w:val="0018651F"/>
    <w:rsid w:val="00186642"/>
    <w:rsid w:val="00186AE5"/>
    <w:rsid w:val="00186CA7"/>
    <w:rsid w:val="0018704F"/>
    <w:rsid w:val="001870CB"/>
    <w:rsid w:val="0018780C"/>
    <w:rsid w:val="00187EF3"/>
    <w:rsid w:val="00187FD2"/>
    <w:rsid w:val="0019006D"/>
    <w:rsid w:val="00190097"/>
    <w:rsid w:val="001903F3"/>
    <w:rsid w:val="00190AF7"/>
    <w:rsid w:val="00190ED1"/>
    <w:rsid w:val="00190F33"/>
    <w:rsid w:val="0019117E"/>
    <w:rsid w:val="001914ED"/>
    <w:rsid w:val="001915D5"/>
    <w:rsid w:val="00191760"/>
    <w:rsid w:val="00191A78"/>
    <w:rsid w:val="00191FD3"/>
    <w:rsid w:val="001923A1"/>
    <w:rsid w:val="001925BE"/>
    <w:rsid w:val="001927B6"/>
    <w:rsid w:val="00192D12"/>
    <w:rsid w:val="00192D9E"/>
    <w:rsid w:val="001930FB"/>
    <w:rsid w:val="00193187"/>
    <w:rsid w:val="001934FC"/>
    <w:rsid w:val="0019362A"/>
    <w:rsid w:val="001938F6"/>
    <w:rsid w:val="00193A3D"/>
    <w:rsid w:val="00193DA7"/>
    <w:rsid w:val="00193FE8"/>
    <w:rsid w:val="00194109"/>
    <w:rsid w:val="0019453B"/>
    <w:rsid w:val="0019474E"/>
    <w:rsid w:val="00194B73"/>
    <w:rsid w:val="00194E5E"/>
    <w:rsid w:val="00195058"/>
    <w:rsid w:val="00195092"/>
    <w:rsid w:val="001953A4"/>
    <w:rsid w:val="00195462"/>
    <w:rsid w:val="00195505"/>
    <w:rsid w:val="00195537"/>
    <w:rsid w:val="00195627"/>
    <w:rsid w:val="00195728"/>
    <w:rsid w:val="00195C7B"/>
    <w:rsid w:val="001960C9"/>
    <w:rsid w:val="001970C0"/>
    <w:rsid w:val="0019750D"/>
    <w:rsid w:val="001978EB"/>
    <w:rsid w:val="00197B92"/>
    <w:rsid w:val="00197BE2"/>
    <w:rsid w:val="001A00D0"/>
    <w:rsid w:val="001A011A"/>
    <w:rsid w:val="001A0211"/>
    <w:rsid w:val="001A03E4"/>
    <w:rsid w:val="001A047B"/>
    <w:rsid w:val="001A07F2"/>
    <w:rsid w:val="001A0A9F"/>
    <w:rsid w:val="001A0B5D"/>
    <w:rsid w:val="001A0C5C"/>
    <w:rsid w:val="001A0C65"/>
    <w:rsid w:val="001A1057"/>
    <w:rsid w:val="001A1216"/>
    <w:rsid w:val="001A1815"/>
    <w:rsid w:val="001A1834"/>
    <w:rsid w:val="001A1923"/>
    <w:rsid w:val="001A1C04"/>
    <w:rsid w:val="001A1CB7"/>
    <w:rsid w:val="001A2538"/>
    <w:rsid w:val="001A2BF3"/>
    <w:rsid w:val="001A2C7C"/>
    <w:rsid w:val="001A2D03"/>
    <w:rsid w:val="001A32B0"/>
    <w:rsid w:val="001A35A4"/>
    <w:rsid w:val="001A3972"/>
    <w:rsid w:val="001A3BE0"/>
    <w:rsid w:val="001A3D91"/>
    <w:rsid w:val="001A3E9A"/>
    <w:rsid w:val="001A3FBD"/>
    <w:rsid w:val="001A420B"/>
    <w:rsid w:val="001A4671"/>
    <w:rsid w:val="001A46BF"/>
    <w:rsid w:val="001A4924"/>
    <w:rsid w:val="001A4A32"/>
    <w:rsid w:val="001A4B97"/>
    <w:rsid w:val="001A4E44"/>
    <w:rsid w:val="001A4F7D"/>
    <w:rsid w:val="001A5047"/>
    <w:rsid w:val="001A50BF"/>
    <w:rsid w:val="001A50C3"/>
    <w:rsid w:val="001A5461"/>
    <w:rsid w:val="001A5A4A"/>
    <w:rsid w:val="001A5F79"/>
    <w:rsid w:val="001A651D"/>
    <w:rsid w:val="001A6A86"/>
    <w:rsid w:val="001A6E80"/>
    <w:rsid w:val="001A73C7"/>
    <w:rsid w:val="001A797A"/>
    <w:rsid w:val="001A7A2D"/>
    <w:rsid w:val="001A7B42"/>
    <w:rsid w:val="001A7D8F"/>
    <w:rsid w:val="001B00FC"/>
    <w:rsid w:val="001B0959"/>
    <w:rsid w:val="001B0CF7"/>
    <w:rsid w:val="001B13FC"/>
    <w:rsid w:val="001B191E"/>
    <w:rsid w:val="001B1AC2"/>
    <w:rsid w:val="001B1B25"/>
    <w:rsid w:val="001B1D92"/>
    <w:rsid w:val="001B1EED"/>
    <w:rsid w:val="001B2043"/>
    <w:rsid w:val="001B2376"/>
    <w:rsid w:val="001B2398"/>
    <w:rsid w:val="001B278C"/>
    <w:rsid w:val="001B2948"/>
    <w:rsid w:val="001B2A97"/>
    <w:rsid w:val="001B2AD1"/>
    <w:rsid w:val="001B2BBB"/>
    <w:rsid w:val="001B2C17"/>
    <w:rsid w:val="001B2CD4"/>
    <w:rsid w:val="001B2DF9"/>
    <w:rsid w:val="001B30C7"/>
    <w:rsid w:val="001B392A"/>
    <w:rsid w:val="001B39DD"/>
    <w:rsid w:val="001B3EA7"/>
    <w:rsid w:val="001B44E1"/>
    <w:rsid w:val="001B4919"/>
    <w:rsid w:val="001B49F5"/>
    <w:rsid w:val="001B4A60"/>
    <w:rsid w:val="001B4EA2"/>
    <w:rsid w:val="001B544A"/>
    <w:rsid w:val="001B546B"/>
    <w:rsid w:val="001B59D7"/>
    <w:rsid w:val="001B5ACB"/>
    <w:rsid w:val="001B5ACC"/>
    <w:rsid w:val="001B5D39"/>
    <w:rsid w:val="001B62CD"/>
    <w:rsid w:val="001B641C"/>
    <w:rsid w:val="001B6A28"/>
    <w:rsid w:val="001B6ABF"/>
    <w:rsid w:val="001B6D13"/>
    <w:rsid w:val="001B6DC1"/>
    <w:rsid w:val="001B7180"/>
    <w:rsid w:val="001B7329"/>
    <w:rsid w:val="001B747D"/>
    <w:rsid w:val="001B754D"/>
    <w:rsid w:val="001B76D0"/>
    <w:rsid w:val="001B77B5"/>
    <w:rsid w:val="001B7AD2"/>
    <w:rsid w:val="001B7BD9"/>
    <w:rsid w:val="001B7C42"/>
    <w:rsid w:val="001B7EFB"/>
    <w:rsid w:val="001C00EC"/>
    <w:rsid w:val="001C03B5"/>
    <w:rsid w:val="001C0537"/>
    <w:rsid w:val="001C05D1"/>
    <w:rsid w:val="001C0688"/>
    <w:rsid w:val="001C07F6"/>
    <w:rsid w:val="001C0AD6"/>
    <w:rsid w:val="001C107D"/>
    <w:rsid w:val="001C13A9"/>
    <w:rsid w:val="001C16F1"/>
    <w:rsid w:val="001C174A"/>
    <w:rsid w:val="001C1872"/>
    <w:rsid w:val="001C1BFF"/>
    <w:rsid w:val="001C1C07"/>
    <w:rsid w:val="001C1D05"/>
    <w:rsid w:val="001C2309"/>
    <w:rsid w:val="001C2A48"/>
    <w:rsid w:val="001C2B6E"/>
    <w:rsid w:val="001C2DAE"/>
    <w:rsid w:val="001C2FEE"/>
    <w:rsid w:val="001C3CFC"/>
    <w:rsid w:val="001C3D07"/>
    <w:rsid w:val="001C3F07"/>
    <w:rsid w:val="001C3FF8"/>
    <w:rsid w:val="001C41DC"/>
    <w:rsid w:val="001C426C"/>
    <w:rsid w:val="001C4328"/>
    <w:rsid w:val="001C473F"/>
    <w:rsid w:val="001C4B5F"/>
    <w:rsid w:val="001C4C88"/>
    <w:rsid w:val="001C4EC9"/>
    <w:rsid w:val="001C50AC"/>
    <w:rsid w:val="001C5680"/>
    <w:rsid w:val="001C5751"/>
    <w:rsid w:val="001C58CA"/>
    <w:rsid w:val="001C5932"/>
    <w:rsid w:val="001C5CC1"/>
    <w:rsid w:val="001C5CEC"/>
    <w:rsid w:val="001C6264"/>
    <w:rsid w:val="001C6789"/>
    <w:rsid w:val="001C69E3"/>
    <w:rsid w:val="001C6DFD"/>
    <w:rsid w:val="001C7997"/>
    <w:rsid w:val="001C7A5F"/>
    <w:rsid w:val="001C7ABE"/>
    <w:rsid w:val="001D0049"/>
    <w:rsid w:val="001D08FD"/>
    <w:rsid w:val="001D0BE5"/>
    <w:rsid w:val="001D1181"/>
    <w:rsid w:val="001D13F7"/>
    <w:rsid w:val="001D144A"/>
    <w:rsid w:val="001D1469"/>
    <w:rsid w:val="001D1AF4"/>
    <w:rsid w:val="001D1DC3"/>
    <w:rsid w:val="001D20BD"/>
    <w:rsid w:val="001D2498"/>
    <w:rsid w:val="001D283A"/>
    <w:rsid w:val="001D2F2A"/>
    <w:rsid w:val="001D32C0"/>
    <w:rsid w:val="001D3545"/>
    <w:rsid w:val="001D371E"/>
    <w:rsid w:val="001D3A64"/>
    <w:rsid w:val="001D40C3"/>
    <w:rsid w:val="001D45E2"/>
    <w:rsid w:val="001D475B"/>
    <w:rsid w:val="001D4978"/>
    <w:rsid w:val="001D4B5C"/>
    <w:rsid w:val="001D4B81"/>
    <w:rsid w:val="001D4D39"/>
    <w:rsid w:val="001D4EF4"/>
    <w:rsid w:val="001D4F1A"/>
    <w:rsid w:val="001D522C"/>
    <w:rsid w:val="001D52D6"/>
    <w:rsid w:val="001D5793"/>
    <w:rsid w:val="001D57F6"/>
    <w:rsid w:val="001D5903"/>
    <w:rsid w:val="001D59E2"/>
    <w:rsid w:val="001D5A96"/>
    <w:rsid w:val="001D5ED9"/>
    <w:rsid w:val="001D60E2"/>
    <w:rsid w:val="001D63E9"/>
    <w:rsid w:val="001D6CE3"/>
    <w:rsid w:val="001D7187"/>
    <w:rsid w:val="001D74A7"/>
    <w:rsid w:val="001D75E1"/>
    <w:rsid w:val="001D7ACF"/>
    <w:rsid w:val="001D7E88"/>
    <w:rsid w:val="001E01D5"/>
    <w:rsid w:val="001E0411"/>
    <w:rsid w:val="001E0B93"/>
    <w:rsid w:val="001E0E3C"/>
    <w:rsid w:val="001E0FDD"/>
    <w:rsid w:val="001E1253"/>
    <w:rsid w:val="001E14C3"/>
    <w:rsid w:val="001E15F2"/>
    <w:rsid w:val="001E19EA"/>
    <w:rsid w:val="001E1A3E"/>
    <w:rsid w:val="001E1EE5"/>
    <w:rsid w:val="001E1F8E"/>
    <w:rsid w:val="001E22F7"/>
    <w:rsid w:val="001E231D"/>
    <w:rsid w:val="001E25B9"/>
    <w:rsid w:val="001E25C4"/>
    <w:rsid w:val="001E26CA"/>
    <w:rsid w:val="001E26D0"/>
    <w:rsid w:val="001E297F"/>
    <w:rsid w:val="001E31E8"/>
    <w:rsid w:val="001E3575"/>
    <w:rsid w:val="001E364A"/>
    <w:rsid w:val="001E4027"/>
    <w:rsid w:val="001E42DD"/>
    <w:rsid w:val="001E442C"/>
    <w:rsid w:val="001E457A"/>
    <w:rsid w:val="001E465F"/>
    <w:rsid w:val="001E4C0F"/>
    <w:rsid w:val="001E54E5"/>
    <w:rsid w:val="001E5FAA"/>
    <w:rsid w:val="001E6687"/>
    <w:rsid w:val="001E68CD"/>
    <w:rsid w:val="001E6FC8"/>
    <w:rsid w:val="001E7063"/>
    <w:rsid w:val="001E70D9"/>
    <w:rsid w:val="001E70F1"/>
    <w:rsid w:val="001E73B5"/>
    <w:rsid w:val="001E76E9"/>
    <w:rsid w:val="001E7CD1"/>
    <w:rsid w:val="001E7E37"/>
    <w:rsid w:val="001E7F0C"/>
    <w:rsid w:val="001F07E2"/>
    <w:rsid w:val="001F165A"/>
    <w:rsid w:val="001F234B"/>
    <w:rsid w:val="001F242B"/>
    <w:rsid w:val="001F24D5"/>
    <w:rsid w:val="001F2902"/>
    <w:rsid w:val="001F29E3"/>
    <w:rsid w:val="001F2A89"/>
    <w:rsid w:val="001F2AFF"/>
    <w:rsid w:val="001F2B85"/>
    <w:rsid w:val="001F2BA2"/>
    <w:rsid w:val="001F2DDE"/>
    <w:rsid w:val="001F30E8"/>
    <w:rsid w:val="001F3319"/>
    <w:rsid w:val="001F34D1"/>
    <w:rsid w:val="001F3844"/>
    <w:rsid w:val="001F3CBD"/>
    <w:rsid w:val="001F3F09"/>
    <w:rsid w:val="001F3F36"/>
    <w:rsid w:val="001F3FE1"/>
    <w:rsid w:val="001F411A"/>
    <w:rsid w:val="001F47B7"/>
    <w:rsid w:val="001F4AD7"/>
    <w:rsid w:val="001F4B4C"/>
    <w:rsid w:val="001F4BB3"/>
    <w:rsid w:val="001F4C40"/>
    <w:rsid w:val="001F5035"/>
    <w:rsid w:val="001F52EC"/>
    <w:rsid w:val="001F55EC"/>
    <w:rsid w:val="001F571D"/>
    <w:rsid w:val="001F5C26"/>
    <w:rsid w:val="001F5D06"/>
    <w:rsid w:val="001F5D09"/>
    <w:rsid w:val="001F5D92"/>
    <w:rsid w:val="001F64AB"/>
    <w:rsid w:val="001F658C"/>
    <w:rsid w:val="001F675C"/>
    <w:rsid w:val="001F68FD"/>
    <w:rsid w:val="001F6A4F"/>
    <w:rsid w:val="001F6D62"/>
    <w:rsid w:val="001F6F44"/>
    <w:rsid w:val="001F74B9"/>
    <w:rsid w:val="001F74BB"/>
    <w:rsid w:val="001F7563"/>
    <w:rsid w:val="001F7937"/>
    <w:rsid w:val="001F7C53"/>
    <w:rsid w:val="00200322"/>
    <w:rsid w:val="0020044A"/>
    <w:rsid w:val="00200526"/>
    <w:rsid w:val="00200754"/>
    <w:rsid w:val="00200813"/>
    <w:rsid w:val="00200BA7"/>
    <w:rsid w:val="00200BBC"/>
    <w:rsid w:val="00200C89"/>
    <w:rsid w:val="0020145B"/>
    <w:rsid w:val="0020171E"/>
    <w:rsid w:val="00201802"/>
    <w:rsid w:val="00201925"/>
    <w:rsid w:val="00201941"/>
    <w:rsid w:val="002019B9"/>
    <w:rsid w:val="00201B1F"/>
    <w:rsid w:val="002021C6"/>
    <w:rsid w:val="002021DF"/>
    <w:rsid w:val="0020253D"/>
    <w:rsid w:val="00202A89"/>
    <w:rsid w:val="00202A9C"/>
    <w:rsid w:val="00202ADB"/>
    <w:rsid w:val="00202C09"/>
    <w:rsid w:val="00203102"/>
    <w:rsid w:val="00203405"/>
    <w:rsid w:val="00203BFA"/>
    <w:rsid w:val="00203DA1"/>
    <w:rsid w:val="00203F2A"/>
    <w:rsid w:val="00203F6C"/>
    <w:rsid w:val="00204132"/>
    <w:rsid w:val="00204162"/>
    <w:rsid w:val="002046DF"/>
    <w:rsid w:val="002047B8"/>
    <w:rsid w:val="002048A7"/>
    <w:rsid w:val="002048E0"/>
    <w:rsid w:val="002048FD"/>
    <w:rsid w:val="0020494C"/>
    <w:rsid w:val="00204C65"/>
    <w:rsid w:val="00204EE2"/>
    <w:rsid w:val="00205EFD"/>
    <w:rsid w:val="00206050"/>
    <w:rsid w:val="0020623D"/>
    <w:rsid w:val="002072A9"/>
    <w:rsid w:val="00207368"/>
    <w:rsid w:val="0020740B"/>
    <w:rsid w:val="00207470"/>
    <w:rsid w:val="00207604"/>
    <w:rsid w:val="00207843"/>
    <w:rsid w:val="00207C59"/>
    <w:rsid w:val="00207E37"/>
    <w:rsid w:val="00207F59"/>
    <w:rsid w:val="00207FDD"/>
    <w:rsid w:val="00210431"/>
    <w:rsid w:val="0021051B"/>
    <w:rsid w:val="00210AFF"/>
    <w:rsid w:val="00210C7E"/>
    <w:rsid w:val="00211121"/>
    <w:rsid w:val="00211445"/>
    <w:rsid w:val="00211807"/>
    <w:rsid w:val="0021196F"/>
    <w:rsid w:val="00211CD0"/>
    <w:rsid w:val="00211DC3"/>
    <w:rsid w:val="002124DE"/>
    <w:rsid w:val="002127C1"/>
    <w:rsid w:val="00212C7F"/>
    <w:rsid w:val="00212C92"/>
    <w:rsid w:val="00212D25"/>
    <w:rsid w:val="00213C3C"/>
    <w:rsid w:val="00213E62"/>
    <w:rsid w:val="00213E8C"/>
    <w:rsid w:val="002140D3"/>
    <w:rsid w:val="002141C1"/>
    <w:rsid w:val="00214289"/>
    <w:rsid w:val="00214296"/>
    <w:rsid w:val="0021432C"/>
    <w:rsid w:val="00214A40"/>
    <w:rsid w:val="00214B93"/>
    <w:rsid w:val="00214CBC"/>
    <w:rsid w:val="00215079"/>
    <w:rsid w:val="00215080"/>
    <w:rsid w:val="0021527C"/>
    <w:rsid w:val="002152A4"/>
    <w:rsid w:val="002155B6"/>
    <w:rsid w:val="00215623"/>
    <w:rsid w:val="002157E4"/>
    <w:rsid w:val="00215836"/>
    <w:rsid w:val="002159CF"/>
    <w:rsid w:val="00215AFB"/>
    <w:rsid w:val="00215C0F"/>
    <w:rsid w:val="00215CF4"/>
    <w:rsid w:val="00215DEA"/>
    <w:rsid w:val="00215ECD"/>
    <w:rsid w:val="00215FD2"/>
    <w:rsid w:val="00216323"/>
    <w:rsid w:val="0021733F"/>
    <w:rsid w:val="002200D8"/>
    <w:rsid w:val="00220314"/>
    <w:rsid w:val="002208CE"/>
    <w:rsid w:val="00220CCB"/>
    <w:rsid w:val="00220D74"/>
    <w:rsid w:val="002212AC"/>
    <w:rsid w:val="00221722"/>
    <w:rsid w:val="00221F2F"/>
    <w:rsid w:val="0022245D"/>
    <w:rsid w:val="00222698"/>
    <w:rsid w:val="0022280C"/>
    <w:rsid w:val="00222F52"/>
    <w:rsid w:val="00223450"/>
    <w:rsid w:val="00223664"/>
    <w:rsid w:val="002237A8"/>
    <w:rsid w:val="002238E6"/>
    <w:rsid w:val="00223922"/>
    <w:rsid w:val="00223A56"/>
    <w:rsid w:val="00223C59"/>
    <w:rsid w:val="00223E56"/>
    <w:rsid w:val="00223FCC"/>
    <w:rsid w:val="002243A0"/>
    <w:rsid w:val="00224469"/>
    <w:rsid w:val="00224480"/>
    <w:rsid w:val="002248F2"/>
    <w:rsid w:val="0022498E"/>
    <w:rsid w:val="00224B7B"/>
    <w:rsid w:val="00225339"/>
    <w:rsid w:val="002254DB"/>
    <w:rsid w:val="002256B2"/>
    <w:rsid w:val="00225721"/>
    <w:rsid w:val="00225833"/>
    <w:rsid w:val="00225981"/>
    <w:rsid w:val="002259FC"/>
    <w:rsid w:val="00225A34"/>
    <w:rsid w:val="00225CEE"/>
    <w:rsid w:val="00226095"/>
    <w:rsid w:val="002261F1"/>
    <w:rsid w:val="00226438"/>
    <w:rsid w:val="00226681"/>
    <w:rsid w:val="002269CD"/>
    <w:rsid w:val="00226A19"/>
    <w:rsid w:val="00226B4A"/>
    <w:rsid w:val="00227137"/>
    <w:rsid w:val="00227192"/>
    <w:rsid w:val="002272A6"/>
    <w:rsid w:val="002273F1"/>
    <w:rsid w:val="00227705"/>
    <w:rsid w:val="00227B89"/>
    <w:rsid w:val="00227CE8"/>
    <w:rsid w:val="00227E67"/>
    <w:rsid w:val="00227EFC"/>
    <w:rsid w:val="00227F43"/>
    <w:rsid w:val="002308AE"/>
    <w:rsid w:val="00230B04"/>
    <w:rsid w:val="00230D6A"/>
    <w:rsid w:val="00231370"/>
    <w:rsid w:val="002313DE"/>
    <w:rsid w:val="002317C7"/>
    <w:rsid w:val="002317E2"/>
    <w:rsid w:val="00231AFF"/>
    <w:rsid w:val="00231C49"/>
    <w:rsid w:val="00231D25"/>
    <w:rsid w:val="00232803"/>
    <w:rsid w:val="00232A0E"/>
    <w:rsid w:val="00232D31"/>
    <w:rsid w:val="00233271"/>
    <w:rsid w:val="00233713"/>
    <w:rsid w:val="002339ED"/>
    <w:rsid w:val="0023454A"/>
    <w:rsid w:val="00234640"/>
    <w:rsid w:val="00234665"/>
    <w:rsid w:val="002346DC"/>
    <w:rsid w:val="00234841"/>
    <w:rsid w:val="00234A5A"/>
    <w:rsid w:val="00234B38"/>
    <w:rsid w:val="00234CB6"/>
    <w:rsid w:val="00234EC1"/>
    <w:rsid w:val="002350EB"/>
    <w:rsid w:val="0023535F"/>
    <w:rsid w:val="00235512"/>
    <w:rsid w:val="002355CC"/>
    <w:rsid w:val="002359F2"/>
    <w:rsid w:val="00235D5A"/>
    <w:rsid w:val="00235D67"/>
    <w:rsid w:val="002362EA"/>
    <w:rsid w:val="002363ED"/>
    <w:rsid w:val="00236564"/>
    <w:rsid w:val="00236696"/>
    <w:rsid w:val="00236897"/>
    <w:rsid w:val="0023699E"/>
    <w:rsid w:val="00236AF9"/>
    <w:rsid w:val="00236B81"/>
    <w:rsid w:val="00236FFA"/>
    <w:rsid w:val="00237019"/>
    <w:rsid w:val="002370CC"/>
    <w:rsid w:val="002372D8"/>
    <w:rsid w:val="002376C1"/>
    <w:rsid w:val="00240106"/>
    <w:rsid w:val="002402CD"/>
    <w:rsid w:val="0024049E"/>
    <w:rsid w:val="0024074D"/>
    <w:rsid w:val="00240921"/>
    <w:rsid w:val="002409FE"/>
    <w:rsid w:val="002411C7"/>
    <w:rsid w:val="00241863"/>
    <w:rsid w:val="002422E4"/>
    <w:rsid w:val="0024260D"/>
    <w:rsid w:val="002426E9"/>
    <w:rsid w:val="00242B91"/>
    <w:rsid w:val="00242D96"/>
    <w:rsid w:val="00242F4E"/>
    <w:rsid w:val="00243393"/>
    <w:rsid w:val="00243ADC"/>
    <w:rsid w:val="00243C0E"/>
    <w:rsid w:val="00244130"/>
    <w:rsid w:val="002442E5"/>
    <w:rsid w:val="0024445C"/>
    <w:rsid w:val="0024473F"/>
    <w:rsid w:val="002449D9"/>
    <w:rsid w:val="00244ADD"/>
    <w:rsid w:val="00244E2F"/>
    <w:rsid w:val="002452A0"/>
    <w:rsid w:val="00245311"/>
    <w:rsid w:val="00245322"/>
    <w:rsid w:val="002453AC"/>
    <w:rsid w:val="002453BF"/>
    <w:rsid w:val="002455BE"/>
    <w:rsid w:val="00245836"/>
    <w:rsid w:val="0024590E"/>
    <w:rsid w:val="00245A51"/>
    <w:rsid w:val="00245F28"/>
    <w:rsid w:val="0024608D"/>
    <w:rsid w:val="00246320"/>
    <w:rsid w:val="002463A6"/>
    <w:rsid w:val="0024642C"/>
    <w:rsid w:val="002467B6"/>
    <w:rsid w:val="00246ADB"/>
    <w:rsid w:val="00246D6A"/>
    <w:rsid w:val="0024709E"/>
    <w:rsid w:val="002474F8"/>
    <w:rsid w:val="002478C1"/>
    <w:rsid w:val="00247C41"/>
    <w:rsid w:val="00250394"/>
    <w:rsid w:val="00250A45"/>
    <w:rsid w:val="00250D28"/>
    <w:rsid w:val="002512A0"/>
    <w:rsid w:val="002512A9"/>
    <w:rsid w:val="00251436"/>
    <w:rsid w:val="002517A5"/>
    <w:rsid w:val="00251BDB"/>
    <w:rsid w:val="00251BE6"/>
    <w:rsid w:val="00251F1F"/>
    <w:rsid w:val="00251F6C"/>
    <w:rsid w:val="0025249C"/>
    <w:rsid w:val="00252511"/>
    <w:rsid w:val="00253139"/>
    <w:rsid w:val="00253747"/>
    <w:rsid w:val="002539ED"/>
    <w:rsid w:val="00253C67"/>
    <w:rsid w:val="00253DC5"/>
    <w:rsid w:val="0025440D"/>
    <w:rsid w:val="0025450E"/>
    <w:rsid w:val="00254A81"/>
    <w:rsid w:val="00254C81"/>
    <w:rsid w:val="00254D23"/>
    <w:rsid w:val="00254D38"/>
    <w:rsid w:val="00254FC2"/>
    <w:rsid w:val="00255152"/>
    <w:rsid w:val="0025533B"/>
    <w:rsid w:val="0025554E"/>
    <w:rsid w:val="0025570E"/>
    <w:rsid w:val="00255885"/>
    <w:rsid w:val="0025594B"/>
    <w:rsid w:val="00255A7A"/>
    <w:rsid w:val="00255B9C"/>
    <w:rsid w:val="00255CDD"/>
    <w:rsid w:val="00255F89"/>
    <w:rsid w:val="002565D2"/>
    <w:rsid w:val="00256607"/>
    <w:rsid w:val="002566C6"/>
    <w:rsid w:val="00256721"/>
    <w:rsid w:val="00256AC4"/>
    <w:rsid w:val="002571CE"/>
    <w:rsid w:val="00257231"/>
    <w:rsid w:val="002574F4"/>
    <w:rsid w:val="0025755B"/>
    <w:rsid w:val="002576B3"/>
    <w:rsid w:val="00260008"/>
    <w:rsid w:val="0026036B"/>
    <w:rsid w:val="002609A6"/>
    <w:rsid w:val="00260AE5"/>
    <w:rsid w:val="00260EF0"/>
    <w:rsid w:val="00260FA1"/>
    <w:rsid w:val="00261222"/>
    <w:rsid w:val="002615BC"/>
    <w:rsid w:val="002615CD"/>
    <w:rsid w:val="00261B9E"/>
    <w:rsid w:val="00261FA3"/>
    <w:rsid w:val="00262395"/>
    <w:rsid w:val="00262513"/>
    <w:rsid w:val="00262814"/>
    <w:rsid w:val="00262F08"/>
    <w:rsid w:val="002630C5"/>
    <w:rsid w:val="00263642"/>
    <w:rsid w:val="0026368A"/>
    <w:rsid w:val="00263865"/>
    <w:rsid w:val="002638F4"/>
    <w:rsid w:val="00263A8E"/>
    <w:rsid w:val="00263BE7"/>
    <w:rsid w:val="00263FB6"/>
    <w:rsid w:val="00264248"/>
    <w:rsid w:val="00264FC3"/>
    <w:rsid w:val="0026573F"/>
    <w:rsid w:val="00265A1F"/>
    <w:rsid w:val="00265CAB"/>
    <w:rsid w:val="002660B8"/>
    <w:rsid w:val="00266216"/>
    <w:rsid w:val="0026656D"/>
    <w:rsid w:val="00267152"/>
    <w:rsid w:val="002671DB"/>
    <w:rsid w:val="002674B7"/>
    <w:rsid w:val="0026770C"/>
    <w:rsid w:val="00267C3C"/>
    <w:rsid w:val="00267CCA"/>
    <w:rsid w:val="00267E41"/>
    <w:rsid w:val="00270682"/>
    <w:rsid w:val="00270FA6"/>
    <w:rsid w:val="00270FE3"/>
    <w:rsid w:val="00270FF8"/>
    <w:rsid w:val="0027160C"/>
    <w:rsid w:val="002716F0"/>
    <w:rsid w:val="0027174A"/>
    <w:rsid w:val="002717C2"/>
    <w:rsid w:val="002717C3"/>
    <w:rsid w:val="002717E1"/>
    <w:rsid w:val="00271B05"/>
    <w:rsid w:val="00271C33"/>
    <w:rsid w:val="00271D25"/>
    <w:rsid w:val="00272185"/>
    <w:rsid w:val="00272387"/>
    <w:rsid w:val="002723A2"/>
    <w:rsid w:val="002726D2"/>
    <w:rsid w:val="002726FA"/>
    <w:rsid w:val="002732C8"/>
    <w:rsid w:val="002734F7"/>
    <w:rsid w:val="002737A3"/>
    <w:rsid w:val="00273C6E"/>
    <w:rsid w:val="002742E7"/>
    <w:rsid w:val="00274424"/>
    <w:rsid w:val="002744EF"/>
    <w:rsid w:val="00274CA5"/>
    <w:rsid w:val="00274F44"/>
    <w:rsid w:val="002751D1"/>
    <w:rsid w:val="00275209"/>
    <w:rsid w:val="002752C5"/>
    <w:rsid w:val="00275430"/>
    <w:rsid w:val="002755E7"/>
    <w:rsid w:val="00275B1E"/>
    <w:rsid w:val="00275DCD"/>
    <w:rsid w:val="00275E4C"/>
    <w:rsid w:val="00276091"/>
    <w:rsid w:val="002760BE"/>
    <w:rsid w:val="002766A3"/>
    <w:rsid w:val="00276E70"/>
    <w:rsid w:val="0027732F"/>
    <w:rsid w:val="002776FC"/>
    <w:rsid w:val="00277D88"/>
    <w:rsid w:val="00277F67"/>
    <w:rsid w:val="00280148"/>
    <w:rsid w:val="002807D6"/>
    <w:rsid w:val="002809F6"/>
    <w:rsid w:val="00281221"/>
    <w:rsid w:val="002813CF"/>
    <w:rsid w:val="002815F0"/>
    <w:rsid w:val="00281F0A"/>
    <w:rsid w:val="00282C3E"/>
    <w:rsid w:val="00282E1F"/>
    <w:rsid w:val="00283365"/>
    <w:rsid w:val="00283769"/>
    <w:rsid w:val="00283ABE"/>
    <w:rsid w:val="00283B1D"/>
    <w:rsid w:val="00283BA3"/>
    <w:rsid w:val="00284340"/>
    <w:rsid w:val="002843FC"/>
    <w:rsid w:val="00284E0A"/>
    <w:rsid w:val="00284F9F"/>
    <w:rsid w:val="00285718"/>
    <w:rsid w:val="00285764"/>
    <w:rsid w:val="00285DCE"/>
    <w:rsid w:val="0028650F"/>
    <w:rsid w:val="002866E6"/>
    <w:rsid w:val="0028674B"/>
    <w:rsid w:val="00286A98"/>
    <w:rsid w:val="002870B9"/>
    <w:rsid w:val="002872BC"/>
    <w:rsid w:val="0028742C"/>
    <w:rsid w:val="00287470"/>
    <w:rsid w:val="002876AB"/>
    <w:rsid w:val="00287830"/>
    <w:rsid w:val="00287835"/>
    <w:rsid w:val="0028793B"/>
    <w:rsid w:val="00287DF8"/>
    <w:rsid w:val="00287E78"/>
    <w:rsid w:val="00290500"/>
    <w:rsid w:val="00290676"/>
    <w:rsid w:val="00290C7F"/>
    <w:rsid w:val="00290D68"/>
    <w:rsid w:val="0029134A"/>
    <w:rsid w:val="00291462"/>
    <w:rsid w:val="00291572"/>
    <w:rsid w:val="002915CB"/>
    <w:rsid w:val="0029175D"/>
    <w:rsid w:val="00291800"/>
    <w:rsid w:val="00291F39"/>
    <w:rsid w:val="00291F87"/>
    <w:rsid w:val="00292287"/>
    <w:rsid w:val="002923E7"/>
    <w:rsid w:val="002926F1"/>
    <w:rsid w:val="00292AC6"/>
    <w:rsid w:val="00292FCB"/>
    <w:rsid w:val="002934EB"/>
    <w:rsid w:val="00293581"/>
    <w:rsid w:val="00293649"/>
    <w:rsid w:val="00293D03"/>
    <w:rsid w:val="00293DAD"/>
    <w:rsid w:val="00294348"/>
    <w:rsid w:val="002949A2"/>
    <w:rsid w:val="002949FF"/>
    <w:rsid w:val="00294A74"/>
    <w:rsid w:val="00294C1C"/>
    <w:rsid w:val="00294E16"/>
    <w:rsid w:val="002952D5"/>
    <w:rsid w:val="00295309"/>
    <w:rsid w:val="002956C6"/>
    <w:rsid w:val="002957D6"/>
    <w:rsid w:val="0029595F"/>
    <w:rsid w:val="00295990"/>
    <w:rsid w:val="00295EEC"/>
    <w:rsid w:val="00295FEE"/>
    <w:rsid w:val="00296112"/>
    <w:rsid w:val="00296337"/>
    <w:rsid w:val="0029652B"/>
    <w:rsid w:val="00296AB5"/>
    <w:rsid w:val="00296BA4"/>
    <w:rsid w:val="00296C48"/>
    <w:rsid w:val="00296E30"/>
    <w:rsid w:val="00297065"/>
    <w:rsid w:val="002970BE"/>
    <w:rsid w:val="00297154"/>
    <w:rsid w:val="002973DD"/>
    <w:rsid w:val="00297719"/>
    <w:rsid w:val="00297847"/>
    <w:rsid w:val="00297C24"/>
    <w:rsid w:val="00297EBA"/>
    <w:rsid w:val="00297F84"/>
    <w:rsid w:val="002A00E4"/>
    <w:rsid w:val="002A04B4"/>
    <w:rsid w:val="002A051D"/>
    <w:rsid w:val="002A07DF"/>
    <w:rsid w:val="002A09B1"/>
    <w:rsid w:val="002A0A34"/>
    <w:rsid w:val="002A0D4B"/>
    <w:rsid w:val="002A0EEE"/>
    <w:rsid w:val="002A12D3"/>
    <w:rsid w:val="002A1447"/>
    <w:rsid w:val="002A145B"/>
    <w:rsid w:val="002A1656"/>
    <w:rsid w:val="002A18BE"/>
    <w:rsid w:val="002A1954"/>
    <w:rsid w:val="002A1D63"/>
    <w:rsid w:val="002A1E78"/>
    <w:rsid w:val="002A20BD"/>
    <w:rsid w:val="002A2130"/>
    <w:rsid w:val="002A2858"/>
    <w:rsid w:val="002A3573"/>
    <w:rsid w:val="002A36F6"/>
    <w:rsid w:val="002A37D1"/>
    <w:rsid w:val="002A39B4"/>
    <w:rsid w:val="002A3BD7"/>
    <w:rsid w:val="002A3C12"/>
    <w:rsid w:val="002A4084"/>
    <w:rsid w:val="002A4173"/>
    <w:rsid w:val="002A4280"/>
    <w:rsid w:val="002A46ED"/>
    <w:rsid w:val="002A4AD6"/>
    <w:rsid w:val="002A4D65"/>
    <w:rsid w:val="002A4DE0"/>
    <w:rsid w:val="002A4FAF"/>
    <w:rsid w:val="002A5073"/>
    <w:rsid w:val="002A5165"/>
    <w:rsid w:val="002A51C9"/>
    <w:rsid w:val="002A5411"/>
    <w:rsid w:val="002A5510"/>
    <w:rsid w:val="002A5818"/>
    <w:rsid w:val="002A58A0"/>
    <w:rsid w:val="002A5A2C"/>
    <w:rsid w:val="002A5B1C"/>
    <w:rsid w:val="002A6200"/>
    <w:rsid w:val="002A6942"/>
    <w:rsid w:val="002A6C08"/>
    <w:rsid w:val="002A6C75"/>
    <w:rsid w:val="002A6F7F"/>
    <w:rsid w:val="002A7196"/>
    <w:rsid w:val="002A73B6"/>
    <w:rsid w:val="002A76AE"/>
    <w:rsid w:val="002A7869"/>
    <w:rsid w:val="002A7BB3"/>
    <w:rsid w:val="002B01AA"/>
    <w:rsid w:val="002B0894"/>
    <w:rsid w:val="002B09D3"/>
    <w:rsid w:val="002B0AED"/>
    <w:rsid w:val="002B0DA2"/>
    <w:rsid w:val="002B0E5E"/>
    <w:rsid w:val="002B0EAB"/>
    <w:rsid w:val="002B0F5B"/>
    <w:rsid w:val="002B10C5"/>
    <w:rsid w:val="002B11BE"/>
    <w:rsid w:val="002B1384"/>
    <w:rsid w:val="002B170A"/>
    <w:rsid w:val="002B195B"/>
    <w:rsid w:val="002B1B4E"/>
    <w:rsid w:val="002B1C6C"/>
    <w:rsid w:val="002B1C79"/>
    <w:rsid w:val="002B2182"/>
    <w:rsid w:val="002B21D0"/>
    <w:rsid w:val="002B26AF"/>
    <w:rsid w:val="002B26C6"/>
    <w:rsid w:val="002B2D3C"/>
    <w:rsid w:val="002B2E16"/>
    <w:rsid w:val="002B2F92"/>
    <w:rsid w:val="002B3298"/>
    <w:rsid w:val="002B35AA"/>
    <w:rsid w:val="002B3681"/>
    <w:rsid w:val="002B36AD"/>
    <w:rsid w:val="002B3822"/>
    <w:rsid w:val="002B3868"/>
    <w:rsid w:val="002B38D8"/>
    <w:rsid w:val="002B3D7E"/>
    <w:rsid w:val="002B3DC0"/>
    <w:rsid w:val="002B3EAC"/>
    <w:rsid w:val="002B44E1"/>
    <w:rsid w:val="002B48C1"/>
    <w:rsid w:val="002B524F"/>
    <w:rsid w:val="002B5426"/>
    <w:rsid w:val="002B59B7"/>
    <w:rsid w:val="002B5ACB"/>
    <w:rsid w:val="002B5C18"/>
    <w:rsid w:val="002B5F6F"/>
    <w:rsid w:val="002B6314"/>
    <w:rsid w:val="002B635E"/>
    <w:rsid w:val="002B63E1"/>
    <w:rsid w:val="002B6544"/>
    <w:rsid w:val="002B667C"/>
    <w:rsid w:val="002B68B5"/>
    <w:rsid w:val="002B77AA"/>
    <w:rsid w:val="002B785D"/>
    <w:rsid w:val="002B7B33"/>
    <w:rsid w:val="002B7F09"/>
    <w:rsid w:val="002C027B"/>
    <w:rsid w:val="002C02E5"/>
    <w:rsid w:val="002C0423"/>
    <w:rsid w:val="002C0BE4"/>
    <w:rsid w:val="002C0FB4"/>
    <w:rsid w:val="002C117B"/>
    <w:rsid w:val="002C11A7"/>
    <w:rsid w:val="002C11CA"/>
    <w:rsid w:val="002C1247"/>
    <w:rsid w:val="002C1765"/>
    <w:rsid w:val="002C17D5"/>
    <w:rsid w:val="002C1888"/>
    <w:rsid w:val="002C1ABD"/>
    <w:rsid w:val="002C1CBE"/>
    <w:rsid w:val="002C2456"/>
    <w:rsid w:val="002C259C"/>
    <w:rsid w:val="002C2C9D"/>
    <w:rsid w:val="002C2F29"/>
    <w:rsid w:val="002C30CD"/>
    <w:rsid w:val="002C3435"/>
    <w:rsid w:val="002C3867"/>
    <w:rsid w:val="002C3999"/>
    <w:rsid w:val="002C3C0F"/>
    <w:rsid w:val="002C3E04"/>
    <w:rsid w:val="002C40D9"/>
    <w:rsid w:val="002C4184"/>
    <w:rsid w:val="002C41CC"/>
    <w:rsid w:val="002C4356"/>
    <w:rsid w:val="002C45E8"/>
    <w:rsid w:val="002C4B58"/>
    <w:rsid w:val="002C4ED5"/>
    <w:rsid w:val="002C4FDC"/>
    <w:rsid w:val="002C5123"/>
    <w:rsid w:val="002C536D"/>
    <w:rsid w:val="002C53B8"/>
    <w:rsid w:val="002C5666"/>
    <w:rsid w:val="002C5938"/>
    <w:rsid w:val="002C5ADE"/>
    <w:rsid w:val="002C5D08"/>
    <w:rsid w:val="002C5F27"/>
    <w:rsid w:val="002C5F5E"/>
    <w:rsid w:val="002C5FC3"/>
    <w:rsid w:val="002C6342"/>
    <w:rsid w:val="002C6470"/>
    <w:rsid w:val="002C6483"/>
    <w:rsid w:val="002C682D"/>
    <w:rsid w:val="002C68BE"/>
    <w:rsid w:val="002C68FD"/>
    <w:rsid w:val="002C6C37"/>
    <w:rsid w:val="002C6E38"/>
    <w:rsid w:val="002C70CE"/>
    <w:rsid w:val="002C729F"/>
    <w:rsid w:val="002C73AC"/>
    <w:rsid w:val="002C74B9"/>
    <w:rsid w:val="002C766F"/>
    <w:rsid w:val="002C7682"/>
    <w:rsid w:val="002C76EB"/>
    <w:rsid w:val="002C7855"/>
    <w:rsid w:val="002C79B9"/>
    <w:rsid w:val="002C7E8C"/>
    <w:rsid w:val="002D048C"/>
    <w:rsid w:val="002D0574"/>
    <w:rsid w:val="002D05F0"/>
    <w:rsid w:val="002D0679"/>
    <w:rsid w:val="002D0739"/>
    <w:rsid w:val="002D0C7A"/>
    <w:rsid w:val="002D0F24"/>
    <w:rsid w:val="002D10AF"/>
    <w:rsid w:val="002D121E"/>
    <w:rsid w:val="002D15E4"/>
    <w:rsid w:val="002D16E7"/>
    <w:rsid w:val="002D1766"/>
    <w:rsid w:val="002D1782"/>
    <w:rsid w:val="002D19BE"/>
    <w:rsid w:val="002D1B2F"/>
    <w:rsid w:val="002D1BB6"/>
    <w:rsid w:val="002D1E99"/>
    <w:rsid w:val="002D2B42"/>
    <w:rsid w:val="002D2C1F"/>
    <w:rsid w:val="002D2D12"/>
    <w:rsid w:val="002D2DAF"/>
    <w:rsid w:val="002D2EFB"/>
    <w:rsid w:val="002D2F54"/>
    <w:rsid w:val="002D3326"/>
    <w:rsid w:val="002D36A9"/>
    <w:rsid w:val="002D3752"/>
    <w:rsid w:val="002D3B17"/>
    <w:rsid w:val="002D49DA"/>
    <w:rsid w:val="002D4CB0"/>
    <w:rsid w:val="002D4E27"/>
    <w:rsid w:val="002D4F46"/>
    <w:rsid w:val="002D5097"/>
    <w:rsid w:val="002D55E4"/>
    <w:rsid w:val="002D567E"/>
    <w:rsid w:val="002D581F"/>
    <w:rsid w:val="002D5DFB"/>
    <w:rsid w:val="002D5E77"/>
    <w:rsid w:val="002D5E99"/>
    <w:rsid w:val="002D6790"/>
    <w:rsid w:val="002D6813"/>
    <w:rsid w:val="002D6872"/>
    <w:rsid w:val="002D690D"/>
    <w:rsid w:val="002D6DBE"/>
    <w:rsid w:val="002D6E0D"/>
    <w:rsid w:val="002D7084"/>
    <w:rsid w:val="002D72A2"/>
    <w:rsid w:val="002D7332"/>
    <w:rsid w:val="002D7480"/>
    <w:rsid w:val="002D75CD"/>
    <w:rsid w:val="002D7822"/>
    <w:rsid w:val="002D78AC"/>
    <w:rsid w:val="002E00C9"/>
    <w:rsid w:val="002E01F0"/>
    <w:rsid w:val="002E04F5"/>
    <w:rsid w:val="002E0B8D"/>
    <w:rsid w:val="002E0CA3"/>
    <w:rsid w:val="002E145B"/>
    <w:rsid w:val="002E14FC"/>
    <w:rsid w:val="002E17E4"/>
    <w:rsid w:val="002E19A0"/>
    <w:rsid w:val="002E1BD9"/>
    <w:rsid w:val="002E1C6D"/>
    <w:rsid w:val="002E205C"/>
    <w:rsid w:val="002E24E6"/>
    <w:rsid w:val="002E2839"/>
    <w:rsid w:val="002E2A46"/>
    <w:rsid w:val="002E2CF0"/>
    <w:rsid w:val="002E31D5"/>
    <w:rsid w:val="002E3590"/>
    <w:rsid w:val="002E363E"/>
    <w:rsid w:val="002E3A45"/>
    <w:rsid w:val="002E3EDD"/>
    <w:rsid w:val="002E4178"/>
    <w:rsid w:val="002E4938"/>
    <w:rsid w:val="002E4EF7"/>
    <w:rsid w:val="002E50BD"/>
    <w:rsid w:val="002E52E8"/>
    <w:rsid w:val="002E582B"/>
    <w:rsid w:val="002E5BAC"/>
    <w:rsid w:val="002E6070"/>
    <w:rsid w:val="002E60D4"/>
    <w:rsid w:val="002E63BE"/>
    <w:rsid w:val="002E67E0"/>
    <w:rsid w:val="002E6854"/>
    <w:rsid w:val="002E6BD9"/>
    <w:rsid w:val="002E6E3E"/>
    <w:rsid w:val="002E7151"/>
    <w:rsid w:val="002E71B5"/>
    <w:rsid w:val="002E7486"/>
    <w:rsid w:val="002E74C8"/>
    <w:rsid w:val="002E7775"/>
    <w:rsid w:val="002E7AD2"/>
    <w:rsid w:val="002E7D9D"/>
    <w:rsid w:val="002F0329"/>
    <w:rsid w:val="002F0763"/>
    <w:rsid w:val="002F0B07"/>
    <w:rsid w:val="002F10B7"/>
    <w:rsid w:val="002F1399"/>
    <w:rsid w:val="002F14FA"/>
    <w:rsid w:val="002F19AF"/>
    <w:rsid w:val="002F1A0A"/>
    <w:rsid w:val="002F1F90"/>
    <w:rsid w:val="002F2037"/>
    <w:rsid w:val="002F210A"/>
    <w:rsid w:val="002F21A6"/>
    <w:rsid w:val="002F22BF"/>
    <w:rsid w:val="002F261C"/>
    <w:rsid w:val="002F2994"/>
    <w:rsid w:val="002F29AC"/>
    <w:rsid w:val="002F3029"/>
    <w:rsid w:val="002F32FB"/>
    <w:rsid w:val="002F36EA"/>
    <w:rsid w:val="002F3D69"/>
    <w:rsid w:val="002F4523"/>
    <w:rsid w:val="002F4626"/>
    <w:rsid w:val="002F4766"/>
    <w:rsid w:val="002F47AE"/>
    <w:rsid w:val="002F493B"/>
    <w:rsid w:val="002F4982"/>
    <w:rsid w:val="002F4C03"/>
    <w:rsid w:val="002F4F34"/>
    <w:rsid w:val="002F52FE"/>
    <w:rsid w:val="002F5374"/>
    <w:rsid w:val="002F5611"/>
    <w:rsid w:val="002F56E9"/>
    <w:rsid w:val="002F58E3"/>
    <w:rsid w:val="002F5A8E"/>
    <w:rsid w:val="002F5B47"/>
    <w:rsid w:val="002F5E19"/>
    <w:rsid w:val="002F5F5E"/>
    <w:rsid w:val="002F5F85"/>
    <w:rsid w:val="002F5F90"/>
    <w:rsid w:val="002F60D6"/>
    <w:rsid w:val="002F6369"/>
    <w:rsid w:val="002F658F"/>
    <w:rsid w:val="002F693F"/>
    <w:rsid w:val="002F6EAE"/>
    <w:rsid w:val="002F7145"/>
    <w:rsid w:val="002F73DD"/>
    <w:rsid w:val="002F7680"/>
    <w:rsid w:val="002F7F6B"/>
    <w:rsid w:val="00300114"/>
    <w:rsid w:val="003002B0"/>
    <w:rsid w:val="003004D3"/>
    <w:rsid w:val="003006D6"/>
    <w:rsid w:val="00300802"/>
    <w:rsid w:val="00300877"/>
    <w:rsid w:val="003008BB"/>
    <w:rsid w:val="003008CC"/>
    <w:rsid w:val="00300AA5"/>
    <w:rsid w:val="00300D26"/>
    <w:rsid w:val="0030115F"/>
    <w:rsid w:val="00301442"/>
    <w:rsid w:val="00301495"/>
    <w:rsid w:val="00301591"/>
    <w:rsid w:val="00301763"/>
    <w:rsid w:val="00301C1A"/>
    <w:rsid w:val="00301ED3"/>
    <w:rsid w:val="00302252"/>
    <w:rsid w:val="00302737"/>
    <w:rsid w:val="003034CE"/>
    <w:rsid w:val="00303C60"/>
    <w:rsid w:val="0030436F"/>
    <w:rsid w:val="003047B1"/>
    <w:rsid w:val="00304954"/>
    <w:rsid w:val="00304C71"/>
    <w:rsid w:val="00304CF8"/>
    <w:rsid w:val="00304FB8"/>
    <w:rsid w:val="00305256"/>
    <w:rsid w:val="00305710"/>
    <w:rsid w:val="00305872"/>
    <w:rsid w:val="00305961"/>
    <w:rsid w:val="00305C52"/>
    <w:rsid w:val="00306524"/>
    <w:rsid w:val="0030655B"/>
    <w:rsid w:val="0030668A"/>
    <w:rsid w:val="0030682A"/>
    <w:rsid w:val="00306A0D"/>
    <w:rsid w:val="00306D66"/>
    <w:rsid w:val="00306F43"/>
    <w:rsid w:val="0030707D"/>
    <w:rsid w:val="00307299"/>
    <w:rsid w:val="00307686"/>
    <w:rsid w:val="003077B1"/>
    <w:rsid w:val="00307982"/>
    <w:rsid w:val="00307AFD"/>
    <w:rsid w:val="00307B66"/>
    <w:rsid w:val="00307D28"/>
    <w:rsid w:val="00307DC9"/>
    <w:rsid w:val="003104D0"/>
    <w:rsid w:val="00310645"/>
    <w:rsid w:val="003106C6"/>
    <w:rsid w:val="0031089A"/>
    <w:rsid w:val="00310B9B"/>
    <w:rsid w:val="00310C3F"/>
    <w:rsid w:val="00310D28"/>
    <w:rsid w:val="00310D54"/>
    <w:rsid w:val="003112A1"/>
    <w:rsid w:val="00311529"/>
    <w:rsid w:val="0031164F"/>
    <w:rsid w:val="003117D8"/>
    <w:rsid w:val="00311B71"/>
    <w:rsid w:val="00311C9B"/>
    <w:rsid w:val="00311E4C"/>
    <w:rsid w:val="00311EBB"/>
    <w:rsid w:val="00312073"/>
    <w:rsid w:val="003123E9"/>
    <w:rsid w:val="00312447"/>
    <w:rsid w:val="00312754"/>
    <w:rsid w:val="00312885"/>
    <w:rsid w:val="00312B12"/>
    <w:rsid w:val="00312D30"/>
    <w:rsid w:val="00312E55"/>
    <w:rsid w:val="0031300D"/>
    <w:rsid w:val="00313A36"/>
    <w:rsid w:val="00313B52"/>
    <w:rsid w:val="00313BC4"/>
    <w:rsid w:val="00313E40"/>
    <w:rsid w:val="00313F3F"/>
    <w:rsid w:val="003140D2"/>
    <w:rsid w:val="0031412F"/>
    <w:rsid w:val="00314256"/>
    <w:rsid w:val="003143E2"/>
    <w:rsid w:val="00314578"/>
    <w:rsid w:val="00314AEB"/>
    <w:rsid w:val="00314DCD"/>
    <w:rsid w:val="00314DE5"/>
    <w:rsid w:val="0031550E"/>
    <w:rsid w:val="003155D1"/>
    <w:rsid w:val="0031568F"/>
    <w:rsid w:val="00315926"/>
    <w:rsid w:val="00315ACA"/>
    <w:rsid w:val="00315B48"/>
    <w:rsid w:val="00315F91"/>
    <w:rsid w:val="00316562"/>
    <w:rsid w:val="003165E1"/>
    <w:rsid w:val="003168EC"/>
    <w:rsid w:val="00316908"/>
    <w:rsid w:val="0031708B"/>
    <w:rsid w:val="0031738A"/>
    <w:rsid w:val="00317610"/>
    <w:rsid w:val="00317714"/>
    <w:rsid w:val="00317ACF"/>
    <w:rsid w:val="00317B45"/>
    <w:rsid w:val="00320434"/>
    <w:rsid w:val="003208EF"/>
    <w:rsid w:val="00320A17"/>
    <w:rsid w:val="00320ADD"/>
    <w:rsid w:val="00320FEA"/>
    <w:rsid w:val="0032141F"/>
    <w:rsid w:val="00321718"/>
    <w:rsid w:val="0032171F"/>
    <w:rsid w:val="00321789"/>
    <w:rsid w:val="00321AA9"/>
    <w:rsid w:val="00321CA4"/>
    <w:rsid w:val="00322DA9"/>
    <w:rsid w:val="00323AF6"/>
    <w:rsid w:val="00323B73"/>
    <w:rsid w:val="00323CA4"/>
    <w:rsid w:val="00323EF9"/>
    <w:rsid w:val="00323F48"/>
    <w:rsid w:val="003241EB"/>
    <w:rsid w:val="0032460D"/>
    <w:rsid w:val="00324B98"/>
    <w:rsid w:val="00324C1A"/>
    <w:rsid w:val="003251C2"/>
    <w:rsid w:val="003255F1"/>
    <w:rsid w:val="00325FA0"/>
    <w:rsid w:val="00325FC4"/>
    <w:rsid w:val="0032604A"/>
    <w:rsid w:val="0032617B"/>
    <w:rsid w:val="00326647"/>
    <w:rsid w:val="00326655"/>
    <w:rsid w:val="00326A99"/>
    <w:rsid w:val="00326F1C"/>
    <w:rsid w:val="00326F34"/>
    <w:rsid w:val="00327162"/>
    <w:rsid w:val="003271B3"/>
    <w:rsid w:val="00327319"/>
    <w:rsid w:val="00327967"/>
    <w:rsid w:val="00327A12"/>
    <w:rsid w:val="00327AF2"/>
    <w:rsid w:val="00327FB7"/>
    <w:rsid w:val="00330935"/>
    <w:rsid w:val="00330A0A"/>
    <w:rsid w:val="00330F4A"/>
    <w:rsid w:val="003315D8"/>
    <w:rsid w:val="00331751"/>
    <w:rsid w:val="00331F8A"/>
    <w:rsid w:val="00332052"/>
    <w:rsid w:val="0033222B"/>
    <w:rsid w:val="00332346"/>
    <w:rsid w:val="00332371"/>
    <w:rsid w:val="0033255A"/>
    <w:rsid w:val="00332652"/>
    <w:rsid w:val="00332746"/>
    <w:rsid w:val="0033288A"/>
    <w:rsid w:val="003328A9"/>
    <w:rsid w:val="00332973"/>
    <w:rsid w:val="00332ACC"/>
    <w:rsid w:val="00332F56"/>
    <w:rsid w:val="003330C3"/>
    <w:rsid w:val="003333F9"/>
    <w:rsid w:val="003335F1"/>
    <w:rsid w:val="0033367B"/>
    <w:rsid w:val="00333F7D"/>
    <w:rsid w:val="00334489"/>
    <w:rsid w:val="003344EA"/>
    <w:rsid w:val="003348ED"/>
    <w:rsid w:val="003348F8"/>
    <w:rsid w:val="00334A39"/>
    <w:rsid w:val="00334C6E"/>
    <w:rsid w:val="00334E2D"/>
    <w:rsid w:val="0033526C"/>
    <w:rsid w:val="003353F4"/>
    <w:rsid w:val="00335703"/>
    <w:rsid w:val="00335872"/>
    <w:rsid w:val="00335F67"/>
    <w:rsid w:val="00335F91"/>
    <w:rsid w:val="003366AB"/>
    <w:rsid w:val="003369C1"/>
    <w:rsid w:val="003369FB"/>
    <w:rsid w:val="00337017"/>
    <w:rsid w:val="003371B5"/>
    <w:rsid w:val="00337352"/>
    <w:rsid w:val="00337545"/>
    <w:rsid w:val="00337750"/>
    <w:rsid w:val="00337A77"/>
    <w:rsid w:val="00337BAF"/>
    <w:rsid w:val="00337E17"/>
    <w:rsid w:val="0034004E"/>
    <w:rsid w:val="00340143"/>
    <w:rsid w:val="00340341"/>
    <w:rsid w:val="00340A1B"/>
    <w:rsid w:val="00340C04"/>
    <w:rsid w:val="00340CC8"/>
    <w:rsid w:val="00340E5A"/>
    <w:rsid w:val="00340EC6"/>
    <w:rsid w:val="00340FE6"/>
    <w:rsid w:val="003410EA"/>
    <w:rsid w:val="0034178F"/>
    <w:rsid w:val="003417CB"/>
    <w:rsid w:val="00341B4F"/>
    <w:rsid w:val="00341F68"/>
    <w:rsid w:val="003422EF"/>
    <w:rsid w:val="0034260E"/>
    <w:rsid w:val="00342A11"/>
    <w:rsid w:val="00342CBD"/>
    <w:rsid w:val="0034312C"/>
    <w:rsid w:val="00343392"/>
    <w:rsid w:val="003435A9"/>
    <w:rsid w:val="00343975"/>
    <w:rsid w:val="00343A3C"/>
    <w:rsid w:val="00343A8D"/>
    <w:rsid w:val="00343ACA"/>
    <w:rsid w:val="0034408C"/>
    <w:rsid w:val="00344250"/>
    <w:rsid w:val="003444C7"/>
    <w:rsid w:val="00344649"/>
    <w:rsid w:val="00344832"/>
    <w:rsid w:val="00344AAD"/>
    <w:rsid w:val="00344AB9"/>
    <w:rsid w:val="003450C0"/>
    <w:rsid w:val="00345496"/>
    <w:rsid w:val="00345644"/>
    <w:rsid w:val="003457E8"/>
    <w:rsid w:val="00345827"/>
    <w:rsid w:val="003459AC"/>
    <w:rsid w:val="00345BCF"/>
    <w:rsid w:val="00345E6B"/>
    <w:rsid w:val="00345E86"/>
    <w:rsid w:val="00345EC0"/>
    <w:rsid w:val="003466F9"/>
    <w:rsid w:val="00346B70"/>
    <w:rsid w:val="003471AE"/>
    <w:rsid w:val="003473D8"/>
    <w:rsid w:val="003475E9"/>
    <w:rsid w:val="00347636"/>
    <w:rsid w:val="0034779D"/>
    <w:rsid w:val="003478BB"/>
    <w:rsid w:val="00347BAC"/>
    <w:rsid w:val="00347C77"/>
    <w:rsid w:val="00347C7C"/>
    <w:rsid w:val="00350092"/>
    <w:rsid w:val="00350416"/>
    <w:rsid w:val="003506CA"/>
    <w:rsid w:val="003506EC"/>
    <w:rsid w:val="00350845"/>
    <w:rsid w:val="00350976"/>
    <w:rsid w:val="00350F96"/>
    <w:rsid w:val="003511B6"/>
    <w:rsid w:val="00351268"/>
    <w:rsid w:val="003513C5"/>
    <w:rsid w:val="00351580"/>
    <w:rsid w:val="003515E0"/>
    <w:rsid w:val="0035170B"/>
    <w:rsid w:val="00351890"/>
    <w:rsid w:val="0035195F"/>
    <w:rsid w:val="003519AD"/>
    <w:rsid w:val="00351B1F"/>
    <w:rsid w:val="00351C16"/>
    <w:rsid w:val="00351E0E"/>
    <w:rsid w:val="003520E0"/>
    <w:rsid w:val="003525AD"/>
    <w:rsid w:val="00352682"/>
    <w:rsid w:val="00352832"/>
    <w:rsid w:val="00352A86"/>
    <w:rsid w:val="00353105"/>
    <w:rsid w:val="00353206"/>
    <w:rsid w:val="0035347B"/>
    <w:rsid w:val="00353536"/>
    <w:rsid w:val="00353840"/>
    <w:rsid w:val="00353DFA"/>
    <w:rsid w:val="00353F94"/>
    <w:rsid w:val="0035404D"/>
    <w:rsid w:val="003545FB"/>
    <w:rsid w:val="00354672"/>
    <w:rsid w:val="0035470C"/>
    <w:rsid w:val="003549B7"/>
    <w:rsid w:val="00354D70"/>
    <w:rsid w:val="00354E1F"/>
    <w:rsid w:val="00354EB4"/>
    <w:rsid w:val="00354F33"/>
    <w:rsid w:val="00355429"/>
    <w:rsid w:val="003555A6"/>
    <w:rsid w:val="00355683"/>
    <w:rsid w:val="00355971"/>
    <w:rsid w:val="003561F4"/>
    <w:rsid w:val="003563CE"/>
    <w:rsid w:val="0035663C"/>
    <w:rsid w:val="003569DE"/>
    <w:rsid w:val="00356AA0"/>
    <w:rsid w:val="00356C91"/>
    <w:rsid w:val="00356D29"/>
    <w:rsid w:val="00356E14"/>
    <w:rsid w:val="00356E85"/>
    <w:rsid w:val="003571C2"/>
    <w:rsid w:val="003571C5"/>
    <w:rsid w:val="003579DE"/>
    <w:rsid w:val="00357B5F"/>
    <w:rsid w:val="00357D24"/>
    <w:rsid w:val="00360486"/>
    <w:rsid w:val="00361385"/>
    <w:rsid w:val="0036139C"/>
    <w:rsid w:val="00362453"/>
    <w:rsid w:val="0036293D"/>
    <w:rsid w:val="00362B60"/>
    <w:rsid w:val="00362CE0"/>
    <w:rsid w:val="00362DAE"/>
    <w:rsid w:val="0036315C"/>
    <w:rsid w:val="00364002"/>
    <w:rsid w:val="003640A7"/>
    <w:rsid w:val="00364195"/>
    <w:rsid w:val="003641AA"/>
    <w:rsid w:val="003643C4"/>
    <w:rsid w:val="00364915"/>
    <w:rsid w:val="00364CE1"/>
    <w:rsid w:val="00365109"/>
    <w:rsid w:val="0036540E"/>
    <w:rsid w:val="00365447"/>
    <w:rsid w:val="003658C9"/>
    <w:rsid w:val="00365A5B"/>
    <w:rsid w:val="003661B3"/>
    <w:rsid w:val="0036625A"/>
    <w:rsid w:val="00366D13"/>
    <w:rsid w:val="00366F9B"/>
    <w:rsid w:val="003676C0"/>
    <w:rsid w:val="003676C6"/>
    <w:rsid w:val="003677EA"/>
    <w:rsid w:val="0036794E"/>
    <w:rsid w:val="0037002E"/>
    <w:rsid w:val="003703DF"/>
    <w:rsid w:val="003707FE"/>
    <w:rsid w:val="00370975"/>
    <w:rsid w:val="00370DD2"/>
    <w:rsid w:val="00371085"/>
    <w:rsid w:val="003712DA"/>
    <w:rsid w:val="003717B9"/>
    <w:rsid w:val="00371820"/>
    <w:rsid w:val="00371CF7"/>
    <w:rsid w:val="00371F7B"/>
    <w:rsid w:val="00372733"/>
    <w:rsid w:val="00372753"/>
    <w:rsid w:val="00372B34"/>
    <w:rsid w:val="00372ED7"/>
    <w:rsid w:val="00373274"/>
    <w:rsid w:val="0037357C"/>
    <w:rsid w:val="0037372E"/>
    <w:rsid w:val="003739FE"/>
    <w:rsid w:val="00373A64"/>
    <w:rsid w:val="00373FBB"/>
    <w:rsid w:val="00374018"/>
    <w:rsid w:val="0037428E"/>
    <w:rsid w:val="003746F4"/>
    <w:rsid w:val="00374830"/>
    <w:rsid w:val="003750C4"/>
    <w:rsid w:val="003752F5"/>
    <w:rsid w:val="00375343"/>
    <w:rsid w:val="0037543A"/>
    <w:rsid w:val="00375AF6"/>
    <w:rsid w:val="00375FD5"/>
    <w:rsid w:val="0037630E"/>
    <w:rsid w:val="003766C0"/>
    <w:rsid w:val="003767F9"/>
    <w:rsid w:val="00376844"/>
    <w:rsid w:val="00376F90"/>
    <w:rsid w:val="00377058"/>
    <w:rsid w:val="00377638"/>
    <w:rsid w:val="00377AD7"/>
    <w:rsid w:val="00377EE0"/>
    <w:rsid w:val="00380125"/>
    <w:rsid w:val="00380126"/>
    <w:rsid w:val="003803A7"/>
    <w:rsid w:val="003804B1"/>
    <w:rsid w:val="00380B35"/>
    <w:rsid w:val="00380C2B"/>
    <w:rsid w:val="00380F22"/>
    <w:rsid w:val="0038146C"/>
    <w:rsid w:val="003817D9"/>
    <w:rsid w:val="003819BA"/>
    <w:rsid w:val="00381C5B"/>
    <w:rsid w:val="00381D57"/>
    <w:rsid w:val="00381FE6"/>
    <w:rsid w:val="00382609"/>
    <w:rsid w:val="00382776"/>
    <w:rsid w:val="00382AA7"/>
    <w:rsid w:val="00382C2B"/>
    <w:rsid w:val="00382F9B"/>
    <w:rsid w:val="00383CA1"/>
    <w:rsid w:val="00384284"/>
    <w:rsid w:val="0038442B"/>
    <w:rsid w:val="0038442F"/>
    <w:rsid w:val="003845E9"/>
    <w:rsid w:val="0038463C"/>
    <w:rsid w:val="00384CD1"/>
    <w:rsid w:val="0038512A"/>
    <w:rsid w:val="00385468"/>
    <w:rsid w:val="003855D9"/>
    <w:rsid w:val="003856F0"/>
    <w:rsid w:val="00385709"/>
    <w:rsid w:val="003858F3"/>
    <w:rsid w:val="00386124"/>
    <w:rsid w:val="00386167"/>
    <w:rsid w:val="003864D5"/>
    <w:rsid w:val="003865DC"/>
    <w:rsid w:val="003866BB"/>
    <w:rsid w:val="00386821"/>
    <w:rsid w:val="00386D8F"/>
    <w:rsid w:val="003870E1"/>
    <w:rsid w:val="003878F2"/>
    <w:rsid w:val="00387ABB"/>
    <w:rsid w:val="00387BB9"/>
    <w:rsid w:val="00387BF6"/>
    <w:rsid w:val="00387E5A"/>
    <w:rsid w:val="00390550"/>
    <w:rsid w:val="00390567"/>
    <w:rsid w:val="00390948"/>
    <w:rsid w:val="00390C54"/>
    <w:rsid w:val="00390D0B"/>
    <w:rsid w:val="00390D75"/>
    <w:rsid w:val="00390E04"/>
    <w:rsid w:val="00391570"/>
    <w:rsid w:val="003919F6"/>
    <w:rsid w:val="00391C5C"/>
    <w:rsid w:val="00391E1E"/>
    <w:rsid w:val="00391F56"/>
    <w:rsid w:val="00391FE9"/>
    <w:rsid w:val="00392118"/>
    <w:rsid w:val="0039211A"/>
    <w:rsid w:val="003925A2"/>
    <w:rsid w:val="0039262A"/>
    <w:rsid w:val="00392912"/>
    <w:rsid w:val="0039292C"/>
    <w:rsid w:val="00392ACC"/>
    <w:rsid w:val="00392E23"/>
    <w:rsid w:val="00392E73"/>
    <w:rsid w:val="003934AC"/>
    <w:rsid w:val="00393685"/>
    <w:rsid w:val="0039375F"/>
    <w:rsid w:val="00393943"/>
    <w:rsid w:val="00393A41"/>
    <w:rsid w:val="00393A79"/>
    <w:rsid w:val="00393D5D"/>
    <w:rsid w:val="00394401"/>
    <w:rsid w:val="00394475"/>
    <w:rsid w:val="00394BB4"/>
    <w:rsid w:val="00394F47"/>
    <w:rsid w:val="003958B2"/>
    <w:rsid w:val="00395F8C"/>
    <w:rsid w:val="00396397"/>
    <w:rsid w:val="003966F6"/>
    <w:rsid w:val="0039677D"/>
    <w:rsid w:val="00396804"/>
    <w:rsid w:val="00396ADF"/>
    <w:rsid w:val="00396EDE"/>
    <w:rsid w:val="00397042"/>
    <w:rsid w:val="003972E9"/>
    <w:rsid w:val="00397700"/>
    <w:rsid w:val="00397816"/>
    <w:rsid w:val="00397B64"/>
    <w:rsid w:val="003A0212"/>
    <w:rsid w:val="003A02C8"/>
    <w:rsid w:val="003A0660"/>
    <w:rsid w:val="003A09CD"/>
    <w:rsid w:val="003A0BF1"/>
    <w:rsid w:val="003A0D52"/>
    <w:rsid w:val="003A0E32"/>
    <w:rsid w:val="003A1444"/>
    <w:rsid w:val="003A165A"/>
    <w:rsid w:val="003A183A"/>
    <w:rsid w:val="003A1952"/>
    <w:rsid w:val="003A1FC5"/>
    <w:rsid w:val="003A2069"/>
    <w:rsid w:val="003A2421"/>
    <w:rsid w:val="003A2D68"/>
    <w:rsid w:val="003A2ED1"/>
    <w:rsid w:val="003A2F18"/>
    <w:rsid w:val="003A361E"/>
    <w:rsid w:val="003A3EBD"/>
    <w:rsid w:val="003A40D0"/>
    <w:rsid w:val="003A4789"/>
    <w:rsid w:val="003A4865"/>
    <w:rsid w:val="003A4C47"/>
    <w:rsid w:val="003A4C73"/>
    <w:rsid w:val="003A4D63"/>
    <w:rsid w:val="003A50F3"/>
    <w:rsid w:val="003A5124"/>
    <w:rsid w:val="003A5606"/>
    <w:rsid w:val="003A5785"/>
    <w:rsid w:val="003A5814"/>
    <w:rsid w:val="003A5B89"/>
    <w:rsid w:val="003A5BC8"/>
    <w:rsid w:val="003A6225"/>
    <w:rsid w:val="003A62B3"/>
    <w:rsid w:val="003A6405"/>
    <w:rsid w:val="003A65E7"/>
    <w:rsid w:val="003A66DF"/>
    <w:rsid w:val="003A6724"/>
    <w:rsid w:val="003A6770"/>
    <w:rsid w:val="003A679D"/>
    <w:rsid w:val="003A6ABA"/>
    <w:rsid w:val="003A6D50"/>
    <w:rsid w:val="003A6E1A"/>
    <w:rsid w:val="003A7497"/>
    <w:rsid w:val="003A7751"/>
    <w:rsid w:val="003A7C7D"/>
    <w:rsid w:val="003B000E"/>
    <w:rsid w:val="003B04A1"/>
    <w:rsid w:val="003B07DA"/>
    <w:rsid w:val="003B0831"/>
    <w:rsid w:val="003B0BA1"/>
    <w:rsid w:val="003B0BB2"/>
    <w:rsid w:val="003B0E03"/>
    <w:rsid w:val="003B0E25"/>
    <w:rsid w:val="003B0FAB"/>
    <w:rsid w:val="003B1366"/>
    <w:rsid w:val="003B1392"/>
    <w:rsid w:val="003B14F7"/>
    <w:rsid w:val="003B15F1"/>
    <w:rsid w:val="003B173F"/>
    <w:rsid w:val="003B1882"/>
    <w:rsid w:val="003B1C0D"/>
    <w:rsid w:val="003B22C4"/>
    <w:rsid w:val="003B26B4"/>
    <w:rsid w:val="003B2C49"/>
    <w:rsid w:val="003B31CC"/>
    <w:rsid w:val="003B32E9"/>
    <w:rsid w:val="003B37FB"/>
    <w:rsid w:val="003B3910"/>
    <w:rsid w:val="003B3B95"/>
    <w:rsid w:val="003B412A"/>
    <w:rsid w:val="003B44A7"/>
    <w:rsid w:val="003B4599"/>
    <w:rsid w:val="003B46ED"/>
    <w:rsid w:val="003B4A97"/>
    <w:rsid w:val="003B4C47"/>
    <w:rsid w:val="003B4F55"/>
    <w:rsid w:val="003B51DE"/>
    <w:rsid w:val="003B545B"/>
    <w:rsid w:val="003B5846"/>
    <w:rsid w:val="003B598C"/>
    <w:rsid w:val="003B59DB"/>
    <w:rsid w:val="003B5BB3"/>
    <w:rsid w:val="003B5BD1"/>
    <w:rsid w:val="003B5FEA"/>
    <w:rsid w:val="003B61B7"/>
    <w:rsid w:val="003B6C4C"/>
    <w:rsid w:val="003B6C9F"/>
    <w:rsid w:val="003B7298"/>
    <w:rsid w:val="003B7353"/>
    <w:rsid w:val="003B77C2"/>
    <w:rsid w:val="003B79C0"/>
    <w:rsid w:val="003B7D5E"/>
    <w:rsid w:val="003B7E4B"/>
    <w:rsid w:val="003B7F78"/>
    <w:rsid w:val="003C0323"/>
    <w:rsid w:val="003C03EC"/>
    <w:rsid w:val="003C059F"/>
    <w:rsid w:val="003C0911"/>
    <w:rsid w:val="003C0968"/>
    <w:rsid w:val="003C0AC3"/>
    <w:rsid w:val="003C0CB5"/>
    <w:rsid w:val="003C0E45"/>
    <w:rsid w:val="003C0EDB"/>
    <w:rsid w:val="003C0EE3"/>
    <w:rsid w:val="003C120F"/>
    <w:rsid w:val="003C1259"/>
    <w:rsid w:val="003C128D"/>
    <w:rsid w:val="003C1AE2"/>
    <w:rsid w:val="003C248B"/>
    <w:rsid w:val="003C26A8"/>
    <w:rsid w:val="003C26C1"/>
    <w:rsid w:val="003C30EC"/>
    <w:rsid w:val="003C3308"/>
    <w:rsid w:val="003C3540"/>
    <w:rsid w:val="003C3549"/>
    <w:rsid w:val="003C3573"/>
    <w:rsid w:val="003C41D4"/>
    <w:rsid w:val="003C44FC"/>
    <w:rsid w:val="003C46B6"/>
    <w:rsid w:val="003C49C7"/>
    <w:rsid w:val="003C4D43"/>
    <w:rsid w:val="003C4DD3"/>
    <w:rsid w:val="003C4F09"/>
    <w:rsid w:val="003C4F8F"/>
    <w:rsid w:val="003C511C"/>
    <w:rsid w:val="003C5420"/>
    <w:rsid w:val="003C5BCB"/>
    <w:rsid w:val="003C5E8D"/>
    <w:rsid w:val="003C6117"/>
    <w:rsid w:val="003C6167"/>
    <w:rsid w:val="003C61DD"/>
    <w:rsid w:val="003C627E"/>
    <w:rsid w:val="003C6532"/>
    <w:rsid w:val="003C6652"/>
    <w:rsid w:val="003C6A89"/>
    <w:rsid w:val="003C6B59"/>
    <w:rsid w:val="003C6CD8"/>
    <w:rsid w:val="003C7049"/>
    <w:rsid w:val="003C735A"/>
    <w:rsid w:val="003C7A31"/>
    <w:rsid w:val="003C7B56"/>
    <w:rsid w:val="003C7E60"/>
    <w:rsid w:val="003D0333"/>
    <w:rsid w:val="003D0A27"/>
    <w:rsid w:val="003D0B23"/>
    <w:rsid w:val="003D0CEE"/>
    <w:rsid w:val="003D1076"/>
    <w:rsid w:val="003D11ED"/>
    <w:rsid w:val="003D16ED"/>
    <w:rsid w:val="003D199F"/>
    <w:rsid w:val="003D19DE"/>
    <w:rsid w:val="003D1A5C"/>
    <w:rsid w:val="003D1A9D"/>
    <w:rsid w:val="003D1BDD"/>
    <w:rsid w:val="003D1C66"/>
    <w:rsid w:val="003D1ECD"/>
    <w:rsid w:val="003D2356"/>
    <w:rsid w:val="003D2420"/>
    <w:rsid w:val="003D2641"/>
    <w:rsid w:val="003D27B7"/>
    <w:rsid w:val="003D2807"/>
    <w:rsid w:val="003D299E"/>
    <w:rsid w:val="003D2A5E"/>
    <w:rsid w:val="003D2DF9"/>
    <w:rsid w:val="003D316B"/>
    <w:rsid w:val="003D37F9"/>
    <w:rsid w:val="003D3892"/>
    <w:rsid w:val="003D407B"/>
    <w:rsid w:val="003D4300"/>
    <w:rsid w:val="003D508E"/>
    <w:rsid w:val="003D51C4"/>
    <w:rsid w:val="003D5203"/>
    <w:rsid w:val="003D5222"/>
    <w:rsid w:val="003D52CE"/>
    <w:rsid w:val="003D533E"/>
    <w:rsid w:val="003D53B2"/>
    <w:rsid w:val="003D55E1"/>
    <w:rsid w:val="003D56DD"/>
    <w:rsid w:val="003D59CB"/>
    <w:rsid w:val="003D5B2D"/>
    <w:rsid w:val="003D5D07"/>
    <w:rsid w:val="003D5DED"/>
    <w:rsid w:val="003D61AC"/>
    <w:rsid w:val="003D6214"/>
    <w:rsid w:val="003D641A"/>
    <w:rsid w:val="003D66ED"/>
    <w:rsid w:val="003D6AE5"/>
    <w:rsid w:val="003D6B56"/>
    <w:rsid w:val="003D6BA2"/>
    <w:rsid w:val="003D6E2F"/>
    <w:rsid w:val="003D6FAB"/>
    <w:rsid w:val="003D71EB"/>
    <w:rsid w:val="003D7612"/>
    <w:rsid w:val="003D79EB"/>
    <w:rsid w:val="003D7DF8"/>
    <w:rsid w:val="003E02A5"/>
    <w:rsid w:val="003E052F"/>
    <w:rsid w:val="003E0559"/>
    <w:rsid w:val="003E05B8"/>
    <w:rsid w:val="003E061C"/>
    <w:rsid w:val="003E0B8E"/>
    <w:rsid w:val="003E1527"/>
    <w:rsid w:val="003E1B29"/>
    <w:rsid w:val="003E22CB"/>
    <w:rsid w:val="003E2343"/>
    <w:rsid w:val="003E237A"/>
    <w:rsid w:val="003E29B0"/>
    <w:rsid w:val="003E2A03"/>
    <w:rsid w:val="003E2BA9"/>
    <w:rsid w:val="003E3361"/>
    <w:rsid w:val="003E3A74"/>
    <w:rsid w:val="003E3DE4"/>
    <w:rsid w:val="003E3E30"/>
    <w:rsid w:val="003E3E98"/>
    <w:rsid w:val="003E3E9C"/>
    <w:rsid w:val="003E406B"/>
    <w:rsid w:val="003E45DB"/>
    <w:rsid w:val="003E4C4E"/>
    <w:rsid w:val="003E4D67"/>
    <w:rsid w:val="003E4F96"/>
    <w:rsid w:val="003E5060"/>
    <w:rsid w:val="003E50E0"/>
    <w:rsid w:val="003E52AA"/>
    <w:rsid w:val="003E5356"/>
    <w:rsid w:val="003E5550"/>
    <w:rsid w:val="003E567B"/>
    <w:rsid w:val="003E58CA"/>
    <w:rsid w:val="003E5966"/>
    <w:rsid w:val="003E59D2"/>
    <w:rsid w:val="003E5CCA"/>
    <w:rsid w:val="003E5FC7"/>
    <w:rsid w:val="003E6738"/>
    <w:rsid w:val="003E6C1E"/>
    <w:rsid w:val="003E6D5C"/>
    <w:rsid w:val="003E7118"/>
    <w:rsid w:val="003E730B"/>
    <w:rsid w:val="003E773E"/>
    <w:rsid w:val="003E7773"/>
    <w:rsid w:val="003E7877"/>
    <w:rsid w:val="003E7B07"/>
    <w:rsid w:val="003E7D27"/>
    <w:rsid w:val="003F01C4"/>
    <w:rsid w:val="003F04E9"/>
    <w:rsid w:val="003F0537"/>
    <w:rsid w:val="003F06E2"/>
    <w:rsid w:val="003F09F5"/>
    <w:rsid w:val="003F0A8A"/>
    <w:rsid w:val="003F115E"/>
    <w:rsid w:val="003F14C2"/>
    <w:rsid w:val="003F17D2"/>
    <w:rsid w:val="003F1BC0"/>
    <w:rsid w:val="003F1C63"/>
    <w:rsid w:val="003F1CF2"/>
    <w:rsid w:val="003F1D90"/>
    <w:rsid w:val="003F21A8"/>
    <w:rsid w:val="003F2203"/>
    <w:rsid w:val="003F2210"/>
    <w:rsid w:val="003F2721"/>
    <w:rsid w:val="003F28C4"/>
    <w:rsid w:val="003F32D9"/>
    <w:rsid w:val="003F33E0"/>
    <w:rsid w:val="003F34D1"/>
    <w:rsid w:val="003F34F4"/>
    <w:rsid w:val="003F3506"/>
    <w:rsid w:val="003F360A"/>
    <w:rsid w:val="003F3641"/>
    <w:rsid w:val="003F3A35"/>
    <w:rsid w:val="003F3F15"/>
    <w:rsid w:val="003F4142"/>
    <w:rsid w:val="003F49F2"/>
    <w:rsid w:val="003F4FCB"/>
    <w:rsid w:val="003F535C"/>
    <w:rsid w:val="003F5551"/>
    <w:rsid w:val="003F57BE"/>
    <w:rsid w:val="003F5DFA"/>
    <w:rsid w:val="003F631C"/>
    <w:rsid w:val="003F6345"/>
    <w:rsid w:val="003F63EB"/>
    <w:rsid w:val="003F6421"/>
    <w:rsid w:val="003F6C89"/>
    <w:rsid w:val="003F6CE1"/>
    <w:rsid w:val="003F6FFB"/>
    <w:rsid w:val="003F7196"/>
    <w:rsid w:val="003F73DF"/>
    <w:rsid w:val="003F759D"/>
    <w:rsid w:val="003F7A2D"/>
    <w:rsid w:val="003F7F21"/>
    <w:rsid w:val="00400188"/>
    <w:rsid w:val="00400381"/>
    <w:rsid w:val="00400785"/>
    <w:rsid w:val="004008AF"/>
    <w:rsid w:val="004008B6"/>
    <w:rsid w:val="00400B5F"/>
    <w:rsid w:val="00400DEB"/>
    <w:rsid w:val="00401183"/>
    <w:rsid w:val="004013D9"/>
    <w:rsid w:val="00401699"/>
    <w:rsid w:val="004016DA"/>
    <w:rsid w:val="00401DBF"/>
    <w:rsid w:val="00401FAE"/>
    <w:rsid w:val="004021D1"/>
    <w:rsid w:val="004023FF"/>
    <w:rsid w:val="00402486"/>
    <w:rsid w:val="0040257F"/>
    <w:rsid w:val="0040295E"/>
    <w:rsid w:val="00402A5E"/>
    <w:rsid w:val="00402B45"/>
    <w:rsid w:val="00402BC1"/>
    <w:rsid w:val="00402D6B"/>
    <w:rsid w:val="00402EBC"/>
    <w:rsid w:val="00403381"/>
    <w:rsid w:val="004033D9"/>
    <w:rsid w:val="00403789"/>
    <w:rsid w:val="00403C21"/>
    <w:rsid w:val="00403E6B"/>
    <w:rsid w:val="00403EAA"/>
    <w:rsid w:val="004045B2"/>
    <w:rsid w:val="00404846"/>
    <w:rsid w:val="00404A94"/>
    <w:rsid w:val="00404AA6"/>
    <w:rsid w:val="00404B72"/>
    <w:rsid w:val="00404C61"/>
    <w:rsid w:val="00404C9B"/>
    <w:rsid w:val="00404FC8"/>
    <w:rsid w:val="00405087"/>
    <w:rsid w:val="00405366"/>
    <w:rsid w:val="004053B1"/>
    <w:rsid w:val="004053C7"/>
    <w:rsid w:val="0040541B"/>
    <w:rsid w:val="0040551F"/>
    <w:rsid w:val="00405575"/>
    <w:rsid w:val="00405A81"/>
    <w:rsid w:val="00405CB8"/>
    <w:rsid w:val="00405F54"/>
    <w:rsid w:val="004060F6"/>
    <w:rsid w:val="004062EF"/>
    <w:rsid w:val="004064CA"/>
    <w:rsid w:val="004067F4"/>
    <w:rsid w:val="00406A06"/>
    <w:rsid w:val="0040727E"/>
    <w:rsid w:val="00407308"/>
    <w:rsid w:val="004075E8"/>
    <w:rsid w:val="0040771F"/>
    <w:rsid w:val="00407B8A"/>
    <w:rsid w:val="00407CFC"/>
    <w:rsid w:val="004109BE"/>
    <w:rsid w:val="00410CEE"/>
    <w:rsid w:val="00410DBC"/>
    <w:rsid w:val="00410E76"/>
    <w:rsid w:val="00410EDE"/>
    <w:rsid w:val="004111F7"/>
    <w:rsid w:val="00411299"/>
    <w:rsid w:val="00411419"/>
    <w:rsid w:val="004116AA"/>
    <w:rsid w:val="00411722"/>
    <w:rsid w:val="0041181D"/>
    <w:rsid w:val="00411867"/>
    <w:rsid w:val="00411BB0"/>
    <w:rsid w:val="00411D9D"/>
    <w:rsid w:val="00411E91"/>
    <w:rsid w:val="0041217D"/>
    <w:rsid w:val="004125C6"/>
    <w:rsid w:val="0041275F"/>
    <w:rsid w:val="00412C77"/>
    <w:rsid w:val="00412ED6"/>
    <w:rsid w:val="00413345"/>
    <w:rsid w:val="0041335B"/>
    <w:rsid w:val="004135D5"/>
    <w:rsid w:val="00413631"/>
    <w:rsid w:val="00413E95"/>
    <w:rsid w:val="00414037"/>
    <w:rsid w:val="00414295"/>
    <w:rsid w:val="0041484A"/>
    <w:rsid w:val="00414AA4"/>
    <w:rsid w:val="00414E1D"/>
    <w:rsid w:val="004156AA"/>
    <w:rsid w:val="00416036"/>
    <w:rsid w:val="004164F5"/>
    <w:rsid w:val="0041658D"/>
    <w:rsid w:val="0041683A"/>
    <w:rsid w:val="00416A59"/>
    <w:rsid w:val="0041716D"/>
    <w:rsid w:val="0041718C"/>
    <w:rsid w:val="00417286"/>
    <w:rsid w:val="004173BF"/>
    <w:rsid w:val="00417D0C"/>
    <w:rsid w:val="00417EAE"/>
    <w:rsid w:val="004201D4"/>
    <w:rsid w:val="004206D2"/>
    <w:rsid w:val="00420734"/>
    <w:rsid w:val="00420764"/>
    <w:rsid w:val="00420985"/>
    <w:rsid w:val="00420E37"/>
    <w:rsid w:val="00420F49"/>
    <w:rsid w:val="004211A3"/>
    <w:rsid w:val="0042128A"/>
    <w:rsid w:val="004216BF"/>
    <w:rsid w:val="00421760"/>
    <w:rsid w:val="00421A89"/>
    <w:rsid w:val="00421B3B"/>
    <w:rsid w:val="00421EBC"/>
    <w:rsid w:val="00421FF3"/>
    <w:rsid w:val="004223B3"/>
    <w:rsid w:val="0042243C"/>
    <w:rsid w:val="00422528"/>
    <w:rsid w:val="00422550"/>
    <w:rsid w:val="0042292E"/>
    <w:rsid w:val="00422F85"/>
    <w:rsid w:val="0042304B"/>
    <w:rsid w:val="0042311B"/>
    <w:rsid w:val="00423503"/>
    <w:rsid w:val="004236A3"/>
    <w:rsid w:val="00423969"/>
    <w:rsid w:val="00423C27"/>
    <w:rsid w:val="00423C66"/>
    <w:rsid w:val="00423CE1"/>
    <w:rsid w:val="00423CF8"/>
    <w:rsid w:val="00423DB8"/>
    <w:rsid w:val="00423EBB"/>
    <w:rsid w:val="00424084"/>
    <w:rsid w:val="004243B7"/>
    <w:rsid w:val="00424410"/>
    <w:rsid w:val="00424485"/>
    <w:rsid w:val="004245B3"/>
    <w:rsid w:val="004246CD"/>
    <w:rsid w:val="00424888"/>
    <w:rsid w:val="00424A80"/>
    <w:rsid w:val="00424DEC"/>
    <w:rsid w:val="0042577E"/>
    <w:rsid w:val="004258CD"/>
    <w:rsid w:val="00425A9B"/>
    <w:rsid w:val="00425B48"/>
    <w:rsid w:val="0042648C"/>
    <w:rsid w:val="004265A8"/>
    <w:rsid w:val="0042680E"/>
    <w:rsid w:val="00426BB5"/>
    <w:rsid w:val="00427388"/>
    <w:rsid w:val="004273AD"/>
    <w:rsid w:val="004300A4"/>
    <w:rsid w:val="004300B1"/>
    <w:rsid w:val="00430127"/>
    <w:rsid w:val="00430309"/>
    <w:rsid w:val="0043030E"/>
    <w:rsid w:val="004305AE"/>
    <w:rsid w:val="00430B6A"/>
    <w:rsid w:val="004310E8"/>
    <w:rsid w:val="00431241"/>
    <w:rsid w:val="0043164B"/>
    <w:rsid w:val="004317D4"/>
    <w:rsid w:val="00431800"/>
    <w:rsid w:val="00431B13"/>
    <w:rsid w:val="00431FBF"/>
    <w:rsid w:val="004325CA"/>
    <w:rsid w:val="004326B4"/>
    <w:rsid w:val="00432848"/>
    <w:rsid w:val="00432C9D"/>
    <w:rsid w:val="00432CDF"/>
    <w:rsid w:val="00432E09"/>
    <w:rsid w:val="00433182"/>
    <w:rsid w:val="004333E1"/>
    <w:rsid w:val="004334E1"/>
    <w:rsid w:val="00433541"/>
    <w:rsid w:val="0043387C"/>
    <w:rsid w:val="00434240"/>
    <w:rsid w:val="0043428E"/>
    <w:rsid w:val="004345F1"/>
    <w:rsid w:val="004346FE"/>
    <w:rsid w:val="0043485C"/>
    <w:rsid w:val="00434B2D"/>
    <w:rsid w:val="00434CAB"/>
    <w:rsid w:val="00435FF0"/>
    <w:rsid w:val="004360D3"/>
    <w:rsid w:val="00436383"/>
    <w:rsid w:val="00436492"/>
    <w:rsid w:val="00436514"/>
    <w:rsid w:val="004366AD"/>
    <w:rsid w:val="00436A8B"/>
    <w:rsid w:val="00436B6B"/>
    <w:rsid w:val="00436BE9"/>
    <w:rsid w:val="00436E0C"/>
    <w:rsid w:val="00436E12"/>
    <w:rsid w:val="00437246"/>
    <w:rsid w:val="00437593"/>
    <w:rsid w:val="00437EC8"/>
    <w:rsid w:val="00437EEA"/>
    <w:rsid w:val="00437F06"/>
    <w:rsid w:val="004401B7"/>
    <w:rsid w:val="0044024A"/>
    <w:rsid w:val="0044066F"/>
    <w:rsid w:val="00440972"/>
    <w:rsid w:val="0044099A"/>
    <w:rsid w:val="004412A9"/>
    <w:rsid w:val="004416CE"/>
    <w:rsid w:val="00441AA1"/>
    <w:rsid w:val="00441B1E"/>
    <w:rsid w:val="00441B35"/>
    <w:rsid w:val="0044214E"/>
    <w:rsid w:val="004423F7"/>
    <w:rsid w:val="004425BE"/>
    <w:rsid w:val="004426D3"/>
    <w:rsid w:val="00442723"/>
    <w:rsid w:val="00442A49"/>
    <w:rsid w:val="00442BEA"/>
    <w:rsid w:val="00442C86"/>
    <w:rsid w:val="00442EAD"/>
    <w:rsid w:val="00442F27"/>
    <w:rsid w:val="00442F29"/>
    <w:rsid w:val="00443062"/>
    <w:rsid w:val="0044343D"/>
    <w:rsid w:val="00443674"/>
    <w:rsid w:val="00443679"/>
    <w:rsid w:val="004436DA"/>
    <w:rsid w:val="004439F6"/>
    <w:rsid w:val="00443A86"/>
    <w:rsid w:val="0044403E"/>
    <w:rsid w:val="00444B57"/>
    <w:rsid w:val="00444B7D"/>
    <w:rsid w:val="004450D3"/>
    <w:rsid w:val="0044517B"/>
    <w:rsid w:val="00445741"/>
    <w:rsid w:val="004459E1"/>
    <w:rsid w:val="00445A6D"/>
    <w:rsid w:val="00445BD8"/>
    <w:rsid w:val="00445DB7"/>
    <w:rsid w:val="00446079"/>
    <w:rsid w:val="00446640"/>
    <w:rsid w:val="0044690B"/>
    <w:rsid w:val="00446BBE"/>
    <w:rsid w:val="004470E9"/>
    <w:rsid w:val="00447324"/>
    <w:rsid w:val="0044782C"/>
    <w:rsid w:val="00447A51"/>
    <w:rsid w:val="00447CF0"/>
    <w:rsid w:val="00447E94"/>
    <w:rsid w:val="00447F3C"/>
    <w:rsid w:val="00447F5D"/>
    <w:rsid w:val="004502A7"/>
    <w:rsid w:val="00450341"/>
    <w:rsid w:val="00450792"/>
    <w:rsid w:val="0045093D"/>
    <w:rsid w:val="00450B82"/>
    <w:rsid w:val="00450D74"/>
    <w:rsid w:val="00450F1A"/>
    <w:rsid w:val="0045110E"/>
    <w:rsid w:val="004515B1"/>
    <w:rsid w:val="00451645"/>
    <w:rsid w:val="0045193F"/>
    <w:rsid w:val="004519AE"/>
    <w:rsid w:val="00451A73"/>
    <w:rsid w:val="00451E00"/>
    <w:rsid w:val="00452000"/>
    <w:rsid w:val="004529E2"/>
    <w:rsid w:val="00452A18"/>
    <w:rsid w:val="00452AE0"/>
    <w:rsid w:val="004531A8"/>
    <w:rsid w:val="0045342A"/>
    <w:rsid w:val="004537F1"/>
    <w:rsid w:val="0045381F"/>
    <w:rsid w:val="00453A8C"/>
    <w:rsid w:val="00453D12"/>
    <w:rsid w:val="00453DE5"/>
    <w:rsid w:val="00453F63"/>
    <w:rsid w:val="004543C3"/>
    <w:rsid w:val="00454426"/>
    <w:rsid w:val="004546B1"/>
    <w:rsid w:val="004546C5"/>
    <w:rsid w:val="00454752"/>
    <w:rsid w:val="00454F8E"/>
    <w:rsid w:val="0045558D"/>
    <w:rsid w:val="0045573B"/>
    <w:rsid w:val="004557FB"/>
    <w:rsid w:val="00455B75"/>
    <w:rsid w:val="00455F4F"/>
    <w:rsid w:val="00456578"/>
    <w:rsid w:val="00456CA0"/>
    <w:rsid w:val="00456CC8"/>
    <w:rsid w:val="004571E4"/>
    <w:rsid w:val="00457866"/>
    <w:rsid w:val="00457C14"/>
    <w:rsid w:val="00457EAD"/>
    <w:rsid w:val="00457FAD"/>
    <w:rsid w:val="00460286"/>
    <w:rsid w:val="004609EF"/>
    <w:rsid w:val="00460A7A"/>
    <w:rsid w:val="00460AAF"/>
    <w:rsid w:val="00460E86"/>
    <w:rsid w:val="00460E91"/>
    <w:rsid w:val="00461008"/>
    <w:rsid w:val="00461F10"/>
    <w:rsid w:val="00462153"/>
    <w:rsid w:val="004622EC"/>
    <w:rsid w:val="00462778"/>
    <w:rsid w:val="004629E1"/>
    <w:rsid w:val="00462FDC"/>
    <w:rsid w:val="00463147"/>
    <w:rsid w:val="004631DE"/>
    <w:rsid w:val="00463606"/>
    <w:rsid w:val="00463A16"/>
    <w:rsid w:val="00463E57"/>
    <w:rsid w:val="0046456F"/>
    <w:rsid w:val="0046478D"/>
    <w:rsid w:val="00464B5B"/>
    <w:rsid w:val="00464B67"/>
    <w:rsid w:val="00464C34"/>
    <w:rsid w:val="00464F6C"/>
    <w:rsid w:val="00464FF0"/>
    <w:rsid w:val="004656F9"/>
    <w:rsid w:val="004657FF"/>
    <w:rsid w:val="004659C3"/>
    <w:rsid w:val="00465F16"/>
    <w:rsid w:val="00466455"/>
    <w:rsid w:val="004667EE"/>
    <w:rsid w:val="0046690B"/>
    <w:rsid w:val="0046699F"/>
    <w:rsid w:val="00466CF7"/>
    <w:rsid w:val="00467874"/>
    <w:rsid w:val="0047033A"/>
    <w:rsid w:val="0047054F"/>
    <w:rsid w:val="004705E2"/>
    <w:rsid w:val="00470755"/>
    <w:rsid w:val="004707BF"/>
    <w:rsid w:val="004713B2"/>
    <w:rsid w:val="004714C8"/>
    <w:rsid w:val="00471CE5"/>
    <w:rsid w:val="00471D0D"/>
    <w:rsid w:val="00471D35"/>
    <w:rsid w:val="00472181"/>
    <w:rsid w:val="00472210"/>
    <w:rsid w:val="0047270F"/>
    <w:rsid w:val="004728F4"/>
    <w:rsid w:val="00472CCD"/>
    <w:rsid w:val="00472DDF"/>
    <w:rsid w:val="004730B9"/>
    <w:rsid w:val="004731B7"/>
    <w:rsid w:val="004736EF"/>
    <w:rsid w:val="00473D07"/>
    <w:rsid w:val="00473D57"/>
    <w:rsid w:val="00473DD0"/>
    <w:rsid w:val="0047418A"/>
    <w:rsid w:val="004742B1"/>
    <w:rsid w:val="00474523"/>
    <w:rsid w:val="0047457A"/>
    <w:rsid w:val="00474824"/>
    <w:rsid w:val="00474B6B"/>
    <w:rsid w:val="00474CAE"/>
    <w:rsid w:val="00474CCD"/>
    <w:rsid w:val="00474E01"/>
    <w:rsid w:val="00475063"/>
    <w:rsid w:val="00475121"/>
    <w:rsid w:val="00475207"/>
    <w:rsid w:val="0047544A"/>
    <w:rsid w:val="0047597A"/>
    <w:rsid w:val="00475E6A"/>
    <w:rsid w:val="004761B5"/>
    <w:rsid w:val="0047653C"/>
    <w:rsid w:val="00476958"/>
    <w:rsid w:val="0047698B"/>
    <w:rsid w:val="00476B2B"/>
    <w:rsid w:val="004770A5"/>
    <w:rsid w:val="004775DF"/>
    <w:rsid w:val="00477A8E"/>
    <w:rsid w:val="00477A9D"/>
    <w:rsid w:val="00477B9D"/>
    <w:rsid w:val="00477F0D"/>
    <w:rsid w:val="004801C7"/>
    <w:rsid w:val="00480203"/>
    <w:rsid w:val="0048043F"/>
    <w:rsid w:val="00480D97"/>
    <w:rsid w:val="00480F45"/>
    <w:rsid w:val="00480F9A"/>
    <w:rsid w:val="0048155D"/>
    <w:rsid w:val="004826CC"/>
    <w:rsid w:val="00482804"/>
    <w:rsid w:val="0048296E"/>
    <w:rsid w:val="00482A2B"/>
    <w:rsid w:val="00482B47"/>
    <w:rsid w:val="00482C6A"/>
    <w:rsid w:val="00483202"/>
    <w:rsid w:val="0048323E"/>
    <w:rsid w:val="00483450"/>
    <w:rsid w:val="00483AB2"/>
    <w:rsid w:val="004844B9"/>
    <w:rsid w:val="00484676"/>
    <w:rsid w:val="004848B0"/>
    <w:rsid w:val="00484D5F"/>
    <w:rsid w:val="00484DC5"/>
    <w:rsid w:val="0048506A"/>
    <w:rsid w:val="00485190"/>
    <w:rsid w:val="004851F7"/>
    <w:rsid w:val="00485648"/>
    <w:rsid w:val="00485675"/>
    <w:rsid w:val="00485732"/>
    <w:rsid w:val="00485A15"/>
    <w:rsid w:val="00486B16"/>
    <w:rsid w:val="00487011"/>
    <w:rsid w:val="00487077"/>
    <w:rsid w:val="004873AD"/>
    <w:rsid w:val="00487AFF"/>
    <w:rsid w:val="00487C85"/>
    <w:rsid w:val="00487CA8"/>
    <w:rsid w:val="004903AD"/>
    <w:rsid w:val="004905E6"/>
    <w:rsid w:val="0049063C"/>
    <w:rsid w:val="0049065C"/>
    <w:rsid w:val="00490DC4"/>
    <w:rsid w:val="00490F20"/>
    <w:rsid w:val="00490F3B"/>
    <w:rsid w:val="00491601"/>
    <w:rsid w:val="00491771"/>
    <w:rsid w:val="00491E38"/>
    <w:rsid w:val="00492024"/>
    <w:rsid w:val="00492172"/>
    <w:rsid w:val="004921E3"/>
    <w:rsid w:val="00492474"/>
    <w:rsid w:val="00492B07"/>
    <w:rsid w:val="00492DF8"/>
    <w:rsid w:val="00492FF4"/>
    <w:rsid w:val="004940E8"/>
    <w:rsid w:val="004943D9"/>
    <w:rsid w:val="0049447A"/>
    <w:rsid w:val="0049468B"/>
    <w:rsid w:val="00494F64"/>
    <w:rsid w:val="004953A6"/>
    <w:rsid w:val="004954CC"/>
    <w:rsid w:val="0049582C"/>
    <w:rsid w:val="00495C3A"/>
    <w:rsid w:val="00495D10"/>
    <w:rsid w:val="00495E27"/>
    <w:rsid w:val="0049619E"/>
    <w:rsid w:val="0049626A"/>
    <w:rsid w:val="00496609"/>
    <w:rsid w:val="00496614"/>
    <w:rsid w:val="00496656"/>
    <w:rsid w:val="00496C65"/>
    <w:rsid w:val="00496ED6"/>
    <w:rsid w:val="004970F5"/>
    <w:rsid w:val="00497435"/>
    <w:rsid w:val="004976B2"/>
    <w:rsid w:val="0049777F"/>
    <w:rsid w:val="0049785A"/>
    <w:rsid w:val="004978DC"/>
    <w:rsid w:val="00497AD8"/>
    <w:rsid w:val="00497B9F"/>
    <w:rsid w:val="004A0258"/>
    <w:rsid w:val="004A0697"/>
    <w:rsid w:val="004A0FC7"/>
    <w:rsid w:val="004A1191"/>
    <w:rsid w:val="004A161F"/>
    <w:rsid w:val="004A1BB5"/>
    <w:rsid w:val="004A2084"/>
    <w:rsid w:val="004A20A1"/>
    <w:rsid w:val="004A2257"/>
    <w:rsid w:val="004A234A"/>
    <w:rsid w:val="004A2474"/>
    <w:rsid w:val="004A2756"/>
    <w:rsid w:val="004A27FA"/>
    <w:rsid w:val="004A281A"/>
    <w:rsid w:val="004A2AF1"/>
    <w:rsid w:val="004A33D0"/>
    <w:rsid w:val="004A36A2"/>
    <w:rsid w:val="004A3EE7"/>
    <w:rsid w:val="004A3F94"/>
    <w:rsid w:val="004A411A"/>
    <w:rsid w:val="004A4123"/>
    <w:rsid w:val="004A4430"/>
    <w:rsid w:val="004A4948"/>
    <w:rsid w:val="004A4E97"/>
    <w:rsid w:val="004A4FDF"/>
    <w:rsid w:val="004A519C"/>
    <w:rsid w:val="004A5489"/>
    <w:rsid w:val="004A59F8"/>
    <w:rsid w:val="004A5A18"/>
    <w:rsid w:val="004A5A49"/>
    <w:rsid w:val="004A5A9F"/>
    <w:rsid w:val="004A5E73"/>
    <w:rsid w:val="004A68C1"/>
    <w:rsid w:val="004A6A9A"/>
    <w:rsid w:val="004A6AAB"/>
    <w:rsid w:val="004A6C2D"/>
    <w:rsid w:val="004A6D7B"/>
    <w:rsid w:val="004A7045"/>
    <w:rsid w:val="004A77C7"/>
    <w:rsid w:val="004A7A52"/>
    <w:rsid w:val="004A7B3B"/>
    <w:rsid w:val="004A7F76"/>
    <w:rsid w:val="004B082C"/>
    <w:rsid w:val="004B11FB"/>
    <w:rsid w:val="004B1661"/>
    <w:rsid w:val="004B19FE"/>
    <w:rsid w:val="004B1A0C"/>
    <w:rsid w:val="004B1B58"/>
    <w:rsid w:val="004B1CBF"/>
    <w:rsid w:val="004B1D85"/>
    <w:rsid w:val="004B21FA"/>
    <w:rsid w:val="004B2311"/>
    <w:rsid w:val="004B25F9"/>
    <w:rsid w:val="004B2628"/>
    <w:rsid w:val="004B262D"/>
    <w:rsid w:val="004B28AD"/>
    <w:rsid w:val="004B2904"/>
    <w:rsid w:val="004B2A4D"/>
    <w:rsid w:val="004B2DE1"/>
    <w:rsid w:val="004B2F45"/>
    <w:rsid w:val="004B33C2"/>
    <w:rsid w:val="004B3439"/>
    <w:rsid w:val="004B3A1B"/>
    <w:rsid w:val="004B3C30"/>
    <w:rsid w:val="004B3C83"/>
    <w:rsid w:val="004B4191"/>
    <w:rsid w:val="004B4214"/>
    <w:rsid w:val="004B445B"/>
    <w:rsid w:val="004B45D4"/>
    <w:rsid w:val="004B466C"/>
    <w:rsid w:val="004B4A56"/>
    <w:rsid w:val="004B4BCD"/>
    <w:rsid w:val="004B4D8B"/>
    <w:rsid w:val="004B4E60"/>
    <w:rsid w:val="004B4ED3"/>
    <w:rsid w:val="004B4FBD"/>
    <w:rsid w:val="004B53AD"/>
    <w:rsid w:val="004B53FC"/>
    <w:rsid w:val="004B57E1"/>
    <w:rsid w:val="004B57E5"/>
    <w:rsid w:val="004B58A9"/>
    <w:rsid w:val="004B5C48"/>
    <w:rsid w:val="004B5EB1"/>
    <w:rsid w:val="004B5F60"/>
    <w:rsid w:val="004B66D9"/>
    <w:rsid w:val="004B689D"/>
    <w:rsid w:val="004B6BF5"/>
    <w:rsid w:val="004B6E1D"/>
    <w:rsid w:val="004B6E9C"/>
    <w:rsid w:val="004B7040"/>
    <w:rsid w:val="004B7225"/>
    <w:rsid w:val="004B731A"/>
    <w:rsid w:val="004B79EA"/>
    <w:rsid w:val="004B7C24"/>
    <w:rsid w:val="004B7D46"/>
    <w:rsid w:val="004B7DAB"/>
    <w:rsid w:val="004B7EED"/>
    <w:rsid w:val="004B7EF4"/>
    <w:rsid w:val="004C01E6"/>
    <w:rsid w:val="004C0387"/>
    <w:rsid w:val="004C0681"/>
    <w:rsid w:val="004C06B1"/>
    <w:rsid w:val="004C0928"/>
    <w:rsid w:val="004C0E97"/>
    <w:rsid w:val="004C0ECD"/>
    <w:rsid w:val="004C11FC"/>
    <w:rsid w:val="004C1368"/>
    <w:rsid w:val="004C166C"/>
    <w:rsid w:val="004C184D"/>
    <w:rsid w:val="004C1871"/>
    <w:rsid w:val="004C1966"/>
    <w:rsid w:val="004C1D37"/>
    <w:rsid w:val="004C22C7"/>
    <w:rsid w:val="004C2DA0"/>
    <w:rsid w:val="004C301C"/>
    <w:rsid w:val="004C3062"/>
    <w:rsid w:val="004C3255"/>
    <w:rsid w:val="004C39F7"/>
    <w:rsid w:val="004C3E56"/>
    <w:rsid w:val="004C48C8"/>
    <w:rsid w:val="004C5285"/>
    <w:rsid w:val="004C598D"/>
    <w:rsid w:val="004C5ABD"/>
    <w:rsid w:val="004C5AFC"/>
    <w:rsid w:val="004C5D47"/>
    <w:rsid w:val="004C5DFD"/>
    <w:rsid w:val="004C647E"/>
    <w:rsid w:val="004C65CD"/>
    <w:rsid w:val="004C675C"/>
    <w:rsid w:val="004C6802"/>
    <w:rsid w:val="004C6940"/>
    <w:rsid w:val="004C6A1B"/>
    <w:rsid w:val="004C6BB4"/>
    <w:rsid w:val="004C6C8F"/>
    <w:rsid w:val="004C7082"/>
    <w:rsid w:val="004C7188"/>
    <w:rsid w:val="004C71FA"/>
    <w:rsid w:val="004C7625"/>
    <w:rsid w:val="004C7A80"/>
    <w:rsid w:val="004C7B4B"/>
    <w:rsid w:val="004C7B68"/>
    <w:rsid w:val="004D049B"/>
    <w:rsid w:val="004D0782"/>
    <w:rsid w:val="004D0CBD"/>
    <w:rsid w:val="004D14E2"/>
    <w:rsid w:val="004D1672"/>
    <w:rsid w:val="004D16E2"/>
    <w:rsid w:val="004D1A55"/>
    <w:rsid w:val="004D1B9C"/>
    <w:rsid w:val="004D1CE2"/>
    <w:rsid w:val="004D1F49"/>
    <w:rsid w:val="004D1F7F"/>
    <w:rsid w:val="004D1FCA"/>
    <w:rsid w:val="004D2738"/>
    <w:rsid w:val="004D2BB7"/>
    <w:rsid w:val="004D2BD6"/>
    <w:rsid w:val="004D2E3B"/>
    <w:rsid w:val="004D2E59"/>
    <w:rsid w:val="004D2FE3"/>
    <w:rsid w:val="004D3028"/>
    <w:rsid w:val="004D326C"/>
    <w:rsid w:val="004D362A"/>
    <w:rsid w:val="004D3897"/>
    <w:rsid w:val="004D3FF8"/>
    <w:rsid w:val="004D4200"/>
    <w:rsid w:val="004D4329"/>
    <w:rsid w:val="004D4425"/>
    <w:rsid w:val="004D482D"/>
    <w:rsid w:val="004D4EF7"/>
    <w:rsid w:val="004D51D7"/>
    <w:rsid w:val="004D5251"/>
    <w:rsid w:val="004D5640"/>
    <w:rsid w:val="004D5FCF"/>
    <w:rsid w:val="004D6024"/>
    <w:rsid w:val="004D6189"/>
    <w:rsid w:val="004D618F"/>
    <w:rsid w:val="004D66EC"/>
    <w:rsid w:val="004D68CC"/>
    <w:rsid w:val="004D7364"/>
    <w:rsid w:val="004D7B6A"/>
    <w:rsid w:val="004D7C80"/>
    <w:rsid w:val="004D7DCC"/>
    <w:rsid w:val="004D7E4C"/>
    <w:rsid w:val="004D7EB4"/>
    <w:rsid w:val="004E0103"/>
    <w:rsid w:val="004E01FB"/>
    <w:rsid w:val="004E03F5"/>
    <w:rsid w:val="004E0728"/>
    <w:rsid w:val="004E0736"/>
    <w:rsid w:val="004E0EDB"/>
    <w:rsid w:val="004E0F68"/>
    <w:rsid w:val="004E16B2"/>
    <w:rsid w:val="004E1AD4"/>
    <w:rsid w:val="004E1BBB"/>
    <w:rsid w:val="004E1BF4"/>
    <w:rsid w:val="004E1CAA"/>
    <w:rsid w:val="004E1EB3"/>
    <w:rsid w:val="004E205D"/>
    <w:rsid w:val="004E2BD6"/>
    <w:rsid w:val="004E2E2B"/>
    <w:rsid w:val="004E2E42"/>
    <w:rsid w:val="004E2FD0"/>
    <w:rsid w:val="004E3225"/>
    <w:rsid w:val="004E3604"/>
    <w:rsid w:val="004E36A2"/>
    <w:rsid w:val="004E3AE9"/>
    <w:rsid w:val="004E3B96"/>
    <w:rsid w:val="004E3D21"/>
    <w:rsid w:val="004E410E"/>
    <w:rsid w:val="004E4342"/>
    <w:rsid w:val="004E4357"/>
    <w:rsid w:val="004E47A3"/>
    <w:rsid w:val="004E4806"/>
    <w:rsid w:val="004E481C"/>
    <w:rsid w:val="004E509E"/>
    <w:rsid w:val="004E516D"/>
    <w:rsid w:val="004E5352"/>
    <w:rsid w:val="004E566D"/>
    <w:rsid w:val="004E579C"/>
    <w:rsid w:val="004E5EB2"/>
    <w:rsid w:val="004E614F"/>
    <w:rsid w:val="004E63A4"/>
    <w:rsid w:val="004E6449"/>
    <w:rsid w:val="004E666C"/>
    <w:rsid w:val="004E6791"/>
    <w:rsid w:val="004E6FDB"/>
    <w:rsid w:val="004E710A"/>
    <w:rsid w:val="004E7A8E"/>
    <w:rsid w:val="004E7C24"/>
    <w:rsid w:val="004F02A1"/>
    <w:rsid w:val="004F04C5"/>
    <w:rsid w:val="004F0CE2"/>
    <w:rsid w:val="004F0F2B"/>
    <w:rsid w:val="004F0FF8"/>
    <w:rsid w:val="004F110B"/>
    <w:rsid w:val="004F11A5"/>
    <w:rsid w:val="004F1725"/>
    <w:rsid w:val="004F1CFE"/>
    <w:rsid w:val="004F30C6"/>
    <w:rsid w:val="004F32D0"/>
    <w:rsid w:val="004F387D"/>
    <w:rsid w:val="004F39DF"/>
    <w:rsid w:val="004F4445"/>
    <w:rsid w:val="004F4725"/>
    <w:rsid w:val="004F4E60"/>
    <w:rsid w:val="004F4E6E"/>
    <w:rsid w:val="004F54C9"/>
    <w:rsid w:val="004F5627"/>
    <w:rsid w:val="004F576F"/>
    <w:rsid w:val="004F59C7"/>
    <w:rsid w:val="004F5AFA"/>
    <w:rsid w:val="004F5BAE"/>
    <w:rsid w:val="004F5CF2"/>
    <w:rsid w:val="004F5D07"/>
    <w:rsid w:val="004F5E08"/>
    <w:rsid w:val="004F6404"/>
    <w:rsid w:val="004F66F4"/>
    <w:rsid w:val="004F6765"/>
    <w:rsid w:val="004F6852"/>
    <w:rsid w:val="004F6A53"/>
    <w:rsid w:val="004F6AD3"/>
    <w:rsid w:val="004F6B27"/>
    <w:rsid w:val="004F755C"/>
    <w:rsid w:val="004F7716"/>
    <w:rsid w:val="004F7BFA"/>
    <w:rsid w:val="004F7DE4"/>
    <w:rsid w:val="00500014"/>
    <w:rsid w:val="00500044"/>
    <w:rsid w:val="00500096"/>
    <w:rsid w:val="00500284"/>
    <w:rsid w:val="00500496"/>
    <w:rsid w:val="005004DB"/>
    <w:rsid w:val="005006A9"/>
    <w:rsid w:val="005009A9"/>
    <w:rsid w:val="00500A9B"/>
    <w:rsid w:val="0050104C"/>
    <w:rsid w:val="00501386"/>
    <w:rsid w:val="00501947"/>
    <w:rsid w:val="00501BD9"/>
    <w:rsid w:val="00501C25"/>
    <w:rsid w:val="0050212E"/>
    <w:rsid w:val="005023EC"/>
    <w:rsid w:val="005026CE"/>
    <w:rsid w:val="005027A6"/>
    <w:rsid w:val="00502DAE"/>
    <w:rsid w:val="00502DF2"/>
    <w:rsid w:val="00502F5B"/>
    <w:rsid w:val="00502FFB"/>
    <w:rsid w:val="005034C3"/>
    <w:rsid w:val="005038A0"/>
    <w:rsid w:val="00503C2D"/>
    <w:rsid w:val="00503E61"/>
    <w:rsid w:val="00504064"/>
    <w:rsid w:val="00504175"/>
    <w:rsid w:val="00504362"/>
    <w:rsid w:val="0050458A"/>
    <w:rsid w:val="005048FA"/>
    <w:rsid w:val="00504A7F"/>
    <w:rsid w:val="00504A82"/>
    <w:rsid w:val="00504BA7"/>
    <w:rsid w:val="00504E95"/>
    <w:rsid w:val="00504FDE"/>
    <w:rsid w:val="005053EC"/>
    <w:rsid w:val="00505713"/>
    <w:rsid w:val="005058A6"/>
    <w:rsid w:val="00505A6C"/>
    <w:rsid w:val="00505AEA"/>
    <w:rsid w:val="00505AF1"/>
    <w:rsid w:val="00505E19"/>
    <w:rsid w:val="00505F6D"/>
    <w:rsid w:val="00506352"/>
    <w:rsid w:val="00506554"/>
    <w:rsid w:val="00506760"/>
    <w:rsid w:val="00506FD8"/>
    <w:rsid w:val="005073A7"/>
    <w:rsid w:val="00507502"/>
    <w:rsid w:val="0050771A"/>
    <w:rsid w:val="0050787C"/>
    <w:rsid w:val="005078B2"/>
    <w:rsid w:val="00507DB1"/>
    <w:rsid w:val="00507DFC"/>
    <w:rsid w:val="00510113"/>
    <w:rsid w:val="00510248"/>
    <w:rsid w:val="0051033E"/>
    <w:rsid w:val="005103C5"/>
    <w:rsid w:val="00510894"/>
    <w:rsid w:val="00510AA8"/>
    <w:rsid w:val="00510AB7"/>
    <w:rsid w:val="00510D62"/>
    <w:rsid w:val="00510EC9"/>
    <w:rsid w:val="00511250"/>
    <w:rsid w:val="005114BB"/>
    <w:rsid w:val="005114D6"/>
    <w:rsid w:val="00511849"/>
    <w:rsid w:val="00511F46"/>
    <w:rsid w:val="00512461"/>
    <w:rsid w:val="00512638"/>
    <w:rsid w:val="005127D7"/>
    <w:rsid w:val="00512EC5"/>
    <w:rsid w:val="0051305A"/>
    <w:rsid w:val="005131D3"/>
    <w:rsid w:val="005134D8"/>
    <w:rsid w:val="0051352C"/>
    <w:rsid w:val="00513A94"/>
    <w:rsid w:val="00514987"/>
    <w:rsid w:val="00514FC2"/>
    <w:rsid w:val="00514FED"/>
    <w:rsid w:val="005150B6"/>
    <w:rsid w:val="0051595C"/>
    <w:rsid w:val="005159D6"/>
    <w:rsid w:val="00515BFA"/>
    <w:rsid w:val="00515C59"/>
    <w:rsid w:val="00515E4F"/>
    <w:rsid w:val="005165C9"/>
    <w:rsid w:val="0051667B"/>
    <w:rsid w:val="005166A6"/>
    <w:rsid w:val="00516BCE"/>
    <w:rsid w:val="005170EF"/>
    <w:rsid w:val="0051715C"/>
    <w:rsid w:val="005171BC"/>
    <w:rsid w:val="005173CB"/>
    <w:rsid w:val="005173EB"/>
    <w:rsid w:val="00517514"/>
    <w:rsid w:val="00517731"/>
    <w:rsid w:val="00517A86"/>
    <w:rsid w:val="00517E2C"/>
    <w:rsid w:val="00517E4F"/>
    <w:rsid w:val="00517EDA"/>
    <w:rsid w:val="00520222"/>
    <w:rsid w:val="0052035F"/>
    <w:rsid w:val="00520801"/>
    <w:rsid w:val="00520CA0"/>
    <w:rsid w:val="00521129"/>
    <w:rsid w:val="005213A9"/>
    <w:rsid w:val="00521532"/>
    <w:rsid w:val="00521C78"/>
    <w:rsid w:val="00521FEA"/>
    <w:rsid w:val="00522149"/>
    <w:rsid w:val="00522A4B"/>
    <w:rsid w:val="00522A53"/>
    <w:rsid w:val="00522B57"/>
    <w:rsid w:val="00522F15"/>
    <w:rsid w:val="0052349D"/>
    <w:rsid w:val="0052364D"/>
    <w:rsid w:val="005236E3"/>
    <w:rsid w:val="00523A94"/>
    <w:rsid w:val="00523CBB"/>
    <w:rsid w:val="00523EB2"/>
    <w:rsid w:val="00524151"/>
    <w:rsid w:val="00524B18"/>
    <w:rsid w:val="00524BE8"/>
    <w:rsid w:val="00525061"/>
    <w:rsid w:val="0052554F"/>
    <w:rsid w:val="0052575D"/>
    <w:rsid w:val="00525AEE"/>
    <w:rsid w:val="00525E9C"/>
    <w:rsid w:val="00525F19"/>
    <w:rsid w:val="0052611B"/>
    <w:rsid w:val="005261AB"/>
    <w:rsid w:val="00526566"/>
    <w:rsid w:val="0052658F"/>
    <w:rsid w:val="005266D0"/>
    <w:rsid w:val="005268E2"/>
    <w:rsid w:val="00526C92"/>
    <w:rsid w:val="00526D62"/>
    <w:rsid w:val="00526E6E"/>
    <w:rsid w:val="005275FC"/>
    <w:rsid w:val="0052768C"/>
    <w:rsid w:val="00527B61"/>
    <w:rsid w:val="00527E9C"/>
    <w:rsid w:val="00527F46"/>
    <w:rsid w:val="00530001"/>
    <w:rsid w:val="00530372"/>
    <w:rsid w:val="0053065D"/>
    <w:rsid w:val="0053088A"/>
    <w:rsid w:val="00530896"/>
    <w:rsid w:val="00530BAD"/>
    <w:rsid w:val="00530D5D"/>
    <w:rsid w:val="00530EEA"/>
    <w:rsid w:val="00530F88"/>
    <w:rsid w:val="005310AF"/>
    <w:rsid w:val="0053121C"/>
    <w:rsid w:val="00531319"/>
    <w:rsid w:val="0053198E"/>
    <w:rsid w:val="00531D66"/>
    <w:rsid w:val="00531FB1"/>
    <w:rsid w:val="00531FF0"/>
    <w:rsid w:val="00532174"/>
    <w:rsid w:val="005321BF"/>
    <w:rsid w:val="00532FD8"/>
    <w:rsid w:val="00533049"/>
    <w:rsid w:val="00533331"/>
    <w:rsid w:val="00533668"/>
    <w:rsid w:val="00533972"/>
    <w:rsid w:val="00533B05"/>
    <w:rsid w:val="00533CDB"/>
    <w:rsid w:val="00533F54"/>
    <w:rsid w:val="005340BC"/>
    <w:rsid w:val="005342C3"/>
    <w:rsid w:val="005343E4"/>
    <w:rsid w:val="005346DF"/>
    <w:rsid w:val="005347E9"/>
    <w:rsid w:val="00534943"/>
    <w:rsid w:val="0053502A"/>
    <w:rsid w:val="00535AB6"/>
    <w:rsid w:val="00535BB2"/>
    <w:rsid w:val="00535D46"/>
    <w:rsid w:val="00535D6D"/>
    <w:rsid w:val="005360C0"/>
    <w:rsid w:val="005362F5"/>
    <w:rsid w:val="00536379"/>
    <w:rsid w:val="005367A8"/>
    <w:rsid w:val="00536A03"/>
    <w:rsid w:val="00536CE5"/>
    <w:rsid w:val="00536F52"/>
    <w:rsid w:val="0053725B"/>
    <w:rsid w:val="00537438"/>
    <w:rsid w:val="00537A2C"/>
    <w:rsid w:val="00537C5B"/>
    <w:rsid w:val="00537D76"/>
    <w:rsid w:val="00537E27"/>
    <w:rsid w:val="00537E5A"/>
    <w:rsid w:val="005401DB"/>
    <w:rsid w:val="0054020A"/>
    <w:rsid w:val="00540217"/>
    <w:rsid w:val="005402E1"/>
    <w:rsid w:val="005406AA"/>
    <w:rsid w:val="00540AF2"/>
    <w:rsid w:val="00540C57"/>
    <w:rsid w:val="00541122"/>
    <w:rsid w:val="005418DC"/>
    <w:rsid w:val="005422B5"/>
    <w:rsid w:val="00542309"/>
    <w:rsid w:val="005423C7"/>
    <w:rsid w:val="0054242A"/>
    <w:rsid w:val="00542848"/>
    <w:rsid w:val="00542887"/>
    <w:rsid w:val="00542AF2"/>
    <w:rsid w:val="00543017"/>
    <w:rsid w:val="005431A4"/>
    <w:rsid w:val="005431D6"/>
    <w:rsid w:val="00543A84"/>
    <w:rsid w:val="00543CC8"/>
    <w:rsid w:val="00544135"/>
    <w:rsid w:val="005441B7"/>
    <w:rsid w:val="0054458B"/>
    <w:rsid w:val="00544614"/>
    <w:rsid w:val="00544AAE"/>
    <w:rsid w:val="00545249"/>
    <w:rsid w:val="00545396"/>
    <w:rsid w:val="005453CA"/>
    <w:rsid w:val="005459CF"/>
    <w:rsid w:val="00545AE4"/>
    <w:rsid w:val="0054613C"/>
    <w:rsid w:val="00546257"/>
    <w:rsid w:val="00546339"/>
    <w:rsid w:val="005469BE"/>
    <w:rsid w:val="005473E1"/>
    <w:rsid w:val="00547532"/>
    <w:rsid w:val="005478F3"/>
    <w:rsid w:val="00547A7B"/>
    <w:rsid w:val="00547E64"/>
    <w:rsid w:val="00547F0D"/>
    <w:rsid w:val="00547F7D"/>
    <w:rsid w:val="0055014D"/>
    <w:rsid w:val="00550150"/>
    <w:rsid w:val="005504E2"/>
    <w:rsid w:val="00550791"/>
    <w:rsid w:val="0055081E"/>
    <w:rsid w:val="00550834"/>
    <w:rsid w:val="00550ED3"/>
    <w:rsid w:val="00551789"/>
    <w:rsid w:val="00551B0B"/>
    <w:rsid w:val="005522B7"/>
    <w:rsid w:val="005524D8"/>
    <w:rsid w:val="00552696"/>
    <w:rsid w:val="00552A41"/>
    <w:rsid w:val="005531BD"/>
    <w:rsid w:val="00553361"/>
    <w:rsid w:val="0055337E"/>
    <w:rsid w:val="00553427"/>
    <w:rsid w:val="005536CE"/>
    <w:rsid w:val="0055392F"/>
    <w:rsid w:val="00553AF5"/>
    <w:rsid w:val="005544B5"/>
    <w:rsid w:val="00554707"/>
    <w:rsid w:val="00554A9C"/>
    <w:rsid w:val="00554AB8"/>
    <w:rsid w:val="00554F95"/>
    <w:rsid w:val="00554FEF"/>
    <w:rsid w:val="0055591D"/>
    <w:rsid w:val="00556023"/>
    <w:rsid w:val="00556457"/>
    <w:rsid w:val="005567B2"/>
    <w:rsid w:val="00556F57"/>
    <w:rsid w:val="00557554"/>
    <w:rsid w:val="00557735"/>
    <w:rsid w:val="005577BE"/>
    <w:rsid w:val="005577F9"/>
    <w:rsid w:val="00557869"/>
    <w:rsid w:val="00557870"/>
    <w:rsid w:val="00557A9E"/>
    <w:rsid w:val="00557D3A"/>
    <w:rsid w:val="005601E5"/>
    <w:rsid w:val="00560239"/>
    <w:rsid w:val="00560277"/>
    <w:rsid w:val="005608B4"/>
    <w:rsid w:val="00560938"/>
    <w:rsid w:val="0056095D"/>
    <w:rsid w:val="00560A03"/>
    <w:rsid w:val="00560AF1"/>
    <w:rsid w:val="00560CC7"/>
    <w:rsid w:val="00560D14"/>
    <w:rsid w:val="00560D25"/>
    <w:rsid w:val="005614C7"/>
    <w:rsid w:val="00561562"/>
    <w:rsid w:val="00561814"/>
    <w:rsid w:val="00561872"/>
    <w:rsid w:val="0056199A"/>
    <w:rsid w:val="00561D1A"/>
    <w:rsid w:val="00561DE2"/>
    <w:rsid w:val="00561E35"/>
    <w:rsid w:val="00561EB9"/>
    <w:rsid w:val="0056266B"/>
    <w:rsid w:val="00562B55"/>
    <w:rsid w:val="0056305C"/>
    <w:rsid w:val="00563531"/>
    <w:rsid w:val="00563AD1"/>
    <w:rsid w:val="00563B1C"/>
    <w:rsid w:val="00563B46"/>
    <w:rsid w:val="00563DE6"/>
    <w:rsid w:val="00564289"/>
    <w:rsid w:val="0056433A"/>
    <w:rsid w:val="0056483A"/>
    <w:rsid w:val="00564CEA"/>
    <w:rsid w:val="00564D88"/>
    <w:rsid w:val="005650FD"/>
    <w:rsid w:val="0056528D"/>
    <w:rsid w:val="005653D8"/>
    <w:rsid w:val="00565B33"/>
    <w:rsid w:val="00565B74"/>
    <w:rsid w:val="00565F53"/>
    <w:rsid w:val="0056628B"/>
    <w:rsid w:val="00566298"/>
    <w:rsid w:val="00566364"/>
    <w:rsid w:val="00566D4F"/>
    <w:rsid w:val="00567245"/>
    <w:rsid w:val="00567314"/>
    <w:rsid w:val="0056746B"/>
    <w:rsid w:val="00567493"/>
    <w:rsid w:val="00567A3D"/>
    <w:rsid w:val="00567EB7"/>
    <w:rsid w:val="00567FDF"/>
    <w:rsid w:val="00570081"/>
    <w:rsid w:val="005706D0"/>
    <w:rsid w:val="0057091E"/>
    <w:rsid w:val="00570A98"/>
    <w:rsid w:val="00570AF0"/>
    <w:rsid w:val="00570BA7"/>
    <w:rsid w:val="00570C31"/>
    <w:rsid w:val="005710FB"/>
    <w:rsid w:val="005712C7"/>
    <w:rsid w:val="0057150A"/>
    <w:rsid w:val="005715A3"/>
    <w:rsid w:val="005715CB"/>
    <w:rsid w:val="00571754"/>
    <w:rsid w:val="00571B3F"/>
    <w:rsid w:val="00571E1D"/>
    <w:rsid w:val="005720A9"/>
    <w:rsid w:val="005723D6"/>
    <w:rsid w:val="005723E3"/>
    <w:rsid w:val="00572708"/>
    <w:rsid w:val="00572EC0"/>
    <w:rsid w:val="00572F94"/>
    <w:rsid w:val="0057300C"/>
    <w:rsid w:val="005735AF"/>
    <w:rsid w:val="00573901"/>
    <w:rsid w:val="00573A05"/>
    <w:rsid w:val="00573A79"/>
    <w:rsid w:val="00573B8B"/>
    <w:rsid w:val="00573E2F"/>
    <w:rsid w:val="00573F8E"/>
    <w:rsid w:val="0057450B"/>
    <w:rsid w:val="00574664"/>
    <w:rsid w:val="00574A6E"/>
    <w:rsid w:val="00574ABC"/>
    <w:rsid w:val="00574D74"/>
    <w:rsid w:val="0057503E"/>
    <w:rsid w:val="0057536C"/>
    <w:rsid w:val="00576529"/>
    <w:rsid w:val="00576746"/>
    <w:rsid w:val="0057696D"/>
    <w:rsid w:val="00576EEC"/>
    <w:rsid w:val="00576F4B"/>
    <w:rsid w:val="00576F9F"/>
    <w:rsid w:val="00577145"/>
    <w:rsid w:val="005773BE"/>
    <w:rsid w:val="005801D4"/>
    <w:rsid w:val="00580773"/>
    <w:rsid w:val="00580A09"/>
    <w:rsid w:val="00580D0E"/>
    <w:rsid w:val="005819A6"/>
    <w:rsid w:val="005819C3"/>
    <w:rsid w:val="00581D0D"/>
    <w:rsid w:val="00582131"/>
    <w:rsid w:val="00582365"/>
    <w:rsid w:val="0058243E"/>
    <w:rsid w:val="00582863"/>
    <w:rsid w:val="00582C79"/>
    <w:rsid w:val="00583160"/>
    <w:rsid w:val="00584288"/>
    <w:rsid w:val="00584702"/>
    <w:rsid w:val="0058474A"/>
    <w:rsid w:val="00584CC6"/>
    <w:rsid w:val="00585098"/>
    <w:rsid w:val="00585730"/>
    <w:rsid w:val="00585AC1"/>
    <w:rsid w:val="00585AF5"/>
    <w:rsid w:val="00585C1B"/>
    <w:rsid w:val="00586267"/>
    <w:rsid w:val="00586433"/>
    <w:rsid w:val="005867E9"/>
    <w:rsid w:val="00587639"/>
    <w:rsid w:val="00587847"/>
    <w:rsid w:val="005878F7"/>
    <w:rsid w:val="00587A28"/>
    <w:rsid w:val="00587D43"/>
    <w:rsid w:val="00587D7B"/>
    <w:rsid w:val="00587D94"/>
    <w:rsid w:val="00587E15"/>
    <w:rsid w:val="00587EAA"/>
    <w:rsid w:val="00587F6F"/>
    <w:rsid w:val="00587FD3"/>
    <w:rsid w:val="005902E0"/>
    <w:rsid w:val="00590514"/>
    <w:rsid w:val="00590A14"/>
    <w:rsid w:val="0059108E"/>
    <w:rsid w:val="00591159"/>
    <w:rsid w:val="00591520"/>
    <w:rsid w:val="0059158A"/>
    <w:rsid w:val="00591876"/>
    <w:rsid w:val="00591FBE"/>
    <w:rsid w:val="00592447"/>
    <w:rsid w:val="00592575"/>
    <w:rsid w:val="00592638"/>
    <w:rsid w:val="00592AD5"/>
    <w:rsid w:val="00592CD2"/>
    <w:rsid w:val="00592E6A"/>
    <w:rsid w:val="00593138"/>
    <w:rsid w:val="00593363"/>
    <w:rsid w:val="0059351B"/>
    <w:rsid w:val="005938EF"/>
    <w:rsid w:val="00593A33"/>
    <w:rsid w:val="00593ADB"/>
    <w:rsid w:val="00594241"/>
    <w:rsid w:val="00594517"/>
    <w:rsid w:val="00594547"/>
    <w:rsid w:val="00594633"/>
    <w:rsid w:val="005947B5"/>
    <w:rsid w:val="00594955"/>
    <w:rsid w:val="005949EB"/>
    <w:rsid w:val="00594D6F"/>
    <w:rsid w:val="0059517E"/>
    <w:rsid w:val="00595926"/>
    <w:rsid w:val="00595BE4"/>
    <w:rsid w:val="005960BB"/>
    <w:rsid w:val="0059614D"/>
    <w:rsid w:val="00596B88"/>
    <w:rsid w:val="005970D6"/>
    <w:rsid w:val="00597407"/>
    <w:rsid w:val="005975AC"/>
    <w:rsid w:val="005975C5"/>
    <w:rsid w:val="00597B5A"/>
    <w:rsid w:val="00597C37"/>
    <w:rsid w:val="005A009A"/>
    <w:rsid w:val="005A00ED"/>
    <w:rsid w:val="005A0496"/>
    <w:rsid w:val="005A0632"/>
    <w:rsid w:val="005A084B"/>
    <w:rsid w:val="005A08E0"/>
    <w:rsid w:val="005A0F5C"/>
    <w:rsid w:val="005A101D"/>
    <w:rsid w:val="005A116C"/>
    <w:rsid w:val="005A1D68"/>
    <w:rsid w:val="005A1F1E"/>
    <w:rsid w:val="005A1F65"/>
    <w:rsid w:val="005A20FB"/>
    <w:rsid w:val="005A2434"/>
    <w:rsid w:val="005A2771"/>
    <w:rsid w:val="005A284F"/>
    <w:rsid w:val="005A2D73"/>
    <w:rsid w:val="005A3006"/>
    <w:rsid w:val="005A34DA"/>
    <w:rsid w:val="005A3888"/>
    <w:rsid w:val="005A3AB8"/>
    <w:rsid w:val="005A4047"/>
    <w:rsid w:val="005A4384"/>
    <w:rsid w:val="005A488B"/>
    <w:rsid w:val="005A4A37"/>
    <w:rsid w:val="005A4A38"/>
    <w:rsid w:val="005A55C5"/>
    <w:rsid w:val="005A5CCC"/>
    <w:rsid w:val="005A5E73"/>
    <w:rsid w:val="005A5FE8"/>
    <w:rsid w:val="005A60CB"/>
    <w:rsid w:val="005A63DA"/>
    <w:rsid w:val="005A6793"/>
    <w:rsid w:val="005A6803"/>
    <w:rsid w:val="005A6B8F"/>
    <w:rsid w:val="005A6E90"/>
    <w:rsid w:val="005A6FD5"/>
    <w:rsid w:val="005A7012"/>
    <w:rsid w:val="005A70DD"/>
    <w:rsid w:val="005A739C"/>
    <w:rsid w:val="005A75DF"/>
    <w:rsid w:val="005A7677"/>
    <w:rsid w:val="005A7A5E"/>
    <w:rsid w:val="005A7AAF"/>
    <w:rsid w:val="005A7AE1"/>
    <w:rsid w:val="005A7F42"/>
    <w:rsid w:val="005A7FA0"/>
    <w:rsid w:val="005B08D8"/>
    <w:rsid w:val="005B0B0B"/>
    <w:rsid w:val="005B1615"/>
    <w:rsid w:val="005B183A"/>
    <w:rsid w:val="005B1945"/>
    <w:rsid w:val="005B1C07"/>
    <w:rsid w:val="005B1CA6"/>
    <w:rsid w:val="005B21F1"/>
    <w:rsid w:val="005B244D"/>
    <w:rsid w:val="005B294E"/>
    <w:rsid w:val="005B29CF"/>
    <w:rsid w:val="005B2AA0"/>
    <w:rsid w:val="005B2CD9"/>
    <w:rsid w:val="005B3152"/>
    <w:rsid w:val="005B3190"/>
    <w:rsid w:val="005B3432"/>
    <w:rsid w:val="005B3AEF"/>
    <w:rsid w:val="005B3BD6"/>
    <w:rsid w:val="005B3E73"/>
    <w:rsid w:val="005B3F05"/>
    <w:rsid w:val="005B3F58"/>
    <w:rsid w:val="005B4114"/>
    <w:rsid w:val="005B42C0"/>
    <w:rsid w:val="005B4411"/>
    <w:rsid w:val="005B4896"/>
    <w:rsid w:val="005B4EEB"/>
    <w:rsid w:val="005B539B"/>
    <w:rsid w:val="005B5731"/>
    <w:rsid w:val="005B5C03"/>
    <w:rsid w:val="005B6149"/>
    <w:rsid w:val="005B6536"/>
    <w:rsid w:val="005B69AA"/>
    <w:rsid w:val="005B6B02"/>
    <w:rsid w:val="005B6D11"/>
    <w:rsid w:val="005B6FBF"/>
    <w:rsid w:val="005B7262"/>
    <w:rsid w:val="005B7402"/>
    <w:rsid w:val="005B7B37"/>
    <w:rsid w:val="005B7C0F"/>
    <w:rsid w:val="005B7C91"/>
    <w:rsid w:val="005B7D6C"/>
    <w:rsid w:val="005C03E8"/>
    <w:rsid w:val="005C0AAA"/>
    <w:rsid w:val="005C0D1E"/>
    <w:rsid w:val="005C1581"/>
    <w:rsid w:val="005C201E"/>
    <w:rsid w:val="005C228D"/>
    <w:rsid w:val="005C2458"/>
    <w:rsid w:val="005C288C"/>
    <w:rsid w:val="005C29A8"/>
    <w:rsid w:val="005C2A22"/>
    <w:rsid w:val="005C2B4D"/>
    <w:rsid w:val="005C2BC1"/>
    <w:rsid w:val="005C2F00"/>
    <w:rsid w:val="005C31F4"/>
    <w:rsid w:val="005C39FB"/>
    <w:rsid w:val="005C3B83"/>
    <w:rsid w:val="005C42E5"/>
    <w:rsid w:val="005C4D53"/>
    <w:rsid w:val="005C4FA2"/>
    <w:rsid w:val="005C5271"/>
    <w:rsid w:val="005C5E25"/>
    <w:rsid w:val="005C5E9A"/>
    <w:rsid w:val="005C5FD6"/>
    <w:rsid w:val="005C605C"/>
    <w:rsid w:val="005C61FB"/>
    <w:rsid w:val="005C63AA"/>
    <w:rsid w:val="005C6602"/>
    <w:rsid w:val="005C6884"/>
    <w:rsid w:val="005C68DA"/>
    <w:rsid w:val="005C6E99"/>
    <w:rsid w:val="005C7215"/>
    <w:rsid w:val="005C72ED"/>
    <w:rsid w:val="005C73C4"/>
    <w:rsid w:val="005C7485"/>
    <w:rsid w:val="005C7716"/>
    <w:rsid w:val="005C794B"/>
    <w:rsid w:val="005C7E12"/>
    <w:rsid w:val="005C7FA7"/>
    <w:rsid w:val="005D0022"/>
    <w:rsid w:val="005D00EA"/>
    <w:rsid w:val="005D023B"/>
    <w:rsid w:val="005D02C4"/>
    <w:rsid w:val="005D0AFC"/>
    <w:rsid w:val="005D0AFF"/>
    <w:rsid w:val="005D0E0D"/>
    <w:rsid w:val="005D11A5"/>
    <w:rsid w:val="005D1936"/>
    <w:rsid w:val="005D1D0E"/>
    <w:rsid w:val="005D1E8D"/>
    <w:rsid w:val="005D2041"/>
    <w:rsid w:val="005D2304"/>
    <w:rsid w:val="005D2862"/>
    <w:rsid w:val="005D2CB2"/>
    <w:rsid w:val="005D2CD3"/>
    <w:rsid w:val="005D34DB"/>
    <w:rsid w:val="005D36DA"/>
    <w:rsid w:val="005D37C0"/>
    <w:rsid w:val="005D3A04"/>
    <w:rsid w:val="005D3ADD"/>
    <w:rsid w:val="005D3C46"/>
    <w:rsid w:val="005D3DAE"/>
    <w:rsid w:val="005D3E08"/>
    <w:rsid w:val="005D4062"/>
    <w:rsid w:val="005D424E"/>
    <w:rsid w:val="005D4302"/>
    <w:rsid w:val="005D43DC"/>
    <w:rsid w:val="005D48FE"/>
    <w:rsid w:val="005D49F0"/>
    <w:rsid w:val="005D4D3A"/>
    <w:rsid w:val="005D4F6F"/>
    <w:rsid w:val="005D5247"/>
    <w:rsid w:val="005D5407"/>
    <w:rsid w:val="005D5639"/>
    <w:rsid w:val="005D5788"/>
    <w:rsid w:val="005D5819"/>
    <w:rsid w:val="005D6529"/>
    <w:rsid w:val="005D6706"/>
    <w:rsid w:val="005D6A9E"/>
    <w:rsid w:val="005D6BA3"/>
    <w:rsid w:val="005D6C49"/>
    <w:rsid w:val="005D7471"/>
    <w:rsid w:val="005D749D"/>
    <w:rsid w:val="005D74E8"/>
    <w:rsid w:val="005D7F1A"/>
    <w:rsid w:val="005E02D5"/>
    <w:rsid w:val="005E0682"/>
    <w:rsid w:val="005E08A7"/>
    <w:rsid w:val="005E0D81"/>
    <w:rsid w:val="005E11D5"/>
    <w:rsid w:val="005E12FA"/>
    <w:rsid w:val="005E13F5"/>
    <w:rsid w:val="005E16EC"/>
    <w:rsid w:val="005E19B1"/>
    <w:rsid w:val="005E1A72"/>
    <w:rsid w:val="005E1B90"/>
    <w:rsid w:val="005E1C7C"/>
    <w:rsid w:val="005E1EC4"/>
    <w:rsid w:val="005E1FEF"/>
    <w:rsid w:val="005E2037"/>
    <w:rsid w:val="005E2281"/>
    <w:rsid w:val="005E2702"/>
    <w:rsid w:val="005E29AB"/>
    <w:rsid w:val="005E3215"/>
    <w:rsid w:val="005E32C1"/>
    <w:rsid w:val="005E36A2"/>
    <w:rsid w:val="005E389B"/>
    <w:rsid w:val="005E3A78"/>
    <w:rsid w:val="005E3E25"/>
    <w:rsid w:val="005E4027"/>
    <w:rsid w:val="005E465D"/>
    <w:rsid w:val="005E4A43"/>
    <w:rsid w:val="005E4B91"/>
    <w:rsid w:val="005E4BFE"/>
    <w:rsid w:val="005E4C09"/>
    <w:rsid w:val="005E4EE8"/>
    <w:rsid w:val="005E4FBE"/>
    <w:rsid w:val="005E5640"/>
    <w:rsid w:val="005E571F"/>
    <w:rsid w:val="005E5874"/>
    <w:rsid w:val="005E67BA"/>
    <w:rsid w:val="005E72A4"/>
    <w:rsid w:val="005E75D5"/>
    <w:rsid w:val="005E78A4"/>
    <w:rsid w:val="005E78BB"/>
    <w:rsid w:val="005E7950"/>
    <w:rsid w:val="005E7C87"/>
    <w:rsid w:val="005F0287"/>
    <w:rsid w:val="005F05CC"/>
    <w:rsid w:val="005F0600"/>
    <w:rsid w:val="005F0863"/>
    <w:rsid w:val="005F10C4"/>
    <w:rsid w:val="005F1369"/>
    <w:rsid w:val="005F1555"/>
    <w:rsid w:val="005F1791"/>
    <w:rsid w:val="005F1D9D"/>
    <w:rsid w:val="005F1E33"/>
    <w:rsid w:val="005F230D"/>
    <w:rsid w:val="005F24DD"/>
    <w:rsid w:val="005F25B2"/>
    <w:rsid w:val="005F2978"/>
    <w:rsid w:val="005F2D4C"/>
    <w:rsid w:val="005F33E5"/>
    <w:rsid w:val="005F3438"/>
    <w:rsid w:val="005F3B04"/>
    <w:rsid w:val="005F3E8A"/>
    <w:rsid w:val="005F3F4D"/>
    <w:rsid w:val="005F4721"/>
    <w:rsid w:val="005F4775"/>
    <w:rsid w:val="005F4E2B"/>
    <w:rsid w:val="005F4F50"/>
    <w:rsid w:val="005F52F5"/>
    <w:rsid w:val="005F546B"/>
    <w:rsid w:val="005F569C"/>
    <w:rsid w:val="005F579D"/>
    <w:rsid w:val="005F58DB"/>
    <w:rsid w:val="005F59BB"/>
    <w:rsid w:val="005F5E60"/>
    <w:rsid w:val="005F604F"/>
    <w:rsid w:val="005F6137"/>
    <w:rsid w:val="005F6273"/>
    <w:rsid w:val="005F64F2"/>
    <w:rsid w:val="005F6A2B"/>
    <w:rsid w:val="005F6B13"/>
    <w:rsid w:val="005F6F7D"/>
    <w:rsid w:val="005F720A"/>
    <w:rsid w:val="005F7394"/>
    <w:rsid w:val="005F7476"/>
    <w:rsid w:val="005F7644"/>
    <w:rsid w:val="005F7723"/>
    <w:rsid w:val="005F7D5E"/>
    <w:rsid w:val="005F7E09"/>
    <w:rsid w:val="00600E4A"/>
    <w:rsid w:val="00600E4E"/>
    <w:rsid w:val="00600F18"/>
    <w:rsid w:val="006011C7"/>
    <w:rsid w:val="006014FB"/>
    <w:rsid w:val="006018B0"/>
    <w:rsid w:val="00601ABE"/>
    <w:rsid w:val="00601F29"/>
    <w:rsid w:val="00601F8C"/>
    <w:rsid w:val="0060210F"/>
    <w:rsid w:val="0060242C"/>
    <w:rsid w:val="00602798"/>
    <w:rsid w:val="006029AE"/>
    <w:rsid w:val="006029CB"/>
    <w:rsid w:val="00602F43"/>
    <w:rsid w:val="00603295"/>
    <w:rsid w:val="0060378A"/>
    <w:rsid w:val="00603AAF"/>
    <w:rsid w:val="00603B08"/>
    <w:rsid w:val="00603FA8"/>
    <w:rsid w:val="00604953"/>
    <w:rsid w:val="00604F24"/>
    <w:rsid w:val="00604FEB"/>
    <w:rsid w:val="00605090"/>
    <w:rsid w:val="00605198"/>
    <w:rsid w:val="00605258"/>
    <w:rsid w:val="006053D4"/>
    <w:rsid w:val="0060552F"/>
    <w:rsid w:val="006056AD"/>
    <w:rsid w:val="00605776"/>
    <w:rsid w:val="00605D5F"/>
    <w:rsid w:val="00605ECE"/>
    <w:rsid w:val="0060600C"/>
    <w:rsid w:val="00606324"/>
    <w:rsid w:val="006068ED"/>
    <w:rsid w:val="00606E89"/>
    <w:rsid w:val="006076D9"/>
    <w:rsid w:val="006078E4"/>
    <w:rsid w:val="00607D97"/>
    <w:rsid w:val="00610162"/>
    <w:rsid w:val="00610A76"/>
    <w:rsid w:val="00610ABA"/>
    <w:rsid w:val="00610B23"/>
    <w:rsid w:val="00610E40"/>
    <w:rsid w:val="006111B8"/>
    <w:rsid w:val="0061130F"/>
    <w:rsid w:val="00611615"/>
    <w:rsid w:val="00611688"/>
    <w:rsid w:val="00611716"/>
    <w:rsid w:val="00611E1C"/>
    <w:rsid w:val="00611F20"/>
    <w:rsid w:val="00612472"/>
    <w:rsid w:val="0061297F"/>
    <w:rsid w:val="00612AAA"/>
    <w:rsid w:val="00612B21"/>
    <w:rsid w:val="00612CC4"/>
    <w:rsid w:val="00613037"/>
    <w:rsid w:val="006131A2"/>
    <w:rsid w:val="00613361"/>
    <w:rsid w:val="00613552"/>
    <w:rsid w:val="006135AB"/>
    <w:rsid w:val="006135CF"/>
    <w:rsid w:val="006135EB"/>
    <w:rsid w:val="006136C1"/>
    <w:rsid w:val="006138E4"/>
    <w:rsid w:val="00613F15"/>
    <w:rsid w:val="00614223"/>
    <w:rsid w:val="00614237"/>
    <w:rsid w:val="006144F6"/>
    <w:rsid w:val="006145BA"/>
    <w:rsid w:val="006148FE"/>
    <w:rsid w:val="00614B7B"/>
    <w:rsid w:val="00615390"/>
    <w:rsid w:val="00615752"/>
    <w:rsid w:val="00615EE2"/>
    <w:rsid w:val="00615FBF"/>
    <w:rsid w:val="00616407"/>
    <w:rsid w:val="00616549"/>
    <w:rsid w:val="0061668D"/>
    <w:rsid w:val="00616E8D"/>
    <w:rsid w:val="00616EF7"/>
    <w:rsid w:val="0061738B"/>
    <w:rsid w:val="00617637"/>
    <w:rsid w:val="00617E28"/>
    <w:rsid w:val="00620346"/>
    <w:rsid w:val="00620624"/>
    <w:rsid w:val="0062071E"/>
    <w:rsid w:val="00620724"/>
    <w:rsid w:val="00620A17"/>
    <w:rsid w:val="00620A1E"/>
    <w:rsid w:val="00620D17"/>
    <w:rsid w:val="00620D8D"/>
    <w:rsid w:val="00620DBD"/>
    <w:rsid w:val="00620DCB"/>
    <w:rsid w:val="00620E5A"/>
    <w:rsid w:val="00620EF5"/>
    <w:rsid w:val="00620F13"/>
    <w:rsid w:val="00620FBF"/>
    <w:rsid w:val="006210A3"/>
    <w:rsid w:val="00621372"/>
    <w:rsid w:val="00621627"/>
    <w:rsid w:val="00621B89"/>
    <w:rsid w:val="00621D83"/>
    <w:rsid w:val="00621E40"/>
    <w:rsid w:val="006223E8"/>
    <w:rsid w:val="0062260C"/>
    <w:rsid w:val="00622614"/>
    <w:rsid w:val="00622A09"/>
    <w:rsid w:val="00622A13"/>
    <w:rsid w:val="00622CDE"/>
    <w:rsid w:val="0062311E"/>
    <w:rsid w:val="0062317D"/>
    <w:rsid w:val="006232A5"/>
    <w:rsid w:val="00623382"/>
    <w:rsid w:val="006237E4"/>
    <w:rsid w:val="006238F3"/>
    <w:rsid w:val="00623B68"/>
    <w:rsid w:val="00624315"/>
    <w:rsid w:val="006243B3"/>
    <w:rsid w:val="00624440"/>
    <w:rsid w:val="00624728"/>
    <w:rsid w:val="00624FE2"/>
    <w:rsid w:val="006250E9"/>
    <w:rsid w:val="006252D9"/>
    <w:rsid w:val="00625C24"/>
    <w:rsid w:val="00625E7C"/>
    <w:rsid w:val="0062606B"/>
    <w:rsid w:val="0062648A"/>
    <w:rsid w:val="006264AD"/>
    <w:rsid w:val="0062699B"/>
    <w:rsid w:val="00626A8F"/>
    <w:rsid w:val="00626DD7"/>
    <w:rsid w:val="00627BDF"/>
    <w:rsid w:val="00627CFC"/>
    <w:rsid w:val="00630171"/>
    <w:rsid w:val="0063052C"/>
    <w:rsid w:val="00630742"/>
    <w:rsid w:val="00630A82"/>
    <w:rsid w:val="006311A4"/>
    <w:rsid w:val="006313DE"/>
    <w:rsid w:val="006316A8"/>
    <w:rsid w:val="00631707"/>
    <w:rsid w:val="00631A94"/>
    <w:rsid w:val="00632830"/>
    <w:rsid w:val="0063296F"/>
    <w:rsid w:val="00632AC5"/>
    <w:rsid w:val="006336ED"/>
    <w:rsid w:val="006337A3"/>
    <w:rsid w:val="006338E9"/>
    <w:rsid w:val="00633AAB"/>
    <w:rsid w:val="00633B2F"/>
    <w:rsid w:val="00633E72"/>
    <w:rsid w:val="00634020"/>
    <w:rsid w:val="006341F6"/>
    <w:rsid w:val="00634656"/>
    <w:rsid w:val="00634759"/>
    <w:rsid w:val="006347E6"/>
    <w:rsid w:val="00634962"/>
    <w:rsid w:val="00634B7F"/>
    <w:rsid w:val="00635144"/>
    <w:rsid w:val="006351B2"/>
    <w:rsid w:val="0063531D"/>
    <w:rsid w:val="00635333"/>
    <w:rsid w:val="0063599C"/>
    <w:rsid w:val="006361D6"/>
    <w:rsid w:val="0063650B"/>
    <w:rsid w:val="00636603"/>
    <w:rsid w:val="00636CC7"/>
    <w:rsid w:val="006370F1"/>
    <w:rsid w:val="0063717E"/>
    <w:rsid w:val="00637233"/>
    <w:rsid w:val="00637783"/>
    <w:rsid w:val="00637A6F"/>
    <w:rsid w:val="00637B80"/>
    <w:rsid w:val="00637EC9"/>
    <w:rsid w:val="00640090"/>
    <w:rsid w:val="006400A9"/>
    <w:rsid w:val="00640562"/>
    <w:rsid w:val="006406C4"/>
    <w:rsid w:val="00640C31"/>
    <w:rsid w:val="00640D46"/>
    <w:rsid w:val="00640DFC"/>
    <w:rsid w:val="006413F5"/>
    <w:rsid w:val="006416AB"/>
    <w:rsid w:val="00641906"/>
    <w:rsid w:val="00641932"/>
    <w:rsid w:val="00641E58"/>
    <w:rsid w:val="006420A3"/>
    <w:rsid w:val="00642105"/>
    <w:rsid w:val="00642137"/>
    <w:rsid w:val="006426AF"/>
    <w:rsid w:val="006428FF"/>
    <w:rsid w:val="00642BDF"/>
    <w:rsid w:val="00643134"/>
    <w:rsid w:val="00643226"/>
    <w:rsid w:val="0064385F"/>
    <w:rsid w:val="00643922"/>
    <w:rsid w:val="00643952"/>
    <w:rsid w:val="00643979"/>
    <w:rsid w:val="00643A47"/>
    <w:rsid w:val="00643DC6"/>
    <w:rsid w:val="006440E2"/>
    <w:rsid w:val="006442D5"/>
    <w:rsid w:val="006443B6"/>
    <w:rsid w:val="006446B9"/>
    <w:rsid w:val="00644CF8"/>
    <w:rsid w:val="00644EC1"/>
    <w:rsid w:val="006456D1"/>
    <w:rsid w:val="006457B2"/>
    <w:rsid w:val="0064586C"/>
    <w:rsid w:val="006459EF"/>
    <w:rsid w:val="00645D0A"/>
    <w:rsid w:val="0064608B"/>
    <w:rsid w:val="006462C9"/>
    <w:rsid w:val="00646382"/>
    <w:rsid w:val="006463DA"/>
    <w:rsid w:val="006465F3"/>
    <w:rsid w:val="00646957"/>
    <w:rsid w:val="00646BC4"/>
    <w:rsid w:val="00646D01"/>
    <w:rsid w:val="00646DEC"/>
    <w:rsid w:val="00646E3B"/>
    <w:rsid w:val="0064730D"/>
    <w:rsid w:val="00647381"/>
    <w:rsid w:val="00647B4C"/>
    <w:rsid w:val="00647DFE"/>
    <w:rsid w:val="00650CC8"/>
    <w:rsid w:val="00650EFC"/>
    <w:rsid w:val="00651108"/>
    <w:rsid w:val="00651318"/>
    <w:rsid w:val="00651D37"/>
    <w:rsid w:val="0065202A"/>
    <w:rsid w:val="006522D5"/>
    <w:rsid w:val="00652362"/>
    <w:rsid w:val="00652541"/>
    <w:rsid w:val="00652797"/>
    <w:rsid w:val="006527E8"/>
    <w:rsid w:val="00652BDA"/>
    <w:rsid w:val="00652C30"/>
    <w:rsid w:val="00652F35"/>
    <w:rsid w:val="00653022"/>
    <w:rsid w:val="0065315D"/>
    <w:rsid w:val="00653406"/>
    <w:rsid w:val="006534BF"/>
    <w:rsid w:val="00653556"/>
    <w:rsid w:val="006537D7"/>
    <w:rsid w:val="00653B11"/>
    <w:rsid w:val="00653C2D"/>
    <w:rsid w:val="006540F8"/>
    <w:rsid w:val="00654225"/>
    <w:rsid w:val="006543C2"/>
    <w:rsid w:val="0065444A"/>
    <w:rsid w:val="00654AE3"/>
    <w:rsid w:val="00654CC1"/>
    <w:rsid w:val="00654D2A"/>
    <w:rsid w:val="00654F68"/>
    <w:rsid w:val="00655251"/>
    <w:rsid w:val="00655684"/>
    <w:rsid w:val="00655CF9"/>
    <w:rsid w:val="00655D45"/>
    <w:rsid w:val="00655EDF"/>
    <w:rsid w:val="00655F6E"/>
    <w:rsid w:val="00656354"/>
    <w:rsid w:val="0065635A"/>
    <w:rsid w:val="00656444"/>
    <w:rsid w:val="006564F0"/>
    <w:rsid w:val="0065705A"/>
    <w:rsid w:val="0065714C"/>
    <w:rsid w:val="006571CA"/>
    <w:rsid w:val="00657221"/>
    <w:rsid w:val="006572C7"/>
    <w:rsid w:val="00657314"/>
    <w:rsid w:val="006573E0"/>
    <w:rsid w:val="006577D6"/>
    <w:rsid w:val="00657B79"/>
    <w:rsid w:val="00660188"/>
    <w:rsid w:val="00660A74"/>
    <w:rsid w:val="00660E19"/>
    <w:rsid w:val="00660FD5"/>
    <w:rsid w:val="006613D8"/>
    <w:rsid w:val="00661E0F"/>
    <w:rsid w:val="0066224A"/>
    <w:rsid w:val="006622DA"/>
    <w:rsid w:val="0066241D"/>
    <w:rsid w:val="00662E5F"/>
    <w:rsid w:val="00663158"/>
    <w:rsid w:val="00663396"/>
    <w:rsid w:val="006634C5"/>
    <w:rsid w:val="0066384B"/>
    <w:rsid w:val="00663856"/>
    <w:rsid w:val="00663B2B"/>
    <w:rsid w:val="00663C71"/>
    <w:rsid w:val="00664269"/>
    <w:rsid w:val="006642F0"/>
    <w:rsid w:val="0066432C"/>
    <w:rsid w:val="00664434"/>
    <w:rsid w:val="0066496B"/>
    <w:rsid w:val="00664BDC"/>
    <w:rsid w:val="00664FBC"/>
    <w:rsid w:val="00664FCB"/>
    <w:rsid w:val="00664FDD"/>
    <w:rsid w:val="0066518D"/>
    <w:rsid w:val="0066530A"/>
    <w:rsid w:val="00665390"/>
    <w:rsid w:val="0066543A"/>
    <w:rsid w:val="0066561F"/>
    <w:rsid w:val="00666227"/>
    <w:rsid w:val="00666A58"/>
    <w:rsid w:val="00666CAE"/>
    <w:rsid w:val="00666EAF"/>
    <w:rsid w:val="00667158"/>
    <w:rsid w:val="0066724C"/>
    <w:rsid w:val="0066745B"/>
    <w:rsid w:val="00667555"/>
    <w:rsid w:val="00667952"/>
    <w:rsid w:val="00667A4E"/>
    <w:rsid w:val="00667F61"/>
    <w:rsid w:val="00670115"/>
    <w:rsid w:val="00670650"/>
    <w:rsid w:val="00670FE6"/>
    <w:rsid w:val="00671240"/>
    <w:rsid w:val="006712C0"/>
    <w:rsid w:val="006716F7"/>
    <w:rsid w:val="00671974"/>
    <w:rsid w:val="00671CD1"/>
    <w:rsid w:val="00671D81"/>
    <w:rsid w:val="00671DF3"/>
    <w:rsid w:val="00672010"/>
    <w:rsid w:val="0067251C"/>
    <w:rsid w:val="00673638"/>
    <w:rsid w:val="00673FE8"/>
    <w:rsid w:val="00674114"/>
    <w:rsid w:val="006744AC"/>
    <w:rsid w:val="00674514"/>
    <w:rsid w:val="00674B50"/>
    <w:rsid w:val="00674C7D"/>
    <w:rsid w:val="00674FC0"/>
    <w:rsid w:val="006753B3"/>
    <w:rsid w:val="00675576"/>
    <w:rsid w:val="0067564B"/>
    <w:rsid w:val="0067587B"/>
    <w:rsid w:val="00675F3A"/>
    <w:rsid w:val="006764C6"/>
    <w:rsid w:val="0067655C"/>
    <w:rsid w:val="006766A9"/>
    <w:rsid w:val="00676CA5"/>
    <w:rsid w:val="00676D67"/>
    <w:rsid w:val="0067700F"/>
    <w:rsid w:val="00677070"/>
    <w:rsid w:val="00677141"/>
    <w:rsid w:val="00677315"/>
    <w:rsid w:val="00677339"/>
    <w:rsid w:val="00677773"/>
    <w:rsid w:val="00677796"/>
    <w:rsid w:val="0067781F"/>
    <w:rsid w:val="00677B76"/>
    <w:rsid w:val="00680B40"/>
    <w:rsid w:val="00680CB0"/>
    <w:rsid w:val="00680D0A"/>
    <w:rsid w:val="00680DCF"/>
    <w:rsid w:val="0068105B"/>
    <w:rsid w:val="00681419"/>
    <w:rsid w:val="00681469"/>
    <w:rsid w:val="006814B7"/>
    <w:rsid w:val="00681841"/>
    <w:rsid w:val="00681C4A"/>
    <w:rsid w:val="00681EC9"/>
    <w:rsid w:val="00681F3B"/>
    <w:rsid w:val="006822FA"/>
    <w:rsid w:val="0068288C"/>
    <w:rsid w:val="00682A51"/>
    <w:rsid w:val="00682F6A"/>
    <w:rsid w:val="00682F9F"/>
    <w:rsid w:val="006830CC"/>
    <w:rsid w:val="006833D1"/>
    <w:rsid w:val="006834C5"/>
    <w:rsid w:val="00683858"/>
    <w:rsid w:val="00683C59"/>
    <w:rsid w:val="00683DCF"/>
    <w:rsid w:val="00683F36"/>
    <w:rsid w:val="00684170"/>
    <w:rsid w:val="00684229"/>
    <w:rsid w:val="0068430D"/>
    <w:rsid w:val="006843CE"/>
    <w:rsid w:val="006844A9"/>
    <w:rsid w:val="00684B72"/>
    <w:rsid w:val="00684DA3"/>
    <w:rsid w:val="00684E2B"/>
    <w:rsid w:val="006854DC"/>
    <w:rsid w:val="00685589"/>
    <w:rsid w:val="0068575F"/>
    <w:rsid w:val="0068583D"/>
    <w:rsid w:val="0068586E"/>
    <w:rsid w:val="0068612E"/>
    <w:rsid w:val="0068674B"/>
    <w:rsid w:val="0068682C"/>
    <w:rsid w:val="0068692B"/>
    <w:rsid w:val="00687302"/>
    <w:rsid w:val="00687720"/>
    <w:rsid w:val="00687949"/>
    <w:rsid w:val="00690006"/>
    <w:rsid w:val="006907B4"/>
    <w:rsid w:val="00690840"/>
    <w:rsid w:val="00690A02"/>
    <w:rsid w:val="00690BFA"/>
    <w:rsid w:val="00690DB2"/>
    <w:rsid w:val="00691093"/>
    <w:rsid w:val="006912E6"/>
    <w:rsid w:val="006912E7"/>
    <w:rsid w:val="0069164A"/>
    <w:rsid w:val="0069219F"/>
    <w:rsid w:val="00692CB0"/>
    <w:rsid w:val="00692DDB"/>
    <w:rsid w:val="00693004"/>
    <w:rsid w:val="006934F5"/>
    <w:rsid w:val="0069371A"/>
    <w:rsid w:val="0069387E"/>
    <w:rsid w:val="006938AA"/>
    <w:rsid w:val="006939AE"/>
    <w:rsid w:val="00693A4A"/>
    <w:rsid w:val="00694575"/>
    <w:rsid w:val="0069472E"/>
    <w:rsid w:val="0069474B"/>
    <w:rsid w:val="0069475D"/>
    <w:rsid w:val="00694A1B"/>
    <w:rsid w:val="00694BDF"/>
    <w:rsid w:val="00694F11"/>
    <w:rsid w:val="00694F6E"/>
    <w:rsid w:val="00694FD0"/>
    <w:rsid w:val="0069527B"/>
    <w:rsid w:val="00695300"/>
    <w:rsid w:val="006958A6"/>
    <w:rsid w:val="006962D9"/>
    <w:rsid w:val="006963B9"/>
    <w:rsid w:val="00696A37"/>
    <w:rsid w:val="006972DC"/>
    <w:rsid w:val="00697423"/>
    <w:rsid w:val="00697714"/>
    <w:rsid w:val="00697786"/>
    <w:rsid w:val="00697855"/>
    <w:rsid w:val="00697966"/>
    <w:rsid w:val="00697BB7"/>
    <w:rsid w:val="00697EDB"/>
    <w:rsid w:val="006A02BD"/>
    <w:rsid w:val="006A03AA"/>
    <w:rsid w:val="006A073A"/>
    <w:rsid w:val="006A0A33"/>
    <w:rsid w:val="006A1761"/>
    <w:rsid w:val="006A17BF"/>
    <w:rsid w:val="006A1862"/>
    <w:rsid w:val="006A1964"/>
    <w:rsid w:val="006A1D5E"/>
    <w:rsid w:val="006A26D1"/>
    <w:rsid w:val="006A2DC6"/>
    <w:rsid w:val="006A2F51"/>
    <w:rsid w:val="006A3035"/>
    <w:rsid w:val="006A31C3"/>
    <w:rsid w:val="006A32FA"/>
    <w:rsid w:val="006A3356"/>
    <w:rsid w:val="006A3650"/>
    <w:rsid w:val="006A3668"/>
    <w:rsid w:val="006A3A2B"/>
    <w:rsid w:val="006A3F97"/>
    <w:rsid w:val="006A4721"/>
    <w:rsid w:val="006A4FF8"/>
    <w:rsid w:val="006A5512"/>
    <w:rsid w:val="006A56F0"/>
    <w:rsid w:val="006A5771"/>
    <w:rsid w:val="006A5B18"/>
    <w:rsid w:val="006A60CA"/>
    <w:rsid w:val="006A6A0D"/>
    <w:rsid w:val="006A6BF1"/>
    <w:rsid w:val="006A6D3A"/>
    <w:rsid w:val="006A6ED7"/>
    <w:rsid w:val="006A7414"/>
    <w:rsid w:val="006A7656"/>
    <w:rsid w:val="006A7C43"/>
    <w:rsid w:val="006B0300"/>
    <w:rsid w:val="006B0666"/>
    <w:rsid w:val="006B0882"/>
    <w:rsid w:val="006B0B26"/>
    <w:rsid w:val="006B0C3C"/>
    <w:rsid w:val="006B0C80"/>
    <w:rsid w:val="006B0CCA"/>
    <w:rsid w:val="006B10FA"/>
    <w:rsid w:val="006B177B"/>
    <w:rsid w:val="006B1B61"/>
    <w:rsid w:val="006B1F8E"/>
    <w:rsid w:val="006B20BC"/>
    <w:rsid w:val="006B211E"/>
    <w:rsid w:val="006B2BDA"/>
    <w:rsid w:val="006B2F4B"/>
    <w:rsid w:val="006B2FA6"/>
    <w:rsid w:val="006B3032"/>
    <w:rsid w:val="006B31BD"/>
    <w:rsid w:val="006B34DB"/>
    <w:rsid w:val="006B35EA"/>
    <w:rsid w:val="006B3BB1"/>
    <w:rsid w:val="006B3C4C"/>
    <w:rsid w:val="006B3E8D"/>
    <w:rsid w:val="006B44D7"/>
    <w:rsid w:val="006B4B2C"/>
    <w:rsid w:val="006B4B4A"/>
    <w:rsid w:val="006B4D42"/>
    <w:rsid w:val="006B506C"/>
    <w:rsid w:val="006B511E"/>
    <w:rsid w:val="006B51C7"/>
    <w:rsid w:val="006B5328"/>
    <w:rsid w:val="006B55CC"/>
    <w:rsid w:val="006B566B"/>
    <w:rsid w:val="006B58F8"/>
    <w:rsid w:val="006B592A"/>
    <w:rsid w:val="006B5DE4"/>
    <w:rsid w:val="006B5DE9"/>
    <w:rsid w:val="006B5E2E"/>
    <w:rsid w:val="006B5E49"/>
    <w:rsid w:val="006B5EC4"/>
    <w:rsid w:val="006B6253"/>
    <w:rsid w:val="006B6867"/>
    <w:rsid w:val="006B6A97"/>
    <w:rsid w:val="006B6AC6"/>
    <w:rsid w:val="006B75C6"/>
    <w:rsid w:val="006B7E25"/>
    <w:rsid w:val="006C001E"/>
    <w:rsid w:val="006C0364"/>
    <w:rsid w:val="006C03DD"/>
    <w:rsid w:val="006C048A"/>
    <w:rsid w:val="006C0737"/>
    <w:rsid w:val="006C07B4"/>
    <w:rsid w:val="006C0E85"/>
    <w:rsid w:val="006C16CC"/>
    <w:rsid w:val="006C1DB6"/>
    <w:rsid w:val="006C1E7F"/>
    <w:rsid w:val="006C23E2"/>
    <w:rsid w:val="006C29D4"/>
    <w:rsid w:val="006C332A"/>
    <w:rsid w:val="006C354C"/>
    <w:rsid w:val="006C3A40"/>
    <w:rsid w:val="006C3B76"/>
    <w:rsid w:val="006C4409"/>
    <w:rsid w:val="006C4572"/>
    <w:rsid w:val="006C4AA9"/>
    <w:rsid w:val="006C593A"/>
    <w:rsid w:val="006C59D5"/>
    <w:rsid w:val="006C5A1E"/>
    <w:rsid w:val="006C61D7"/>
    <w:rsid w:val="006C62F2"/>
    <w:rsid w:val="006C6B5E"/>
    <w:rsid w:val="006C6DA5"/>
    <w:rsid w:val="006C755F"/>
    <w:rsid w:val="006C7573"/>
    <w:rsid w:val="006C78E5"/>
    <w:rsid w:val="006C7B03"/>
    <w:rsid w:val="006D00EC"/>
    <w:rsid w:val="006D0849"/>
    <w:rsid w:val="006D0B07"/>
    <w:rsid w:val="006D0C0B"/>
    <w:rsid w:val="006D0DFA"/>
    <w:rsid w:val="006D0EC2"/>
    <w:rsid w:val="006D1342"/>
    <w:rsid w:val="006D153A"/>
    <w:rsid w:val="006D198F"/>
    <w:rsid w:val="006D2664"/>
    <w:rsid w:val="006D2968"/>
    <w:rsid w:val="006D2E17"/>
    <w:rsid w:val="006D2EF4"/>
    <w:rsid w:val="006D2FD3"/>
    <w:rsid w:val="006D36E6"/>
    <w:rsid w:val="006D3DA7"/>
    <w:rsid w:val="006D3F02"/>
    <w:rsid w:val="006D3F56"/>
    <w:rsid w:val="006D4320"/>
    <w:rsid w:val="006D4641"/>
    <w:rsid w:val="006D4B1C"/>
    <w:rsid w:val="006D4C72"/>
    <w:rsid w:val="006D4E2F"/>
    <w:rsid w:val="006D4E4C"/>
    <w:rsid w:val="006D4F0E"/>
    <w:rsid w:val="006D5276"/>
    <w:rsid w:val="006D5345"/>
    <w:rsid w:val="006D5556"/>
    <w:rsid w:val="006D5585"/>
    <w:rsid w:val="006D5809"/>
    <w:rsid w:val="006D5A7E"/>
    <w:rsid w:val="006D5C2E"/>
    <w:rsid w:val="006D5F76"/>
    <w:rsid w:val="006D6946"/>
    <w:rsid w:val="006D6A5A"/>
    <w:rsid w:val="006D6CDE"/>
    <w:rsid w:val="006D6CE3"/>
    <w:rsid w:val="006D6D46"/>
    <w:rsid w:val="006D6D96"/>
    <w:rsid w:val="006D6DA9"/>
    <w:rsid w:val="006D7211"/>
    <w:rsid w:val="006D722E"/>
    <w:rsid w:val="006D72DC"/>
    <w:rsid w:val="006D75C8"/>
    <w:rsid w:val="006D775A"/>
    <w:rsid w:val="006D7806"/>
    <w:rsid w:val="006D7867"/>
    <w:rsid w:val="006D7909"/>
    <w:rsid w:val="006D7956"/>
    <w:rsid w:val="006D7C45"/>
    <w:rsid w:val="006E0178"/>
    <w:rsid w:val="006E02BC"/>
    <w:rsid w:val="006E0ABC"/>
    <w:rsid w:val="006E0FFE"/>
    <w:rsid w:val="006E106F"/>
    <w:rsid w:val="006E1417"/>
    <w:rsid w:val="006E181E"/>
    <w:rsid w:val="006E189C"/>
    <w:rsid w:val="006E1E40"/>
    <w:rsid w:val="006E1EC3"/>
    <w:rsid w:val="006E207B"/>
    <w:rsid w:val="006E23BA"/>
    <w:rsid w:val="006E2498"/>
    <w:rsid w:val="006E2509"/>
    <w:rsid w:val="006E2606"/>
    <w:rsid w:val="006E285B"/>
    <w:rsid w:val="006E296E"/>
    <w:rsid w:val="006E3404"/>
    <w:rsid w:val="006E351A"/>
    <w:rsid w:val="006E38B6"/>
    <w:rsid w:val="006E3CDE"/>
    <w:rsid w:val="006E3FD9"/>
    <w:rsid w:val="006E415F"/>
    <w:rsid w:val="006E47DD"/>
    <w:rsid w:val="006E4872"/>
    <w:rsid w:val="006E53B6"/>
    <w:rsid w:val="006E602E"/>
    <w:rsid w:val="006E6197"/>
    <w:rsid w:val="006E6583"/>
    <w:rsid w:val="006E6BB4"/>
    <w:rsid w:val="006E6CA8"/>
    <w:rsid w:val="006E6E7C"/>
    <w:rsid w:val="006E70CE"/>
    <w:rsid w:val="006E7850"/>
    <w:rsid w:val="006E7867"/>
    <w:rsid w:val="006E7E8C"/>
    <w:rsid w:val="006F0481"/>
    <w:rsid w:val="006F0B86"/>
    <w:rsid w:val="006F0D46"/>
    <w:rsid w:val="006F131E"/>
    <w:rsid w:val="006F138C"/>
    <w:rsid w:val="006F179D"/>
    <w:rsid w:val="006F196D"/>
    <w:rsid w:val="006F1AFC"/>
    <w:rsid w:val="006F2152"/>
    <w:rsid w:val="006F2158"/>
    <w:rsid w:val="006F23DD"/>
    <w:rsid w:val="006F2449"/>
    <w:rsid w:val="006F24AA"/>
    <w:rsid w:val="006F24F0"/>
    <w:rsid w:val="006F26A2"/>
    <w:rsid w:val="006F27EB"/>
    <w:rsid w:val="006F2ABC"/>
    <w:rsid w:val="006F2C7A"/>
    <w:rsid w:val="006F322A"/>
    <w:rsid w:val="006F344A"/>
    <w:rsid w:val="006F38C3"/>
    <w:rsid w:val="006F39D9"/>
    <w:rsid w:val="006F3A43"/>
    <w:rsid w:val="006F3AE5"/>
    <w:rsid w:val="006F3C29"/>
    <w:rsid w:val="006F3CDE"/>
    <w:rsid w:val="006F3DF0"/>
    <w:rsid w:val="006F3F24"/>
    <w:rsid w:val="006F44D3"/>
    <w:rsid w:val="006F47D5"/>
    <w:rsid w:val="006F47E1"/>
    <w:rsid w:val="006F4841"/>
    <w:rsid w:val="006F4CB8"/>
    <w:rsid w:val="006F4F34"/>
    <w:rsid w:val="006F4FA9"/>
    <w:rsid w:val="006F5158"/>
    <w:rsid w:val="006F53AB"/>
    <w:rsid w:val="006F57E8"/>
    <w:rsid w:val="006F5893"/>
    <w:rsid w:val="006F58E0"/>
    <w:rsid w:val="006F626C"/>
    <w:rsid w:val="006F6507"/>
    <w:rsid w:val="006F666B"/>
    <w:rsid w:val="006F6FC8"/>
    <w:rsid w:val="006F7007"/>
    <w:rsid w:val="006F764E"/>
    <w:rsid w:val="006F7D7C"/>
    <w:rsid w:val="00700185"/>
    <w:rsid w:val="007001FE"/>
    <w:rsid w:val="0070023D"/>
    <w:rsid w:val="00700469"/>
    <w:rsid w:val="00700950"/>
    <w:rsid w:val="00700BFA"/>
    <w:rsid w:val="00700CC4"/>
    <w:rsid w:val="00701099"/>
    <w:rsid w:val="00701136"/>
    <w:rsid w:val="0070175D"/>
    <w:rsid w:val="0070214E"/>
    <w:rsid w:val="007022AE"/>
    <w:rsid w:val="00702CF8"/>
    <w:rsid w:val="0070319A"/>
    <w:rsid w:val="0070335D"/>
    <w:rsid w:val="00703561"/>
    <w:rsid w:val="0070386B"/>
    <w:rsid w:val="00703CB4"/>
    <w:rsid w:val="00703D1F"/>
    <w:rsid w:val="00703DD0"/>
    <w:rsid w:val="00703ED0"/>
    <w:rsid w:val="0070486F"/>
    <w:rsid w:val="007050F7"/>
    <w:rsid w:val="0070511F"/>
    <w:rsid w:val="00705323"/>
    <w:rsid w:val="007056EB"/>
    <w:rsid w:val="00705811"/>
    <w:rsid w:val="00705A2B"/>
    <w:rsid w:val="00705ABB"/>
    <w:rsid w:val="00705BC6"/>
    <w:rsid w:val="00705DE9"/>
    <w:rsid w:val="0070603C"/>
    <w:rsid w:val="007065DD"/>
    <w:rsid w:val="00706A4A"/>
    <w:rsid w:val="00707122"/>
    <w:rsid w:val="00707331"/>
    <w:rsid w:val="0070739A"/>
    <w:rsid w:val="007073CF"/>
    <w:rsid w:val="00707C18"/>
    <w:rsid w:val="00710291"/>
    <w:rsid w:val="007103A9"/>
    <w:rsid w:val="00710777"/>
    <w:rsid w:val="00711C9B"/>
    <w:rsid w:val="00711CBB"/>
    <w:rsid w:val="00712046"/>
    <w:rsid w:val="0071236A"/>
    <w:rsid w:val="007129BC"/>
    <w:rsid w:val="00712E75"/>
    <w:rsid w:val="007131EC"/>
    <w:rsid w:val="00713476"/>
    <w:rsid w:val="007134ED"/>
    <w:rsid w:val="00713960"/>
    <w:rsid w:val="00713AF5"/>
    <w:rsid w:val="00713BAC"/>
    <w:rsid w:val="007144E6"/>
    <w:rsid w:val="00714C50"/>
    <w:rsid w:val="00714F81"/>
    <w:rsid w:val="00714F9F"/>
    <w:rsid w:val="00715063"/>
    <w:rsid w:val="00715138"/>
    <w:rsid w:val="00715145"/>
    <w:rsid w:val="00715762"/>
    <w:rsid w:val="0071579F"/>
    <w:rsid w:val="00715BBA"/>
    <w:rsid w:val="00715DE0"/>
    <w:rsid w:val="00716152"/>
    <w:rsid w:val="0071619A"/>
    <w:rsid w:val="007162F4"/>
    <w:rsid w:val="007165D2"/>
    <w:rsid w:val="007168D6"/>
    <w:rsid w:val="00716AD2"/>
    <w:rsid w:val="00716BE0"/>
    <w:rsid w:val="00716CE5"/>
    <w:rsid w:val="00716EA4"/>
    <w:rsid w:val="00717098"/>
    <w:rsid w:val="007173BF"/>
    <w:rsid w:val="007176E2"/>
    <w:rsid w:val="00717906"/>
    <w:rsid w:val="00717A3A"/>
    <w:rsid w:val="00717B2E"/>
    <w:rsid w:val="00717DED"/>
    <w:rsid w:val="00717F23"/>
    <w:rsid w:val="007203CA"/>
    <w:rsid w:val="00720E0E"/>
    <w:rsid w:val="00721207"/>
    <w:rsid w:val="00721BA1"/>
    <w:rsid w:val="00721C1D"/>
    <w:rsid w:val="007221F5"/>
    <w:rsid w:val="007224B8"/>
    <w:rsid w:val="007224F2"/>
    <w:rsid w:val="00722576"/>
    <w:rsid w:val="007226F5"/>
    <w:rsid w:val="007227E5"/>
    <w:rsid w:val="00722822"/>
    <w:rsid w:val="0072289E"/>
    <w:rsid w:val="00722938"/>
    <w:rsid w:val="007229CB"/>
    <w:rsid w:val="00722B38"/>
    <w:rsid w:val="00723256"/>
    <w:rsid w:val="007234B7"/>
    <w:rsid w:val="00723A9F"/>
    <w:rsid w:val="00723B2C"/>
    <w:rsid w:val="00723BEA"/>
    <w:rsid w:val="0072401C"/>
    <w:rsid w:val="0072431A"/>
    <w:rsid w:val="007245C7"/>
    <w:rsid w:val="007246BC"/>
    <w:rsid w:val="00724765"/>
    <w:rsid w:val="00724812"/>
    <w:rsid w:val="007248FA"/>
    <w:rsid w:val="007249B7"/>
    <w:rsid w:val="00724BA2"/>
    <w:rsid w:val="00724ED0"/>
    <w:rsid w:val="00724F92"/>
    <w:rsid w:val="007253D4"/>
    <w:rsid w:val="007253D6"/>
    <w:rsid w:val="0072542F"/>
    <w:rsid w:val="007254D7"/>
    <w:rsid w:val="007254DC"/>
    <w:rsid w:val="007255F2"/>
    <w:rsid w:val="0072578A"/>
    <w:rsid w:val="0072597A"/>
    <w:rsid w:val="00725D54"/>
    <w:rsid w:val="00725F10"/>
    <w:rsid w:val="00726ABF"/>
    <w:rsid w:val="00726B12"/>
    <w:rsid w:val="00726CFE"/>
    <w:rsid w:val="00727339"/>
    <w:rsid w:val="00727B78"/>
    <w:rsid w:val="00730023"/>
    <w:rsid w:val="00730285"/>
    <w:rsid w:val="007303DF"/>
    <w:rsid w:val="0073075F"/>
    <w:rsid w:val="0073082E"/>
    <w:rsid w:val="00730CFD"/>
    <w:rsid w:val="00730D22"/>
    <w:rsid w:val="00730F55"/>
    <w:rsid w:val="00731039"/>
    <w:rsid w:val="00731111"/>
    <w:rsid w:val="00731A58"/>
    <w:rsid w:val="00731C17"/>
    <w:rsid w:val="00732077"/>
    <w:rsid w:val="00732310"/>
    <w:rsid w:val="00732E88"/>
    <w:rsid w:val="00732F00"/>
    <w:rsid w:val="007332C9"/>
    <w:rsid w:val="007335FC"/>
    <w:rsid w:val="00733AA1"/>
    <w:rsid w:val="00733EBE"/>
    <w:rsid w:val="00734331"/>
    <w:rsid w:val="007345CB"/>
    <w:rsid w:val="00734D71"/>
    <w:rsid w:val="00734F75"/>
    <w:rsid w:val="00735867"/>
    <w:rsid w:val="00735923"/>
    <w:rsid w:val="00735F16"/>
    <w:rsid w:val="00736014"/>
    <w:rsid w:val="0073609B"/>
    <w:rsid w:val="007361D1"/>
    <w:rsid w:val="00736466"/>
    <w:rsid w:val="007369D9"/>
    <w:rsid w:val="00737389"/>
    <w:rsid w:val="00737560"/>
    <w:rsid w:val="0073792C"/>
    <w:rsid w:val="007406DD"/>
    <w:rsid w:val="0074090A"/>
    <w:rsid w:val="007412DF"/>
    <w:rsid w:val="00741452"/>
    <w:rsid w:val="00741FA5"/>
    <w:rsid w:val="0074209A"/>
    <w:rsid w:val="007422F1"/>
    <w:rsid w:val="0074233B"/>
    <w:rsid w:val="00742447"/>
    <w:rsid w:val="0074257A"/>
    <w:rsid w:val="007425B7"/>
    <w:rsid w:val="00742859"/>
    <w:rsid w:val="00742FE6"/>
    <w:rsid w:val="0074311D"/>
    <w:rsid w:val="0074382A"/>
    <w:rsid w:val="00743865"/>
    <w:rsid w:val="007438FB"/>
    <w:rsid w:val="0074392B"/>
    <w:rsid w:val="00743964"/>
    <w:rsid w:val="00743B07"/>
    <w:rsid w:val="00743CDD"/>
    <w:rsid w:val="00743FBF"/>
    <w:rsid w:val="0074432A"/>
    <w:rsid w:val="00744393"/>
    <w:rsid w:val="00744890"/>
    <w:rsid w:val="00744B8A"/>
    <w:rsid w:val="00744E98"/>
    <w:rsid w:val="007450A1"/>
    <w:rsid w:val="00745125"/>
    <w:rsid w:val="00745231"/>
    <w:rsid w:val="00745502"/>
    <w:rsid w:val="0074665E"/>
    <w:rsid w:val="007466F3"/>
    <w:rsid w:val="00746CB0"/>
    <w:rsid w:val="00746D72"/>
    <w:rsid w:val="00746E33"/>
    <w:rsid w:val="00746FD2"/>
    <w:rsid w:val="00747434"/>
    <w:rsid w:val="00747748"/>
    <w:rsid w:val="0074788B"/>
    <w:rsid w:val="00750235"/>
    <w:rsid w:val="007503B7"/>
    <w:rsid w:val="007506B7"/>
    <w:rsid w:val="00750BFA"/>
    <w:rsid w:val="00750DC9"/>
    <w:rsid w:val="00751308"/>
    <w:rsid w:val="0075137C"/>
    <w:rsid w:val="00751B23"/>
    <w:rsid w:val="00751CC6"/>
    <w:rsid w:val="0075263F"/>
    <w:rsid w:val="00752ABE"/>
    <w:rsid w:val="00752C57"/>
    <w:rsid w:val="00753588"/>
    <w:rsid w:val="00753AFA"/>
    <w:rsid w:val="00753C1C"/>
    <w:rsid w:val="00753DDC"/>
    <w:rsid w:val="00754123"/>
    <w:rsid w:val="0075418A"/>
    <w:rsid w:val="0075464B"/>
    <w:rsid w:val="00754EAB"/>
    <w:rsid w:val="00754F73"/>
    <w:rsid w:val="00755411"/>
    <w:rsid w:val="0075582D"/>
    <w:rsid w:val="00755B29"/>
    <w:rsid w:val="00755E08"/>
    <w:rsid w:val="00755F12"/>
    <w:rsid w:val="00756394"/>
    <w:rsid w:val="007568E7"/>
    <w:rsid w:val="00756F00"/>
    <w:rsid w:val="00757422"/>
    <w:rsid w:val="007577AA"/>
    <w:rsid w:val="00757A24"/>
    <w:rsid w:val="00757BAC"/>
    <w:rsid w:val="00757C41"/>
    <w:rsid w:val="00757D91"/>
    <w:rsid w:val="00760366"/>
    <w:rsid w:val="007605F2"/>
    <w:rsid w:val="0076078F"/>
    <w:rsid w:val="00761665"/>
    <w:rsid w:val="007619F0"/>
    <w:rsid w:val="00761B5D"/>
    <w:rsid w:val="0076206D"/>
    <w:rsid w:val="007622A3"/>
    <w:rsid w:val="0076260D"/>
    <w:rsid w:val="00762929"/>
    <w:rsid w:val="00762D87"/>
    <w:rsid w:val="00762DF7"/>
    <w:rsid w:val="0076302E"/>
    <w:rsid w:val="007630CC"/>
    <w:rsid w:val="007630FB"/>
    <w:rsid w:val="00763118"/>
    <w:rsid w:val="007634BD"/>
    <w:rsid w:val="00763607"/>
    <w:rsid w:val="007637BF"/>
    <w:rsid w:val="00763A19"/>
    <w:rsid w:val="00763ACE"/>
    <w:rsid w:val="00763B77"/>
    <w:rsid w:val="00763DD9"/>
    <w:rsid w:val="007641E4"/>
    <w:rsid w:val="00764365"/>
    <w:rsid w:val="007647F0"/>
    <w:rsid w:val="00764BB4"/>
    <w:rsid w:val="00764E05"/>
    <w:rsid w:val="00765021"/>
    <w:rsid w:val="007652DF"/>
    <w:rsid w:val="007653D4"/>
    <w:rsid w:val="00765AB1"/>
    <w:rsid w:val="0076602E"/>
    <w:rsid w:val="0076639A"/>
    <w:rsid w:val="0076669F"/>
    <w:rsid w:val="00766BA3"/>
    <w:rsid w:val="0076702C"/>
    <w:rsid w:val="007671DA"/>
    <w:rsid w:val="0076743E"/>
    <w:rsid w:val="00767495"/>
    <w:rsid w:val="0076751B"/>
    <w:rsid w:val="00767536"/>
    <w:rsid w:val="00767A84"/>
    <w:rsid w:val="00767F6C"/>
    <w:rsid w:val="0077072A"/>
    <w:rsid w:val="00770E2B"/>
    <w:rsid w:val="00770E35"/>
    <w:rsid w:val="007713DB"/>
    <w:rsid w:val="0077147C"/>
    <w:rsid w:val="007714DB"/>
    <w:rsid w:val="00771A64"/>
    <w:rsid w:val="007723C6"/>
    <w:rsid w:val="00772829"/>
    <w:rsid w:val="00772906"/>
    <w:rsid w:val="00772B7A"/>
    <w:rsid w:val="0077337E"/>
    <w:rsid w:val="00773458"/>
    <w:rsid w:val="007734B5"/>
    <w:rsid w:val="00773514"/>
    <w:rsid w:val="007735FE"/>
    <w:rsid w:val="00773956"/>
    <w:rsid w:val="00773B77"/>
    <w:rsid w:val="00773DCD"/>
    <w:rsid w:val="0077410C"/>
    <w:rsid w:val="00774509"/>
    <w:rsid w:val="00774728"/>
    <w:rsid w:val="00774BE6"/>
    <w:rsid w:val="00774C99"/>
    <w:rsid w:val="00774CF1"/>
    <w:rsid w:val="00774EB9"/>
    <w:rsid w:val="00775858"/>
    <w:rsid w:val="00775C33"/>
    <w:rsid w:val="00775D26"/>
    <w:rsid w:val="007765C0"/>
    <w:rsid w:val="00776B0D"/>
    <w:rsid w:val="00776B6E"/>
    <w:rsid w:val="00776CCA"/>
    <w:rsid w:val="00776E4F"/>
    <w:rsid w:val="00776E55"/>
    <w:rsid w:val="00776EDA"/>
    <w:rsid w:val="007773FA"/>
    <w:rsid w:val="007777A7"/>
    <w:rsid w:val="00777848"/>
    <w:rsid w:val="00777893"/>
    <w:rsid w:val="00777A1C"/>
    <w:rsid w:val="007800A3"/>
    <w:rsid w:val="00780261"/>
    <w:rsid w:val="00780960"/>
    <w:rsid w:val="00780F3A"/>
    <w:rsid w:val="00780F51"/>
    <w:rsid w:val="00780FD9"/>
    <w:rsid w:val="007811D1"/>
    <w:rsid w:val="007812C0"/>
    <w:rsid w:val="0078138F"/>
    <w:rsid w:val="00781539"/>
    <w:rsid w:val="00781853"/>
    <w:rsid w:val="00781ED9"/>
    <w:rsid w:val="00781F7D"/>
    <w:rsid w:val="007826D4"/>
    <w:rsid w:val="0078284E"/>
    <w:rsid w:val="00782CC0"/>
    <w:rsid w:val="00783354"/>
    <w:rsid w:val="0078370B"/>
    <w:rsid w:val="00783913"/>
    <w:rsid w:val="00783ABE"/>
    <w:rsid w:val="00783DD5"/>
    <w:rsid w:val="007840B8"/>
    <w:rsid w:val="007840CF"/>
    <w:rsid w:val="00784110"/>
    <w:rsid w:val="00784341"/>
    <w:rsid w:val="00784394"/>
    <w:rsid w:val="00784642"/>
    <w:rsid w:val="00784668"/>
    <w:rsid w:val="00784A15"/>
    <w:rsid w:val="00784C56"/>
    <w:rsid w:val="00784D5C"/>
    <w:rsid w:val="00784D9F"/>
    <w:rsid w:val="00784E77"/>
    <w:rsid w:val="007852E9"/>
    <w:rsid w:val="0078544D"/>
    <w:rsid w:val="007859A0"/>
    <w:rsid w:val="00785A7E"/>
    <w:rsid w:val="007860CA"/>
    <w:rsid w:val="0078656E"/>
    <w:rsid w:val="00786639"/>
    <w:rsid w:val="007870C9"/>
    <w:rsid w:val="00787183"/>
    <w:rsid w:val="007874C5"/>
    <w:rsid w:val="00787B4D"/>
    <w:rsid w:val="00787BD2"/>
    <w:rsid w:val="00787CCE"/>
    <w:rsid w:val="00787E16"/>
    <w:rsid w:val="00787E90"/>
    <w:rsid w:val="00790853"/>
    <w:rsid w:val="0079095C"/>
    <w:rsid w:val="00790B15"/>
    <w:rsid w:val="00790F49"/>
    <w:rsid w:val="00791872"/>
    <w:rsid w:val="00791F55"/>
    <w:rsid w:val="00791FE5"/>
    <w:rsid w:val="00792089"/>
    <w:rsid w:val="0079249F"/>
    <w:rsid w:val="007925E6"/>
    <w:rsid w:val="00792852"/>
    <w:rsid w:val="00792865"/>
    <w:rsid w:val="00792B3F"/>
    <w:rsid w:val="00792CA4"/>
    <w:rsid w:val="007931CB"/>
    <w:rsid w:val="00793489"/>
    <w:rsid w:val="007935C1"/>
    <w:rsid w:val="00793ECF"/>
    <w:rsid w:val="00794116"/>
    <w:rsid w:val="0079425F"/>
    <w:rsid w:val="00794284"/>
    <w:rsid w:val="00794592"/>
    <w:rsid w:val="00794BEB"/>
    <w:rsid w:val="00794C20"/>
    <w:rsid w:val="00794C32"/>
    <w:rsid w:val="00794C51"/>
    <w:rsid w:val="00794D50"/>
    <w:rsid w:val="00794F84"/>
    <w:rsid w:val="0079511B"/>
    <w:rsid w:val="007951D4"/>
    <w:rsid w:val="007959FD"/>
    <w:rsid w:val="00795B07"/>
    <w:rsid w:val="00795B6C"/>
    <w:rsid w:val="00795DF9"/>
    <w:rsid w:val="0079617B"/>
    <w:rsid w:val="00796F87"/>
    <w:rsid w:val="0079743D"/>
    <w:rsid w:val="00797C46"/>
    <w:rsid w:val="007A02BF"/>
    <w:rsid w:val="007A0849"/>
    <w:rsid w:val="007A0C08"/>
    <w:rsid w:val="007A138E"/>
    <w:rsid w:val="007A18A2"/>
    <w:rsid w:val="007A19F6"/>
    <w:rsid w:val="007A1C90"/>
    <w:rsid w:val="007A246B"/>
    <w:rsid w:val="007A2B46"/>
    <w:rsid w:val="007A2B65"/>
    <w:rsid w:val="007A38F0"/>
    <w:rsid w:val="007A38F7"/>
    <w:rsid w:val="007A3955"/>
    <w:rsid w:val="007A3A46"/>
    <w:rsid w:val="007A3D96"/>
    <w:rsid w:val="007A45C8"/>
    <w:rsid w:val="007A4763"/>
    <w:rsid w:val="007A4A5D"/>
    <w:rsid w:val="007A4D10"/>
    <w:rsid w:val="007A4F5D"/>
    <w:rsid w:val="007A506A"/>
    <w:rsid w:val="007A523A"/>
    <w:rsid w:val="007A54B4"/>
    <w:rsid w:val="007A5617"/>
    <w:rsid w:val="007A5B36"/>
    <w:rsid w:val="007A66B8"/>
    <w:rsid w:val="007A6B13"/>
    <w:rsid w:val="007A6D0F"/>
    <w:rsid w:val="007A75CB"/>
    <w:rsid w:val="007A7D78"/>
    <w:rsid w:val="007A7D99"/>
    <w:rsid w:val="007A7EC0"/>
    <w:rsid w:val="007B0245"/>
    <w:rsid w:val="007B05B6"/>
    <w:rsid w:val="007B083F"/>
    <w:rsid w:val="007B0880"/>
    <w:rsid w:val="007B0AAF"/>
    <w:rsid w:val="007B0D01"/>
    <w:rsid w:val="007B0D5C"/>
    <w:rsid w:val="007B0DB0"/>
    <w:rsid w:val="007B0E4D"/>
    <w:rsid w:val="007B1308"/>
    <w:rsid w:val="007B1774"/>
    <w:rsid w:val="007B17F8"/>
    <w:rsid w:val="007B1B21"/>
    <w:rsid w:val="007B1DD9"/>
    <w:rsid w:val="007B1DF0"/>
    <w:rsid w:val="007B1E52"/>
    <w:rsid w:val="007B1FA4"/>
    <w:rsid w:val="007B2031"/>
    <w:rsid w:val="007B2085"/>
    <w:rsid w:val="007B21CF"/>
    <w:rsid w:val="007B22C5"/>
    <w:rsid w:val="007B2490"/>
    <w:rsid w:val="007B2571"/>
    <w:rsid w:val="007B2756"/>
    <w:rsid w:val="007B28AD"/>
    <w:rsid w:val="007B2FDC"/>
    <w:rsid w:val="007B3058"/>
    <w:rsid w:val="007B3273"/>
    <w:rsid w:val="007B3308"/>
    <w:rsid w:val="007B34DF"/>
    <w:rsid w:val="007B38A0"/>
    <w:rsid w:val="007B38B7"/>
    <w:rsid w:val="007B3AE8"/>
    <w:rsid w:val="007B4141"/>
    <w:rsid w:val="007B49BF"/>
    <w:rsid w:val="007B4DDE"/>
    <w:rsid w:val="007B4F7B"/>
    <w:rsid w:val="007B50A3"/>
    <w:rsid w:val="007B5391"/>
    <w:rsid w:val="007B5442"/>
    <w:rsid w:val="007B583D"/>
    <w:rsid w:val="007B6284"/>
    <w:rsid w:val="007B62C7"/>
    <w:rsid w:val="007B6684"/>
    <w:rsid w:val="007B6B21"/>
    <w:rsid w:val="007B6D34"/>
    <w:rsid w:val="007B6F57"/>
    <w:rsid w:val="007B7024"/>
    <w:rsid w:val="007B7305"/>
    <w:rsid w:val="007B7804"/>
    <w:rsid w:val="007B78C1"/>
    <w:rsid w:val="007B7908"/>
    <w:rsid w:val="007B7DC9"/>
    <w:rsid w:val="007C0390"/>
    <w:rsid w:val="007C0459"/>
    <w:rsid w:val="007C0653"/>
    <w:rsid w:val="007C08AB"/>
    <w:rsid w:val="007C08D9"/>
    <w:rsid w:val="007C0A66"/>
    <w:rsid w:val="007C0C9A"/>
    <w:rsid w:val="007C0D11"/>
    <w:rsid w:val="007C14A2"/>
    <w:rsid w:val="007C1A1A"/>
    <w:rsid w:val="007C1D36"/>
    <w:rsid w:val="007C1F3A"/>
    <w:rsid w:val="007C22C0"/>
    <w:rsid w:val="007C2455"/>
    <w:rsid w:val="007C2A9A"/>
    <w:rsid w:val="007C2D35"/>
    <w:rsid w:val="007C300E"/>
    <w:rsid w:val="007C328D"/>
    <w:rsid w:val="007C336F"/>
    <w:rsid w:val="007C3645"/>
    <w:rsid w:val="007C3703"/>
    <w:rsid w:val="007C3CF8"/>
    <w:rsid w:val="007C3DFE"/>
    <w:rsid w:val="007C40A0"/>
    <w:rsid w:val="007C41B1"/>
    <w:rsid w:val="007C42DD"/>
    <w:rsid w:val="007C4630"/>
    <w:rsid w:val="007C4AB8"/>
    <w:rsid w:val="007C4FD8"/>
    <w:rsid w:val="007C561D"/>
    <w:rsid w:val="007C59B4"/>
    <w:rsid w:val="007C59C4"/>
    <w:rsid w:val="007C5B8D"/>
    <w:rsid w:val="007C5D3B"/>
    <w:rsid w:val="007C5FEF"/>
    <w:rsid w:val="007C61C7"/>
    <w:rsid w:val="007C63B5"/>
    <w:rsid w:val="007C70A3"/>
    <w:rsid w:val="007C7E87"/>
    <w:rsid w:val="007C7FC9"/>
    <w:rsid w:val="007D03C3"/>
    <w:rsid w:val="007D0A8A"/>
    <w:rsid w:val="007D0C9F"/>
    <w:rsid w:val="007D0CC1"/>
    <w:rsid w:val="007D0F32"/>
    <w:rsid w:val="007D10A7"/>
    <w:rsid w:val="007D1761"/>
    <w:rsid w:val="007D1F59"/>
    <w:rsid w:val="007D1F71"/>
    <w:rsid w:val="007D2151"/>
    <w:rsid w:val="007D220E"/>
    <w:rsid w:val="007D2472"/>
    <w:rsid w:val="007D2B8B"/>
    <w:rsid w:val="007D2FDC"/>
    <w:rsid w:val="007D30B7"/>
    <w:rsid w:val="007D3116"/>
    <w:rsid w:val="007D3360"/>
    <w:rsid w:val="007D3936"/>
    <w:rsid w:val="007D3F6E"/>
    <w:rsid w:val="007D3FFD"/>
    <w:rsid w:val="007D45BC"/>
    <w:rsid w:val="007D45BE"/>
    <w:rsid w:val="007D472D"/>
    <w:rsid w:val="007D476B"/>
    <w:rsid w:val="007D47A7"/>
    <w:rsid w:val="007D48D7"/>
    <w:rsid w:val="007D4D87"/>
    <w:rsid w:val="007D4DDB"/>
    <w:rsid w:val="007D4E03"/>
    <w:rsid w:val="007D4E92"/>
    <w:rsid w:val="007D536E"/>
    <w:rsid w:val="007D54C4"/>
    <w:rsid w:val="007D5637"/>
    <w:rsid w:val="007D59B4"/>
    <w:rsid w:val="007D5ADD"/>
    <w:rsid w:val="007D5AEF"/>
    <w:rsid w:val="007D5D01"/>
    <w:rsid w:val="007D5EFF"/>
    <w:rsid w:val="007D6437"/>
    <w:rsid w:val="007D669D"/>
    <w:rsid w:val="007D6786"/>
    <w:rsid w:val="007D6FE0"/>
    <w:rsid w:val="007D7073"/>
    <w:rsid w:val="007D7485"/>
    <w:rsid w:val="007D7D0F"/>
    <w:rsid w:val="007D7FE1"/>
    <w:rsid w:val="007E0117"/>
    <w:rsid w:val="007E032B"/>
    <w:rsid w:val="007E06C7"/>
    <w:rsid w:val="007E0C49"/>
    <w:rsid w:val="007E15AD"/>
    <w:rsid w:val="007E1682"/>
    <w:rsid w:val="007E1723"/>
    <w:rsid w:val="007E17AA"/>
    <w:rsid w:val="007E25ED"/>
    <w:rsid w:val="007E2887"/>
    <w:rsid w:val="007E293C"/>
    <w:rsid w:val="007E2A51"/>
    <w:rsid w:val="007E2BC0"/>
    <w:rsid w:val="007E3257"/>
    <w:rsid w:val="007E326A"/>
    <w:rsid w:val="007E32CC"/>
    <w:rsid w:val="007E35CD"/>
    <w:rsid w:val="007E3D67"/>
    <w:rsid w:val="007E3E2B"/>
    <w:rsid w:val="007E42AE"/>
    <w:rsid w:val="007E456F"/>
    <w:rsid w:val="007E4BDB"/>
    <w:rsid w:val="007E4F96"/>
    <w:rsid w:val="007E5176"/>
    <w:rsid w:val="007E51F9"/>
    <w:rsid w:val="007E5219"/>
    <w:rsid w:val="007E549D"/>
    <w:rsid w:val="007E5BF2"/>
    <w:rsid w:val="007E600F"/>
    <w:rsid w:val="007E63FA"/>
    <w:rsid w:val="007E6631"/>
    <w:rsid w:val="007E6921"/>
    <w:rsid w:val="007E6AB8"/>
    <w:rsid w:val="007E6B3E"/>
    <w:rsid w:val="007E6B43"/>
    <w:rsid w:val="007E6D2E"/>
    <w:rsid w:val="007E7111"/>
    <w:rsid w:val="007E71BE"/>
    <w:rsid w:val="007E746B"/>
    <w:rsid w:val="007E766C"/>
    <w:rsid w:val="007E770A"/>
    <w:rsid w:val="007E7CEF"/>
    <w:rsid w:val="007F032D"/>
    <w:rsid w:val="007F0ECD"/>
    <w:rsid w:val="007F13EA"/>
    <w:rsid w:val="007F1617"/>
    <w:rsid w:val="007F1AA4"/>
    <w:rsid w:val="007F1B88"/>
    <w:rsid w:val="007F1B9E"/>
    <w:rsid w:val="007F2342"/>
    <w:rsid w:val="007F2E9F"/>
    <w:rsid w:val="007F2F94"/>
    <w:rsid w:val="007F3071"/>
    <w:rsid w:val="007F3276"/>
    <w:rsid w:val="007F35C6"/>
    <w:rsid w:val="007F386E"/>
    <w:rsid w:val="007F3DF5"/>
    <w:rsid w:val="007F413E"/>
    <w:rsid w:val="007F4459"/>
    <w:rsid w:val="007F468F"/>
    <w:rsid w:val="007F4C7D"/>
    <w:rsid w:val="007F4C95"/>
    <w:rsid w:val="007F4D6B"/>
    <w:rsid w:val="007F5047"/>
    <w:rsid w:val="007F505D"/>
    <w:rsid w:val="007F57EF"/>
    <w:rsid w:val="007F58F8"/>
    <w:rsid w:val="007F590E"/>
    <w:rsid w:val="007F5A33"/>
    <w:rsid w:val="007F67E9"/>
    <w:rsid w:val="007F6953"/>
    <w:rsid w:val="007F6A94"/>
    <w:rsid w:val="007F6AFF"/>
    <w:rsid w:val="007F6B20"/>
    <w:rsid w:val="007F6C0F"/>
    <w:rsid w:val="007F6C82"/>
    <w:rsid w:val="007F6EA2"/>
    <w:rsid w:val="007F6ED4"/>
    <w:rsid w:val="007F708C"/>
    <w:rsid w:val="007F7C2E"/>
    <w:rsid w:val="007F7C7B"/>
    <w:rsid w:val="007F7FC8"/>
    <w:rsid w:val="008002BE"/>
    <w:rsid w:val="0080079C"/>
    <w:rsid w:val="00800AD9"/>
    <w:rsid w:val="00800BF9"/>
    <w:rsid w:val="00801052"/>
    <w:rsid w:val="00801552"/>
    <w:rsid w:val="0080176D"/>
    <w:rsid w:val="008017DF"/>
    <w:rsid w:val="00802217"/>
    <w:rsid w:val="0080227B"/>
    <w:rsid w:val="00802588"/>
    <w:rsid w:val="008025EC"/>
    <w:rsid w:val="00802999"/>
    <w:rsid w:val="00802A2C"/>
    <w:rsid w:val="00802BB3"/>
    <w:rsid w:val="00802DA3"/>
    <w:rsid w:val="00802DD4"/>
    <w:rsid w:val="00802E83"/>
    <w:rsid w:val="0080328D"/>
    <w:rsid w:val="008032DF"/>
    <w:rsid w:val="00803461"/>
    <w:rsid w:val="00803699"/>
    <w:rsid w:val="008036A1"/>
    <w:rsid w:val="00803ABB"/>
    <w:rsid w:val="00803B6C"/>
    <w:rsid w:val="00803EC4"/>
    <w:rsid w:val="00803F66"/>
    <w:rsid w:val="008040A2"/>
    <w:rsid w:val="008045E9"/>
    <w:rsid w:val="00804632"/>
    <w:rsid w:val="00804722"/>
    <w:rsid w:val="00804821"/>
    <w:rsid w:val="00804936"/>
    <w:rsid w:val="0080494A"/>
    <w:rsid w:val="00804C76"/>
    <w:rsid w:val="00804FAD"/>
    <w:rsid w:val="008054B0"/>
    <w:rsid w:val="008054D9"/>
    <w:rsid w:val="0080550B"/>
    <w:rsid w:val="00805600"/>
    <w:rsid w:val="00805677"/>
    <w:rsid w:val="0080570C"/>
    <w:rsid w:val="00805AE7"/>
    <w:rsid w:val="00805CDA"/>
    <w:rsid w:val="008060F3"/>
    <w:rsid w:val="0080659E"/>
    <w:rsid w:val="00806688"/>
    <w:rsid w:val="00806CE1"/>
    <w:rsid w:val="00806EE1"/>
    <w:rsid w:val="00807274"/>
    <w:rsid w:val="0080787C"/>
    <w:rsid w:val="00807A3E"/>
    <w:rsid w:val="00807DEE"/>
    <w:rsid w:val="00807FEB"/>
    <w:rsid w:val="0081020E"/>
    <w:rsid w:val="00810338"/>
    <w:rsid w:val="00810558"/>
    <w:rsid w:val="008107F2"/>
    <w:rsid w:val="00810DC5"/>
    <w:rsid w:val="00811107"/>
    <w:rsid w:val="0081114D"/>
    <w:rsid w:val="008112F7"/>
    <w:rsid w:val="008118F0"/>
    <w:rsid w:val="00811B49"/>
    <w:rsid w:val="0081217F"/>
    <w:rsid w:val="008121BA"/>
    <w:rsid w:val="00812282"/>
    <w:rsid w:val="008125C9"/>
    <w:rsid w:val="00812B1E"/>
    <w:rsid w:val="00812D2C"/>
    <w:rsid w:val="00812F27"/>
    <w:rsid w:val="00812FD0"/>
    <w:rsid w:val="008132F5"/>
    <w:rsid w:val="00813316"/>
    <w:rsid w:val="008134D6"/>
    <w:rsid w:val="0081359D"/>
    <w:rsid w:val="00813D97"/>
    <w:rsid w:val="0081416F"/>
    <w:rsid w:val="008148E4"/>
    <w:rsid w:val="00814B48"/>
    <w:rsid w:val="00814B61"/>
    <w:rsid w:val="00814F1D"/>
    <w:rsid w:val="00814FC1"/>
    <w:rsid w:val="00815155"/>
    <w:rsid w:val="008153B8"/>
    <w:rsid w:val="00815482"/>
    <w:rsid w:val="00815615"/>
    <w:rsid w:val="008157F1"/>
    <w:rsid w:val="008158BC"/>
    <w:rsid w:val="00815E9D"/>
    <w:rsid w:val="008161E2"/>
    <w:rsid w:val="00816CC5"/>
    <w:rsid w:val="00816E5E"/>
    <w:rsid w:val="00816EC2"/>
    <w:rsid w:val="00817182"/>
    <w:rsid w:val="008172AE"/>
    <w:rsid w:val="008175D5"/>
    <w:rsid w:val="00817A42"/>
    <w:rsid w:val="00817A75"/>
    <w:rsid w:val="00817AF8"/>
    <w:rsid w:val="00817D2B"/>
    <w:rsid w:val="00820470"/>
    <w:rsid w:val="00820496"/>
    <w:rsid w:val="008207E3"/>
    <w:rsid w:val="008209D4"/>
    <w:rsid w:val="008209FD"/>
    <w:rsid w:val="00820A96"/>
    <w:rsid w:val="00820BF2"/>
    <w:rsid w:val="00820E5B"/>
    <w:rsid w:val="00821215"/>
    <w:rsid w:val="0082161B"/>
    <w:rsid w:val="00821725"/>
    <w:rsid w:val="00821B81"/>
    <w:rsid w:val="00822271"/>
    <w:rsid w:val="00822C71"/>
    <w:rsid w:val="00822DFA"/>
    <w:rsid w:val="00823291"/>
    <w:rsid w:val="00823549"/>
    <w:rsid w:val="008236E1"/>
    <w:rsid w:val="00823A12"/>
    <w:rsid w:val="00823B23"/>
    <w:rsid w:val="00823C73"/>
    <w:rsid w:val="00823E8D"/>
    <w:rsid w:val="00824034"/>
    <w:rsid w:val="00824079"/>
    <w:rsid w:val="008240EB"/>
    <w:rsid w:val="00824458"/>
    <w:rsid w:val="008244F8"/>
    <w:rsid w:val="008247EE"/>
    <w:rsid w:val="008249F7"/>
    <w:rsid w:val="00824B74"/>
    <w:rsid w:val="00825410"/>
    <w:rsid w:val="00825463"/>
    <w:rsid w:val="00825A41"/>
    <w:rsid w:val="00825DC4"/>
    <w:rsid w:val="00825F9D"/>
    <w:rsid w:val="008260F1"/>
    <w:rsid w:val="00826275"/>
    <w:rsid w:val="00826533"/>
    <w:rsid w:val="0082655E"/>
    <w:rsid w:val="00826672"/>
    <w:rsid w:val="00826A5B"/>
    <w:rsid w:val="00826DA8"/>
    <w:rsid w:val="00827027"/>
    <w:rsid w:val="0082726C"/>
    <w:rsid w:val="00827AE9"/>
    <w:rsid w:val="00827B16"/>
    <w:rsid w:val="00827BF2"/>
    <w:rsid w:val="00830014"/>
    <w:rsid w:val="00830193"/>
    <w:rsid w:val="008301A1"/>
    <w:rsid w:val="00830260"/>
    <w:rsid w:val="00830413"/>
    <w:rsid w:val="00830503"/>
    <w:rsid w:val="008312A9"/>
    <w:rsid w:val="00831741"/>
    <w:rsid w:val="00831B87"/>
    <w:rsid w:val="00831C6C"/>
    <w:rsid w:val="00832119"/>
    <w:rsid w:val="008325F6"/>
    <w:rsid w:val="00832B3A"/>
    <w:rsid w:val="00833151"/>
    <w:rsid w:val="008332D6"/>
    <w:rsid w:val="008337F8"/>
    <w:rsid w:val="00833DCA"/>
    <w:rsid w:val="00834081"/>
    <w:rsid w:val="008343AB"/>
    <w:rsid w:val="008348ED"/>
    <w:rsid w:val="00834A42"/>
    <w:rsid w:val="00834BF2"/>
    <w:rsid w:val="00834D25"/>
    <w:rsid w:val="00834E27"/>
    <w:rsid w:val="0083524A"/>
    <w:rsid w:val="00835552"/>
    <w:rsid w:val="008359EC"/>
    <w:rsid w:val="00835EC9"/>
    <w:rsid w:val="0083634E"/>
    <w:rsid w:val="008367E4"/>
    <w:rsid w:val="00836939"/>
    <w:rsid w:val="00836AC7"/>
    <w:rsid w:val="00837049"/>
    <w:rsid w:val="0083727A"/>
    <w:rsid w:val="008375EA"/>
    <w:rsid w:val="00837D9E"/>
    <w:rsid w:val="0084085D"/>
    <w:rsid w:val="00841168"/>
    <w:rsid w:val="00841388"/>
    <w:rsid w:val="008415AE"/>
    <w:rsid w:val="00841716"/>
    <w:rsid w:val="00841BEF"/>
    <w:rsid w:val="00841C30"/>
    <w:rsid w:val="00841DF9"/>
    <w:rsid w:val="00841E29"/>
    <w:rsid w:val="00841EFB"/>
    <w:rsid w:val="00841F44"/>
    <w:rsid w:val="0084222E"/>
    <w:rsid w:val="00842B19"/>
    <w:rsid w:val="00842B3A"/>
    <w:rsid w:val="00842C82"/>
    <w:rsid w:val="00842DB0"/>
    <w:rsid w:val="00843053"/>
    <w:rsid w:val="008433EB"/>
    <w:rsid w:val="008435FA"/>
    <w:rsid w:val="008436D7"/>
    <w:rsid w:val="0084372D"/>
    <w:rsid w:val="00843785"/>
    <w:rsid w:val="0084380E"/>
    <w:rsid w:val="00843F70"/>
    <w:rsid w:val="008440FE"/>
    <w:rsid w:val="00844C10"/>
    <w:rsid w:val="00844F4C"/>
    <w:rsid w:val="00845183"/>
    <w:rsid w:val="00845358"/>
    <w:rsid w:val="0084537E"/>
    <w:rsid w:val="008458F7"/>
    <w:rsid w:val="008460E0"/>
    <w:rsid w:val="00846119"/>
    <w:rsid w:val="008466CC"/>
    <w:rsid w:val="008466F4"/>
    <w:rsid w:val="0084678F"/>
    <w:rsid w:val="008467A2"/>
    <w:rsid w:val="0084693F"/>
    <w:rsid w:val="008469D8"/>
    <w:rsid w:val="00846B6D"/>
    <w:rsid w:val="00846DED"/>
    <w:rsid w:val="00846E4D"/>
    <w:rsid w:val="00846EE5"/>
    <w:rsid w:val="00846F20"/>
    <w:rsid w:val="008470B4"/>
    <w:rsid w:val="008471EE"/>
    <w:rsid w:val="008474E3"/>
    <w:rsid w:val="00847650"/>
    <w:rsid w:val="0084783A"/>
    <w:rsid w:val="00847CA7"/>
    <w:rsid w:val="00847F00"/>
    <w:rsid w:val="008504AC"/>
    <w:rsid w:val="00850C51"/>
    <w:rsid w:val="00850E9A"/>
    <w:rsid w:val="00851112"/>
    <w:rsid w:val="008511B0"/>
    <w:rsid w:val="00851954"/>
    <w:rsid w:val="00851BBD"/>
    <w:rsid w:val="00851CAA"/>
    <w:rsid w:val="00852201"/>
    <w:rsid w:val="008522A9"/>
    <w:rsid w:val="00852334"/>
    <w:rsid w:val="008523EE"/>
    <w:rsid w:val="008526E6"/>
    <w:rsid w:val="008527ED"/>
    <w:rsid w:val="00852AA9"/>
    <w:rsid w:val="00852F98"/>
    <w:rsid w:val="00852F9A"/>
    <w:rsid w:val="0085300E"/>
    <w:rsid w:val="008531B9"/>
    <w:rsid w:val="00853267"/>
    <w:rsid w:val="008537F7"/>
    <w:rsid w:val="0085383A"/>
    <w:rsid w:val="00853924"/>
    <w:rsid w:val="00853D85"/>
    <w:rsid w:val="00853F5D"/>
    <w:rsid w:val="00853FAF"/>
    <w:rsid w:val="00854287"/>
    <w:rsid w:val="00854637"/>
    <w:rsid w:val="008546BE"/>
    <w:rsid w:val="00854BCB"/>
    <w:rsid w:val="00854DB3"/>
    <w:rsid w:val="00854E0F"/>
    <w:rsid w:val="00854EB8"/>
    <w:rsid w:val="00854F72"/>
    <w:rsid w:val="008550E1"/>
    <w:rsid w:val="008552A5"/>
    <w:rsid w:val="00855C2A"/>
    <w:rsid w:val="00856073"/>
    <w:rsid w:val="00856074"/>
    <w:rsid w:val="008563D1"/>
    <w:rsid w:val="008567F9"/>
    <w:rsid w:val="008568B3"/>
    <w:rsid w:val="00857479"/>
    <w:rsid w:val="00857885"/>
    <w:rsid w:val="00857949"/>
    <w:rsid w:val="00860084"/>
    <w:rsid w:val="00860164"/>
    <w:rsid w:val="0086038A"/>
    <w:rsid w:val="0086069A"/>
    <w:rsid w:val="00860BF7"/>
    <w:rsid w:val="00860BFF"/>
    <w:rsid w:val="008611FA"/>
    <w:rsid w:val="008616DD"/>
    <w:rsid w:val="0086184C"/>
    <w:rsid w:val="00861B16"/>
    <w:rsid w:val="00861E0B"/>
    <w:rsid w:val="008622C4"/>
    <w:rsid w:val="00862303"/>
    <w:rsid w:val="0086234F"/>
    <w:rsid w:val="0086281D"/>
    <w:rsid w:val="008629C2"/>
    <w:rsid w:val="00862A54"/>
    <w:rsid w:val="00862A81"/>
    <w:rsid w:val="00862F7C"/>
    <w:rsid w:val="0086345C"/>
    <w:rsid w:val="008634FB"/>
    <w:rsid w:val="00863743"/>
    <w:rsid w:val="00863BCE"/>
    <w:rsid w:val="00863D4A"/>
    <w:rsid w:val="00863DA9"/>
    <w:rsid w:val="00863E04"/>
    <w:rsid w:val="0086421F"/>
    <w:rsid w:val="00864485"/>
    <w:rsid w:val="00864791"/>
    <w:rsid w:val="00864A04"/>
    <w:rsid w:val="00864BBF"/>
    <w:rsid w:val="008650C9"/>
    <w:rsid w:val="008663C5"/>
    <w:rsid w:val="008666E4"/>
    <w:rsid w:val="0086711D"/>
    <w:rsid w:val="0086723A"/>
    <w:rsid w:val="0086758D"/>
    <w:rsid w:val="00867B36"/>
    <w:rsid w:val="00867D97"/>
    <w:rsid w:val="008709E0"/>
    <w:rsid w:val="00870D61"/>
    <w:rsid w:val="008710AC"/>
    <w:rsid w:val="00871324"/>
    <w:rsid w:val="008713A8"/>
    <w:rsid w:val="00871534"/>
    <w:rsid w:val="008719C2"/>
    <w:rsid w:val="00871AA2"/>
    <w:rsid w:val="00871E66"/>
    <w:rsid w:val="00871E8F"/>
    <w:rsid w:val="00872117"/>
    <w:rsid w:val="00872432"/>
    <w:rsid w:val="00872468"/>
    <w:rsid w:val="0087268D"/>
    <w:rsid w:val="008726FE"/>
    <w:rsid w:val="0087277A"/>
    <w:rsid w:val="0087290B"/>
    <w:rsid w:val="00872A1E"/>
    <w:rsid w:val="00872A47"/>
    <w:rsid w:val="00872CF4"/>
    <w:rsid w:val="00872F6A"/>
    <w:rsid w:val="0087332B"/>
    <w:rsid w:val="008733BC"/>
    <w:rsid w:val="008735C4"/>
    <w:rsid w:val="008736E2"/>
    <w:rsid w:val="00873877"/>
    <w:rsid w:val="008738C0"/>
    <w:rsid w:val="0087394F"/>
    <w:rsid w:val="00873A2A"/>
    <w:rsid w:val="00873AE6"/>
    <w:rsid w:val="00873C08"/>
    <w:rsid w:val="00874565"/>
    <w:rsid w:val="0087484B"/>
    <w:rsid w:val="0087496F"/>
    <w:rsid w:val="00874AA8"/>
    <w:rsid w:val="00874CA5"/>
    <w:rsid w:val="00874CBB"/>
    <w:rsid w:val="00874E91"/>
    <w:rsid w:val="00874F59"/>
    <w:rsid w:val="00875049"/>
    <w:rsid w:val="0087536B"/>
    <w:rsid w:val="00875437"/>
    <w:rsid w:val="008757C6"/>
    <w:rsid w:val="00875B6A"/>
    <w:rsid w:val="00875BF4"/>
    <w:rsid w:val="00875D50"/>
    <w:rsid w:val="00875EDD"/>
    <w:rsid w:val="00876006"/>
    <w:rsid w:val="0087602B"/>
    <w:rsid w:val="008760F6"/>
    <w:rsid w:val="00876389"/>
    <w:rsid w:val="008765A4"/>
    <w:rsid w:val="008765A9"/>
    <w:rsid w:val="0087693D"/>
    <w:rsid w:val="00876980"/>
    <w:rsid w:val="008769F3"/>
    <w:rsid w:val="00876B51"/>
    <w:rsid w:val="00876C06"/>
    <w:rsid w:val="00876FAF"/>
    <w:rsid w:val="00876FB5"/>
    <w:rsid w:val="00877247"/>
    <w:rsid w:val="0087753E"/>
    <w:rsid w:val="00877860"/>
    <w:rsid w:val="00877B4B"/>
    <w:rsid w:val="00877D9A"/>
    <w:rsid w:val="00877EBA"/>
    <w:rsid w:val="00877F41"/>
    <w:rsid w:val="008801AE"/>
    <w:rsid w:val="0088029D"/>
    <w:rsid w:val="00880674"/>
    <w:rsid w:val="00880AA3"/>
    <w:rsid w:val="00881145"/>
    <w:rsid w:val="00881170"/>
    <w:rsid w:val="008812F6"/>
    <w:rsid w:val="00881B8C"/>
    <w:rsid w:val="00882FAB"/>
    <w:rsid w:val="00883225"/>
    <w:rsid w:val="00883350"/>
    <w:rsid w:val="00883F12"/>
    <w:rsid w:val="0088421C"/>
    <w:rsid w:val="0088430B"/>
    <w:rsid w:val="0088445B"/>
    <w:rsid w:val="00884467"/>
    <w:rsid w:val="00884BC2"/>
    <w:rsid w:val="00884C69"/>
    <w:rsid w:val="00884FFD"/>
    <w:rsid w:val="00885451"/>
    <w:rsid w:val="00885634"/>
    <w:rsid w:val="00885742"/>
    <w:rsid w:val="0088576E"/>
    <w:rsid w:val="0088585C"/>
    <w:rsid w:val="00886193"/>
    <w:rsid w:val="0088623E"/>
    <w:rsid w:val="00886425"/>
    <w:rsid w:val="0088699E"/>
    <w:rsid w:val="008869F9"/>
    <w:rsid w:val="00886C0E"/>
    <w:rsid w:val="008870C1"/>
    <w:rsid w:val="00887189"/>
    <w:rsid w:val="00887366"/>
    <w:rsid w:val="0088762A"/>
    <w:rsid w:val="008878ED"/>
    <w:rsid w:val="00887ABD"/>
    <w:rsid w:val="00887D77"/>
    <w:rsid w:val="008900EC"/>
    <w:rsid w:val="008907E9"/>
    <w:rsid w:val="00890898"/>
    <w:rsid w:val="00890AE0"/>
    <w:rsid w:val="00890EDC"/>
    <w:rsid w:val="00891247"/>
    <w:rsid w:val="008913E5"/>
    <w:rsid w:val="00891813"/>
    <w:rsid w:val="00891AF6"/>
    <w:rsid w:val="00891B23"/>
    <w:rsid w:val="00891BC3"/>
    <w:rsid w:val="00891EFA"/>
    <w:rsid w:val="00891FD0"/>
    <w:rsid w:val="00892008"/>
    <w:rsid w:val="0089218E"/>
    <w:rsid w:val="0089241D"/>
    <w:rsid w:val="0089287B"/>
    <w:rsid w:val="008929B0"/>
    <w:rsid w:val="00892ADE"/>
    <w:rsid w:val="00892EBE"/>
    <w:rsid w:val="00893149"/>
    <w:rsid w:val="008937C8"/>
    <w:rsid w:val="00893F71"/>
    <w:rsid w:val="00894DEF"/>
    <w:rsid w:val="008950C0"/>
    <w:rsid w:val="00895724"/>
    <w:rsid w:val="0089574C"/>
    <w:rsid w:val="008959A1"/>
    <w:rsid w:val="008959A4"/>
    <w:rsid w:val="00895FD1"/>
    <w:rsid w:val="00896046"/>
    <w:rsid w:val="008960E8"/>
    <w:rsid w:val="0089660C"/>
    <w:rsid w:val="00896765"/>
    <w:rsid w:val="008967C4"/>
    <w:rsid w:val="0089778A"/>
    <w:rsid w:val="0089781B"/>
    <w:rsid w:val="008978AE"/>
    <w:rsid w:val="00897EBA"/>
    <w:rsid w:val="00897FD0"/>
    <w:rsid w:val="008A0A31"/>
    <w:rsid w:val="008A0D2A"/>
    <w:rsid w:val="008A10BF"/>
    <w:rsid w:val="008A110F"/>
    <w:rsid w:val="008A1693"/>
    <w:rsid w:val="008A1D23"/>
    <w:rsid w:val="008A1DF4"/>
    <w:rsid w:val="008A1E06"/>
    <w:rsid w:val="008A1F17"/>
    <w:rsid w:val="008A233D"/>
    <w:rsid w:val="008A254F"/>
    <w:rsid w:val="008A2630"/>
    <w:rsid w:val="008A27E2"/>
    <w:rsid w:val="008A2883"/>
    <w:rsid w:val="008A2C74"/>
    <w:rsid w:val="008A2E14"/>
    <w:rsid w:val="008A2F0F"/>
    <w:rsid w:val="008A2FC0"/>
    <w:rsid w:val="008A3213"/>
    <w:rsid w:val="008A3606"/>
    <w:rsid w:val="008A3A7F"/>
    <w:rsid w:val="008A3C0B"/>
    <w:rsid w:val="008A4381"/>
    <w:rsid w:val="008A4560"/>
    <w:rsid w:val="008A4D0E"/>
    <w:rsid w:val="008A51DD"/>
    <w:rsid w:val="008A57A6"/>
    <w:rsid w:val="008A5833"/>
    <w:rsid w:val="008A5EC2"/>
    <w:rsid w:val="008A5F2D"/>
    <w:rsid w:val="008A6012"/>
    <w:rsid w:val="008A61DE"/>
    <w:rsid w:val="008A642D"/>
    <w:rsid w:val="008A6610"/>
    <w:rsid w:val="008A667D"/>
    <w:rsid w:val="008A6760"/>
    <w:rsid w:val="008A6BCF"/>
    <w:rsid w:val="008A71F2"/>
    <w:rsid w:val="008A73CE"/>
    <w:rsid w:val="008A784F"/>
    <w:rsid w:val="008A7D25"/>
    <w:rsid w:val="008B0671"/>
    <w:rsid w:val="008B0785"/>
    <w:rsid w:val="008B0816"/>
    <w:rsid w:val="008B0833"/>
    <w:rsid w:val="008B0AC8"/>
    <w:rsid w:val="008B109B"/>
    <w:rsid w:val="008B1298"/>
    <w:rsid w:val="008B1B62"/>
    <w:rsid w:val="008B1DDB"/>
    <w:rsid w:val="008B2258"/>
    <w:rsid w:val="008B23CE"/>
    <w:rsid w:val="008B2512"/>
    <w:rsid w:val="008B2637"/>
    <w:rsid w:val="008B2803"/>
    <w:rsid w:val="008B2BC1"/>
    <w:rsid w:val="008B2DEE"/>
    <w:rsid w:val="008B3A88"/>
    <w:rsid w:val="008B3AA5"/>
    <w:rsid w:val="008B407E"/>
    <w:rsid w:val="008B433E"/>
    <w:rsid w:val="008B4969"/>
    <w:rsid w:val="008B4BFC"/>
    <w:rsid w:val="008B4CE7"/>
    <w:rsid w:val="008B501A"/>
    <w:rsid w:val="008B51B4"/>
    <w:rsid w:val="008B525D"/>
    <w:rsid w:val="008B5512"/>
    <w:rsid w:val="008B5758"/>
    <w:rsid w:val="008B58EF"/>
    <w:rsid w:val="008B59DF"/>
    <w:rsid w:val="008B5A39"/>
    <w:rsid w:val="008B5B67"/>
    <w:rsid w:val="008B5D7A"/>
    <w:rsid w:val="008B627C"/>
    <w:rsid w:val="008B638F"/>
    <w:rsid w:val="008B66E3"/>
    <w:rsid w:val="008B6B58"/>
    <w:rsid w:val="008B6DC2"/>
    <w:rsid w:val="008B6EC3"/>
    <w:rsid w:val="008B6F75"/>
    <w:rsid w:val="008B7198"/>
    <w:rsid w:val="008B7394"/>
    <w:rsid w:val="008B73E3"/>
    <w:rsid w:val="008B74DA"/>
    <w:rsid w:val="008B755D"/>
    <w:rsid w:val="008B7659"/>
    <w:rsid w:val="008B771E"/>
    <w:rsid w:val="008B7848"/>
    <w:rsid w:val="008B7BBA"/>
    <w:rsid w:val="008B7C1A"/>
    <w:rsid w:val="008C0CA0"/>
    <w:rsid w:val="008C0CF2"/>
    <w:rsid w:val="008C0D9E"/>
    <w:rsid w:val="008C0E3C"/>
    <w:rsid w:val="008C142C"/>
    <w:rsid w:val="008C1826"/>
    <w:rsid w:val="008C1A86"/>
    <w:rsid w:val="008C1BC5"/>
    <w:rsid w:val="008C1E05"/>
    <w:rsid w:val="008C1E58"/>
    <w:rsid w:val="008C24D6"/>
    <w:rsid w:val="008C24E1"/>
    <w:rsid w:val="008C29B0"/>
    <w:rsid w:val="008C2B67"/>
    <w:rsid w:val="008C2D26"/>
    <w:rsid w:val="008C31EE"/>
    <w:rsid w:val="008C32E1"/>
    <w:rsid w:val="008C34BB"/>
    <w:rsid w:val="008C3615"/>
    <w:rsid w:val="008C3797"/>
    <w:rsid w:val="008C452D"/>
    <w:rsid w:val="008C45E2"/>
    <w:rsid w:val="008C46A5"/>
    <w:rsid w:val="008C4704"/>
    <w:rsid w:val="008C48B6"/>
    <w:rsid w:val="008C4ABC"/>
    <w:rsid w:val="008C532B"/>
    <w:rsid w:val="008C5408"/>
    <w:rsid w:val="008C58C5"/>
    <w:rsid w:val="008C59C9"/>
    <w:rsid w:val="008C5A55"/>
    <w:rsid w:val="008C5B0F"/>
    <w:rsid w:val="008C5EE4"/>
    <w:rsid w:val="008C615E"/>
    <w:rsid w:val="008C6170"/>
    <w:rsid w:val="008C638F"/>
    <w:rsid w:val="008C63D2"/>
    <w:rsid w:val="008C6436"/>
    <w:rsid w:val="008C6593"/>
    <w:rsid w:val="008C666A"/>
    <w:rsid w:val="008C68E6"/>
    <w:rsid w:val="008C6933"/>
    <w:rsid w:val="008C6BAA"/>
    <w:rsid w:val="008D003F"/>
    <w:rsid w:val="008D06A1"/>
    <w:rsid w:val="008D06C6"/>
    <w:rsid w:val="008D0724"/>
    <w:rsid w:val="008D0753"/>
    <w:rsid w:val="008D08A7"/>
    <w:rsid w:val="008D0D08"/>
    <w:rsid w:val="008D0FBB"/>
    <w:rsid w:val="008D13A4"/>
    <w:rsid w:val="008D1823"/>
    <w:rsid w:val="008D182A"/>
    <w:rsid w:val="008D18FF"/>
    <w:rsid w:val="008D1CF5"/>
    <w:rsid w:val="008D2198"/>
    <w:rsid w:val="008D2388"/>
    <w:rsid w:val="008D2D64"/>
    <w:rsid w:val="008D2E84"/>
    <w:rsid w:val="008D2EE0"/>
    <w:rsid w:val="008D30CA"/>
    <w:rsid w:val="008D317E"/>
    <w:rsid w:val="008D3444"/>
    <w:rsid w:val="008D3726"/>
    <w:rsid w:val="008D3B26"/>
    <w:rsid w:val="008D3EA6"/>
    <w:rsid w:val="008D44A3"/>
    <w:rsid w:val="008D4623"/>
    <w:rsid w:val="008D4888"/>
    <w:rsid w:val="008D4A29"/>
    <w:rsid w:val="008D4CB0"/>
    <w:rsid w:val="008D5435"/>
    <w:rsid w:val="008D5D2C"/>
    <w:rsid w:val="008D5E2E"/>
    <w:rsid w:val="008D62F5"/>
    <w:rsid w:val="008D6397"/>
    <w:rsid w:val="008D71F0"/>
    <w:rsid w:val="008D73C9"/>
    <w:rsid w:val="008D7540"/>
    <w:rsid w:val="008D7767"/>
    <w:rsid w:val="008D791B"/>
    <w:rsid w:val="008D7A12"/>
    <w:rsid w:val="008D7B90"/>
    <w:rsid w:val="008D7F36"/>
    <w:rsid w:val="008E0204"/>
    <w:rsid w:val="008E033C"/>
    <w:rsid w:val="008E04BC"/>
    <w:rsid w:val="008E12EC"/>
    <w:rsid w:val="008E15C4"/>
    <w:rsid w:val="008E1655"/>
    <w:rsid w:val="008E16BF"/>
    <w:rsid w:val="008E186E"/>
    <w:rsid w:val="008E196D"/>
    <w:rsid w:val="008E21C8"/>
    <w:rsid w:val="008E2774"/>
    <w:rsid w:val="008E29CF"/>
    <w:rsid w:val="008E2BC5"/>
    <w:rsid w:val="008E2D55"/>
    <w:rsid w:val="008E2E63"/>
    <w:rsid w:val="008E3018"/>
    <w:rsid w:val="008E3049"/>
    <w:rsid w:val="008E35A3"/>
    <w:rsid w:val="008E3730"/>
    <w:rsid w:val="008E3910"/>
    <w:rsid w:val="008E3AFA"/>
    <w:rsid w:val="008E3D2B"/>
    <w:rsid w:val="008E4298"/>
    <w:rsid w:val="008E4A36"/>
    <w:rsid w:val="008E4C10"/>
    <w:rsid w:val="008E4F09"/>
    <w:rsid w:val="008E5221"/>
    <w:rsid w:val="008E548F"/>
    <w:rsid w:val="008E586C"/>
    <w:rsid w:val="008E5912"/>
    <w:rsid w:val="008E59A1"/>
    <w:rsid w:val="008E5A25"/>
    <w:rsid w:val="008E5A52"/>
    <w:rsid w:val="008E5BB0"/>
    <w:rsid w:val="008E5CA9"/>
    <w:rsid w:val="008E6328"/>
    <w:rsid w:val="008E637A"/>
    <w:rsid w:val="008E667B"/>
    <w:rsid w:val="008E6EEE"/>
    <w:rsid w:val="008E7274"/>
    <w:rsid w:val="008E7BC1"/>
    <w:rsid w:val="008E7E46"/>
    <w:rsid w:val="008F0562"/>
    <w:rsid w:val="008F0AC9"/>
    <w:rsid w:val="008F0B35"/>
    <w:rsid w:val="008F0C80"/>
    <w:rsid w:val="008F0E82"/>
    <w:rsid w:val="008F1128"/>
    <w:rsid w:val="008F191E"/>
    <w:rsid w:val="008F203D"/>
    <w:rsid w:val="008F2173"/>
    <w:rsid w:val="008F2318"/>
    <w:rsid w:val="008F24F4"/>
    <w:rsid w:val="008F260B"/>
    <w:rsid w:val="008F26EC"/>
    <w:rsid w:val="008F2867"/>
    <w:rsid w:val="008F2F51"/>
    <w:rsid w:val="008F3085"/>
    <w:rsid w:val="008F31E2"/>
    <w:rsid w:val="008F3357"/>
    <w:rsid w:val="008F388A"/>
    <w:rsid w:val="008F3CBC"/>
    <w:rsid w:val="008F4243"/>
    <w:rsid w:val="008F463E"/>
    <w:rsid w:val="008F48ED"/>
    <w:rsid w:val="008F4D8A"/>
    <w:rsid w:val="008F4E3C"/>
    <w:rsid w:val="008F5246"/>
    <w:rsid w:val="008F5263"/>
    <w:rsid w:val="008F5A84"/>
    <w:rsid w:val="008F5CBF"/>
    <w:rsid w:val="008F5E37"/>
    <w:rsid w:val="008F63FF"/>
    <w:rsid w:val="008F6578"/>
    <w:rsid w:val="008F65A2"/>
    <w:rsid w:val="008F65F2"/>
    <w:rsid w:val="008F6737"/>
    <w:rsid w:val="008F688A"/>
    <w:rsid w:val="008F6C4E"/>
    <w:rsid w:val="008F6CE1"/>
    <w:rsid w:val="008F6EDE"/>
    <w:rsid w:val="008F756D"/>
    <w:rsid w:val="008F7B7A"/>
    <w:rsid w:val="00900257"/>
    <w:rsid w:val="00900B5D"/>
    <w:rsid w:val="00900BB8"/>
    <w:rsid w:val="0090128F"/>
    <w:rsid w:val="009014D3"/>
    <w:rsid w:val="00901661"/>
    <w:rsid w:val="009018CB"/>
    <w:rsid w:val="00901900"/>
    <w:rsid w:val="00901AA3"/>
    <w:rsid w:val="00901BF8"/>
    <w:rsid w:val="00901E57"/>
    <w:rsid w:val="00901E74"/>
    <w:rsid w:val="009021A1"/>
    <w:rsid w:val="00902651"/>
    <w:rsid w:val="00902773"/>
    <w:rsid w:val="00902989"/>
    <w:rsid w:val="00902C5D"/>
    <w:rsid w:val="00903124"/>
    <w:rsid w:val="009033D8"/>
    <w:rsid w:val="00903596"/>
    <w:rsid w:val="00903DCC"/>
    <w:rsid w:val="00903E05"/>
    <w:rsid w:val="00904355"/>
    <w:rsid w:val="0090449C"/>
    <w:rsid w:val="00904594"/>
    <w:rsid w:val="00904795"/>
    <w:rsid w:val="00904865"/>
    <w:rsid w:val="00904F68"/>
    <w:rsid w:val="00905319"/>
    <w:rsid w:val="009054E2"/>
    <w:rsid w:val="00905670"/>
    <w:rsid w:val="00905712"/>
    <w:rsid w:val="00905755"/>
    <w:rsid w:val="00905C99"/>
    <w:rsid w:val="009061F7"/>
    <w:rsid w:val="00906366"/>
    <w:rsid w:val="00906767"/>
    <w:rsid w:val="00906821"/>
    <w:rsid w:val="00906E65"/>
    <w:rsid w:val="009079D6"/>
    <w:rsid w:val="00907FF1"/>
    <w:rsid w:val="00910417"/>
    <w:rsid w:val="00911001"/>
    <w:rsid w:val="009114EA"/>
    <w:rsid w:val="00911F18"/>
    <w:rsid w:val="0091275B"/>
    <w:rsid w:val="00912A4D"/>
    <w:rsid w:val="009131D7"/>
    <w:rsid w:val="00913817"/>
    <w:rsid w:val="00913818"/>
    <w:rsid w:val="0091397A"/>
    <w:rsid w:val="00913A07"/>
    <w:rsid w:val="009144D5"/>
    <w:rsid w:val="009144F6"/>
    <w:rsid w:val="00914710"/>
    <w:rsid w:val="00914BA9"/>
    <w:rsid w:val="00914D73"/>
    <w:rsid w:val="00914E3A"/>
    <w:rsid w:val="00914E6D"/>
    <w:rsid w:val="00915024"/>
    <w:rsid w:val="00915243"/>
    <w:rsid w:val="0091528B"/>
    <w:rsid w:val="00915581"/>
    <w:rsid w:val="00915623"/>
    <w:rsid w:val="009159B7"/>
    <w:rsid w:val="00915F98"/>
    <w:rsid w:val="00915FA3"/>
    <w:rsid w:val="00916091"/>
    <w:rsid w:val="0091689E"/>
    <w:rsid w:val="00916A9D"/>
    <w:rsid w:val="0091723B"/>
    <w:rsid w:val="009174CE"/>
    <w:rsid w:val="00917784"/>
    <w:rsid w:val="009178A6"/>
    <w:rsid w:val="00917AF2"/>
    <w:rsid w:val="00920205"/>
    <w:rsid w:val="0092024B"/>
    <w:rsid w:val="0092077A"/>
    <w:rsid w:val="00920940"/>
    <w:rsid w:val="00920967"/>
    <w:rsid w:val="00920D0B"/>
    <w:rsid w:val="009213C1"/>
    <w:rsid w:val="009217F8"/>
    <w:rsid w:val="00921966"/>
    <w:rsid w:val="0092198A"/>
    <w:rsid w:val="0092239A"/>
    <w:rsid w:val="00922688"/>
    <w:rsid w:val="009229FE"/>
    <w:rsid w:val="00922D3F"/>
    <w:rsid w:val="00922D8F"/>
    <w:rsid w:val="00922E43"/>
    <w:rsid w:val="00923371"/>
    <w:rsid w:val="009236B4"/>
    <w:rsid w:val="009237E4"/>
    <w:rsid w:val="00923B1E"/>
    <w:rsid w:val="00923C35"/>
    <w:rsid w:val="0092421F"/>
    <w:rsid w:val="009244B4"/>
    <w:rsid w:val="0092470E"/>
    <w:rsid w:val="0092494D"/>
    <w:rsid w:val="00924EA4"/>
    <w:rsid w:val="00925187"/>
    <w:rsid w:val="00925775"/>
    <w:rsid w:val="00925850"/>
    <w:rsid w:val="00925AC0"/>
    <w:rsid w:val="00925BD7"/>
    <w:rsid w:val="00925D47"/>
    <w:rsid w:val="00925F9D"/>
    <w:rsid w:val="009262C3"/>
    <w:rsid w:val="0092655A"/>
    <w:rsid w:val="00926666"/>
    <w:rsid w:val="00926931"/>
    <w:rsid w:val="00926A08"/>
    <w:rsid w:val="0092709C"/>
    <w:rsid w:val="009270EB"/>
    <w:rsid w:val="00927167"/>
    <w:rsid w:val="0092717F"/>
    <w:rsid w:val="009275F7"/>
    <w:rsid w:val="00927744"/>
    <w:rsid w:val="00927B05"/>
    <w:rsid w:val="00930002"/>
    <w:rsid w:val="009300E3"/>
    <w:rsid w:val="00930672"/>
    <w:rsid w:val="00930A22"/>
    <w:rsid w:val="00930C5A"/>
    <w:rsid w:val="00930C9A"/>
    <w:rsid w:val="00930E3D"/>
    <w:rsid w:val="00930F4E"/>
    <w:rsid w:val="009310E2"/>
    <w:rsid w:val="00931555"/>
    <w:rsid w:val="0093197A"/>
    <w:rsid w:val="00931FA6"/>
    <w:rsid w:val="009325B2"/>
    <w:rsid w:val="0093265F"/>
    <w:rsid w:val="009327AF"/>
    <w:rsid w:val="00932BBA"/>
    <w:rsid w:val="0093302F"/>
    <w:rsid w:val="0093307D"/>
    <w:rsid w:val="00933560"/>
    <w:rsid w:val="009338A3"/>
    <w:rsid w:val="00933ABC"/>
    <w:rsid w:val="00933D19"/>
    <w:rsid w:val="00934104"/>
    <w:rsid w:val="0093446D"/>
    <w:rsid w:val="0093465A"/>
    <w:rsid w:val="00934959"/>
    <w:rsid w:val="00934FD8"/>
    <w:rsid w:val="00935960"/>
    <w:rsid w:val="00935AFE"/>
    <w:rsid w:val="00935E86"/>
    <w:rsid w:val="00936062"/>
    <w:rsid w:val="009361F6"/>
    <w:rsid w:val="00936264"/>
    <w:rsid w:val="00936299"/>
    <w:rsid w:val="00936467"/>
    <w:rsid w:val="009370A0"/>
    <w:rsid w:val="009370C2"/>
    <w:rsid w:val="00937CBE"/>
    <w:rsid w:val="00937F1F"/>
    <w:rsid w:val="00940172"/>
    <w:rsid w:val="00940535"/>
    <w:rsid w:val="009408B7"/>
    <w:rsid w:val="00940943"/>
    <w:rsid w:val="00940A73"/>
    <w:rsid w:val="00940BFB"/>
    <w:rsid w:val="00941477"/>
    <w:rsid w:val="00941561"/>
    <w:rsid w:val="00941888"/>
    <w:rsid w:val="00941BD7"/>
    <w:rsid w:val="00942C86"/>
    <w:rsid w:val="00942E77"/>
    <w:rsid w:val="00942EDA"/>
    <w:rsid w:val="009438F7"/>
    <w:rsid w:val="009439F9"/>
    <w:rsid w:val="00943A05"/>
    <w:rsid w:val="00943A67"/>
    <w:rsid w:val="00943DF0"/>
    <w:rsid w:val="00944087"/>
    <w:rsid w:val="00944647"/>
    <w:rsid w:val="0094490C"/>
    <w:rsid w:val="009449D6"/>
    <w:rsid w:val="00944E74"/>
    <w:rsid w:val="00944F81"/>
    <w:rsid w:val="009452AD"/>
    <w:rsid w:val="00945532"/>
    <w:rsid w:val="009456B4"/>
    <w:rsid w:val="00945BA7"/>
    <w:rsid w:val="00946078"/>
    <w:rsid w:val="009460DF"/>
    <w:rsid w:val="00946488"/>
    <w:rsid w:val="00946B3F"/>
    <w:rsid w:val="00946D2A"/>
    <w:rsid w:val="00947727"/>
    <w:rsid w:val="009478FA"/>
    <w:rsid w:val="00947E20"/>
    <w:rsid w:val="0095012E"/>
    <w:rsid w:val="009505B1"/>
    <w:rsid w:val="00950917"/>
    <w:rsid w:val="00950F05"/>
    <w:rsid w:val="009511F5"/>
    <w:rsid w:val="0095131C"/>
    <w:rsid w:val="00951934"/>
    <w:rsid w:val="00951961"/>
    <w:rsid w:val="0095196A"/>
    <w:rsid w:val="00951B5F"/>
    <w:rsid w:val="00951D0C"/>
    <w:rsid w:val="00951E73"/>
    <w:rsid w:val="0095207B"/>
    <w:rsid w:val="00952145"/>
    <w:rsid w:val="0095229F"/>
    <w:rsid w:val="00952598"/>
    <w:rsid w:val="009528AE"/>
    <w:rsid w:val="00952AA8"/>
    <w:rsid w:val="00952C28"/>
    <w:rsid w:val="00953891"/>
    <w:rsid w:val="00953916"/>
    <w:rsid w:val="00953E9C"/>
    <w:rsid w:val="00953FBE"/>
    <w:rsid w:val="0095401D"/>
    <w:rsid w:val="009544BE"/>
    <w:rsid w:val="0095455D"/>
    <w:rsid w:val="00954693"/>
    <w:rsid w:val="0095480A"/>
    <w:rsid w:val="009549EB"/>
    <w:rsid w:val="00954C8C"/>
    <w:rsid w:val="00954F23"/>
    <w:rsid w:val="00954FBB"/>
    <w:rsid w:val="009550CD"/>
    <w:rsid w:val="00955113"/>
    <w:rsid w:val="00955590"/>
    <w:rsid w:val="009558ED"/>
    <w:rsid w:val="00955ABB"/>
    <w:rsid w:val="00955DF4"/>
    <w:rsid w:val="00955E4B"/>
    <w:rsid w:val="00956066"/>
    <w:rsid w:val="009561FB"/>
    <w:rsid w:val="00956401"/>
    <w:rsid w:val="0095645C"/>
    <w:rsid w:val="00956580"/>
    <w:rsid w:val="00956ACE"/>
    <w:rsid w:val="00956AFB"/>
    <w:rsid w:val="00956D6B"/>
    <w:rsid w:val="00956DAA"/>
    <w:rsid w:val="009572A0"/>
    <w:rsid w:val="009574D0"/>
    <w:rsid w:val="009577E5"/>
    <w:rsid w:val="0095793E"/>
    <w:rsid w:val="00957C2B"/>
    <w:rsid w:val="00957D24"/>
    <w:rsid w:val="009603ED"/>
    <w:rsid w:val="009609D7"/>
    <w:rsid w:val="00960BE4"/>
    <w:rsid w:val="00960DCF"/>
    <w:rsid w:val="00960F96"/>
    <w:rsid w:val="0096110D"/>
    <w:rsid w:val="00961327"/>
    <w:rsid w:val="0096144D"/>
    <w:rsid w:val="0096150D"/>
    <w:rsid w:val="0096174B"/>
    <w:rsid w:val="00961B04"/>
    <w:rsid w:val="00961B53"/>
    <w:rsid w:val="00961D84"/>
    <w:rsid w:val="00962484"/>
    <w:rsid w:val="0096273E"/>
    <w:rsid w:val="00962837"/>
    <w:rsid w:val="00962B98"/>
    <w:rsid w:val="00962CE4"/>
    <w:rsid w:val="00963264"/>
    <w:rsid w:val="0096389D"/>
    <w:rsid w:val="00963FF8"/>
    <w:rsid w:val="00964491"/>
    <w:rsid w:val="0096453D"/>
    <w:rsid w:val="0096462C"/>
    <w:rsid w:val="0096491D"/>
    <w:rsid w:val="00964DAC"/>
    <w:rsid w:val="00965037"/>
    <w:rsid w:val="00965254"/>
    <w:rsid w:val="00965785"/>
    <w:rsid w:val="00965C84"/>
    <w:rsid w:val="009665A1"/>
    <w:rsid w:val="00966BFA"/>
    <w:rsid w:val="00966E90"/>
    <w:rsid w:val="009674D6"/>
    <w:rsid w:val="00967669"/>
    <w:rsid w:val="009676C0"/>
    <w:rsid w:val="00967AE9"/>
    <w:rsid w:val="00967C8A"/>
    <w:rsid w:val="00967F48"/>
    <w:rsid w:val="00970030"/>
    <w:rsid w:val="009700CC"/>
    <w:rsid w:val="00970172"/>
    <w:rsid w:val="00970388"/>
    <w:rsid w:val="0097092D"/>
    <w:rsid w:val="00970DFF"/>
    <w:rsid w:val="00970E74"/>
    <w:rsid w:val="009713B6"/>
    <w:rsid w:val="009714CA"/>
    <w:rsid w:val="00971518"/>
    <w:rsid w:val="00971936"/>
    <w:rsid w:val="00971B9C"/>
    <w:rsid w:val="00971BC1"/>
    <w:rsid w:val="00971D43"/>
    <w:rsid w:val="00971E3E"/>
    <w:rsid w:val="009722EB"/>
    <w:rsid w:val="0097235E"/>
    <w:rsid w:val="00972489"/>
    <w:rsid w:val="009724F4"/>
    <w:rsid w:val="009727AF"/>
    <w:rsid w:val="009727F6"/>
    <w:rsid w:val="00972A41"/>
    <w:rsid w:val="00972AE3"/>
    <w:rsid w:val="00973597"/>
    <w:rsid w:val="00973738"/>
    <w:rsid w:val="00973917"/>
    <w:rsid w:val="00973D6D"/>
    <w:rsid w:val="0097417C"/>
    <w:rsid w:val="00974240"/>
    <w:rsid w:val="0097440B"/>
    <w:rsid w:val="0097478F"/>
    <w:rsid w:val="009748EC"/>
    <w:rsid w:val="00974958"/>
    <w:rsid w:val="009749C1"/>
    <w:rsid w:val="00974DAB"/>
    <w:rsid w:val="00974E19"/>
    <w:rsid w:val="00975291"/>
    <w:rsid w:val="0097543F"/>
    <w:rsid w:val="00975671"/>
    <w:rsid w:val="00975716"/>
    <w:rsid w:val="0097584E"/>
    <w:rsid w:val="00975BE8"/>
    <w:rsid w:val="00975ED5"/>
    <w:rsid w:val="00976197"/>
    <w:rsid w:val="00976282"/>
    <w:rsid w:val="00976358"/>
    <w:rsid w:val="0097649F"/>
    <w:rsid w:val="009768D8"/>
    <w:rsid w:val="009769BB"/>
    <w:rsid w:val="009769CA"/>
    <w:rsid w:val="00976C62"/>
    <w:rsid w:val="00977369"/>
    <w:rsid w:val="0098017A"/>
    <w:rsid w:val="009803A9"/>
    <w:rsid w:val="009803CB"/>
    <w:rsid w:val="009803D4"/>
    <w:rsid w:val="00980424"/>
    <w:rsid w:val="009807A2"/>
    <w:rsid w:val="00980BFA"/>
    <w:rsid w:val="00980F41"/>
    <w:rsid w:val="00980FB5"/>
    <w:rsid w:val="009810FE"/>
    <w:rsid w:val="009813C4"/>
    <w:rsid w:val="00981499"/>
    <w:rsid w:val="00981559"/>
    <w:rsid w:val="00981620"/>
    <w:rsid w:val="0098199C"/>
    <w:rsid w:val="00981E6A"/>
    <w:rsid w:val="00981FAF"/>
    <w:rsid w:val="00982560"/>
    <w:rsid w:val="00982D86"/>
    <w:rsid w:val="00982F28"/>
    <w:rsid w:val="009836B2"/>
    <w:rsid w:val="009838B2"/>
    <w:rsid w:val="00983B9A"/>
    <w:rsid w:val="00984447"/>
    <w:rsid w:val="009846DC"/>
    <w:rsid w:val="009848FD"/>
    <w:rsid w:val="00984AA0"/>
    <w:rsid w:val="0098530A"/>
    <w:rsid w:val="00985B2F"/>
    <w:rsid w:val="00985C16"/>
    <w:rsid w:val="00985C75"/>
    <w:rsid w:val="0098648C"/>
    <w:rsid w:val="009866D3"/>
    <w:rsid w:val="00986C18"/>
    <w:rsid w:val="00986C66"/>
    <w:rsid w:val="00986CC9"/>
    <w:rsid w:val="00986D59"/>
    <w:rsid w:val="00986E92"/>
    <w:rsid w:val="00986F03"/>
    <w:rsid w:val="00986F6C"/>
    <w:rsid w:val="009870C2"/>
    <w:rsid w:val="009871AE"/>
    <w:rsid w:val="00987378"/>
    <w:rsid w:val="009873F3"/>
    <w:rsid w:val="009875E7"/>
    <w:rsid w:val="0098768D"/>
    <w:rsid w:val="00987798"/>
    <w:rsid w:val="00987824"/>
    <w:rsid w:val="00987AF7"/>
    <w:rsid w:val="00987E9A"/>
    <w:rsid w:val="00987EFB"/>
    <w:rsid w:val="00990305"/>
    <w:rsid w:val="00990920"/>
    <w:rsid w:val="00990D44"/>
    <w:rsid w:val="0099112C"/>
    <w:rsid w:val="0099139E"/>
    <w:rsid w:val="009913A6"/>
    <w:rsid w:val="0099166F"/>
    <w:rsid w:val="00991D2A"/>
    <w:rsid w:val="00991D34"/>
    <w:rsid w:val="009920A2"/>
    <w:rsid w:val="00992C45"/>
    <w:rsid w:val="00992F03"/>
    <w:rsid w:val="00992FC1"/>
    <w:rsid w:val="009932E5"/>
    <w:rsid w:val="00993C77"/>
    <w:rsid w:val="009943F8"/>
    <w:rsid w:val="0099457D"/>
    <w:rsid w:val="00994694"/>
    <w:rsid w:val="0099479A"/>
    <w:rsid w:val="00994D98"/>
    <w:rsid w:val="00994DA4"/>
    <w:rsid w:val="00995055"/>
    <w:rsid w:val="009952F9"/>
    <w:rsid w:val="00995334"/>
    <w:rsid w:val="00995E98"/>
    <w:rsid w:val="009963E7"/>
    <w:rsid w:val="009965AA"/>
    <w:rsid w:val="00996647"/>
    <w:rsid w:val="00996BB5"/>
    <w:rsid w:val="00996BD7"/>
    <w:rsid w:val="00996CBE"/>
    <w:rsid w:val="00996F15"/>
    <w:rsid w:val="009972E3"/>
    <w:rsid w:val="00997717"/>
    <w:rsid w:val="00997744"/>
    <w:rsid w:val="00997BA8"/>
    <w:rsid w:val="00997E8C"/>
    <w:rsid w:val="00997EC2"/>
    <w:rsid w:val="00997EDD"/>
    <w:rsid w:val="009A05F6"/>
    <w:rsid w:val="009A06F4"/>
    <w:rsid w:val="009A0A8B"/>
    <w:rsid w:val="009A0E07"/>
    <w:rsid w:val="009A11A0"/>
    <w:rsid w:val="009A12CC"/>
    <w:rsid w:val="009A1364"/>
    <w:rsid w:val="009A1B85"/>
    <w:rsid w:val="009A1C73"/>
    <w:rsid w:val="009A1FE5"/>
    <w:rsid w:val="009A2799"/>
    <w:rsid w:val="009A2973"/>
    <w:rsid w:val="009A2A67"/>
    <w:rsid w:val="009A2AAB"/>
    <w:rsid w:val="009A2C7D"/>
    <w:rsid w:val="009A2FF0"/>
    <w:rsid w:val="009A335C"/>
    <w:rsid w:val="009A3585"/>
    <w:rsid w:val="009A3778"/>
    <w:rsid w:val="009A3B13"/>
    <w:rsid w:val="009A3C6C"/>
    <w:rsid w:val="009A3E2E"/>
    <w:rsid w:val="009A426E"/>
    <w:rsid w:val="009A449A"/>
    <w:rsid w:val="009A4606"/>
    <w:rsid w:val="009A47C9"/>
    <w:rsid w:val="009A4AC7"/>
    <w:rsid w:val="009A4EDA"/>
    <w:rsid w:val="009A4EFB"/>
    <w:rsid w:val="009A5091"/>
    <w:rsid w:val="009A51B3"/>
    <w:rsid w:val="009A52D6"/>
    <w:rsid w:val="009A5456"/>
    <w:rsid w:val="009A5822"/>
    <w:rsid w:val="009A582B"/>
    <w:rsid w:val="009A5C9A"/>
    <w:rsid w:val="009A5DDF"/>
    <w:rsid w:val="009A6757"/>
    <w:rsid w:val="009A6A06"/>
    <w:rsid w:val="009A6D40"/>
    <w:rsid w:val="009A6FC9"/>
    <w:rsid w:val="009A6FCE"/>
    <w:rsid w:val="009A707E"/>
    <w:rsid w:val="009A70FA"/>
    <w:rsid w:val="009A713E"/>
    <w:rsid w:val="009A71DC"/>
    <w:rsid w:val="009A7410"/>
    <w:rsid w:val="009A77AD"/>
    <w:rsid w:val="009A78E8"/>
    <w:rsid w:val="009A7D1B"/>
    <w:rsid w:val="009A7D54"/>
    <w:rsid w:val="009A7F34"/>
    <w:rsid w:val="009B03AB"/>
    <w:rsid w:val="009B05A6"/>
    <w:rsid w:val="009B0BA0"/>
    <w:rsid w:val="009B10CC"/>
    <w:rsid w:val="009B1158"/>
    <w:rsid w:val="009B12BC"/>
    <w:rsid w:val="009B15AA"/>
    <w:rsid w:val="009B1B93"/>
    <w:rsid w:val="009B1DD9"/>
    <w:rsid w:val="009B209E"/>
    <w:rsid w:val="009B21AD"/>
    <w:rsid w:val="009B2245"/>
    <w:rsid w:val="009B2288"/>
    <w:rsid w:val="009B24BC"/>
    <w:rsid w:val="009B258E"/>
    <w:rsid w:val="009B2839"/>
    <w:rsid w:val="009B29A9"/>
    <w:rsid w:val="009B2D8D"/>
    <w:rsid w:val="009B2FAE"/>
    <w:rsid w:val="009B3085"/>
    <w:rsid w:val="009B33CA"/>
    <w:rsid w:val="009B353B"/>
    <w:rsid w:val="009B3600"/>
    <w:rsid w:val="009B36E0"/>
    <w:rsid w:val="009B3D26"/>
    <w:rsid w:val="009B3E33"/>
    <w:rsid w:val="009B43FC"/>
    <w:rsid w:val="009B44BA"/>
    <w:rsid w:val="009B4949"/>
    <w:rsid w:val="009B4B33"/>
    <w:rsid w:val="009B4DE0"/>
    <w:rsid w:val="009B54EA"/>
    <w:rsid w:val="009B572D"/>
    <w:rsid w:val="009B5751"/>
    <w:rsid w:val="009B575E"/>
    <w:rsid w:val="009B5997"/>
    <w:rsid w:val="009B5A78"/>
    <w:rsid w:val="009B5B6F"/>
    <w:rsid w:val="009B5B98"/>
    <w:rsid w:val="009B5DC3"/>
    <w:rsid w:val="009B60F4"/>
    <w:rsid w:val="009B622D"/>
    <w:rsid w:val="009B6B23"/>
    <w:rsid w:val="009B6DED"/>
    <w:rsid w:val="009B6ECF"/>
    <w:rsid w:val="009B6FCC"/>
    <w:rsid w:val="009B78BE"/>
    <w:rsid w:val="009B799A"/>
    <w:rsid w:val="009B7ABD"/>
    <w:rsid w:val="009B7C49"/>
    <w:rsid w:val="009B7F16"/>
    <w:rsid w:val="009C0148"/>
    <w:rsid w:val="009C0233"/>
    <w:rsid w:val="009C044B"/>
    <w:rsid w:val="009C0CE3"/>
    <w:rsid w:val="009C0D11"/>
    <w:rsid w:val="009C1BCA"/>
    <w:rsid w:val="009C1C82"/>
    <w:rsid w:val="009C1D27"/>
    <w:rsid w:val="009C21A1"/>
    <w:rsid w:val="009C28EA"/>
    <w:rsid w:val="009C2950"/>
    <w:rsid w:val="009C3112"/>
    <w:rsid w:val="009C327E"/>
    <w:rsid w:val="009C3580"/>
    <w:rsid w:val="009C3BD9"/>
    <w:rsid w:val="009C469C"/>
    <w:rsid w:val="009C47C8"/>
    <w:rsid w:val="009C4EEA"/>
    <w:rsid w:val="009C4F60"/>
    <w:rsid w:val="009C4F8B"/>
    <w:rsid w:val="009C51B3"/>
    <w:rsid w:val="009C556B"/>
    <w:rsid w:val="009C5B82"/>
    <w:rsid w:val="009C5E4A"/>
    <w:rsid w:val="009C601A"/>
    <w:rsid w:val="009C60A1"/>
    <w:rsid w:val="009C6511"/>
    <w:rsid w:val="009C660D"/>
    <w:rsid w:val="009C6A33"/>
    <w:rsid w:val="009C6B71"/>
    <w:rsid w:val="009C6C02"/>
    <w:rsid w:val="009C743E"/>
    <w:rsid w:val="009C7469"/>
    <w:rsid w:val="009C756E"/>
    <w:rsid w:val="009C7617"/>
    <w:rsid w:val="009C77C4"/>
    <w:rsid w:val="009C7C2E"/>
    <w:rsid w:val="009C7DBF"/>
    <w:rsid w:val="009C7E58"/>
    <w:rsid w:val="009C7FD7"/>
    <w:rsid w:val="009D02F7"/>
    <w:rsid w:val="009D06D6"/>
    <w:rsid w:val="009D07A0"/>
    <w:rsid w:val="009D0EF1"/>
    <w:rsid w:val="009D1109"/>
    <w:rsid w:val="009D1260"/>
    <w:rsid w:val="009D136C"/>
    <w:rsid w:val="009D1456"/>
    <w:rsid w:val="009D1601"/>
    <w:rsid w:val="009D1D46"/>
    <w:rsid w:val="009D1EE2"/>
    <w:rsid w:val="009D208A"/>
    <w:rsid w:val="009D21BE"/>
    <w:rsid w:val="009D2249"/>
    <w:rsid w:val="009D248D"/>
    <w:rsid w:val="009D2C1E"/>
    <w:rsid w:val="009D3021"/>
    <w:rsid w:val="009D360D"/>
    <w:rsid w:val="009D3625"/>
    <w:rsid w:val="009D3742"/>
    <w:rsid w:val="009D3814"/>
    <w:rsid w:val="009D383C"/>
    <w:rsid w:val="009D3855"/>
    <w:rsid w:val="009D3BD4"/>
    <w:rsid w:val="009D3C0A"/>
    <w:rsid w:val="009D3C3D"/>
    <w:rsid w:val="009D3E71"/>
    <w:rsid w:val="009D3FD3"/>
    <w:rsid w:val="009D4878"/>
    <w:rsid w:val="009D4A5D"/>
    <w:rsid w:val="009D4AC0"/>
    <w:rsid w:val="009D5288"/>
    <w:rsid w:val="009D5593"/>
    <w:rsid w:val="009D579F"/>
    <w:rsid w:val="009D593B"/>
    <w:rsid w:val="009D5EC9"/>
    <w:rsid w:val="009D5F20"/>
    <w:rsid w:val="009D5FF1"/>
    <w:rsid w:val="009D6A28"/>
    <w:rsid w:val="009D74D7"/>
    <w:rsid w:val="009D7913"/>
    <w:rsid w:val="009D79B9"/>
    <w:rsid w:val="009D7A04"/>
    <w:rsid w:val="009D7E94"/>
    <w:rsid w:val="009D7F18"/>
    <w:rsid w:val="009E0022"/>
    <w:rsid w:val="009E01FB"/>
    <w:rsid w:val="009E0265"/>
    <w:rsid w:val="009E0307"/>
    <w:rsid w:val="009E0381"/>
    <w:rsid w:val="009E0435"/>
    <w:rsid w:val="009E09F6"/>
    <w:rsid w:val="009E0A47"/>
    <w:rsid w:val="009E0D73"/>
    <w:rsid w:val="009E0DD1"/>
    <w:rsid w:val="009E121D"/>
    <w:rsid w:val="009E1AD7"/>
    <w:rsid w:val="009E1CD3"/>
    <w:rsid w:val="009E23F3"/>
    <w:rsid w:val="009E2669"/>
    <w:rsid w:val="009E2AC3"/>
    <w:rsid w:val="009E2AD3"/>
    <w:rsid w:val="009E2AEB"/>
    <w:rsid w:val="009E30DF"/>
    <w:rsid w:val="009E3153"/>
    <w:rsid w:val="009E321A"/>
    <w:rsid w:val="009E3556"/>
    <w:rsid w:val="009E3E8C"/>
    <w:rsid w:val="009E4044"/>
    <w:rsid w:val="009E4070"/>
    <w:rsid w:val="009E45C4"/>
    <w:rsid w:val="009E47E5"/>
    <w:rsid w:val="009E4D47"/>
    <w:rsid w:val="009E4F81"/>
    <w:rsid w:val="009E5548"/>
    <w:rsid w:val="009E57B6"/>
    <w:rsid w:val="009E593E"/>
    <w:rsid w:val="009E5E13"/>
    <w:rsid w:val="009E5EAA"/>
    <w:rsid w:val="009E5F60"/>
    <w:rsid w:val="009E6032"/>
    <w:rsid w:val="009E61BF"/>
    <w:rsid w:val="009E6905"/>
    <w:rsid w:val="009E6955"/>
    <w:rsid w:val="009E6BE3"/>
    <w:rsid w:val="009E6BF7"/>
    <w:rsid w:val="009E7234"/>
    <w:rsid w:val="009E739E"/>
    <w:rsid w:val="009E7678"/>
    <w:rsid w:val="009E76BE"/>
    <w:rsid w:val="009E7963"/>
    <w:rsid w:val="009E7998"/>
    <w:rsid w:val="009E7BF9"/>
    <w:rsid w:val="009E7CD8"/>
    <w:rsid w:val="009E7E53"/>
    <w:rsid w:val="009F033F"/>
    <w:rsid w:val="009F0554"/>
    <w:rsid w:val="009F0BBC"/>
    <w:rsid w:val="009F0C6E"/>
    <w:rsid w:val="009F0D2C"/>
    <w:rsid w:val="009F1386"/>
    <w:rsid w:val="009F146F"/>
    <w:rsid w:val="009F169F"/>
    <w:rsid w:val="009F18D9"/>
    <w:rsid w:val="009F1965"/>
    <w:rsid w:val="009F1A43"/>
    <w:rsid w:val="009F1AA3"/>
    <w:rsid w:val="009F1FFA"/>
    <w:rsid w:val="009F2019"/>
    <w:rsid w:val="009F2449"/>
    <w:rsid w:val="009F256F"/>
    <w:rsid w:val="009F25B9"/>
    <w:rsid w:val="009F26C7"/>
    <w:rsid w:val="009F26E3"/>
    <w:rsid w:val="009F270B"/>
    <w:rsid w:val="009F2E09"/>
    <w:rsid w:val="009F33FA"/>
    <w:rsid w:val="009F3BEB"/>
    <w:rsid w:val="009F3C75"/>
    <w:rsid w:val="009F3CA0"/>
    <w:rsid w:val="009F3E62"/>
    <w:rsid w:val="009F44ED"/>
    <w:rsid w:val="009F456D"/>
    <w:rsid w:val="009F4BB0"/>
    <w:rsid w:val="009F4E1A"/>
    <w:rsid w:val="009F5147"/>
    <w:rsid w:val="009F5458"/>
    <w:rsid w:val="009F559B"/>
    <w:rsid w:val="009F63EE"/>
    <w:rsid w:val="009F664D"/>
    <w:rsid w:val="009F68E3"/>
    <w:rsid w:val="009F698F"/>
    <w:rsid w:val="009F699D"/>
    <w:rsid w:val="009F72DD"/>
    <w:rsid w:val="009F73FB"/>
    <w:rsid w:val="009F77D0"/>
    <w:rsid w:val="009F7929"/>
    <w:rsid w:val="009F7990"/>
    <w:rsid w:val="009F7B6B"/>
    <w:rsid w:val="009F7DD5"/>
    <w:rsid w:val="009F7E4A"/>
    <w:rsid w:val="00A0037E"/>
    <w:rsid w:val="00A007AB"/>
    <w:rsid w:val="00A009FE"/>
    <w:rsid w:val="00A00AA3"/>
    <w:rsid w:val="00A011DC"/>
    <w:rsid w:val="00A012D6"/>
    <w:rsid w:val="00A01303"/>
    <w:rsid w:val="00A0146A"/>
    <w:rsid w:val="00A01821"/>
    <w:rsid w:val="00A01D0A"/>
    <w:rsid w:val="00A024C5"/>
    <w:rsid w:val="00A02507"/>
    <w:rsid w:val="00A02881"/>
    <w:rsid w:val="00A02929"/>
    <w:rsid w:val="00A02C4F"/>
    <w:rsid w:val="00A02F2B"/>
    <w:rsid w:val="00A032B3"/>
    <w:rsid w:val="00A03671"/>
    <w:rsid w:val="00A040CA"/>
    <w:rsid w:val="00A04A09"/>
    <w:rsid w:val="00A04B70"/>
    <w:rsid w:val="00A04EDE"/>
    <w:rsid w:val="00A04F3D"/>
    <w:rsid w:val="00A050EB"/>
    <w:rsid w:val="00A051A1"/>
    <w:rsid w:val="00A0549B"/>
    <w:rsid w:val="00A05821"/>
    <w:rsid w:val="00A05A2B"/>
    <w:rsid w:val="00A05D1D"/>
    <w:rsid w:val="00A05EA2"/>
    <w:rsid w:val="00A06901"/>
    <w:rsid w:val="00A0699C"/>
    <w:rsid w:val="00A06C0A"/>
    <w:rsid w:val="00A06E75"/>
    <w:rsid w:val="00A06F3B"/>
    <w:rsid w:val="00A074A7"/>
    <w:rsid w:val="00A076CC"/>
    <w:rsid w:val="00A07AD0"/>
    <w:rsid w:val="00A07C23"/>
    <w:rsid w:val="00A07CA3"/>
    <w:rsid w:val="00A100A1"/>
    <w:rsid w:val="00A10134"/>
    <w:rsid w:val="00A102E4"/>
    <w:rsid w:val="00A108E9"/>
    <w:rsid w:val="00A10BF1"/>
    <w:rsid w:val="00A11148"/>
    <w:rsid w:val="00A11318"/>
    <w:rsid w:val="00A1165C"/>
    <w:rsid w:val="00A11F51"/>
    <w:rsid w:val="00A120EA"/>
    <w:rsid w:val="00A1211B"/>
    <w:rsid w:val="00A12183"/>
    <w:rsid w:val="00A12335"/>
    <w:rsid w:val="00A12401"/>
    <w:rsid w:val="00A125B9"/>
    <w:rsid w:val="00A125D6"/>
    <w:rsid w:val="00A12702"/>
    <w:rsid w:val="00A128C8"/>
    <w:rsid w:val="00A12986"/>
    <w:rsid w:val="00A12A23"/>
    <w:rsid w:val="00A12AED"/>
    <w:rsid w:val="00A12C9E"/>
    <w:rsid w:val="00A12D4F"/>
    <w:rsid w:val="00A137C6"/>
    <w:rsid w:val="00A1382F"/>
    <w:rsid w:val="00A13963"/>
    <w:rsid w:val="00A13A03"/>
    <w:rsid w:val="00A13E1F"/>
    <w:rsid w:val="00A14120"/>
    <w:rsid w:val="00A142AA"/>
    <w:rsid w:val="00A14605"/>
    <w:rsid w:val="00A14843"/>
    <w:rsid w:val="00A14895"/>
    <w:rsid w:val="00A14923"/>
    <w:rsid w:val="00A14A7B"/>
    <w:rsid w:val="00A14CA3"/>
    <w:rsid w:val="00A14E53"/>
    <w:rsid w:val="00A153D3"/>
    <w:rsid w:val="00A154F5"/>
    <w:rsid w:val="00A1555A"/>
    <w:rsid w:val="00A15580"/>
    <w:rsid w:val="00A15787"/>
    <w:rsid w:val="00A1587F"/>
    <w:rsid w:val="00A15A56"/>
    <w:rsid w:val="00A15B6F"/>
    <w:rsid w:val="00A15B91"/>
    <w:rsid w:val="00A15BF8"/>
    <w:rsid w:val="00A15FAC"/>
    <w:rsid w:val="00A161DC"/>
    <w:rsid w:val="00A16449"/>
    <w:rsid w:val="00A1682E"/>
    <w:rsid w:val="00A169E5"/>
    <w:rsid w:val="00A16C28"/>
    <w:rsid w:val="00A1731C"/>
    <w:rsid w:val="00A179B4"/>
    <w:rsid w:val="00A17A3D"/>
    <w:rsid w:val="00A17B76"/>
    <w:rsid w:val="00A17D8D"/>
    <w:rsid w:val="00A17DBF"/>
    <w:rsid w:val="00A17EA6"/>
    <w:rsid w:val="00A17FE9"/>
    <w:rsid w:val="00A200A2"/>
    <w:rsid w:val="00A20552"/>
    <w:rsid w:val="00A206D2"/>
    <w:rsid w:val="00A20838"/>
    <w:rsid w:val="00A208EC"/>
    <w:rsid w:val="00A20AD4"/>
    <w:rsid w:val="00A20F0A"/>
    <w:rsid w:val="00A21441"/>
    <w:rsid w:val="00A21798"/>
    <w:rsid w:val="00A219E5"/>
    <w:rsid w:val="00A219EA"/>
    <w:rsid w:val="00A21B39"/>
    <w:rsid w:val="00A21B91"/>
    <w:rsid w:val="00A21C8F"/>
    <w:rsid w:val="00A21CF5"/>
    <w:rsid w:val="00A21E05"/>
    <w:rsid w:val="00A22053"/>
    <w:rsid w:val="00A22258"/>
    <w:rsid w:val="00A226ED"/>
    <w:rsid w:val="00A22971"/>
    <w:rsid w:val="00A22AE0"/>
    <w:rsid w:val="00A22EFC"/>
    <w:rsid w:val="00A23323"/>
    <w:rsid w:val="00A239CA"/>
    <w:rsid w:val="00A23D5B"/>
    <w:rsid w:val="00A2411B"/>
    <w:rsid w:val="00A24131"/>
    <w:rsid w:val="00A24706"/>
    <w:rsid w:val="00A24898"/>
    <w:rsid w:val="00A24CA0"/>
    <w:rsid w:val="00A257F1"/>
    <w:rsid w:val="00A25B40"/>
    <w:rsid w:val="00A25E55"/>
    <w:rsid w:val="00A25EB3"/>
    <w:rsid w:val="00A2613E"/>
    <w:rsid w:val="00A26389"/>
    <w:rsid w:val="00A2639D"/>
    <w:rsid w:val="00A26B7F"/>
    <w:rsid w:val="00A26EF7"/>
    <w:rsid w:val="00A26FF6"/>
    <w:rsid w:val="00A27343"/>
    <w:rsid w:val="00A27659"/>
    <w:rsid w:val="00A27775"/>
    <w:rsid w:val="00A2789B"/>
    <w:rsid w:val="00A27F95"/>
    <w:rsid w:val="00A30075"/>
    <w:rsid w:val="00A30396"/>
    <w:rsid w:val="00A303B8"/>
    <w:rsid w:val="00A305DE"/>
    <w:rsid w:val="00A30AE9"/>
    <w:rsid w:val="00A30C06"/>
    <w:rsid w:val="00A30F89"/>
    <w:rsid w:val="00A31456"/>
    <w:rsid w:val="00A316B7"/>
    <w:rsid w:val="00A3187D"/>
    <w:rsid w:val="00A32067"/>
    <w:rsid w:val="00A320B0"/>
    <w:rsid w:val="00A324C1"/>
    <w:rsid w:val="00A324D9"/>
    <w:rsid w:val="00A32548"/>
    <w:rsid w:val="00A3265C"/>
    <w:rsid w:val="00A32804"/>
    <w:rsid w:val="00A3288B"/>
    <w:rsid w:val="00A32C5B"/>
    <w:rsid w:val="00A32F8E"/>
    <w:rsid w:val="00A3309B"/>
    <w:rsid w:val="00A33518"/>
    <w:rsid w:val="00A33987"/>
    <w:rsid w:val="00A33A38"/>
    <w:rsid w:val="00A33BDB"/>
    <w:rsid w:val="00A343D5"/>
    <w:rsid w:val="00A34735"/>
    <w:rsid w:val="00A349A0"/>
    <w:rsid w:val="00A353E1"/>
    <w:rsid w:val="00A353F1"/>
    <w:rsid w:val="00A35A83"/>
    <w:rsid w:val="00A35AE7"/>
    <w:rsid w:val="00A35C86"/>
    <w:rsid w:val="00A3604D"/>
    <w:rsid w:val="00A361C3"/>
    <w:rsid w:val="00A3620F"/>
    <w:rsid w:val="00A36894"/>
    <w:rsid w:val="00A36A7B"/>
    <w:rsid w:val="00A37040"/>
    <w:rsid w:val="00A3704E"/>
    <w:rsid w:val="00A37068"/>
    <w:rsid w:val="00A374E1"/>
    <w:rsid w:val="00A37978"/>
    <w:rsid w:val="00A37A1E"/>
    <w:rsid w:val="00A37AF1"/>
    <w:rsid w:val="00A37C45"/>
    <w:rsid w:val="00A37E1B"/>
    <w:rsid w:val="00A4005B"/>
    <w:rsid w:val="00A40D0C"/>
    <w:rsid w:val="00A411FA"/>
    <w:rsid w:val="00A413CB"/>
    <w:rsid w:val="00A41C0E"/>
    <w:rsid w:val="00A41C78"/>
    <w:rsid w:val="00A41FAB"/>
    <w:rsid w:val="00A4216C"/>
    <w:rsid w:val="00A42A43"/>
    <w:rsid w:val="00A42AB0"/>
    <w:rsid w:val="00A42E57"/>
    <w:rsid w:val="00A433C7"/>
    <w:rsid w:val="00A4355D"/>
    <w:rsid w:val="00A4355E"/>
    <w:rsid w:val="00A43755"/>
    <w:rsid w:val="00A43832"/>
    <w:rsid w:val="00A43E92"/>
    <w:rsid w:val="00A44368"/>
    <w:rsid w:val="00A444FF"/>
    <w:rsid w:val="00A44590"/>
    <w:rsid w:val="00A4467C"/>
    <w:rsid w:val="00A447D8"/>
    <w:rsid w:val="00A4480C"/>
    <w:rsid w:val="00A4495A"/>
    <w:rsid w:val="00A449D1"/>
    <w:rsid w:val="00A44EC1"/>
    <w:rsid w:val="00A44FFD"/>
    <w:rsid w:val="00A450DA"/>
    <w:rsid w:val="00A451B2"/>
    <w:rsid w:val="00A4525A"/>
    <w:rsid w:val="00A4526D"/>
    <w:rsid w:val="00A4530A"/>
    <w:rsid w:val="00A454B3"/>
    <w:rsid w:val="00A455A6"/>
    <w:rsid w:val="00A45811"/>
    <w:rsid w:val="00A45890"/>
    <w:rsid w:val="00A4589D"/>
    <w:rsid w:val="00A45E52"/>
    <w:rsid w:val="00A45E59"/>
    <w:rsid w:val="00A45F33"/>
    <w:rsid w:val="00A46287"/>
    <w:rsid w:val="00A46652"/>
    <w:rsid w:val="00A466E0"/>
    <w:rsid w:val="00A46723"/>
    <w:rsid w:val="00A46798"/>
    <w:rsid w:val="00A46915"/>
    <w:rsid w:val="00A46D15"/>
    <w:rsid w:val="00A4713D"/>
    <w:rsid w:val="00A472AC"/>
    <w:rsid w:val="00A4751D"/>
    <w:rsid w:val="00A475A1"/>
    <w:rsid w:val="00A4783B"/>
    <w:rsid w:val="00A47B5B"/>
    <w:rsid w:val="00A47C1A"/>
    <w:rsid w:val="00A47C4D"/>
    <w:rsid w:val="00A500FB"/>
    <w:rsid w:val="00A5077E"/>
    <w:rsid w:val="00A510A2"/>
    <w:rsid w:val="00A512F9"/>
    <w:rsid w:val="00A5151E"/>
    <w:rsid w:val="00A51685"/>
    <w:rsid w:val="00A517D8"/>
    <w:rsid w:val="00A51966"/>
    <w:rsid w:val="00A51E50"/>
    <w:rsid w:val="00A51F69"/>
    <w:rsid w:val="00A52075"/>
    <w:rsid w:val="00A528FB"/>
    <w:rsid w:val="00A52909"/>
    <w:rsid w:val="00A52A55"/>
    <w:rsid w:val="00A52DCD"/>
    <w:rsid w:val="00A52F8D"/>
    <w:rsid w:val="00A530C0"/>
    <w:rsid w:val="00A5310A"/>
    <w:rsid w:val="00A5323B"/>
    <w:rsid w:val="00A5345B"/>
    <w:rsid w:val="00A5378B"/>
    <w:rsid w:val="00A53B80"/>
    <w:rsid w:val="00A53EF1"/>
    <w:rsid w:val="00A54430"/>
    <w:rsid w:val="00A5466D"/>
    <w:rsid w:val="00A54EF6"/>
    <w:rsid w:val="00A54F3F"/>
    <w:rsid w:val="00A54FB4"/>
    <w:rsid w:val="00A54FE3"/>
    <w:rsid w:val="00A551B7"/>
    <w:rsid w:val="00A55298"/>
    <w:rsid w:val="00A55866"/>
    <w:rsid w:val="00A55A6C"/>
    <w:rsid w:val="00A55D8D"/>
    <w:rsid w:val="00A55DA6"/>
    <w:rsid w:val="00A564B9"/>
    <w:rsid w:val="00A5680F"/>
    <w:rsid w:val="00A56C4D"/>
    <w:rsid w:val="00A56DE0"/>
    <w:rsid w:val="00A574E7"/>
    <w:rsid w:val="00A57D11"/>
    <w:rsid w:val="00A60083"/>
    <w:rsid w:val="00A600AB"/>
    <w:rsid w:val="00A600C7"/>
    <w:rsid w:val="00A60145"/>
    <w:rsid w:val="00A60393"/>
    <w:rsid w:val="00A603ED"/>
    <w:rsid w:val="00A60616"/>
    <w:rsid w:val="00A607AC"/>
    <w:rsid w:val="00A60D34"/>
    <w:rsid w:val="00A61273"/>
    <w:rsid w:val="00A61564"/>
    <w:rsid w:val="00A61749"/>
    <w:rsid w:val="00A6184A"/>
    <w:rsid w:val="00A61F12"/>
    <w:rsid w:val="00A62084"/>
    <w:rsid w:val="00A624DE"/>
    <w:rsid w:val="00A6263B"/>
    <w:rsid w:val="00A62DBF"/>
    <w:rsid w:val="00A62F75"/>
    <w:rsid w:val="00A6373F"/>
    <w:rsid w:val="00A63C18"/>
    <w:rsid w:val="00A6428E"/>
    <w:rsid w:val="00A64454"/>
    <w:rsid w:val="00A64459"/>
    <w:rsid w:val="00A647BB"/>
    <w:rsid w:val="00A648A7"/>
    <w:rsid w:val="00A649E6"/>
    <w:rsid w:val="00A64B1A"/>
    <w:rsid w:val="00A64BC4"/>
    <w:rsid w:val="00A64BF7"/>
    <w:rsid w:val="00A65111"/>
    <w:rsid w:val="00A656AE"/>
    <w:rsid w:val="00A65796"/>
    <w:rsid w:val="00A658D4"/>
    <w:rsid w:val="00A6592A"/>
    <w:rsid w:val="00A65A57"/>
    <w:rsid w:val="00A65C39"/>
    <w:rsid w:val="00A65E65"/>
    <w:rsid w:val="00A662DC"/>
    <w:rsid w:val="00A66394"/>
    <w:rsid w:val="00A664CD"/>
    <w:rsid w:val="00A664E7"/>
    <w:rsid w:val="00A66569"/>
    <w:rsid w:val="00A66AFB"/>
    <w:rsid w:val="00A66B4A"/>
    <w:rsid w:val="00A66C52"/>
    <w:rsid w:val="00A66D4F"/>
    <w:rsid w:val="00A670AB"/>
    <w:rsid w:val="00A672D8"/>
    <w:rsid w:val="00A6741B"/>
    <w:rsid w:val="00A67677"/>
    <w:rsid w:val="00A67DC8"/>
    <w:rsid w:val="00A706BB"/>
    <w:rsid w:val="00A70A54"/>
    <w:rsid w:val="00A70D3C"/>
    <w:rsid w:val="00A70E25"/>
    <w:rsid w:val="00A71705"/>
    <w:rsid w:val="00A71754"/>
    <w:rsid w:val="00A717D1"/>
    <w:rsid w:val="00A71927"/>
    <w:rsid w:val="00A71B48"/>
    <w:rsid w:val="00A71B55"/>
    <w:rsid w:val="00A71BF8"/>
    <w:rsid w:val="00A71D68"/>
    <w:rsid w:val="00A71FE9"/>
    <w:rsid w:val="00A7214C"/>
    <w:rsid w:val="00A72160"/>
    <w:rsid w:val="00A722B8"/>
    <w:rsid w:val="00A72F62"/>
    <w:rsid w:val="00A73E60"/>
    <w:rsid w:val="00A74226"/>
    <w:rsid w:val="00A7442D"/>
    <w:rsid w:val="00A7457F"/>
    <w:rsid w:val="00A747F2"/>
    <w:rsid w:val="00A7488B"/>
    <w:rsid w:val="00A74AA9"/>
    <w:rsid w:val="00A74EE2"/>
    <w:rsid w:val="00A75253"/>
    <w:rsid w:val="00A754A5"/>
    <w:rsid w:val="00A757B0"/>
    <w:rsid w:val="00A75A8B"/>
    <w:rsid w:val="00A75C33"/>
    <w:rsid w:val="00A75D6C"/>
    <w:rsid w:val="00A75DBE"/>
    <w:rsid w:val="00A75E32"/>
    <w:rsid w:val="00A76202"/>
    <w:rsid w:val="00A76681"/>
    <w:rsid w:val="00A76776"/>
    <w:rsid w:val="00A769C2"/>
    <w:rsid w:val="00A76EE2"/>
    <w:rsid w:val="00A771D6"/>
    <w:rsid w:val="00A77413"/>
    <w:rsid w:val="00A77617"/>
    <w:rsid w:val="00A776A4"/>
    <w:rsid w:val="00A77C39"/>
    <w:rsid w:val="00A8049D"/>
    <w:rsid w:val="00A81239"/>
    <w:rsid w:val="00A8129C"/>
    <w:rsid w:val="00A8130D"/>
    <w:rsid w:val="00A81477"/>
    <w:rsid w:val="00A81762"/>
    <w:rsid w:val="00A8190B"/>
    <w:rsid w:val="00A8191F"/>
    <w:rsid w:val="00A8197E"/>
    <w:rsid w:val="00A81CB3"/>
    <w:rsid w:val="00A81CEC"/>
    <w:rsid w:val="00A81D22"/>
    <w:rsid w:val="00A81E7F"/>
    <w:rsid w:val="00A81E90"/>
    <w:rsid w:val="00A8221F"/>
    <w:rsid w:val="00A822C2"/>
    <w:rsid w:val="00A82770"/>
    <w:rsid w:val="00A82990"/>
    <w:rsid w:val="00A82A13"/>
    <w:rsid w:val="00A82CD3"/>
    <w:rsid w:val="00A82D69"/>
    <w:rsid w:val="00A82EFB"/>
    <w:rsid w:val="00A83256"/>
    <w:rsid w:val="00A832E8"/>
    <w:rsid w:val="00A84130"/>
    <w:rsid w:val="00A847E7"/>
    <w:rsid w:val="00A84808"/>
    <w:rsid w:val="00A84890"/>
    <w:rsid w:val="00A84D41"/>
    <w:rsid w:val="00A8591D"/>
    <w:rsid w:val="00A85DD4"/>
    <w:rsid w:val="00A861A7"/>
    <w:rsid w:val="00A86837"/>
    <w:rsid w:val="00A87144"/>
    <w:rsid w:val="00A87931"/>
    <w:rsid w:val="00A87BDB"/>
    <w:rsid w:val="00A87CBF"/>
    <w:rsid w:val="00A87E21"/>
    <w:rsid w:val="00A87E3A"/>
    <w:rsid w:val="00A9039A"/>
    <w:rsid w:val="00A90401"/>
    <w:rsid w:val="00A90462"/>
    <w:rsid w:val="00A90551"/>
    <w:rsid w:val="00A90602"/>
    <w:rsid w:val="00A90A5B"/>
    <w:rsid w:val="00A90AA1"/>
    <w:rsid w:val="00A90F6B"/>
    <w:rsid w:val="00A910B3"/>
    <w:rsid w:val="00A91798"/>
    <w:rsid w:val="00A917E8"/>
    <w:rsid w:val="00A91BB2"/>
    <w:rsid w:val="00A91BB7"/>
    <w:rsid w:val="00A9201B"/>
    <w:rsid w:val="00A921E3"/>
    <w:rsid w:val="00A92295"/>
    <w:rsid w:val="00A922D3"/>
    <w:rsid w:val="00A923E1"/>
    <w:rsid w:val="00A9265D"/>
    <w:rsid w:val="00A92C98"/>
    <w:rsid w:val="00A936D4"/>
    <w:rsid w:val="00A93D94"/>
    <w:rsid w:val="00A940B6"/>
    <w:rsid w:val="00A945E8"/>
    <w:rsid w:val="00A94A9A"/>
    <w:rsid w:val="00A94D20"/>
    <w:rsid w:val="00A95055"/>
    <w:rsid w:val="00A951E2"/>
    <w:rsid w:val="00A952C3"/>
    <w:rsid w:val="00A953C7"/>
    <w:rsid w:val="00A95747"/>
    <w:rsid w:val="00A95AEC"/>
    <w:rsid w:val="00A95BFC"/>
    <w:rsid w:val="00A95DC7"/>
    <w:rsid w:val="00A9671C"/>
    <w:rsid w:val="00A96F55"/>
    <w:rsid w:val="00A96FF5"/>
    <w:rsid w:val="00A97033"/>
    <w:rsid w:val="00A97179"/>
    <w:rsid w:val="00A9752B"/>
    <w:rsid w:val="00A978E8"/>
    <w:rsid w:val="00A97C01"/>
    <w:rsid w:val="00A97D0E"/>
    <w:rsid w:val="00A97D92"/>
    <w:rsid w:val="00AA00F3"/>
    <w:rsid w:val="00AA0322"/>
    <w:rsid w:val="00AA054C"/>
    <w:rsid w:val="00AA0899"/>
    <w:rsid w:val="00AA09F2"/>
    <w:rsid w:val="00AA0BC9"/>
    <w:rsid w:val="00AA0C98"/>
    <w:rsid w:val="00AA0F1B"/>
    <w:rsid w:val="00AA1088"/>
    <w:rsid w:val="00AA10FD"/>
    <w:rsid w:val="00AA142C"/>
    <w:rsid w:val="00AA14B5"/>
    <w:rsid w:val="00AA1EB8"/>
    <w:rsid w:val="00AA2277"/>
    <w:rsid w:val="00AA2461"/>
    <w:rsid w:val="00AA2865"/>
    <w:rsid w:val="00AA295A"/>
    <w:rsid w:val="00AA2EC0"/>
    <w:rsid w:val="00AA3499"/>
    <w:rsid w:val="00AA350D"/>
    <w:rsid w:val="00AA3581"/>
    <w:rsid w:val="00AA3591"/>
    <w:rsid w:val="00AA3923"/>
    <w:rsid w:val="00AA3A63"/>
    <w:rsid w:val="00AA3A9B"/>
    <w:rsid w:val="00AA3BAE"/>
    <w:rsid w:val="00AA3BF1"/>
    <w:rsid w:val="00AA40EB"/>
    <w:rsid w:val="00AA4694"/>
    <w:rsid w:val="00AA4752"/>
    <w:rsid w:val="00AA48C2"/>
    <w:rsid w:val="00AA4BBD"/>
    <w:rsid w:val="00AA4BDD"/>
    <w:rsid w:val="00AA4C58"/>
    <w:rsid w:val="00AA4E09"/>
    <w:rsid w:val="00AA50F8"/>
    <w:rsid w:val="00AA51AF"/>
    <w:rsid w:val="00AA52D0"/>
    <w:rsid w:val="00AA536B"/>
    <w:rsid w:val="00AA5382"/>
    <w:rsid w:val="00AA5410"/>
    <w:rsid w:val="00AA591F"/>
    <w:rsid w:val="00AA5D0B"/>
    <w:rsid w:val="00AA5E9B"/>
    <w:rsid w:val="00AA6009"/>
    <w:rsid w:val="00AA6666"/>
    <w:rsid w:val="00AA674C"/>
    <w:rsid w:val="00AA67E1"/>
    <w:rsid w:val="00AA68F0"/>
    <w:rsid w:val="00AA69B7"/>
    <w:rsid w:val="00AA7A6A"/>
    <w:rsid w:val="00AB02F5"/>
    <w:rsid w:val="00AB03B8"/>
    <w:rsid w:val="00AB0608"/>
    <w:rsid w:val="00AB080E"/>
    <w:rsid w:val="00AB0C8F"/>
    <w:rsid w:val="00AB0E49"/>
    <w:rsid w:val="00AB1341"/>
    <w:rsid w:val="00AB14AE"/>
    <w:rsid w:val="00AB1598"/>
    <w:rsid w:val="00AB1A0E"/>
    <w:rsid w:val="00AB1B87"/>
    <w:rsid w:val="00AB1EC0"/>
    <w:rsid w:val="00AB21C6"/>
    <w:rsid w:val="00AB2766"/>
    <w:rsid w:val="00AB2841"/>
    <w:rsid w:val="00AB28E1"/>
    <w:rsid w:val="00AB2ADE"/>
    <w:rsid w:val="00AB2D3E"/>
    <w:rsid w:val="00AB3800"/>
    <w:rsid w:val="00AB3984"/>
    <w:rsid w:val="00AB3989"/>
    <w:rsid w:val="00AB3BBB"/>
    <w:rsid w:val="00AB4100"/>
    <w:rsid w:val="00AB4779"/>
    <w:rsid w:val="00AB4A55"/>
    <w:rsid w:val="00AB4C50"/>
    <w:rsid w:val="00AB4C91"/>
    <w:rsid w:val="00AB4CE7"/>
    <w:rsid w:val="00AB5036"/>
    <w:rsid w:val="00AB5105"/>
    <w:rsid w:val="00AB530E"/>
    <w:rsid w:val="00AB5361"/>
    <w:rsid w:val="00AB54C4"/>
    <w:rsid w:val="00AB567B"/>
    <w:rsid w:val="00AB62DC"/>
    <w:rsid w:val="00AB633D"/>
    <w:rsid w:val="00AB6EEC"/>
    <w:rsid w:val="00AB734B"/>
    <w:rsid w:val="00AB7883"/>
    <w:rsid w:val="00AB790D"/>
    <w:rsid w:val="00AB7B79"/>
    <w:rsid w:val="00AC0086"/>
    <w:rsid w:val="00AC0275"/>
    <w:rsid w:val="00AC0704"/>
    <w:rsid w:val="00AC0F4E"/>
    <w:rsid w:val="00AC111C"/>
    <w:rsid w:val="00AC12F3"/>
    <w:rsid w:val="00AC13D9"/>
    <w:rsid w:val="00AC16E7"/>
    <w:rsid w:val="00AC189F"/>
    <w:rsid w:val="00AC18BF"/>
    <w:rsid w:val="00AC18F6"/>
    <w:rsid w:val="00AC1A0F"/>
    <w:rsid w:val="00AC1C96"/>
    <w:rsid w:val="00AC1F2D"/>
    <w:rsid w:val="00AC2922"/>
    <w:rsid w:val="00AC2AEE"/>
    <w:rsid w:val="00AC2C60"/>
    <w:rsid w:val="00AC2E60"/>
    <w:rsid w:val="00AC3079"/>
    <w:rsid w:val="00AC3558"/>
    <w:rsid w:val="00AC38E9"/>
    <w:rsid w:val="00AC3CC2"/>
    <w:rsid w:val="00AC4002"/>
    <w:rsid w:val="00AC4512"/>
    <w:rsid w:val="00AC452B"/>
    <w:rsid w:val="00AC49D5"/>
    <w:rsid w:val="00AC4B62"/>
    <w:rsid w:val="00AC4F88"/>
    <w:rsid w:val="00AC5317"/>
    <w:rsid w:val="00AC536A"/>
    <w:rsid w:val="00AC5A96"/>
    <w:rsid w:val="00AC5B5D"/>
    <w:rsid w:val="00AC5BC9"/>
    <w:rsid w:val="00AC5EAF"/>
    <w:rsid w:val="00AC5EE0"/>
    <w:rsid w:val="00AC5F91"/>
    <w:rsid w:val="00AC6456"/>
    <w:rsid w:val="00AC66F2"/>
    <w:rsid w:val="00AC680D"/>
    <w:rsid w:val="00AC6CA1"/>
    <w:rsid w:val="00AC6DF6"/>
    <w:rsid w:val="00AC6F69"/>
    <w:rsid w:val="00AC6F7D"/>
    <w:rsid w:val="00AC71D2"/>
    <w:rsid w:val="00AC720A"/>
    <w:rsid w:val="00AC7281"/>
    <w:rsid w:val="00AC7379"/>
    <w:rsid w:val="00AC7819"/>
    <w:rsid w:val="00AD067C"/>
    <w:rsid w:val="00AD0C0A"/>
    <w:rsid w:val="00AD11DE"/>
    <w:rsid w:val="00AD182C"/>
    <w:rsid w:val="00AD1D0A"/>
    <w:rsid w:val="00AD1F37"/>
    <w:rsid w:val="00AD228A"/>
    <w:rsid w:val="00AD293D"/>
    <w:rsid w:val="00AD2C7B"/>
    <w:rsid w:val="00AD2F63"/>
    <w:rsid w:val="00AD3808"/>
    <w:rsid w:val="00AD382A"/>
    <w:rsid w:val="00AD3EFA"/>
    <w:rsid w:val="00AD3FA5"/>
    <w:rsid w:val="00AD44BE"/>
    <w:rsid w:val="00AD45A8"/>
    <w:rsid w:val="00AD4922"/>
    <w:rsid w:val="00AD4C75"/>
    <w:rsid w:val="00AD4C9A"/>
    <w:rsid w:val="00AD506E"/>
    <w:rsid w:val="00AD55B7"/>
    <w:rsid w:val="00AD5811"/>
    <w:rsid w:val="00AD5B01"/>
    <w:rsid w:val="00AD60EA"/>
    <w:rsid w:val="00AD615E"/>
    <w:rsid w:val="00AD67D4"/>
    <w:rsid w:val="00AD7310"/>
    <w:rsid w:val="00AD7381"/>
    <w:rsid w:val="00AD7799"/>
    <w:rsid w:val="00AD7C04"/>
    <w:rsid w:val="00AD7F51"/>
    <w:rsid w:val="00AE048D"/>
    <w:rsid w:val="00AE04B0"/>
    <w:rsid w:val="00AE065C"/>
    <w:rsid w:val="00AE0FF1"/>
    <w:rsid w:val="00AE14FA"/>
    <w:rsid w:val="00AE18F3"/>
    <w:rsid w:val="00AE19D1"/>
    <w:rsid w:val="00AE19D9"/>
    <w:rsid w:val="00AE1AB9"/>
    <w:rsid w:val="00AE1B2A"/>
    <w:rsid w:val="00AE1BB0"/>
    <w:rsid w:val="00AE1EF3"/>
    <w:rsid w:val="00AE1FA3"/>
    <w:rsid w:val="00AE252E"/>
    <w:rsid w:val="00AE25FB"/>
    <w:rsid w:val="00AE2AA7"/>
    <w:rsid w:val="00AE2CA4"/>
    <w:rsid w:val="00AE2F77"/>
    <w:rsid w:val="00AE3124"/>
    <w:rsid w:val="00AE32B0"/>
    <w:rsid w:val="00AE40AA"/>
    <w:rsid w:val="00AE4331"/>
    <w:rsid w:val="00AE4346"/>
    <w:rsid w:val="00AE4AD0"/>
    <w:rsid w:val="00AE4FDA"/>
    <w:rsid w:val="00AE519F"/>
    <w:rsid w:val="00AE555B"/>
    <w:rsid w:val="00AE564D"/>
    <w:rsid w:val="00AE5E08"/>
    <w:rsid w:val="00AE614D"/>
    <w:rsid w:val="00AE6506"/>
    <w:rsid w:val="00AE71FF"/>
    <w:rsid w:val="00AE7446"/>
    <w:rsid w:val="00AE75C8"/>
    <w:rsid w:val="00AE7849"/>
    <w:rsid w:val="00AE7977"/>
    <w:rsid w:val="00AE7AE4"/>
    <w:rsid w:val="00AE7C5F"/>
    <w:rsid w:val="00AE7D3A"/>
    <w:rsid w:val="00AE7E75"/>
    <w:rsid w:val="00AF0507"/>
    <w:rsid w:val="00AF07E8"/>
    <w:rsid w:val="00AF1AC0"/>
    <w:rsid w:val="00AF1DCE"/>
    <w:rsid w:val="00AF1F10"/>
    <w:rsid w:val="00AF2208"/>
    <w:rsid w:val="00AF26EC"/>
    <w:rsid w:val="00AF294D"/>
    <w:rsid w:val="00AF2BE8"/>
    <w:rsid w:val="00AF2D2C"/>
    <w:rsid w:val="00AF303A"/>
    <w:rsid w:val="00AF33E9"/>
    <w:rsid w:val="00AF3516"/>
    <w:rsid w:val="00AF3588"/>
    <w:rsid w:val="00AF3684"/>
    <w:rsid w:val="00AF3D39"/>
    <w:rsid w:val="00AF3F9E"/>
    <w:rsid w:val="00AF40C8"/>
    <w:rsid w:val="00AF497B"/>
    <w:rsid w:val="00AF4A63"/>
    <w:rsid w:val="00AF4D3D"/>
    <w:rsid w:val="00AF4E3C"/>
    <w:rsid w:val="00AF5186"/>
    <w:rsid w:val="00AF5B76"/>
    <w:rsid w:val="00AF5F6F"/>
    <w:rsid w:val="00AF6108"/>
    <w:rsid w:val="00AF6335"/>
    <w:rsid w:val="00AF643F"/>
    <w:rsid w:val="00AF6837"/>
    <w:rsid w:val="00AF69E9"/>
    <w:rsid w:val="00AF6A4C"/>
    <w:rsid w:val="00AF6AD4"/>
    <w:rsid w:val="00AF702D"/>
    <w:rsid w:val="00AF7051"/>
    <w:rsid w:val="00AF722A"/>
    <w:rsid w:val="00AF764B"/>
    <w:rsid w:val="00AF7808"/>
    <w:rsid w:val="00AF7EE1"/>
    <w:rsid w:val="00B00254"/>
    <w:rsid w:val="00B00360"/>
    <w:rsid w:val="00B004BA"/>
    <w:rsid w:val="00B00B87"/>
    <w:rsid w:val="00B0163D"/>
    <w:rsid w:val="00B01676"/>
    <w:rsid w:val="00B019EC"/>
    <w:rsid w:val="00B01B91"/>
    <w:rsid w:val="00B01CF0"/>
    <w:rsid w:val="00B01D44"/>
    <w:rsid w:val="00B02183"/>
    <w:rsid w:val="00B030AD"/>
    <w:rsid w:val="00B03272"/>
    <w:rsid w:val="00B0329E"/>
    <w:rsid w:val="00B03301"/>
    <w:rsid w:val="00B03303"/>
    <w:rsid w:val="00B039B8"/>
    <w:rsid w:val="00B03A2A"/>
    <w:rsid w:val="00B03DDE"/>
    <w:rsid w:val="00B04338"/>
    <w:rsid w:val="00B0445D"/>
    <w:rsid w:val="00B047C2"/>
    <w:rsid w:val="00B04806"/>
    <w:rsid w:val="00B0482C"/>
    <w:rsid w:val="00B04CB1"/>
    <w:rsid w:val="00B0514E"/>
    <w:rsid w:val="00B0532F"/>
    <w:rsid w:val="00B05635"/>
    <w:rsid w:val="00B056D4"/>
    <w:rsid w:val="00B05A2C"/>
    <w:rsid w:val="00B05C38"/>
    <w:rsid w:val="00B05DFF"/>
    <w:rsid w:val="00B05F66"/>
    <w:rsid w:val="00B061E1"/>
    <w:rsid w:val="00B06505"/>
    <w:rsid w:val="00B0655D"/>
    <w:rsid w:val="00B06970"/>
    <w:rsid w:val="00B06CF1"/>
    <w:rsid w:val="00B06E5E"/>
    <w:rsid w:val="00B07077"/>
    <w:rsid w:val="00B071C7"/>
    <w:rsid w:val="00B07275"/>
    <w:rsid w:val="00B07620"/>
    <w:rsid w:val="00B0782E"/>
    <w:rsid w:val="00B07835"/>
    <w:rsid w:val="00B07E62"/>
    <w:rsid w:val="00B10139"/>
    <w:rsid w:val="00B10257"/>
    <w:rsid w:val="00B102A1"/>
    <w:rsid w:val="00B106B9"/>
    <w:rsid w:val="00B108D5"/>
    <w:rsid w:val="00B10A1C"/>
    <w:rsid w:val="00B10B1A"/>
    <w:rsid w:val="00B11194"/>
    <w:rsid w:val="00B11203"/>
    <w:rsid w:val="00B113AA"/>
    <w:rsid w:val="00B11812"/>
    <w:rsid w:val="00B11CCF"/>
    <w:rsid w:val="00B11EDF"/>
    <w:rsid w:val="00B123A7"/>
    <w:rsid w:val="00B12845"/>
    <w:rsid w:val="00B12FA7"/>
    <w:rsid w:val="00B1314F"/>
    <w:rsid w:val="00B131F9"/>
    <w:rsid w:val="00B1354E"/>
    <w:rsid w:val="00B136A5"/>
    <w:rsid w:val="00B13896"/>
    <w:rsid w:val="00B13B41"/>
    <w:rsid w:val="00B14220"/>
    <w:rsid w:val="00B14AAF"/>
    <w:rsid w:val="00B151CF"/>
    <w:rsid w:val="00B154DE"/>
    <w:rsid w:val="00B15893"/>
    <w:rsid w:val="00B15932"/>
    <w:rsid w:val="00B15A26"/>
    <w:rsid w:val="00B161A3"/>
    <w:rsid w:val="00B1663E"/>
    <w:rsid w:val="00B16B67"/>
    <w:rsid w:val="00B16C68"/>
    <w:rsid w:val="00B16D4B"/>
    <w:rsid w:val="00B16D86"/>
    <w:rsid w:val="00B16EA4"/>
    <w:rsid w:val="00B173EE"/>
    <w:rsid w:val="00B17829"/>
    <w:rsid w:val="00B17992"/>
    <w:rsid w:val="00B203B5"/>
    <w:rsid w:val="00B20445"/>
    <w:rsid w:val="00B2084F"/>
    <w:rsid w:val="00B2086F"/>
    <w:rsid w:val="00B20B82"/>
    <w:rsid w:val="00B20CFB"/>
    <w:rsid w:val="00B20DA9"/>
    <w:rsid w:val="00B21813"/>
    <w:rsid w:val="00B21996"/>
    <w:rsid w:val="00B21E0C"/>
    <w:rsid w:val="00B21F51"/>
    <w:rsid w:val="00B22368"/>
    <w:rsid w:val="00B225D8"/>
    <w:rsid w:val="00B2266B"/>
    <w:rsid w:val="00B22A64"/>
    <w:rsid w:val="00B22CE9"/>
    <w:rsid w:val="00B23049"/>
    <w:rsid w:val="00B23C59"/>
    <w:rsid w:val="00B2442C"/>
    <w:rsid w:val="00B24544"/>
    <w:rsid w:val="00B245E4"/>
    <w:rsid w:val="00B245F1"/>
    <w:rsid w:val="00B247AD"/>
    <w:rsid w:val="00B248F3"/>
    <w:rsid w:val="00B24C11"/>
    <w:rsid w:val="00B25365"/>
    <w:rsid w:val="00B256A0"/>
    <w:rsid w:val="00B25BB0"/>
    <w:rsid w:val="00B25D05"/>
    <w:rsid w:val="00B26048"/>
    <w:rsid w:val="00B260EB"/>
    <w:rsid w:val="00B26622"/>
    <w:rsid w:val="00B26669"/>
    <w:rsid w:val="00B269D9"/>
    <w:rsid w:val="00B26A55"/>
    <w:rsid w:val="00B26C7C"/>
    <w:rsid w:val="00B26CDC"/>
    <w:rsid w:val="00B26DAB"/>
    <w:rsid w:val="00B26FED"/>
    <w:rsid w:val="00B27017"/>
    <w:rsid w:val="00B276B4"/>
    <w:rsid w:val="00B27874"/>
    <w:rsid w:val="00B27969"/>
    <w:rsid w:val="00B27B1B"/>
    <w:rsid w:val="00B27E7F"/>
    <w:rsid w:val="00B27FA6"/>
    <w:rsid w:val="00B30146"/>
    <w:rsid w:val="00B303F6"/>
    <w:rsid w:val="00B30782"/>
    <w:rsid w:val="00B307B7"/>
    <w:rsid w:val="00B30880"/>
    <w:rsid w:val="00B30ED1"/>
    <w:rsid w:val="00B30F7A"/>
    <w:rsid w:val="00B31150"/>
    <w:rsid w:val="00B31788"/>
    <w:rsid w:val="00B3192C"/>
    <w:rsid w:val="00B31B19"/>
    <w:rsid w:val="00B31E4F"/>
    <w:rsid w:val="00B32034"/>
    <w:rsid w:val="00B33061"/>
    <w:rsid w:val="00B330A8"/>
    <w:rsid w:val="00B331E1"/>
    <w:rsid w:val="00B334AF"/>
    <w:rsid w:val="00B338CD"/>
    <w:rsid w:val="00B339DF"/>
    <w:rsid w:val="00B33D15"/>
    <w:rsid w:val="00B33DAD"/>
    <w:rsid w:val="00B34232"/>
    <w:rsid w:val="00B344A3"/>
    <w:rsid w:val="00B344BD"/>
    <w:rsid w:val="00B34A0B"/>
    <w:rsid w:val="00B34B17"/>
    <w:rsid w:val="00B34DD3"/>
    <w:rsid w:val="00B3510C"/>
    <w:rsid w:val="00B351C5"/>
    <w:rsid w:val="00B355E2"/>
    <w:rsid w:val="00B35BA9"/>
    <w:rsid w:val="00B35C20"/>
    <w:rsid w:val="00B35E32"/>
    <w:rsid w:val="00B36028"/>
    <w:rsid w:val="00B360DE"/>
    <w:rsid w:val="00B36B2D"/>
    <w:rsid w:val="00B36E24"/>
    <w:rsid w:val="00B37309"/>
    <w:rsid w:val="00B3769D"/>
    <w:rsid w:val="00B378C3"/>
    <w:rsid w:val="00B3796B"/>
    <w:rsid w:val="00B37B23"/>
    <w:rsid w:val="00B40064"/>
    <w:rsid w:val="00B40D10"/>
    <w:rsid w:val="00B40DA2"/>
    <w:rsid w:val="00B40DEC"/>
    <w:rsid w:val="00B40E67"/>
    <w:rsid w:val="00B4118C"/>
    <w:rsid w:val="00B4137E"/>
    <w:rsid w:val="00B413D6"/>
    <w:rsid w:val="00B41ABB"/>
    <w:rsid w:val="00B41CF2"/>
    <w:rsid w:val="00B41D7D"/>
    <w:rsid w:val="00B421B3"/>
    <w:rsid w:val="00B42851"/>
    <w:rsid w:val="00B42AFD"/>
    <w:rsid w:val="00B42E75"/>
    <w:rsid w:val="00B43377"/>
    <w:rsid w:val="00B43727"/>
    <w:rsid w:val="00B43881"/>
    <w:rsid w:val="00B43ECE"/>
    <w:rsid w:val="00B44080"/>
    <w:rsid w:val="00B442FC"/>
    <w:rsid w:val="00B44450"/>
    <w:rsid w:val="00B4468A"/>
    <w:rsid w:val="00B449AD"/>
    <w:rsid w:val="00B44F50"/>
    <w:rsid w:val="00B451C5"/>
    <w:rsid w:val="00B454C4"/>
    <w:rsid w:val="00B45599"/>
    <w:rsid w:val="00B45998"/>
    <w:rsid w:val="00B45A4B"/>
    <w:rsid w:val="00B45BEF"/>
    <w:rsid w:val="00B45C60"/>
    <w:rsid w:val="00B46781"/>
    <w:rsid w:val="00B468E5"/>
    <w:rsid w:val="00B46B2F"/>
    <w:rsid w:val="00B47367"/>
    <w:rsid w:val="00B4791A"/>
    <w:rsid w:val="00B4792F"/>
    <w:rsid w:val="00B47B8B"/>
    <w:rsid w:val="00B500B3"/>
    <w:rsid w:val="00B501A3"/>
    <w:rsid w:val="00B5028A"/>
    <w:rsid w:val="00B5032A"/>
    <w:rsid w:val="00B50528"/>
    <w:rsid w:val="00B50A44"/>
    <w:rsid w:val="00B50B09"/>
    <w:rsid w:val="00B5179E"/>
    <w:rsid w:val="00B51B08"/>
    <w:rsid w:val="00B51B4A"/>
    <w:rsid w:val="00B51DD4"/>
    <w:rsid w:val="00B52023"/>
    <w:rsid w:val="00B521CA"/>
    <w:rsid w:val="00B528A6"/>
    <w:rsid w:val="00B52965"/>
    <w:rsid w:val="00B52AC4"/>
    <w:rsid w:val="00B52BC5"/>
    <w:rsid w:val="00B52EC2"/>
    <w:rsid w:val="00B52F4C"/>
    <w:rsid w:val="00B5312E"/>
    <w:rsid w:val="00B531C7"/>
    <w:rsid w:val="00B539D8"/>
    <w:rsid w:val="00B53FC4"/>
    <w:rsid w:val="00B54024"/>
    <w:rsid w:val="00B542F2"/>
    <w:rsid w:val="00B550E4"/>
    <w:rsid w:val="00B553DB"/>
    <w:rsid w:val="00B55524"/>
    <w:rsid w:val="00B55632"/>
    <w:rsid w:val="00B5593F"/>
    <w:rsid w:val="00B5607E"/>
    <w:rsid w:val="00B565E6"/>
    <w:rsid w:val="00B56642"/>
    <w:rsid w:val="00B575BF"/>
    <w:rsid w:val="00B57D1D"/>
    <w:rsid w:val="00B57F58"/>
    <w:rsid w:val="00B604EE"/>
    <w:rsid w:val="00B6053A"/>
    <w:rsid w:val="00B60F92"/>
    <w:rsid w:val="00B612EA"/>
    <w:rsid w:val="00B613AA"/>
    <w:rsid w:val="00B61604"/>
    <w:rsid w:val="00B61A7C"/>
    <w:rsid w:val="00B61C66"/>
    <w:rsid w:val="00B61E78"/>
    <w:rsid w:val="00B6202A"/>
    <w:rsid w:val="00B62485"/>
    <w:rsid w:val="00B62604"/>
    <w:rsid w:val="00B626CD"/>
    <w:rsid w:val="00B629AB"/>
    <w:rsid w:val="00B62A05"/>
    <w:rsid w:val="00B62DF2"/>
    <w:rsid w:val="00B6309E"/>
    <w:rsid w:val="00B63226"/>
    <w:rsid w:val="00B63676"/>
    <w:rsid w:val="00B63817"/>
    <w:rsid w:val="00B64165"/>
    <w:rsid w:val="00B645C3"/>
    <w:rsid w:val="00B64842"/>
    <w:rsid w:val="00B64845"/>
    <w:rsid w:val="00B64A06"/>
    <w:rsid w:val="00B64C52"/>
    <w:rsid w:val="00B65285"/>
    <w:rsid w:val="00B6551F"/>
    <w:rsid w:val="00B65ACF"/>
    <w:rsid w:val="00B65DB9"/>
    <w:rsid w:val="00B65DD7"/>
    <w:rsid w:val="00B65DFA"/>
    <w:rsid w:val="00B65F83"/>
    <w:rsid w:val="00B66123"/>
    <w:rsid w:val="00B6646A"/>
    <w:rsid w:val="00B66824"/>
    <w:rsid w:val="00B66946"/>
    <w:rsid w:val="00B66A87"/>
    <w:rsid w:val="00B66DB4"/>
    <w:rsid w:val="00B66FDA"/>
    <w:rsid w:val="00B67120"/>
    <w:rsid w:val="00B675CF"/>
    <w:rsid w:val="00B677AC"/>
    <w:rsid w:val="00B679AF"/>
    <w:rsid w:val="00B679CA"/>
    <w:rsid w:val="00B67B97"/>
    <w:rsid w:val="00B67D0D"/>
    <w:rsid w:val="00B67DFB"/>
    <w:rsid w:val="00B67F38"/>
    <w:rsid w:val="00B702FE"/>
    <w:rsid w:val="00B707A0"/>
    <w:rsid w:val="00B70E46"/>
    <w:rsid w:val="00B70E78"/>
    <w:rsid w:val="00B712D0"/>
    <w:rsid w:val="00B71703"/>
    <w:rsid w:val="00B7180C"/>
    <w:rsid w:val="00B71902"/>
    <w:rsid w:val="00B71CAF"/>
    <w:rsid w:val="00B71ED4"/>
    <w:rsid w:val="00B72456"/>
    <w:rsid w:val="00B736AE"/>
    <w:rsid w:val="00B7379B"/>
    <w:rsid w:val="00B73B97"/>
    <w:rsid w:val="00B73DA7"/>
    <w:rsid w:val="00B747AA"/>
    <w:rsid w:val="00B74A62"/>
    <w:rsid w:val="00B74EDE"/>
    <w:rsid w:val="00B74F7C"/>
    <w:rsid w:val="00B7514E"/>
    <w:rsid w:val="00B757E5"/>
    <w:rsid w:val="00B759B6"/>
    <w:rsid w:val="00B75C17"/>
    <w:rsid w:val="00B75DA5"/>
    <w:rsid w:val="00B76298"/>
    <w:rsid w:val="00B764C9"/>
    <w:rsid w:val="00B76748"/>
    <w:rsid w:val="00B76894"/>
    <w:rsid w:val="00B76CA6"/>
    <w:rsid w:val="00B773DC"/>
    <w:rsid w:val="00B77BBC"/>
    <w:rsid w:val="00B77EE2"/>
    <w:rsid w:val="00B80032"/>
    <w:rsid w:val="00B80189"/>
    <w:rsid w:val="00B807C6"/>
    <w:rsid w:val="00B80AED"/>
    <w:rsid w:val="00B80E92"/>
    <w:rsid w:val="00B811FA"/>
    <w:rsid w:val="00B81616"/>
    <w:rsid w:val="00B8171D"/>
    <w:rsid w:val="00B8197F"/>
    <w:rsid w:val="00B81A9E"/>
    <w:rsid w:val="00B81B2B"/>
    <w:rsid w:val="00B81C13"/>
    <w:rsid w:val="00B81F38"/>
    <w:rsid w:val="00B822FA"/>
    <w:rsid w:val="00B82763"/>
    <w:rsid w:val="00B82ADC"/>
    <w:rsid w:val="00B82AED"/>
    <w:rsid w:val="00B831DB"/>
    <w:rsid w:val="00B83539"/>
    <w:rsid w:val="00B83B62"/>
    <w:rsid w:val="00B83D13"/>
    <w:rsid w:val="00B84152"/>
    <w:rsid w:val="00B8417B"/>
    <w:rsid w:val="00B8484D"/>
    <w:rsid w:val="00B8502B"/>
    <w:rsid w:val="00B8535F"/>
    <w:rsid w:val="00B8566B"/>
    <w:rsid w:val="00B85808"/>
    <w:rsid w:val="00B85A08"/>
    <w:rsid w:val="00B85AFE"/>
    <w:rsid w:val="00B85B5A"/>
    <w:rsid w:val="00B85BCF"/>
    <w:rsid w:val="00B85D69"/>
    <w:rsid w:val="00B85F36"/>
    <w:rsid w:val="00B86155"/>
    <w:rsid w:val="00B862C0"/>
    <w:rsid w:val="00B871C9"/>
    <w:rsid w:val="00B8733B"/>
    <w:rsid w:val="00B87602"/>
    <w:rsid w:val="00B87737"/>
    <w:rsid w:val="00B8779A"/>
    <w:rsid w:val="00B87855"/>
    <w:rsid w:val="00B878CD"/>
    <w:rsid w:val="00B87A0C"/>
    <w:rsid w:val="00B87BF8"/>
    <w:rsid w:val="00B87F3C"/>
    <w:rsid w:val="00B90052"/>
    <w:rsid w:val="00B9020F"/>
    <w:rsid w:val="00B91242"/>
    <w:rsid w:val="00B91450"/>
    <w:rsid w:val="00B91909"/>
    <w:rsid w:val="00B91CB1"/>
    <w:rsid w:val="00B91E7B"/>
    <w:rsid w:val="00B91F6F"/>
    <w:rsid w:val="00B92340"/>
    <w:rsid w:val="00B9249B"/>
    <w:rsid w:val="00B9298B"/>
    <w:rsid w:val="00B92BA5"/>
    <w:rsid w:val="00B9309F"/>
    <w:rsid w:val="00B94123"/>
    <w:rsid w:val="00B942FF"/>
    <w:rsid w:val="00B9488E"/>
    <w:rsid w:val="00B94F21"/>
    <w:rsid w:val="00B952C6"/>
    <w:rsid w:val="00B9536C"/>
    <w:rsid w:val="00B95895"/>
    <w:rsid w:val="00B959AF"/>
    <w:rsid w:val="00B95D44"/>
    <w:rsid w:val="00B9605D"/>
    <w:rsid w:val="00B9670D"/>
    <w:rsid w:val="00B969CF"/>
    <w:rsid w:val="00B96C10"/>
    <w:rsid w:val="00B96EA2"/>
    <w:rsid w:val="00B96FAC"/>
    <w:rsid w:val="00B971C8"/>
    <w:rsid w:val="00B97F8B"/>
    <w:rsid w:val="00BA02BC"/>
    <w:rsid w:val="00BA05F9"/>
    <w:rsid w:val="00BA0855"/>
    <w:rsid w:val="00BA0BFE"/>
    <w:rsid w:val="00BA0DE7"/>
    <w:rsid w:val="00BA0E68"/>
    <w:rsid w:val="00BA116D"/>
    <w:rsid w:val="00BA1252"/>
    <w:rsid w:val="00BA1264"/>
    <w:rsid w:val="00BA1318"/>
    <w:rsid w:val="00BA1815"/>
    <w:rsid w:val="00BA1B10"/>
    <w:rsid w:val="00BA1BFF"/>
    <w:rsid w:val="00BA1FB0"/>
    <w:rsid w:val="00BA1FFB"/>
    <w:rsid w:val="00BA282F"/>
    <w:rsid w:val="00BA2B3F"/>
    <w:rsid w:val="00BA2B8C"/>
    <w:rsid w:val="00BA2C56"/>
    <w:rsid w:val="00BA2E35"/>
    <w:rsid w:val="00BA2F3C"/>
    <w:rsid w:val="00BA313F"/>
    <w:rsid w:val="00BA3563"/>
    <w:rsid w:val="00BA3FBD"/>
    <w:rsid w:val="00BA4488"/>
    <w:rsid w:val="00BA4801"/>
    <w:rsid w:val="00BA4AC4"/>
    <w:rsid w:val="00BA4E45"/>
    <w:rsid w:val="00BA54C1"/>
    <w:rsid w:val="00BA573F"/>
    <w:rsid w:val="00BA59FB"/>
    <w:rsid w:val="00BA5C5C"/>
    <w:rsid w:val="00BA5EED"/>
    <w:rsid w:val="00BA604D"/>
    <w:rsid w:val="00BA60FF"/>
    <w:rsid w:val="00BA621F"/>
    <w:rsid w:val="00BA6315"/>
    <w:rsid w:val="00BA639A"/>
    <w:rsid w:val="00BA6509"/>
    <w:rsid w:val="00BA68BF"/>
    <w:rsid w:val="00BA6982"/>
    <w:rsid w:val="00BA6A9A"/>
    <w:rsid w:val="00BA6D32"/>
    <w:rsid w:val="00BA70E9"/>
    <w:rsid w:val="00BA7299"/>
    <w:rsid w:val="00BA738F"/>
    <w:rsid w:val="00BA78EB"/>
    <w:rsid w:val="00BA7B81"/>
    <w:rsid w:val="00BA7C03"/>
    <w:rsid w:val="00BA7DB6"/>
    <w:rsid w:val="00BB02B5"/>
    <w:rsid w:val="00BB0389"/>
    <w:rsid w:val="00BB11E3"/>
    <w:rsid w:val="00BB1260"/>
    <w:rsid w:val="00BB12A9"/>
    <w:rsid w:val="00BB1493"/>
    <w:rsid w:val="00BB14A3"/>
    <w:rsid w:val="00BB1941"/>
    <w:rsid w:val="00BB1D84"/>
    <w:rsid w:val="00BB1D93"/>
    <w:rsid w:val="00BB20A8"/>
    <w:rsid w:val="00BB216F"/>
    <w:rsid w:val="00BB2457"/>
    <w:rsid w:val="00BB2490"/>
    <w:rsid w:val="00BB2853"/>
    <w:rsid w:val="00BB2961"/>
    <w:rsid w:val="00BB3057"/>
    <w:rsid w:val="00BB3521"/>
    <w:rsid w:val="00BB3707"/>
    <w:rsid w:val="00BB390B"/>
    <w:rsid w:val="00BB3AA5"/>
    <w:rsid w:val="00BB3E04"/>
    <w:rsid w:val="00BB3F57"/>
    <w:rsid w:val="00BB419D"/>
    <w:rsid w:val="00BB436E"/>
    <w:rsid w:val="00BB438A"/>
    <w:rsid w:val="00BB476D"/>
    <w:rsid w:val="00BB4BFC"/>
    <w:rsid w:val="00BB5453"/>
    <w:rsid w:val="00BB60AF"/>
    <w:rsid w:val="00BB62C5"/>
    <w:rsid w:val="00BB6377"/>
    <w:rsid w:val="00BB6587"/>
    <w:rsid w:val="00BB66C5"/>
    <w:rsid w:val="00BB69C9"/>
    <w:rsid w:val="00BB7572"/>
    <w:rsid w:val="00BB763C"/>
    <w:rsid w:val="00BB772D"/>
    <w:rsid w:val="00BB77CB"/>
    <w:rsid w:val="00BB788B"/>
    <w:rsid w:val="00BB7910"/>
    <w:rsid w:val="00BB7A5A"/>
    <w:rsid w:val="00BC00BB"/>
    <w:rsid w:val="00BC08A5"/>
    <w:rsid w:val="00BC0B7B"/>
    <w:rsid w:val="00BC133C"/>
    <w:rsid w:val="00BC1400"/>
    <w:rsid w:val="00BC15DE"/>
    <w:rsid w:val="00BC17C8"/>
    <w:rsid w:val="00BC1814"/>
    <w:rsid w:val="00BC250A"/>
    <w:rsid w:val="00BC2533"/>
    <w:rsid w:val="00BC2D97"/>
    <w:rsid w:val="00BC2E44"/>
    <w:rsid w:val="00BC369C"/>
    <w:rsid w:val="00BC3A4C"/>
    <w:rsid w:val="00BC3A50"/>
    <w:rsid w:val="00BC3A56"/>
    <w:rsid w:val="00BC3C15"/>
    <w:rsid w:val="00BC3D4C"/>
    <w:rsid w:val="00BC3E59"/>
    <w:rsid w:val="00BC4115"/>
    <w:rsid w:val="00BC4213"/>
    <w:rsid w:val="00BC4253"/>
    <w:rsid w:val="00BC4402"/>
    <w:rsid w:val="00BC492D"/>
    <w:rsid w:val="00BC4972"/>
    <w:rsid w:val="00BC4E63"/>
    <w:rsid w:val="00BC512C"/>
    <w:rsid w:val="00BC54F5"/>
    <w:rsid w:val="00BC6897"/>
    <w:rsid w:val="00BC6B0F"/>
    <w:rsid w:val="00BC6FFD"/>
    <w:rsid w:val="00BC7095"/>
    <w:rsid w:val="00BC76A2"/>
    <w:rsid w:val="00BC7CAF"/>
    <w:rsid w:val="00BD019E"/>
    <w:rsid w:val="00BD03B0"/>
    <w:rsid w:val="00BD0D88"/>
    <w:rsid w:val="00BD1519"/>
    <w:rsid w:val="00BD1723"/>
    <w:rsid w:val="00BD1B8D"/>
    <w:rsid w:val="00BD1CAA"/>
    <w:rsid w:val="00BD1CB4"/>
    <w:rsid w:val="00BD1D91"/>
    <w:rsid w:val="00BD1DC5"/>
    <w:rsid w:val="00BD237B"/>
    <w:rsid w:val="00BD27DB"/>
    <w:rsid w:val="00BD2BE6"/>
    <w:rsid w:val="00BD2CA7"/>
    <w:rsid w:val="00BD301D"/>
    <w:rsid w:val="00BD33D4"/>
    <w:rsid w:val="00BD33FA"/>
    <w:rsid w:val="00BD3C12"/>
    <w:rsid w:val="00BD3F93"/>
    <w:rsid w:val="00BD3FA7"/>
    <w:rsid w:val="00BD40B1"/>
    <w:rsid w:val="00BD4165"/>
    <w:rsid w:val="00BD434F"/>
    <w:rsid w:val="00BD43FA"/>
    <w:rsid w:val="00BD4F0C"/>
    <w:rsid w:val="00BD509E"/>
    <w:rsid w:val="00BD513C"/>
    <w:rsid w:val="00BD5193"/>
    <w:rsid w:val="00BD537D"/>
    <w:rsid w:val="00BD5502"/>
    <w:rsid w:val="00BD56F6"/>
    <w:rsid w:val="00BD583C"/>
    <w:rsid w:val="00BD5B4F"/>
    <w:rsid w:val="00BD5BF2"/>
    <w:rsid w:val="00BD5FBD"/>
    <w:rsid w:val="00BD6086"/>
    <w:rsid w:val="00BD623C"/>
    <w:rsid w:val="00BD680D"/>
    <w:rsid w:val="00BD7894"/>
    <w:rsid w:val="00BD7A72"/>
    <w:rsid w:val="00BD7DE1"/>
    <w:rsid w:val="00BD7F06"/>
    <w:rsid w:val="00BD7FEA"/>
    <w:rsid w:val="00BE0037"/>
    <w:rsid w:val="00BE0163"/>
    <w:rsid w:val="00BE04CE"/>
    <w:rsid w:val="00BE08F2"/>
    <w:rsid w:val="00BE0C66"/>
    <w:rsid w:val="00BE0DB6"/>
    <w:rsid w:val="00BE0F73"/>
    <w:rsid w:val="00BE0FEC"/>
    <w:rsid w:val="00BE11BB"/>
    <w:rsid w:val="00BE1209"/>
    <w:rsid w:val="00BE19D2"/>
    <w:rsid w:val="00BE1B59"/>
    <w:rsid w:val="00BE1CBD"/>
    <w:rsid w:val="00BE1D08"/>
    <w:rsid w:val="00BE23C1"/>
    <w:rsid w:val="00BE2444"/>
    <w:rsid w:val="00BE2EB1"/>
    <w:rsid w:val="00BE326A"/>
    <w:rsid w:val="00BE32D1"/>
    <w:rsid w:val="00BE3477"/>
    <w:rsid w:val="00BE34DE"/>
    <w:rsid w:val="00BE3500"/>
    <w:rsid w:val="00BE35E9"/>
    <w:rsid w:val="00BE3682"/>
    <w:rsid w:val="00BE3B7C"/>
    <w:rsid w:val="00BE40A5"/>
    <w:rsid w:val="00BE47BF"/>
    <w:rsid w:val="00BE4EB0"/>
    <w:rsid w:val="00BE4F94"/>
    <w:rsid w:val="00BE52CB"/>
    <w:rsid w:val="00BE5374"/>
    <w:rsid w:val="00BE564E"/>
    <w:rsid w:val="00BE58A6"/>
    <w:rsid w:val="00BE58A7"/>
    <w:rsid w:val="00BE5E7D"/>
    <w:rsid w:val="00BE5F2B"/>
    <w:rsid w:val="00BE627A"/>
    <w:rsid w:val="00BE63FE"/>
    <w:rsid w:val="00BE6A62"/>
    <w:rsid w:val="00BE6A8E"/>
    <w:rsid w:val="00BE6B6B"/>
    <w:rsid w:val="00BE6CE8"/>
    <w:rsid w:val="00BE714B"/>
    <w:rsid w:val="00BE745C"/>
    <w:rsid w:val="00BE7D90"/>
    <w:rsid w:val="00BF03DD"/>
    <w:rsid w:val="00BF0A75"/>
    <w:rsid w:val="00BF0C4D"/>
    <w:rsid w:val="00BF1328"/>
    <w:rsid w:val="00BF1A74"/>
    <w:rsid w:val="00BF1DA7"/>
    <w:rsid w:val="00BF2272"/>
    <w:rsid w:val="00BF3024"/>
    <w:rsid w:val="00BF33CA"/>
    <w:rsid w:val="00BF3755"/>
    <w:rsid w:val="00BF39A8"/>
    <w:rsid w:val="00BF3B17"/>
    <w:rsid w:val="00BF3CFB"/>
    <w:rsid w:val="00BF4385"/>
    <w:rsid w:val="00BF46DC"/>
    <w:rsid w:val="00BF476C"/>
    <w:rsid w:val="00BF4A99"/>
    <w:rsid w:val="00BF53F1"/>
    <w:rsid w:val="00BF5658"/>
    <w:rsid w:val="00BF5806"/>
    <w:rsid w:val="00BF6226"/>
    <w:rsid w:val="00BF6556"/>
    <w:rsid w:val="00BF680C"/>
    <w:rsid w:val="00BF6A0A"/>
    <w:rsid w:val="00BF6A52"/>
    <w:rsid w:val="00BF6E03"/>
    <w:rsid w:val="00BF7222"/>
    <w:rsid w:val="00BF777B"/>
    <w:rsid w:val="00BF778C"/>
    <w:rsid w:val="00BF7C0B"/>
    <w:rsid w:val="00BF7C54"/>
    <w:rsid w:val="00BF7D58"/>
    <w:rsid w:val="00C00019"/>
    <w:rsid w:val="00C00331"/>
    <w:rsid w:val="00C003DD"/>
    <w:rsid w:val="00C00679"/>
    <w:rsid w:val="00C00824"/>
    <w:rsid w:val="00C00A31"/>
    <w:rsid w:val="00C00FA8"/>
    <w:rsid w:val="00C012EA"/>
    <w:rsid w:val="00C015F9"/>
    <w:rsid w:val="00C0185B"/>
    <w:rsid w:val="00C01A90"/>
    <w:rsid w:val="00C01D3A"/>
    <w:rsid w:val="00C01D5F"/>
    <w:rsid w:val="00C01DD6"/>
    <w:rsid w:val="00C02044"/>
    <w:rsid w:val="00C029C0"/>
    <w:rsid w:val="00C02FC1"/>
    <w:rsid w:val="00C0345A"/>
    <w:rsid w:val="00C03511"/>
    <w:rsid w:val="00C0367F"/>
    <w:rsid w:val="00C039CA"/>
    <w:rsid w:val="00C03FD3"/>
    <w:rsid w:val="00C041BD"/>
    <w:rsid w:val="00C04218"/>
    <w:rsid w:val="00C045C2"/>
    <w:rsid w:val="00C04903"/>
    <w:rsid w:val="00C04AC6"/>
    <w:rsid w:val="00C04B06"/>
    <w:rsid w:val="00C04C3A"/>
    <w:rsid w:val="00C04F58"/>
    <w:rsid w:val="00C04F87"/>
    <w:rsid w:val="00C051C0"/>
    <w:rsid w:val="00C05700"/>
    <w:rsid w:val="00C0585B"/>
    <w:rsid w:val="00C05DB2"/>
    <w:rsid w:val="00C05E6D"/>
    <w:rsid w:val="00C0616F"/>
    <w:rsid w:val="00C06389"/>
    <w:rsid w:val="00C065EB"/>
    <w:rsid w:val="00C06672"/>
    <w:rsid w:val="00C074CD"/>
    <w:rsid w:val="00C07B6C"/>
    <w:rsid w:val="00C10384"/>
    <w:rsid w:val="00C104AF"/>
    <w:rsid w:val="00C10557"/>
    <w:rsid w:val="00C107C3"/>
    <w:rsid w:val="00C10A6C"/>
    <w:rsid w:val="00C11175"/>
    <w:rsid w:val="00C112C3"/>
    <w:rsid w:val="00C11564"/>
    <w:rsid w:val="00C1163B"/>
    <w:rsid w:val="00C129E3"/>
    <w:rsid w:val="00C1330C"/>
    <w:rsid w:val="00C13520"/>
    <w:rsid w:val="00C137E9"/>
    <w:rsid w:val="00C13B07"/>
    <w:rsid w:val="00C13B25"/>
    <w:rsid w:val="00C143B6"/>
    <w:rsid w:val="00C14706"/>
    <w:rsid w:val="00C14AD1"/>
    <w:rsid w:val="00C14BFA"/>
    <w:rsid w:val="00C14F9B"/>
    <w:rsid w:val="00C14FAB"/>
    <w:rsid w:val="00C15046"/>
    <w:rsid w:val="00C1510F"/>
    <w:rsid w:val="00C15588"/>
    <w:rsid w:val="00C158BC"/>
    <w:rsid w:val="00C15C29"/>
    <w:rsid w:val="00C15E5D"/>
    <w:rsid w:val="00C15E7B"/>
    <w:rsid w:val="00C15F42"/>
    <w:rsid w:val="00C16004"/>
    <w:rsid w:val="00C1610B"/>
    <w:rsid w:val="00C1611D"/>
    <w:rsid w:val="00C164F0"/>
    <w:rsid w:val="00C166FB"/>
    <w:rsid w:val="00C16815"/>
    <w:rsid w:val="00C1699C"/>
    <w:rsid w:val="00C16C0E"/>
    <w:rsid w:val="00C16C9A"/>
    <w:rsid w:val="00C16F28"/>
    <w:rsid w:val="00C1730A"/>
    <w:rsid w:val="00C175E4"/>
    <w:rsid w:val="00C17655"/>
    <w:rsid w:val="00C17DF9"/>
    <w:rsid w:val="00C204FD"/>
    <w:rsid w:val="00C2050A"/>
    <w:rsid w:val="00C20994"/>
    <w:rsid w:val="00C209CF"/>
    <w:rsid w:val="00C20A8E"/>
    <w:rsid w:val="00C21201"/>
    <w:rsid w:val="00C21373"/>
    <w:rsid w:val="00C214D9"/>
    <w:rsid w:val="00C21E67"/>
    <w:rsid w:val="00C21F0B"/>
    <w:rsid w:val="00C2232A"/>
    <w:rsid w:val="00C22374"/>
    <w:rsid w:val="00C22532"/>
    <w:rsid w:val="00C22B6A"/>
    <w:rsid w:val="00C230AA"/>
    <w:rsid w:val="00C231D3"/>
    <w:rsid w:val="00C231E2"/>
    <w:rsid w:val="00C232E0"/>
    <w:rsid w:val="00C2390F"/>
    <w:rsid w:val="00C2397E"/>
    <w:rsid w:val="00C239C0"/>
    <w:rsid w:val="00C239FA"/>
    <w:rsid w:val="00C23ACB"/>
    <w:rsid w:val="00C23BD6"/>
    <w:rsid w:val="00C23D53"/>
    <w:rsid w:val="00C23D98"/>
    <w:rsid w:val="00C23EF6"/>
    <w:rsid w:val="00C242B5"/>
    <w:rsid w:val="00C2448E"/>
    <w:rsid w:val="00C247F5"/>
    <w:rsid w:val="00C24B5E"/>
    <w:rsid w:val="00C24CEA"/>
    <w:rsid w:val="00C24D01"/>
    <w:rsid w:val="00C24D18"/>
    <w:rsid w:val="00C24FF3"/>
    <w:rsid w:val="00C2534F"/>
    <w:rsid w:val="00C254E0"/>
    <w:rsid w:val="00C262E9"/>
    <w:rsid w:val="00C26524"/>
    <w:rsid w:val="00C26696"/>
    <w:rsid w:val="00C268F1"/>
    <w:rsid w:val="00C26E84"/>
    <w:rsid w:val="00C27270"/>
    <w:rsid w:val="00C30037"/>
    <w:rsid w:val="00C30058"/>
    <w:rsid w:val="00C301DF"/>
    <w:rsid w:val="00C306CB"/>
    <w:rsid w:val="00C307AC"/>
    <w:rsid w:val="00C30916"/>
    <w:rsid w:val="00C30A4E"/>
    <w:rsid w:val="00C30C1C"/>
    <w:rsid w:val="00C30CDD"/>
    <w:rsid w:val="00C31076"/>
    <w:rsid w:val="00C313B6"/>
    <w:rsid w:val="00C31543"/>
    <w:rsid w:val="00C315F5"/>
    <w:rsid w:val="00C317A2"/>
    <w:rsid w:val="00C3203B"/>
    <w:rsid w:val="00C32200"/>
    <w:rsid w:val="00C32480"/>
    <w:rsid w:val="00C326C1"/>
    <w:rsid w:val="00C32AC6"/>
    <w:rsid w:val="00C32B01"/>
    <w:rsid w:val="00C333AE"/>
    <w:rsid w:val="00C334FD"/>
    <w:rsid w:val="00C33CD0"/>
    <w:rsid w:val="00C34217"/>
    <w:rsid w:val="00C343FC"/>
    <w:rsid w:val="00C34436"/>
    <w:rsid w:val="00C34505"/>
    <w:rsid w:val="00C34860"/>
    <w:rsid w:val="00C34F5C"/>
    <w:rsid w:val="00C352B2"/>
    <w:rsid w:val="00C355FD"/>
    <w:rsid w:val="00C35C6A"/>
    <w:rsid w:val="00C35EED"/>
    <w:rsid w:val="00C35F55"/>
    <w:rsid w:val="00C3651F"/>
    <w:rsid w:val="00C36633"/>
    <w:rsid w:val="00C36BB8"/>
    <w:rsid w:val="00C36CAD"/>
    <w:rsid w:val="00C36E87"/>
    <w:rsid w:val="00C36E9D"/>
    <w:rsid w:val="00C370B0"/>
    <w:rsid w:val="00C37136"/>
    <w:rsid w:val="00C3749C"/>
    <w:rsid w:val="00C37BB0"/>
    <w:rsid w:val="00C37C86"/>
    <w:rsid w:val="00C37EC3"/>
    <w:rsid w:val="00C407A7"/>
    <w:rsid w:val="00C409EA"/>
    <w:rsid w:val="00C40B9F"/>
    <w:rsid w:val="00C40F33"/>
    <w:rsid w:val="00C4121A"/>
    <w:rsid w:val="00C412AE"/>
    <w:rsid w:val="00C412B1"/>
    <w:rsid w:val="00C4130E"/>
    <w:rsid w:val="00C4189E"/>
    <w:rsid w:val="00C418D8"/>
    <w:rsid w:val="00C424A2"/>
    <w:rsid w:val="00C42A73"/>
    <w:rsid w:val="00C42C39"/>
    <w:rsid w:val="00C42F7B"/>
    <w:rsid w:val="00C4320D"/>
    <w:rsid w:val="00C43A6B"/>
    <w:rsid w:val="00C43EEC"/>
    <w:rsid w:val="00C43F13"/>
    <w:rsid w:val="00C4436C"/>
    <w:rsid w:val="00C44371"/>
    <w:rsid w:val="00C444D5"/>
    <w:rsid w:val="00C44E8D"/>
    <w:rsid w:val="00C45174"/>
    <w:rsid w:val="00C457B8"/>
    <w:rsid w:val="00C45867"/>
    <w:rsid w:val="00C45AA4"/>
    <w:rsid w:val="00C45D4B"/>
    <w:rsid w:val="00C461B2"/>
    <w:rsid w:val="00C46533"/>
    <w:rsid w:val="00C4659E"/>
    <w:rsid w:val="00C466AB"/>
    <w:rsid w:val="00C46B9C"/>
    <w:rsid w:val="00C46C2A"/>
    <w:rsid w:val="00C46F83"/>
    <w:rsid w:val="00C47C8E"/>
    <w:rsid w:val="00C50071"/>
    <w:rsid w:val="00C50135"/>
    <w:rsid w:val="00C50465"/>
    <w:rsid w:val="00C5063C"/>
    <w:rsid w:val="00C508C1"/>
    <w:rsid w:val="00C50B8B"/>
    <w:rsid w:val="00C50D33"/>
    <w:rsid w:val="00C50E57"/>
    <w:rsid w:val="00C50F6C"/>
    <w:rsid w:val="00C513BC"/>
    <w:rsid w:val="00C5140C"/>
    <w:rsid w:val="00C516A5"/>
    <w:rsid w:val="00C51783"/>
    <w:rsid w:val="00C51872"/>
    <w:rsid w:val="00C51884"/>
    <w:rsid w:val="00C51C59"/>
    <w:rsid w:val="00C51FFF"/>
    <w:rsid w:val="00C5233A"/>
    <w:rsid w:val="00C523F5"/>
    <w:rsid w:val="00C52512"/>
    <w:rsid w:val="00C5294E"/>
    <w:rsid w:val="00C52AE0"/>
    <w:rsid w:val="00C52B84"/>
    <w:rsid w:val="00C52F1E"/>
    <w:rsid w:val="00C52FD1"/>
    <w:rsid w:val="00C53230"/>
    <w:rsid w:val="00C53479"/>
    <w:rsid w:val="00C53565"/>
    <w:rsid w:val="00C5359B"/>
    <w:rsid w:val="00C53AF7"/>
    <w:rsid w:val="00C54010"/>
    <w:rsid w:val="00C547B7"/>
    <w:rsid w:val="00C54856"/>
    <w:rsid w:val="00C54CA0"/>
    <w:rsid w:val="00C54E5D"/>
    <w:rsid w:val="00C54ECD"/>
    <w:rsid w:val="00C54FC4"/>
    <w:rsid w:val="00C55360"/>
    <w:rsid w:val="00C554B5"/>
    <w:rsid w:val="00C55A5E"/>
    <w:rsid w:val="00C55ECD"/>
    <w:rsid w:val="00C55F89"/>
    <w:rsid w:val="00C56222"/>
    <w:rsid w:val="00C569B5"/>
    <w:rsid w:val="00C56BE2"/>
    <w:rsid w:val="00C56EF2"/>
    <w:rsid w:val="00C5700D"/>
    <w:rsid w:val="00C570A6"/>
    <w:rsid w:val="00C5733D"/>
    <w:rsid w:val="00C57674"/>
    <w:rsid w:val="00C579F3"/>
    <w:rsid w:val="00C57B9C"/>
    <w:rsid w:val="00C57BAB"/>
    <w:rsid w:val="00C57F18"/>
    <w:rsid w:val="00C60051"/>
    <w:rsid w:val="00C600B3"/>
    <w:rsid w:val="00C600D9"/>
    <w:rsid w:val="00C6053A"/>
    <w:rsid w:val="00C60C6F"/>
    <w:rsid w:val="00C60D19"/>
    <w:rsid w:val="00C60DE1"/>
    <w:rsid w:val="00C60F2C"/>
    <w:rsid w:val="00C61464"/>
    <w:rsid w:val="00C623E8"/>
    <w:rsid w:val="00C62567"/>
    <w:rsid w:val="00C62949"/>
    <w:rsid w:val="00C62B28"/>
    <w:rsid w:val="00C62BD9"/>
    <w:rsid w:val="00C62FA0"/>
    <w:rsid w:val="00C631BF"/>
    <w:rsid w:val="00C632D4"/>
    <w:rsid w:val="00C633AC"/>
    <w:rsid w:val="00C635D2"/>
    <w:rsid w:val="00C63BF7"/>
    <w:rsid w:val="00C64688"/>
    <w:rsid w:val="00C64B99"/>
    <w:rsid w:val="00C65209"/>
    <w:rsid w:val="00C654B7"/>
    <w:rsid w:val="00C65577"/>
    <w:rsid w:val="00C6562F"/>
    <w:rsid w:val="00C65641"/>
    <w:rsid w:val="00C65992"/>
    <w:rsid w:val="00C65B25"/>
    <w:rsid w:val="00C65E9E"/>
    <w:rsid w:val="00C65F3C"/>
    <w:rsid w:val="00C6607D"/>
    <w:rsid w:val="00C66191"/>
    <w:rsid w:val="00C66277"/>
    <w:rsid w:val="00C66FF3"/>
    <w:rsid w:val="00C66FFB"/>
    <w:rsid w:val="00C679BE"/>
    <w:rsid w:val="00C67E70"/>
    <w:rsid w:val="00C67E8E"/>
    <w:rsid w:val="00C67EF4"/>
    <w:rsid w:val="00C70008"/>
    <w:rsid w:val="00C7027B"/>
    <w:rsid w:val="00C7047E"/>
    <w:rsid w:val="00C706A2"/>
    <w:rsid w:val="00C706B8"/>
    <w:rsid w:val="00C70825"/>
    <w:rsid w:val="00C7097D"/>
    <w:rsid w:val="00C7117B"/>
    <w:rsid w:val="00C71384"/>
    <w:rsid w:val="00C7149F"/>
    <w:rsid w:val="00C71B16"/>
    <w:rsid w:val="00C71C33"/>
    <w:rsid w:val="00C71D8D"/>
    <w:rsid w:val="00C72177"/>
    <w:rsid w:val="00C72359"/>
    <w:rsid w:val="00C72370"/>
    <w:rsid w:val="00C7289C"/>
    <w:rsid w:val="00C73109"/>
    <w:rsid w:val="00C7342C"/>
    <w:rsid w:val="00C737CE"/>
    <w:rsid w:val="00C739E9"/>
    <w:rsid w:val="00C73A54"/>
    <w:rsid w:val="00C73D49"/>
    <w:rsid w:val="00C73DBB"/>
    <w:rsid w:val="00C7412A"/>
    <w:rsid w:val="00C741C7"/>
    <w:rsid w:val="00C743B5"/>
    <w:rsid w:val="00C744A4"/>
    <w:rsid w:val="00C74761"/>
    <w:rsid w:val="00C74B8C"/>
    <w:rsid w:val="00C74C8B"/>
    <w:rsid w:val="00C74CBF"/>
    <w:rsid w:val="00C7519D"/>
    <w:rsid w:val="00C75312"/>
    <w:rsid w:val="00C75314"/>
    <w:rsid w:val="00C75366"/>
    <w:rsid w:val="00C753AF"/>
    <w:rsid w:val="00C756F8"/>
    <w:rsid w:val="00C75899"/>
    <w:rsid w:val="00C75BA8"/>
    <w:rsid w:val="00C75CF8"/>
    <w:rsid w:val="00C761AC"/>
    <w:rsid w:val="00C76613"/>
    <w:rsid w:val="00C76917"/>
    <w:rsid w:val="00C76AD3"/>
    <w:rsid w:val="00C76F6C"/>
    <w:rsid w:val="00C7739A"/>
    <w:rsid w:val="00C773BB"/>
    <w:rsid w:val="00C773F8"/>
    <w:rsid w:val="00C777C4"/>
    <w:rsid w:val="00C778B6"/>
    <w:rsid w:val="00C77A74"/>
    <w:rsid w:val="00C77E56"/>
    <w:rsid w:val="00C800D3"/>
    <w:rsid w:val="00C80352"/>
    <w:rsid w:val="00C803EB"/>
    <w:rsid w:val="00C8050C"/>
    <w:rsid w:val="00C80651"/>
    <w:rsid w:val="00C8067F"/>
    <w:rsid w:val="00C80908"/>
    <w:rsid w:val="00C80BA0"/>
    <w:rsid w:val="00C80BDA"/>
    <w:rsid w:val="00C81022"/>
    <w:rsid w:val="00C81487"/>
    <w:rsid w:val="00C821F3"/>
    <w:rsid w:val="00C8268F"/>
    <w:rsid w:val="00C82714"/>
    <w:rsid w:val="00C827A1"/>
    <w:rsid w:val="00C827EE"/>
    <w:rsid w:val="00C82862"/>
    <w:rsid w:val="00C82A74"/>
    <w:rsid w:val="00C82DDB"/>
    <w:rsid w:val="00C830CD"/>
    <w:rsid w:val="00C83535"/>
    <w:rsid w:val="00C838F3"/>
    <w:rsid w:val="00C83D84"/>
    <w:rsid w:val="00C840C7"/>
    <w:rsid w:val="00C8413A"/>
    <w:rsid w:val="00C843F2"/>
    <w:rsid w:val="00C844A2"/>
    <w:rsid w:val="00C84B5C"/>
    <w:rsid w:val="00C84D38"/>
    <w:rsid w:val="00C84E01"/>
    <w:rsid w:val="00C84E96"/>
    <w:rsid w:val="00C85561"/>
    <w:rsid w:val="00C856C6"/>
    <w:rsid w:val="00C85AC0"/>
    <w:rsid w:val="00C85EA4"/>
    <w:rsid w:val="00C86182"/>
    <w:rsid w:val="00C862E6"/>
    <w:rsid w:val="00C86358"/>
    <w:rsid w:val="00C86642"/>
    <w:rsid w:val="00C86AB0"/>
    <w:rsid w:val="00C86D59"/>
    <w:rsid w:val="00C87436"/>
    <w:rsid w:val="00C8752B"/>
    <w:rsid w:val="00C879B4"/>
    <w:rsid w:val="00C87A3C"/>
    <w:rsid w:val="00C87F8D"/>
    <w:rsid w:val="00C90038"/>
    <w:rsid w:val="00C9010C"/>
    <w:rsid w:val="00C90487"/>
    <w:rsid w:val="00C90678"/>
    <w:rsid w:val="00C906E6"/>
    <w:rsid w:val="00C90A7C"/>
    <w:rsid w:val="00C90B9D"/>
    <w:rsid w:val="00C90CB9"/>
    <w:rsid w:val="00C90E6B"/>
    <w:rsid w:val="00C9105C"/>
    <w:rsid w:val="00C911D4"/>
    <w:rsid w:val="00C912D6"/>
    <w:rsid w:val="00C91436"/>
    <w:rsid w:val="00C914F6"/>
    <w:rsid w:val="00C91651"/>
    <w:rsid w:val="00C917A4"/>
    <w:rsid w:val="00C91A9D"/>
    <w:rsid w:val="00C92047"/>
    <w:rsid w:val="00C922A2"/>
    <w:rsid w:val="00C92568"/>
    <w:rsid w:val="00C92E24"/>
    <w:rsid w:val="00C92E74"/>
    <w:rsid w:val="00C92FC4"/>
    <w:rsid w:val="00C9323F"/>
    <w:rsid w:val="00C9340B"/>
    <w:rsid w:val="00C9364E"/>
    <w:rsid w:val="00C93D1A"/>
    <w:rsid w:val="00C93D28"/>
    <w:rsid w:val="00C93F54"/>
    <w:rsid w:val="00C940EE"/>
    <w:rsid w:val="00C9442C"/>
    <w:rsid w:val="00C944CE"/>
    <w:rsid w:val="00C94709"/>
    <w:rsid w:val="00C94862"/>
    <w:rsid w:val="00C94904"/>
    <w:rsid w:val="00C94D65"/>
    <w:rsid w:val="00C94EC4"/>
    <w:rsid w:val="00C950EE"/>
    <w:rsid w:val="00C95383"/>
    <w:rsid w:val="00C955B2"/>
    <w:rsid w:val="00C96359"/>
    <w:rsid w:val="00C96412"/>
    <w:rsid w:val="00C965C3"/>
    <w:rsid w:val="00C96ED1"/>
    <w:rsid w:val="00C97058"/>
    <w:rsid w:val="00C97223"/>
    <w:rsid w:val="00C97248"/>
    <w:rsid w:val="00C973E3"/>
    <w:rsid w:val="00C97468"/>
    <w:rsid w:val="00C97CEE"/>
    <w:rsid w:val="00C97E7E"/>
    <w:rsid w:val="00C97F47"/>
    <w:rsid w:val="00C97F82"/>
    <w:rsid w:val="00CA053E"/>
    <w:rsid w:val="00CA05EE"/>
    <w:rsid w:val="00CA0B52"/>
    <w:rsid w:val="00CA0C41"/>
    <w:rsid w:val="00CA0CDE"/>
    <w:rsid w:val="00CA11CB"/>
    <w:rsid w:val="00CA13A8"/>
    <w:rsid w:val="00CA165B"/>
    <w:rsid w:val="00CA19BB"/>
    <w:rsid w:val="00CA1BAF"/>
    <w:rsid w:val="00CA1E87"/>
    <w:rsid w:val="00CA2014"/>
    <w:rsid w:val="00CA2139"/>
    <w:rsid w:val="00CA227A"/>
    <w:rsid w:val="00CA22DE"/>
    <w:rsid w:val="00CA23FA"/>
    <w:rsid w:val="00CA254E"/>
    <w:rsid w:val="00CA26EA"/>
    <w:rsid w:val="00CA2913"/>
    <w:rsid w:val="00CA2930"/>
    <w:rsid w:val="00CA297B"/>
    <w:rsid w:val="00CA29E7"/>
    <w:rsid w:val="00CA2D85"/>
    <w:rsid w:val="00CA2FB2"/>
    <w:rsid w:val="00CA309E"/>
    <w:rsid w:val="00CA3220"/>
    <w:rsid w:val="00CA3691"/>
    <w:rsid w:val="00CA3D3A"/>
    <w:rsid w:val="00CA3F76"/>
    <w:rsid w:val="00CA40C8"/>
    <w:rsid w:val="00CA4197"/>
    <w:rsid w:val="00CA42BE"/>
    <w:rsid w:val="00CA42D6"/>
    <w:rsid w:val="00CA43B2"/>
    <w:rsid w:val="00CA449A"/>
    <w:rsid w:val="00CA490C"/>
    <w:rsid w:val="00CA4984"/>
    <w:rsid w:val="00CA498C"/>
    <w:rsid w:val="00CA4E41"/>
    <w:rsid w:val="00CA524A"/>
    <w:rsid w:val="00CA528A"/>
    <w:rsid w:val="00CA550A"/>
    <w:rsid w:val="00CA581E"/>
    <w:rsid w:val="00CA5C63"/>
    <w:rsid w:val="00CA617D"/>
    <w:rsid w:val="00CA61B1"/>
    <w:rsid w:val="00CA6256"/>
    <w:rsid w:val="00CA671C"/>
    <w:rsid w:val="00CA678C"/>
    <w:rsid w:val="00CA67CF"/>
    <w:rsid w:val="00CA68D9"/>
    <w:rsid w:val="00CA6AAF"/>
    <w:rsid w:val="00CA6C58"/>
    <w:rsid w:val="00CA6D72"/>
    <w:rsid w:val="00CA6FA4"/>
    <w:rsid w:val="00CA707F"/>
    <w:rsid w:val="00CA73E1"/>
    <w:rsid w:val="00CA756B"/>
    <w:rsid w:val="00CA78F0"/>
    <w:rsid w:val="00CA7B25"/>
    <w:rsid w:val="00CB0348"/>
    <w:rsid w:val="00CB0516"/>
    <w:rsid w:val="00CB1388"/>
    <w:rsid w:val="00CB15E9"/>
    <w:rsid w:val="00CB1874"/>
    <w:rsid w:val="00CB1E77"/>
    <w:rsid w:val="00CB230C"/>
    <w:rsid w:val="00CB26BC"/>
    <w:rsid w:val="00CB2A0A"/>
    <w:rsid w:val="00CB2A99"/>
    <w:rsid w:val="00CB2BD5"/>
    <w:rsid w:val="00CB2D19"/>
    <w:rsid w:val="00CB2E28"/>
    <w:rsid w:val="00CB34DA"/>
    <w:rsid w:val="00CB37CA"/>
    <w:rsid w:val="00CB39FB"/>
    <w:rsid w:val="00CB3AAF"/>
    <w:rsid w:val="00CB3C56"/>
    <w:rsid w:val="00CB4586"/>
    <w:rsid w:val="00CB466C"/>
    <w:rsid w:val="00CB4872"/>
    <w:rsid w:val="00CB4AF5"/>
    <w:rsid w:val="00CB5247"/>
    <w:rsid w:val="00CB52B0"/>
    <w:rsid w:val="00CB5B68"/>
    <w:rsid w:val="00CB5BB8"/>
    <w:rsid w:val="00CB5C55"/>
    <w:rsid w:val="00CB61E5"/>
    <w:rsid w:val="00CB63A6"/>
    <w:rsid w:val="00CB6DCE"/>
    <w:rsid w:val="00CB6FEB"/>
    <w:rsid w:val="00CB74AA"/>
    <w:rsid w:val="00CB7581"/>
    <w:rsid w:val="00CB7611"/>
    <w:rsid w:val="00CB776B"/>
    <w:rsid w:val="00CB7865"/>
    <w:rsid w:val="00CB78BD"/>
    <w:rsid w:val="00CB7A12"/>
    <w:rsid w:val="00CB7BDD"/>
    <w:rsid w:val="00CC0020"/>
    <w:rsid w:val="00CC0196"/>
    <w:rsid w:val="00CC04EE"/>
    <w:rsid w:val="00CC0DB3"/>
    <w:rsid w:val="00CC1142"/>
    <w:rsid w:val="00CC1523"/>
    <w:rsid w:val="00CC16A8"/>
    <w:rsid w:val="00CC1D1A"/>
    <w:rsid w:val="00CC24ED"/>
    <w:rsid w:val="00CC2A22"/>
    <w:rsid w:val="00CC31F2"/>
    <w:rsid w:val="00CC3D80"/>
    <w:rsid w:val="00CC3FD7"/>
    <w:rsid w:val="00CC4323"/>
    <w:rsid w:val="00CC46BA"/>
    <w:rsid w:val="00CC4D2C"/>
    <w:rsid w:val="00CC4FEF"/>
    <w:rsid w:val="00CC50FB"/>
    <w:rsid w:val="00CC5569"/>
    <w:rsid w:val="00CC58C8"/>
    <w:rsid w:val="00CC5956"/>
    <w:rsid w:val="00CC5A66"/>
    <w:rsid w:val="00CC5A9F"/>
    <w:rsid w:val="00CC5B13"/>
    <w:rsid w:val="00CC6260"/>
    <w:rsid w:val="00CC6AB1"/>
    <w:rsid w:val="00CC7B42"/>
    <w:rsid w:val="00CD024A"/>
    <w:rsid w:val="00CD04D1"/>
    <w:rsid w:val="00CD06DD"/>
    <w:rsid w:val="00CD06E1"/>
    <w:rsid w:val="00CD0C11"/>
    <w:rsid w:val="00CD0E42"/>
    <w:rsid w:val="00CD1157"/>
    <w:rsid w:val="00CD1309"/>
    <w:rsid w:val="00CD1381"/>
    <w:rsid w:val="00CD1404"/>
    <w:rsid w:val="00CD19A9"/>
    <w:rsid w:val="00CD1A0F"/>
    <w:rsid w:val="00CD1AC9"/>
    <w:rsid w:val="00CD1DA9"/>
    <w:rsid w:val="00CD213F"/>
    <w:rsid w:val="00CD2947"/>
    <w:rsid w:val="00CD2950"/>
    <w:rsid w:val="00CD2BEF"/>
    <w:rsid w:val="00CD3C98"/>
    <w:rsid w:val="00CD3E1A"/>
    <w:rsid w:val="00CD3E76"/>
    <w:rsid w:val="00CD3EA4"/>
    <w:rsid w:val="00CD41DE"/>
    <w:rsid w:val="00CD4826"/>
    <w:rsid w:val="00CD485B"/>
    <w:rsid w:val="00CD4923"/>
    <w:rsid w:val="00CD4AA8"/>
    <w:rsid w:val="00CD4D87"/>
    <w:rsid w:val="00CD4FF4"/>
    <w:rsid w:val="00CD534E"/>
    <w:rsid w:val="00CD5557"/>
    <w:rsid w:val="00CD572B"/>
    <w:rsid w:val="00CD5739"/>
    <w:rsid w:val="00CD57CA"/>
    <w:rsid w:val="00CD5AB8"/>
    <w:rsid w:val="00CD5C8D"/>
    <w:rsid w:val="00CD5D7C"/>
    <w:rsid w:val="00CD5E43"/>
    <w:rsid w:val="00CD64C5"/>
    <w:rsid w:val="00CD70EC"/>
    <w:rsid w:val="00CD7168"/>
    <w:rsid w:val="00CD72DD"/>
    <w:rsid w:val="00CD74F6"/>
    <w:rsid w:val="00CD75F1"/>
    <w:rsid w:val="00CD7634"/>
    <w:rsid w:val="00CD773E"/>
    <w:rsid w:val="00CD78EC"/>
    <w:rsid w:val="00CD7B5F"/>
    <w:rsid w:val="00CD7F49"/>
    <w:rsid w:val="00CE0305"/>
    <w:rsid w:val="00CE0325"/>
    <w:rsid w:val="00CE0440"/>
    <w:rsid w:val="00CE04EE"/>
    <w:rsid w:val="00CE0511"/>
    <w:rsid w:val="00CE06F2"/>
    <w:rsid w:val="00CE088A"/>
    <w:rsid w:val="00CE0A0B"/>
    <w:rsid w:val="00CE0F68"/>
    <w:rsid w:val="00CE0F7E"/>
    <w:rsid w:val="00CE1008"/>
    <w:rsid w:val="00CE1022"/>
    <w:rsid w:val="00CE11CE"/>
    <w:rsid w:val="00CE12E1"/>
    <w:rsid w:val="00CE2718"/>
    <w:rsid w:val="00CE28E3"/>
    <w:rsid w:val="00CE2A33"/>
    <w:rsid w:val="00CE2EB3"/>
    <w:rsid w:val="00CE34DD"/>
    <w:rsid w:val="00CE3B8A"/>
    <w:rsid w:val="00CE3CB8"/>
    <w:rsid w:val="00CE3DAC"/>
    <w:rsid w:val="00CE3DFD"/>
    <w:rsid w:val="00CE444E"/>
    <w:rsid w:val="00CE4BAC"/>
    <w:rsid w:val="00CE4F0F"/>
    <w:rsid w:val="00CE59D7"/>
    <w:rsid w:val="00CE5A72"/>
    <w:rsid w:val="00CE5C61"/>
    <w:rsid w:val="00CE5C78"/>
    <w:rsid w:val="00CE5D00"/>
    <w:rsid w:val="00CE5D46"/>
    <w:rsid w:val="00CE5D5E"/>
    <w:rsid w:val="00CE5FBB"/>
    <w:rsid w:val="00CE5FF5"/>
    <w:rsid w:val="00CE621F"/>
    <w:rsid w:val="00CE64E4"/>
    <w:rsid w:val="00CE6D13"/>
    <w:rsid w:val="00CE71D1"/>
    <w:rsid w:val="00CE7528"/>
    <w:rsid w:val="00CE75A5"/>
    <w:rsid w:val="00CE75AD"/>
    <w:rsid w:val="00CE774F"/>
    <w:rsid w:val="00CE78A7"/>
    <w:rsid w:val="00CE7A18"/>
    <w:rsid w:val="00CE7C90"/>
    <w:rsid w:val="00CE7E37"/>
    <w:rsid w:val="00CF01AA"/>
    <w:rsid w:val="00CF026F"/>
    <w:rsid w:val="00CF0369"/>
    <w:rsid w:val="00CF040E"/>
    <w:rsid w:val="00CF10B7"/>
    <w:rsid w:val="00CF14D4"/>
    <w:rsid w:val="00CF1A2D"/>
    <w:rsid w:val="00CF1C07"/>
    <w:rsid w:val="00CF1DEE"/>
    <w:rsid w:val="00CF251D"/>
    <w:rsid w:val="00CF25F0"/>
    <w:rsid w:val="00CF272D"/>
    <w:rsid w:val="00CF2913"/>
    <w:rsid w:val="00CF2BD1"/>
    <w:rsid w:val="00CF2BE0"/>
    <w:rsid w:val="00CF3141"/>
    <w:rsid w:val="00CF3264"/>
    <w:rsid w:val="00CF3393"/>
    <w:rsid w:val="00CF3923"/>
    <w:rsid w:val="00CF3B95"/>
    <w:rsid w:val="00CF435D"/>
    <w:rsid w:val="00CF439F"/>
    <w:rsid w:val="00CF492F"/>
    <w:rsid w:val="00CF51D3"/>
    <w:rsid w:val="00CF5358"/>
    <w:rsid w:val="00CF5730"/>
    <w:rsid w:val="00CF58E6"/>
    <w:rsid w:val="00CF5BFA"/>
    <w:rsid w:val="00CF5C95"/>
    <w:rsid w:val="00CF622D"/>
    <w:rsid w:val="00CF63F2"/>
    <w:rsid w:val="00CF661D"/>
    <w:rsid w:val="00CF6CE3"/>
    <w:rsid w:val="00CF70C1"/>
    <w:rsid w:val="00CF7120"/>
    <w:rsid w:val="00CF724C"/>
    <w:rsid w:val="00CF77DC"/>
    <w:rsid w:val="00CF7904"/>
    <w:rsid w:val="00CF7CA5"/>
    <w:rsid w:val="00CF7CE1"/>
    <w:rsid w:val="00CF7FF3"/>
    <w:rsid w:val="00D001B4"/>
    <w:rsid w:val="00D002B1"/>
    <w:rsid w:val="00D00366"/>
    <w:rsid w:val="00D003B7"/>
    <w:rsid w:val="00D006EC"/>
    <w:rsid w:val="00D006EF"/>
    <w:rsid w:val="00D00701"/>
    <w:rsid w:val="00D009BE"/>
    <w:rsid w:val="00D00C8C"/>
    <w:rsid w:val="00D00E36"/>
    <w:rsid w:val="00D011B4"/>
    <w:rsid w:val="00D01278"/>
    <w:rsid w:val="00D01669"/>
    <w:rsid w:val="00D0184A"/>
    <w:rsid w:val="00D019D6"/>
    <w:rsid w:val="00D01A23"/>
    <w:rsid w:val="00D01B69"/>
    <w:rsid w:val="00D01F79"/>
    <w:rsid w:val="00D02004"/>
    <w:rsid w:val="00D0214B"/>
    <w:rsid w:val="00D025BD"/>
    <w:rsid w:val="00D0282D"/>
    <w:rsid w:val="00D02891"/>
    <w:rsid w:val="00D028B0"/>
    <w:rsid w:val="00D02BDA"/>
    <w:rsid w:val="00D02D9A"/>
    <w:rsid w:val="00D02E87"/>
    <w:rsid w:val="00D02EDD"/>
    <w:rsid w:val="00D02F4F"/>
    <w:rsid w:val="00D03249"/>
    <w:rsid w:val="00D033A9"/>
    <w:rsid w:val="00D0352F"/>
    <w:rsid w:val="00D037B9"/>
    <w:rsid w:val="00D03F62"/>
    <w:rsid w:val="00D04387"/>
    <w:rsid w:val="00D04CB3"/>
    <w:rsid w:val="00D04CB8"/>
    <w:rsid w:val="00D04DE5"/>
    <w:rsid w:val="00D05088"/>
    <w:rsid w:val="00D052B3"/>
    <w:rsid w:val="00D0584E"/>
    <w:rsid w:val="00D06359"/>
    <w:rsid w:val="00D063A4"/>
    <w:rsid w:val="00D0652C"/>
    <w:rsid w:val="00D06925"/>
    <w:rsid w:val="00D06972"/>
    <w:rsid w:val="00D06E52"/>
    <w:rsid w:val="00D07080"/>
    <w:rsid w:val="00D07149"/>
    <w:rsid w:val="00D0799B"/>
    <w:rsid w:val="00D0799E"/>
    <w:rsid w:val="00D07E87"/>
    <w:rsid w:val="00D102F8"/>
    <w:rsid w:val="00D104DE"/>
    <w:rsid w:val="00D10895"/>
    <w:rsid w:val="00D10AEB"/>
    <w:rsid w:val="00D10C39"/>
    <w:rsid w:val="00D10C57"/>
    <w:rsid w:val="00D11206"/>
    <w:rsid w:val="00D112E9"/>
    <w:rsid w:val="00D11BE1"/>
    <w:rsid w:val="00D11BF0"/>
    <w:rsid w:val="00D11E39"/>
    <w:rsid w:val="00D12566"/>
    <w:rsid w:val="00D1256A"/>
    <w:rsid w:val="00D1269C"/>
    <w:rsid w:val="00D129C7"/>
    <w:rsid w:val="00D12CD8"/>
    <w:rsid w:val="00D12F08"/>
    <w:rsid w:val="00D1332D"/>
    <w:rsid w:val="00D13527"/>
    <w:rsid w:val="00D13559"/>
    <w:rsid w:val="00D1377F"/>
    <w:rsid w:val="00D13919"/>
    <w:rsid w:val="00D13C47"/>
    <w:rsid w:val="00D14010"/>
    <w:rsid w:val="00D14540"/>
    <w:rsid w:val="00D14E59"/>
    <w:rsid w:val="00D14F14"/>
    <w:rsid w:val="00D1520C"/>
    <w:rsid w:val="00D152F5"/>
    <w:rsid w:val="00D15560"/>
    <w:rsid w:val="00D15795"/>
    <w:rsid w:val="00D15826"/>
    <w:rsid w:val="00D16005"/>
    <w:rsid w:val="00D16206"/>
    <w:rsid w:val="00D1651C"/>
    <w:rsid w:val="00D16BBC"/>
    <w:rsid w:val="00D16C59"/>
    <w:rsid w:val="00D16C5C"/>
    <w:rsid w:val="00D16F88"/>
    <w:rsid w:val="00D1747E"/>
    <w:rsid w:val="00D17609"/>
    <w:rsid w:val="00D17670"/>
    <w:rsid w:val="00D176AB"/>
    <w:rsid w:val="00D17957"/>
    <w:rsid w:val="00D17B02"/>
    <w:rsid w:val="00D17E31"/>
    <w:rsid w:val="00D17EDE"/>
    <w:rsid w:val="00D17EFC"/>
    <w:rsid w:val="00D17FB8"/>
    <w:rsid w:val="00D20031"/>
    <w:rsid w:val="00D20204"/>
    <w:rsid w:val="00D20363"/>
    <w:rsid w:val="00D20461"/>
    <w:rsid w:val="00D206AB"/>
    <w:rsid w:val="00D206E9"/>
    <w:rsid w:val="00D2084D"/>
    <w:rsid w:val="00D2097A"/>
    <w:rsid w:val="00D20980"/>
    <w:rsid w:val="00D20E59"/>
    <w:rsid w:val="00D20E77"/>
    <w:rsid w:val="00D218A3"/>
    <w:rsid w:val="00D21930"/>
    <w:rsid w:val="00D21CED"/>
    <w:rsid w:val="00D2248C"/>
    <w:rsid w:val="00D224CA"/>
    <w:rsid w:val="00D2276C"/>
    <w:rsid w:val="00D229EB"/>
    <w:rsid w:val="00D22B50"/>
    <w:rsid w:val="00D22F79"/>
    <w:rsid w:val="00D23078"/>
    <w:rsid w:val="00D23113"/>
    <w:rsid w:val="00D2316E"/>
    <w:rsid w:val="00D233B5"/>
    <w:rsid w:val="00D235BF"/>
    <w:rsid w:val="00D23B2F"/>
    <w:rsid w:val="00D23D4C"/>
    <w:rsid w:val="00D244E5"/>
    <w:rsid w:val="00D24595"/>
    <w:rsid w:val="00D245ED"/>
    <w:rsid w:val="00D24925"/>
    <w:rsid w:val="00D24B30"/>
    <w:rsid w:val="00D24E31"/>
    <w:rsid w:val="00D2527A"/>
    <w:rsid w:val="00D256C7"/>
    <w:rsid w:val="00D2584E"/>
    <w:rsid w:val="00D25CDB"/>
    <w:rsid w:val="00D25D24"/>
    <w:rsid w:val="00D25EAA"/>
    <w:rsid w:val="00D26085"/>
    <w:rsid w:val="00D262F9"/>
    <w:rsid w:val="00D2646F"/>
    <w:rsid w:val="00D267FE"/>
    <w:rsid w:val="00D2684D"/>
    <w:rsid w:val="00D26942"/>
    <w:rsid w:val="00D26AE9"/>
    <w:rsid w:val="00D26B17"/>
    <w:rsid w:val="00D26D01"/>
    <w:rsid w:val="00D26D3E"/>
    <w:rsid w:val="00D26EA0"/>
    <w:rsid w:val="00D27193"/>
    <w:rsid w:val="00D27648"/>
    <w:rsid w:val="00D27703"/>
    <w:rsid w:val="00D27820"/>
    <w:rsid w:val="00D27E22"/>
    <w:rsid w:val="00D302A9"/>
    <w:rsid w:val="00D302D7"/>
    <w:rsid w:val="00D3043B"/>
    <w:rsid w:val="00D30A38"/>
    <w:rsid w:val="00D30CC2"/>
    <w:rsid w:val="00D313B3"/>
    <w:rsid w:val="00D315AE"/>
    <w:rsid w:val="00D31A4A"/>
    <w:rsid w:val="00D31D84"/>
    <w:rsid w:val="00D31DF6"/>
    <w:rsid w:val="00D3292B"/>
    <w:rsid w:val="00D32A03"/>
    <w:rsid w:val="00D32C97"/>
    <w:rsid w:val="00D32D86"/>
    <w:rsid w:val="00D32F5A"/>
    <w:rsid w:val="00D32FE1"/>
    <w:rsid w:val="00D33528"/>
    <w:rsid w:val="00D337E2"/>
    <w:rsid w:val="00D33F02"/>
    <w:rsid w:val="00D34433"/>
    <w:rsid w:val="00D3444B"/>
    <w:rsid w:val="00D34540"/>
    <w:rsid w:val="00D34589"/>
    <w:rsid w:val="00D34B82"/>
    <w:rsid w:val="00D34EC5"/>
    <w:rsid w:val="00D350F5"/>
    <w:rsid w:val="00D352B0"/>
    <w:rsid w:val="00D358F7"/>
    <w:rsid w:val="00D358FF"/>
    <w:rsid w:val="00D35943"/>
    <w:rsid w:val="00D35BD2"/>
    <w:rsid w:val="00D35F82"/>
    <w:rsid w:val="00D36376"/>
    <w:rsid w:val="00D36533"/>
    <w:rsid w:val="00D366C5"/>
    <w:rsid w:val="00D368D4"/>
    <w:rsid w:val="00D36CCA"/>
    <w:rsid w:val="00D36E67"/>
    <w:rsid w:val="00D36EA4"/>
    <w:rsid w:val="00D36F09"/>
    <w:rsid w:val="00D3724C"/>
    <w:rsid w:val="00D37357"/>
    <w:rsid w:val="00D3767A"/>
    <w:rsid w:val="00D377F1"/>
    <w:rsid w:val="00D37B41"/>
    <w:rsid w:val="00D37DE2"/>
    <w:rsid w:val="00D37EF5"/>
    <w:rsid w:val="00D400D1"/>
    <w:rsid w:val="00D402D8"/>
    <w:rsid w:val="00D402F7"/>
    <w:rsid w:val="00D40365"/>
    <w:rsid w:val="00D404BB"/>
    <w:rsid w:val="00D4092A"/>
    <w:rsid w:val="00D40F33"/>
    <w:rsid w:val="00D419C9"/>
    <w:rsid w:val="00D41AAB"/>
    <w:rsid w:val="00D41E03"/>
    <w:rsid w:val="00D420CD"/>
    <w:rsid w:val="00D428B9"/>
    <w:rsid w:val="00D42904"/>
    <w:rsid w:val="00D42C37"/>
    <w:rsid w:val="00D4303F"/>
    <w:rsid w:val="00D43246"/>
    <w:rsid w:val="00D432BA"/>
    <w:rsid w:val="00D4378B"/>
    <w:rsid w:val="00D43E9F"/>
    <w:rsid w:val="00D44099"/>
    <w:rsid w:val="00D441BE"/>
    <w:rsid w:val="00D44207"/>
    <w:rsid w:val="00D445E5"/>
    <w:rsid w:val="00D4464C"/>
    <w:rsid w:val="00D44887"/>
    <w:rsid w:val="00D44AFE"/>
    <w:rsid w:val="00D44F8B"/>
    <w:rsid w:val="00D450F7"/>
    <w:rsid w:val="00D4556B"/>
    <w:rsid w:val="00D45672"/>
    <w:rsid w:val="00D45750"/>
    <w:rsid w:val="00D4576F"/>
    <w:rsid w:val="00D457EA"/>
    <w:rsid w:val="00D4583C"/>
    <w:rsid w:val="00D459CB"/>
    <w:rsid w:val="00D45C42"/>
    <w:rsid w:val="00D46154"/>
    <w:rsid w:val="00D46402"/>
    <w:rsid w:val="00D46817"/>
    <w:rsid w:val="00D46B01"/>
    <w:rsid w:val="00D46BB9"/>
    <w:rsid w:val="00D46D2D"/>
    <w:rsid w:val="00D46D79"/>
    <w:rsid w:val="00D47000"/>
    <w:rsid w:val="00D4723A"/>
    <w:rsid w:val="00D473F0"/>
    <w:rsid w:val="00D474D0"/>
    <w:rsid w:val="00D47633"/>
    <w:rsid w:val="00D4779D"/>
    <w:rsid w:val="00D47905"/>
    <w:rsid w:val="00D47996"/>
    <w:rsid w:val="00D47E46"/>
    <w:rsid w:val="00D50117"/>
    <w:rsid w:val="00D50802"/>
    <w:rsid w:val="00D50BA6"/>
    <w:rsid w:val="00D50C83"/>
    <w:rsid w:val="00D50D9B"/>
    <w:rsid w:val="00D51317"/>
    <w:rsid w:val="00D5134A"/>
    <w:rsid w:val="00D51844"/>
    <w:rsid w:val="00D51848"/>
    <w:rsid w:val="00D51B42"/>
    <w:rsid w:val="00D51EAB"/>
    <w:rsid w:val="00D51F44"/>
    <w:rsid w:val="00D52051"/>
    <w:rsid w:val="00D52527"/>
    <w:rsid w:val="00D525D0"/>
    <w:rsid w:val="00D5291F"/>
    <w:rsid w:val="00D52CD2"/>
    <w:rsid w:val="00D52DA7"/>
    <w:rsid w:val="00D52E54"/>
    <w:rsid w:val="00D52FF5"/>
    <w:rsid w:val="00D5315F"/>
    <w:rsid w:val="00D53228"/>
    <w:rsid w:val="00D53294"/>
    <w:rsid w:val="00D53393"/>
    <w:rsid w:val="00D5393F"/>
    <w:rsid w:val="00D53981"/>
    <w:rsid w:val="00D54102"/>
    <w:rsid w:val="00D5519B"/>
    <w:rsid w:val="00D55257"/>
    <w:rsid w:val="00D55624"/>
    <w:rsid w:val="00D5596E"/>
    <w:rsid w:val="00D559D0"/>
    <w:rsid w:val="00D55CD6"/>
    <w:rsid w:val="00D55D87"/>
    <w:rsid w:val="00D55DA4"/>
    <w:rsid w:val="00D56174"/>
    <w:rsid w:val="00D5663A"/>
    <w:rsid w:val="00D56B05"/>
    <w:rsid w:val="00D56D20"/>
    <w:rsid w:val="00D56DFA"/>
    <w:rsid w:val="00D56F17"/>
    <w:rsid w:val="00D57C27"/>
    <w:rsid w:val="00D57C5C"/>
    <w:rsid w:val="00D6010F"/>
    <w:rsid w:val="00D603E4"/>
    <w:rsid w:val="00D609C1"/>
    <w:rsid w:val="00D60B57"/>
    <w:rsid w:val="00D60BB9"/>
    <w:rsid w:val="00D60D57"/>
    <w:rsid w:val="00D60DA1"/>
    <w:rsid w:val="00D60E22"/>
    <w:rsid w:val="00D61302"/>
    <w:rsid w:val="00D61942"/>
    <w:rsid w:val="00D619FD"/>
    <w:rsid w:val="00D61EE8"/>
    <w:rsid w:val="00D62569"/>
    <w:rsid w:val="00D62688"/>
    <w:rsid w:val="00D62A2F"/>
    <w:rsid w:val="00D62AD2"/>
    <w:rsid w:val="00D62AF9"/>
    <w:rsid w:val="00D62F08"/>
    <w:rsid w:val="00D62F4D"/>
    <w:rsid w:val="00D62FE4"/>
    <w:rsid w:val="00D63775"/>
    <w:rsid w:val="00D63FCC"/>
    <w:rsid w:val="00D642FA"/>
    <w:rsid w:val="00D643D0"/>
    <w:rsid w:val="00D648D1"/>
    <w:rsid w:val="00D64906"/>
    <w:rsid w:val="00D649DF"/>
    <w:rsid w:val="00D65000"/>
    <w:rsid w:val="00D651DD"/>
    <w:rsid w:val="00D652D9"/>
    <w:rsid w:val="00D654C4"/>
    <w:rsid w:val="00D6576E"/>
    <w:rsid w:val="00D65BFD"/>
    <w:rsid w:val="00D65C3D"/>
    <w:rsid w:val="00D66F4A"/>
    <w:rsid w:val="00D66FDB"/>
    <w:rsid w:val="00D67858"/>
    <w:rsid w:val="00D67ADD"/>
    <w:rsid w:val="00D67B68"/>
    <w:rsid w:val="00D67BAB"/>
    <w:rsid w:val="00D70435"/>
    <w:rsid w:val="00D70529"/>
    <w:rsid w:val="00D70A22"/>
    <w:rsid w:val="00D70AD1"/>
    <w:rsid w:val="00D70DDA"/>
    <w:rsid w:val="00D70EDF"/>
    <w:rsid w:val="00D70F69"/>
    <w:rsid w:val="00D71255"/>
    <w:rsid w:val="00D7135E"/>
    <w:rsid w:val="00D713E7"/>
    <w:rsid w:val="00D7194E"/>
    <w:rsid w:val="00D71FB7"/>
    <w:rsid w:val="00D722BD"/>
    <w:rsid w:val="00D72404"/>
    <w:rsid w:val="00D72A91"/>
    <w:rsid w:val="00D72EC2"/>
    <w:rsid w:val="00D731AD"/>
    <w:rsid w:val="00D731EE"/>
    <w:rsid w:val="00D73992"/>
    <w:rsid w:val="00D73A67"/>
    <w:rsid w:val="00D73AD9"/>
    <w:rsid w:val="00D73B89"/>
    <w:rsid w:val="00D73C5E"/>
    <w:rsid w:val="00D73E80"/>
    <w:rsid w:val="00D73ECF"/>
    <w:rsid w:val="00D73F0F"/>
    <w:rsid w:val="00D7443F"/>
    <w:rsid w:val="00D74968"/>
    <w:rsid w:val="00D74A34"/>
    <w:rsid w:val="00D74EEB"/>
    <w:rsid w:val="00D750BD"/>
    <w:rsid w:val="00D75508"/>
    <w:rsid w:val="00D756C3"/>
    <w:rsid w:val="00D75893"/>
    <w:rsid w:val="00D75B8A"/>
    <w:rsid w:val="00D75F9C"/>
    <w:rsid w:val="00D76152"/>
    <w:rsid w:val="00D7633F"/>
    <w:rsid w:val="00D764EB"/>
    <w:rsid w:val="00D76691"/>
    <w:rsid w:val="00D76BDB"/>
    <w:rsid w:val="00D770CF"/>
    <w:rsid w:val="00D7717F"/>
    <w:rsid w:val="00D778E6"/>
    <w:rsid w:val="00D779C4"/>
    <w:rsid w:val="00D77B20"/>
    <w:rsid w:val="00D77C27"/>
    <w:rsid w:val="00D77D98"/>
    <w:rsid w:val="00D802C3"/>
    <w:rsid w:val="00D80304"/>
    <w:rsid w:val="00D8054B"/>
    <w:rsid w:val="00D8057D"/>
    <w:rsid w:val="00D8068C"/>
    <w:rsid w:val="00D80C29"/>
    <w:rsid w:val="00D80DFF"/>
    <w:rsid w:val="00D81396"/>
    <w:rsid w:val="00D813B2"/>
    <w:rsid w:val="00D8178D"/>
    <w:rsid w:val="00D81918"/>
    <w:rsid w:val="00D81CFE"/>
    <w:rsid w:val="00D81DD3"/>
    <w:rsid w:val="00D81FE2"/>
    <w:rsid w:val="00D826BA"/>
    <w:rsid w:val="00D8276D"/>
    <w:rsid w:val="00D829A5"/>
    <w:rsid w:val="00D82AD0"/>
    <w:rsid w:val="00D82BC6"/>
    <w:rsid w:val="00D8316D"/>
    <w:rsid w:val="00D833D1"/>
    <w:rsid w:val="00D83406"/>
    <w:rsid w:val="00D835DA"/>
    <w:rsid w:val="00D83B51"/>
    <w:rsid w:val="00D83CE9"/>
    <w:rsid w:val="00D83EFE"/>
    <w:rsid w:val="00D84701"/>
    <w:rsid w:val="00D84893"/>
    <w:rsid w:val="00D84B31"/>
    <w:rsid w:val="00D84D77"/>
    <w:rsid w:val="00D84ECA"/>
    <w:rsid w:val="00D84F46"/>
    <w:rsid w:val="00D8511C"/>
    <w:rsid w:val="00D8525E"/>
    <w:rsid w:val="00D852EA"/>
    <w:rsid w:val="00D853DD"/>
    <w:rsid w:val="00D86018"/>
    <w:rsid w:val="00D8647E"/>
    <w:rsid w:val="00D86AF5"/>
    <w:rsid w:val="00D86B22"/>
    <w:rsid w:val="00D86EED"/>
    <w:rsid w:val="00D86F1D"/>
    <w:rsid w:val="00D870DC"/>
    <w:rsid w:val="00D8756C"/>
    <w:rsid w:val="00D8762E"/>
    <w:rsid w:val="00D87873"/>
    <w:rsid w:val="00D878EC"/>
    <w:rsid w:val="00D878F8"/>
    <w:rsid w:val="00D87BB3"/>
    <w:rsid w:val="00D87FCE"/>
    <w:rsid w:val="00D90143"/>
    <w:rsid w:val="00D9041B"/>
    <w:rsid w:val="00D905BA"/>
    <w:rsid w:val="00D907E6"/>
    <w:rsid w:val="00D90DBB"/>
    <w:rsid w:val="00D91059"/>
    <w:rsid w:val="00D91147"/>
    <w:rsid w:val="00D9141B"/>
    <w:rsid w:val="00D9141D"/>
    <w:rsid w:val="00D916D0"/>
    <w:rsid w:val="00D916F4"/>
    <w:rsid w:val="00D91AEC"/>
    <w:rsid w:val="00D91D82"/>
    <w:rsid w:val="00D92178"/>
    <w:rsid w:val="00D92247"/>
    <w:rsid w:val="00D92276"/>
    <w:rsid w:val="00D92609"/>
    <w:rsid w:val="00D92634"/>
    <w:rsid w:val="00D93246"/>
    <w:rsid w:val="00D9376F"/>
    <w:rsid w:val="00D938E0"/>
    <w:rsid w:val="00D939B8"/>
    <w:rsid w:val="00D93A8E"/>
    <w:rsid w:val="00D93FA8"/>
    <w:rsid w:val="00D9445E"/>
    <w:rsid w:val="00D946C9"/>
    <w:rsid w:val="00D947E7"/>
    <w:rsid w:val="00D94828"/>
    <w:rsid w:val="00D94CF3"/>
    <w:rsid w:val="00D95D8F"/>
    <w:rsid w:val="00D9604C"/>
    <w:rsid w:val="00D96068"/>
    <w:rsid w:val="00D96084"/>
    <w:rsid w:val="00D965CD"/>
    <w:rsid w:val="00D966EE"/>
    <w:rsid w:val="00D967A8"/>
    <w:rsid w:val="00D969F8"/>
    <w:rsid w:val="00D96A82"/>
    <w:rsid w:val="00D96F18"/>
    <w:rsid w:val="00D97657"/>
    <w:rsid w:val="00D976D7"/>
    <w:rsid w:val="00DA00C1"/>
    <w:rsid w:val="00DA0301"/>
    <w:rsid w:val="00DA0329"/>
    <w:rsid w:val="00DA058E"/>
    <w:rsid w:val="00DA085B"/>
    <w:rsid w:val="00DA09C0"/>
    <w:rsid w:val="00DA0CC1"/>
    <w:rsid w:val="00DA144B"/>
    <w:rsid w:val="00DA1933"/>
    <w:rsid w:val="00DA1A7D"/>
    <w:rsid w:val="00DA1C4F"/>
    <w:rsid w:val="00DA1D24"/>
    <w:rsid w:val="00DA1DA0"/>
    <w:rsid w:val="00DA1FBF"/>
    <w:rsid w:val="00DA21C5"/>
    <w:rsid w:val="00DA21D7"/>
    <w:rsid w:val="00DA253A"/>
    <w:rsid w:val="00DA288C"/>
    <w:rsid w:val="00DA2890"/>
    <w:rsid w:val="00DA2969"/>
    <w:rsid w:val="00DA2A02"/>
    <w:rsid w:val="00DA3202"/>
    <w:rsid w:val="00DA34A5"/>
    <w:rsid w:val="00DA34E7"/>
    <w:rsid w:val="00DA382E"/>
    <w:rsid w:val="00DA3B77"/>
    <w:rsid w:val="00DA427D"/>
    <w:rsid w:val="00DA43CF"/>
    <w:rsid w:val="00DA4932"/>
    <w:rsid w:val="00DA495D"/>
    <w:rsid w:val="00DA502D"/>
    <w:rsid w:val="00DA512C"/>
    <w:rsid w:val="00DA5242"/>
    <w:rsid w:val="00DA53EF"/>
    <w:rsid w:val="00DA548F"/>
    <w:rsid w:val="00DA54D4"/>
    <w:rsid w:val="00DA550D"/>
    <w:rsid w:val="00DA57E2"/>
    <w:rsid w:val="00DA5A11"/>
    <w:rsid w:val="00DA5BDD"/>
    <w:rsid w:val="00DA5EDE"/>
    <w:rsid w:val="00DA623F"/>
    <w:rsid w:val="00DA6655"/>
    <w:rsid w:val="00DA6765"/>
    <w:rsid w:val="00DA6A06"/>
    <w:rsid w:val="00DA6BA3"/>
    <w:rsid w:val="00DA6D43"/>
    <w:rsid w:val="00DA7665"/>
    <w:rsid w:val="00DA77C8"/>
    <w:rsid w:val="00DA7E42"/>
    <w:rsid w:val="00DA7FCF"/>
    <w:rsid w:val="00DB003C"/>
    <w:rsid w:val="00DB08D9"/>
    <w:rsid w:val="00DB0C6A"/>
    <w:rsid w:val="00DB0E33"/>
    <w:rsid w:val="00DB0FAB"/>
    <w:rsid w:val="00DB0FFB"/>
    <w:rsid w:val="00DB1170"/>
    <w:rsid w:val="00DB1292"/>
    <w:rsid w:val="00DB14D0"/>
    <w:rsid w:val="00DB1581"/>
    <w:rsid w:val="00DB16E5"/>
    <w:rsid w:val="00DB19CD"/>
    <w:rsid w:val="00DB1B12"/>
    <w:rsid w:val="00DB1B7B"/>
    <w:rsid w:val="00DB1E91"/>
    <w:rsid w:val="00DB2286"/>
    <w:rsid w:val="00DB23A2"/>
    <w:rsid w:val="00DB272B"/>
    <w:rsid w:val="00DB2AD6"/>
    <w:rsid w:val="00DB2EE0"/>
    <w:rsid w:val="00DB2F14"/>
    <w:rsid w:val="00DB3060"/>
    <w:rsid w:val="00DB33D2"/>
    <w:rsid w:val="00DB35F5"/>
    <w:rsid w:val="00DB36D4"/>
    <w:rsid w:val="00DB3760"/>
    <w:rsid w:val="00DB3CC1"/>
    <w:rsid w:val="00DB3DF2"/>
    <w:rsid w:val="00DB4060"/>
    <w:rsid w:val="00DB42D4"/>
    <w:rsid w:val="00DB4370"/>
    <w:rsid w:val="00DB4410"/>
    <w:rsid w:val="00DB44A9"/>
    <w:rsid w:val="00DB44F7"/>
    <w:rsid w:val="00DB46E9"/>
    <w:rsid w:val="00DB47A6"/>
    <w:rsid w:val="00DB49E2"/>
    <w:rsid w:val="00DB4C5A"/>
    <w:rsid w:val="00DB4C91"/>
    <w:rsid w:val="00DB4FCB"/>
    <w:rsid w:val="00DB4FF5"/>
    <w:rsid w:val="00DB5117"/>
    <w:rsid w:val="00DB55C6"/>
    <w:rsid w:val="00DB57AF"/>
    <w:rsid w:val="00DB5B38"/>
    <w:rsid w:val="00DB5B81"/>
    <w:rsid w:val="00DB5C4C"/>
    <w:rsid w:val="00DB5C8B"/>
    <w:rsid w:val="00DB6031"/>
    <w:rsid w:val="00DB60D6"/>
    <w:rsid w:val="00DB638B"/>
    <w:rsid w:val="00DB6645"/>
    <w:rsid w:val="00DB664A"/>
    <w:rsid w:val="00DB66A9"/>
    <w:rsid w:val="00DB678E"/>
    <w:rsid w:val="00DB6A43"/>
    <w:rsid w:val="00DB72C3"/>
    <w:rsid w:val="00DB7463"/>
    <w:rsid w:val="00DB7F01"/>
    <w:rsid w:val="00DC0012"/>
    <w:rsid w:val="00DC074D"/>
    <w:rsid w:val="00DC0815"/>
    <w:rsid w:val="00DC0C14"/>
    <w:rsid w:val="00DC0C88"/>
    <w:rsid w:val="00DC0CBF"/>
    <w:rsid w:val="00DC0DF4"/>
    <w:rsid w:val="00DC10BC"/>
    <w:rsid w:val="00DC11A1"/>
    <w:rsid w:val="00DC14AF"/>
    <w:rsid w:val="00DC1720"/>
    <w:rsid w:val="00DC1898"/>
    <w:rsid w:val="00DC207F"/>
    <w:rsid w:val="00DC20CC"/>
    <w:rsid w:val="00DC232D"/>
    <w:rsid w:val="00DC24BC"/>
    <w:rsid w:val="00DC251C"/>
    <w:rsid w:val="00DC2E6C"/>
    <w:rsid w:val="00DC2F2C"/>
    <w:rsid w:val="00DC32F1"/>
    <w:rsid w:val="00DC3324"/>
    <w:rsid w:val="00DC3633"/>
    <w:rsid w:val="00DC37E9"/>
    <w:rsid w:val="00DC4108"/>
    <w:rsid w:val="00DC4360"/>
    <w:rsid w:val="00DC439F"/>
    <w:rsid w:val="00DC476C"/>
    <w:rsid w:val="00DC4782"/>
    <w:rsid w:val="00DC4B4F"/>
    <w:rsid w:val="00DC4BBA"/>
    <w:rsid w:val="00DC4EC7"/>
    <w:rsid w:val="00DC4F64"/>
    <w:rsid w:val="00DC50C5"/>
    <w:rsid w:val="00DC55DC"/>
    <w:rsid w:val="00DC5D46"/>
    <w:rsid w:val="00DC5DF6"/>
    <w:rsid w:val="00DC64A7"/>
    <w:rsid w:val="00DC659B"/>
    <w:rsid w:val="00DC673E"/>
    <w:rsid w:val="00DC68DE"/>
    <w:rsid w:val="00DC69FE"/>
    <w:rsid w:val="00DC6EC4"/>
    <w:rsid w:val="00DC705D"/>
    <w:rsid w:val="00DC7160"/>
    <w:rsid w:val="00DC7246"/>
    <w:rsid w:val="00DC72A0"/>
    <w:rsid w:val="00DC76BC"/>
    <w:rsid w:val="00DC7E96"/>
    <w:rsid w:val="00DC7EC7"/>
    <w:rsid w:val="00DD04E9"/>
    <w:rsid w:val="00DD08A5"/>
    <w:rsid w:val="00DD0953"/>
    <w:rsid w:val="00DD0A41"/>
    <w:rsid w:val="00DD0BC5"/>
    <w:rsid w:val="00DD0BCF"/>
    <w:rsid w:val="00DD0F22"/>
    <w:rsid w:val="00DD129A"/>
    <w:rsid w:val="00DD12BF"/>
    <w:rsid w:val="00DD136E"/>
    <w:rsid w:val="00DD1487"/>
    <w:rsid w:val="00DD1A95"/>
    <w:rsid w:val="00DD239D"/>
    <w:rsid w:val="00DD2880"/>
    <w:rsid w:val="00DD2A63"/>
    <w:rsid w:val="00DD2A94"/>
    <w:rsid w:val="00DD2C81"/>
    <w:rsid w:val="00DD2C89"/>
    <w:rsid w:val="00DD2D98"/>
    <w:rsid w:val="00DD2DDC"/>
    <w:rsid w:val="00DD3F81"/>
    <w:rsid w:val="00DD40FC"/>
    <w:rsid w:val="00DD43A9"/>
    <w:rsid w:val="00DD4558"/>
    <w:rsid w:val="00DD4630"/>
    <w:rsid w:val="00DD4728"/>
    <w:rsid w:val="00DD47F9"/>
    <w:rsid w:val="00DD49C1"/>
    <w:rsid w:val="00DD4BB2"/>
    <w:rsid w:val="00DD5317"/>
    <w:rsid w:val="00DD5383"/>
    <w:rsid w:val="00DD5448"/>
    <w:rsid w:val="00DD5883"/>
    <w:rsid w:val="00DD59C2"/>
    <w:rsid w:val="00DD59D2"/>
    <w:rsid w:val="00DD5FD2"/>
    <w:rsid w:val="00DD6066"/>
    <w:rsid w:val="00DD6379"/>
    <w:rsid w:val="00DD64E7"/>
    <w:rsid w:val="00DD6633"/>
    <w:rsid w:val="00DD663A"/>
    <w:rsid w:val="00DD6742"/>
    <w:rsid w:val="00DD68BB"/>
    <w:rsid w:val="00DD6B06"/>
    <w:rsid w:val="00DD6D1A"/>
    <w:rsid w:val="00DD6DAB"/>
    <w:rsid w:val="00DD7020"/>
    <w:rsid w:val="00DD71A7"/>
    <w:rsid w:val="00DD731C"/>
    <w:rsid w:val="00DD7AB9"/>
    <w:rsid w:val="00DD7BE0"/>
    <w:rsid w:val="00DD7F83"/>
    <w:rsid w:val="00DE0113"/>
    <w:rsid w:val="00DE03AE"/>
    <w:rsid w:val="00DE09A5"/>
    <w:rsid w:val="00DE1205"/>
    <w:rsid w:val="00DE1676"/>
    <w:rsid w:val="00DE1955"/>
    <w:rsid w:val="00DE1DE6"/>
    <w:rsid w:val="00DE1ED9"/>
    <w:rsid w:val="00DE1F27"/>
    <w:rsid w:val="00DE2496"/>
    <w:rsid w:val="00DE2805"/>
    <w:rsid w:val="00DE297F"/>
    <w:rsid w:val="00DE2B31"/>
    <w:rsid w:val="00DE2ED9"/>
    <w:rsid w:val="00DE326C"/>
    <w:rsid w:val="00DE3817"/>
    <w:rsid w:val="00DE3CD9"/>
    <w:rsid w:val="00DE402C"/>
    <w:rsid w:val="00DE438E"/>
    <w:rsid w:val="00DE461E"/>
    <w:rsid w:val="00DE4667"/>
    <w:rsid w:val="00DE47F4"/>
    <w:rsid w:val="00DE4E75"/>
    <w:rsid w:val="00DE4EFB"/>
    <w:rsid w:val="00DE4F32"/>
    <w:rsid w:val="00DE5113"/>
    <w:rsid w:val="00DE5661"/>
    <w:rsid w:val="00DE56E0"/>
    <w:rsid w:val="00DE598B"/>
    <w:rsid w:val="00DE5AF7"/>
    <w:rsid w:val="00DE603C"/>
    <w:rsid w:val="00DE61B6"/>
    <w:rsid w:val="00DE6324"/>
    <w:rsid w:val="00DE66E2"/>
    <w:rsid w:val="00DE68B6"/>
    <w:rsid w:val="00DE69E6"/>
    <w:rsid w:val="00DE6C2A"/>
    <w:rsid w:val="00DE6F8D"/>
    <w:rsid w:val="00DE7066"/>
    <w:rsid w:val="00DE7099"/>
    <w:rsid w:val="00DE73F6"/>
    <w:rsid w:val="00DE75A9"/>
    <w:rsid w:val="00DE75BB"/>
    <w:rsid w:val="00DE7719"/>
    <w:rsid w:val="00DE77F7"/>
    <w:rsid w:val="00DE7833"/>
    <w:rsid w:val="00DE78FA"/>
    <w:rsid w:val="00DE7948"/>
    <w:rsid w:val="00DE7C6A"/>
    <w:rsid w:val="00DE7C9C"/>
    <w:rsid w:val="00DF0135"/>
    <w:rsid w:val="00DF0498"/>
    <w:rsid w:val="00DF0E9E"/>
    <w:rsid w:val="00DF0F03"/>
    <w:rsid w:val="00DF0FAA"/>
    <w:rsid w:val="00DF136F"/>
    <w:rsid w:val="00DF1816"/>
    <w:rsid w:val="00DF2075"/>
    <w:rsid w:val="00DF2319"/>
    <w:rsid w:val="00DF240C"/>
    <w:rsid w:val="00DF24C6"/>
    <w:rsid w:val="00DF24E0"/>
    <w:rsid w:val="00DF2586"/>
    <w:rsid w:val="00DF2781"/>
    <w:rsid w:val="00DF30D3"/>
    <w:rsid w:val="00DF341B"/>
    <w:rsid w:val="00DF380C"/>
    <w:rsid w:val="00DF39E9"/>
    <w:rsid w:val="00DF41BA"/>
    <w:rsid w:val="00DF431B"/>
    <w:rsid w:val="00DF43E0"/>
    <w:rsid w:val="00DF4734"/>
    <w:rsid w:val="00DF47B0"/>
    <w:rsid w:val="00DF4A64"/>
    <w:rsid w:val="00DF55CB"/>
    <w:rsid w:val="00DF5758"/>
    <w:rsid w:val="00DF57B5"/>
    <w:rsid w:val="00DF596C"/>
    <w:rsid w:val="00DF5B3F"/>
    <w:rsid w:val="00DF5E4A"/>
    <w:rsid w:val="00DF5E9D"/>
    <w:rsid w:val="00DF6418"/>
    <w:rsid w:val="00DF6D0F"/>
    <w:rsid w:val="00DF6F51"/>
    <w:rsid w:val="00DF7260"/>
    <w:rsid w:val="00DF74D9"/>
    <w:rsid w:val="00DF751A"/>
    <w:rsid w:val="00DF754D"/>
    <w:rsid w:val="00DF7917"/>
    <w:rsid w:val="00DF79BD"/>
    <w:rsid w:val="00DF7A79"/>
    <w:rsid w:val="00E0031E"/>
    <w:rsid w:val="00E00803"/>
    <w:rsid w:val="00E0095B"/>
    <w:rsid w:val="00E00B7C"/>
    <w:rsid w:val="00E00DB7"/>
    <w:rsid w:val="00E0111F"/>
    <w:rsid w:val="00E0121E"/>
    <w:rsid w:val="00E0145A"/>
    <w:rsid w:val="00E0185F"/>
    <w:rsid w:val="00E019A5"/>
    <w:rsid w:val="00E01DAA"/>
    <w:rsid w:val="00E01EB3"/>
    <w:rsid w:val="00E01F22"/>
    <w:rsid w:val="00E02035"/>
    <w:rsid w:val="00E02055"/>
    <w:rsid w:val="00E02C81"/>
    <w:rsid w:val="00E035B4"/>
    <w:rsid w:val="00E0360B"/>
    <w:rsid w:val="00E03A96"/>
    <w:rsid w:val="00E041BA"/>
    <w:rsid w:val="00E042BF"/>
    <w:rsid w:val="00E043F1"/>
    <w:rsid w:val="00E043FC"/>
    <w:rsid w:val="00E04957"/>
    <w:rsid w:val="00E04B86"/>
    <w:rsid w:val="00E04FDB"/>
    <w:rsid w:val="00E04FE1"/>
    <w:rsid w:val="00E050DE"/>
    <w:rsid w:val="00E0555E"/>
    <w:rsid w:val="00E059BC"/>
    <w:rsid w:val="00E05BB0"/>
    <w:rsid w:val="00E05D54"/>
    <w:rsid w:val="00E05D56"/>
    <w:rsid w:val="00E05D97"/>
    <w:rsid w:val="00E06326"/>
    <w:rsid w:val="00E067A7"/>
    <w:rsid w:val="00E067F1"/>
    <w:rsid w:val="00E0698A"/>
    <w:rsid w:val="00E06A2B"/>
    <w:rsid w:val="00E06B1F"/>
    <w:rsid w:val="00E06C61"/>
    <w:rsid w:val="00E07164"/>
    <w:rsid w:val="00E071F5"/>
    <w:rsid w:val="00E07672"/>
    <w:rsid w:val="00E079B8"/>
    <w:rsid w:val="00E07BE1"/>
    <w:rsid w:val="00E07DEF"/>
    <w:rsid w:val="00E07EB1"/>
    <w:rsid w:val="00E1011A"/>
    <w:rsid w:val="00E105A9"/>
    <w:rsid w:val="00E108C9"/>
    <w:rsid w:val="00E10AC4"/>
    <w:rsid w:val="00E10BA0"/>
    <w:rsid w:val="00E11348"/>
    <w:rsid w:val="00E1171E"/>
    <w:rsid w:val="00E118F1"/>
    <w:rsid w:val="00E119BF"/>
    <w:rsid w:val="00E11B70"/>
    <w:rsid w:val="00E11DEE"/>
    <w:rsid w:val="00E11EFC"/>
    <w:rsid w:val="00E11F90"/>
    <w:rsid w:val="00E126D7"/>
    <w:rsid w:val="00E12872"/>
    <w:rsid w:val="00E129BA"/>
    <w:rsid w:val="00E12C3E"/>
    <w:rsid w:val="00E12E2F"/>
    <w:rsid w:val="00E13256"/>
    <w:rsid w:val="00E13DEB"/>
    <w:rsid w:val="00E14690"/>
    <w:rsid w:val="00E1487D"/>
    <w:rsid w:val="00E14943"/>
    <w:rsid w:val="00E14F24"/>
    <w:rsid w:val="00E15056"/>
    <w:rsid w:val="00E151D9"/>
    <w:rsid w:val="00E1544D"/>
    <w:rsid w:val="00E157A1"/>
    <w:rsid w:val="00E15DB1"/>
    <w:rsid w:val="00E15ED9"/>
    <w:rsid w:val="00E161C0"/>
    <w:rsid w:val="00E162C5"/>
    <w:rsid w:val="00E16526"/>
    <w:rsid w:val="00E16B07"/>
    <w:rsid w:val="00E16C79"/>
    <w:rsid w:val="00E16F10"/>
    <w:rsid w:val="00E17552"/>
    <w:rsid w:val="00E17B88"/>
    <w:rsid w:val="00E17C44"/>
    <w:rsid w:val="00E17D96"/>
    <w:rsid w:val="00E17DBF"/>
    <w:rsid w:val="00E17E80"/>
    <w:rsid w:val="00E17EC9"/>
    <w:rsid w:val="00E20CB7"/>
    <w:rsid w:val="00E20EAB"/>
    <w:rsid w:val="00E210E3"/>
    <w:rsid w:val="00E21369"/>
    <w:rsid w:val="00E21668"/>
    <w:rsid w:val="00E21B03"/>
    <w:rsid w:val="00E2209F"/>
    <w:rsid w:val="00E2229D"/>
    <w:rsid w:val="00E22420"/>
    <w:rsid w:val="00E22445"/>
    <w:rsid w:val="00E22665"/>
    <w:rsid w:val="00E226A8"/>
    <w:rsid w:val="00E228DE"/>
    <w:rsid w:val="00E22918"/>
    <w:rsid w:val="00E22CDC"/>
    <w:rsid w:val="00E23456"/>
    <w:rsid w:val="00E236AD"/>
    <w:rsid w:val="00E23BA3"/>
    <w:rsid w:val="00E23C62"/>
    <w:rsid w:val="00E23E23"/>
    <w:rsid w:val="00E24062"/>
    <w:rsid w:val="00E24139"/>
    <w:rsid w:val="00E24423"/>
    <w:rsid w:val="00E2453D"/>
    <w:rsid w:val="00E24565"/>
    <w:rsid w:val="00E247E9"/>
    <w:rsid w:val="00E24A5E"/>
    <w:rsid w:val="00E24B3D"/>
    <w:rsid w:val="00E24C29"/>
    <w:rsid w:val="00E24DA5"/>
    <w:rsid w:val="00E24FCF"/>
    <w:rsid w:val="00E25991"/>
    <w:rsid w:val="00E25B02"/>
    <w:rsid w:val="00E25B68"/>
    <w:rsid w:val="00E25C3C"/>
    <w:rsid w:val="00E25D07"/>
    <w:rsid w:val="00E25F1B"/>
    <w:rsid w:val="00E260A3"/>
    <w:rsid w:val="00E260B2"/>
    <w:rsid w:val="00E26180"/>
    <w:rsid w:val="00E26440"/>
    <w:rsid w:val="00E265DB"/>
    <w:rsid w:val="00E2676C"/>
    <w:rsid w:val="00E26D15"/>
    <w:rsid w:val="00E26F05"/>
    <w:rsid w:val="00E27A01"/>
    <w:rsid w:val="00E27B28"/>
    <w:rsid w:val="00E27B70"/>
    <w:rsid w:val="00E27DDB"/>
    <w:rsid w:val="00E27EAA"/>
    <w:rsid w:val="00E27F15"/>
    <w:rsid w:val="00E3016E"/>
    <w:rsid w:val="00E3028E"/>
    <w:rsid w:val="00E302CE"/>
    <w:rsid w:val="00E30405"/>
    <w:rsid w:val="00E30698"/>
    <w:rsid w:val="00E30699"/>
    <w:rsid w:val="00E306DF"/>
    <w:rsid w:val="00E307C3"/>
    <w:rsid w:val="00E30828"/>
    <w:rsid w:val="00E308DB"/>
    <w:rsid w:val="00E30AC2"/>
    <w:rsid w:val="00E311C7"/>
    <w:rsid w:val="00E3129F"/>
    <w:rsid w:val="00E31618"/>
    <w:rsid w:val="00E31702"/>
    <w:rsid w:val="00E319FE"/>
    <w:rsid w:val="00E31B75"/>
    <w:rsid w:val="00E32249"/>
    <w:rsid w:val="00E3229E"/>
    <w:rsid w:val="00E3242E"/>
    <w:rsid w:val="00E32625"/>
    <w:rsid w:val="00E32C29"/>
    <w:rsid w:val="00E32E43"/>
    <w:rsid w:val="00E32E54"/>
    <w:rsid w:val="00E330C9"/>
    <w:rsid w:val="00E33158"/>
    <w:rsid w:val="00E332A9"/>
    <w:rsid w:val="00E3330E"/>
    <w:rsid w:val="00E3351F"/>
    <w:rsid w:val="00E33992"/>
    <w:rsid w:val="00E33B78"/>
    <w:rsid w:val="00E33F1F"/>
    <w:rsid w:val="00E34267"/>
    <w:rsid w:val="00E34320"/>
    <w:rsid w:val="00E345E6"/>
    <w:rsid w:val="00E34622"/>
    <w:rsid w:val="00E3472F"/>
    <w:rsid w:val="00E351DB"/>
    <w:rsid w:val="00E3555E"/>
    <w:rsid w:val="00E35586"/>
    <w:rsid w:val="00E35824"/>
    <w:rsid w:val="00E35958"/>
    <w:rsid w:val="00E36003"/>
    <w:rsid w:val="00E3610A"/>
    <w:rsid w:val="00E3610E"/>
    <w:rsid w:val="00E3671A"/>
    <w:rsid w:val="00E36783"/>
    <w:rsid w:val="00E369EF"/>
    <w:rsid w:val="00E36A6A"/>
    <w:rsid w:val="00E36B78"/>
    <w:rsid w:val="00E372C6"/>
    <w:rsid w:val="00E376CB"/>
    <w:rsid w:val="00E37847"/>
    <w:rsid w:val="00E37C96"/>
    <w:rsid w:val="00E37D42"/>
    <w:rsid w:val="00E37DA3"/>
    <w:rsid w:val="00E401A1"/>
    <w:rsid w:val="00E401B6"/>
    <w:rsid w:val="00E409F6"/>
    <w:rsid w:val="00E40A27"/>
    <w:rsid w:val="00E40DAE"/>
    <w:rsid w:val="00E40F62"/>
    <w:rsid w:val="00E41125"/>
    <w:rsid w:val="00E414CF"/>
    <w:rsid w:val="00E419AF"/>
    <w:rsid w:val="00E41CB6"/>
    <w:rsid w:val="00E41D16"/>
    <w:rsid w:val="00E420A2"/>
    <w:rsid w:val="00E42451"/>
    <w:rsid w:val="00E425CA"/>
    <w:rsid w:val="00E425CF"/>
    <w:rsid w:val="00E4264D"/>
    <w:rsid w:val="00E43249"/>
    <w:rsid w:val="00E4328B"/>
    <w:rsid w:val="00E432B9"/>
    <w:rsid w:val="00E435A8"/>
    <w:rsid w:val="00E436A2"/>
    <w:rsid w:val="00E43A1B"/>
    <w:rsid w:val="00E43B90"/>
    <w:rsid w:val="00E440FB"/>
    <w:rsid w:val="00E4433A"/>
    <w:rsid w:val="00E44A5F"/>
    <w:rsid w:val="00E45515"/>
    <w:rsid w:val="00E4553A"/>
    <w:rsid w:val="00E45765"/>
    <w:rsid w:val="00E458D8"/>
    <w:rsid w:val="00E45978"/>
    <w:rsid w:val="00E4599E"/>
    <w:rsid w:val="00E45B70"/>
    <w:rsid w:val="00E45C6A"/>
    <w:rsid w:val="00E45D84"/>
    <w:rsid w:val="00E45E4F"/>
    <w:rsid w:val="00E46026"/>
    <w:rsid w:val="00E464E1"/>
    <w:rsid w:val="00E46B45"/>
    <w:rsid w:val="00E46B6A"/>
    <w:rsid w:val="00E46C50"/>
    <w:rsid w:val="00E46F62"/>
    <w:rsid w:val="00E472B8"/>
    <w:rsid w:val="00E47538"/>
    <w:rsid w:val="00E476A7"/>
    <w:rsid w:val="00E47AFA"/>
    <w:rsid w:val="00E47E77"/>
    <w:rsid w:val="00E5049D"/>
    <w:rsid w:val="00E5077C"/>
    <w:rsid w:val="00E507D1"/>
    <w:rsid w:val="00E50AA3"/>
    <w:rsid w:val="00E50C91"/>
    <w:rsid w:val="00E51486"/>
    <w:rsid w:val="00E518A7"/>
    <w:rsid w:val="00E519CB"/>
    <w:rsid w:val="00E51E0A"/>
    <w:rsid w:val="00E52174"/>
    <w:rsid w:val="00E529F5"/>
    <w:rsid w:val="00E52DDB"/>
    <w:rsid w:val="00E53198"/>
    <w:rsid w:val="00E5356B"/>
    <w:rsid w:val="00E537AE"/>
    <w:rsid w:val="00E53834"/>
    <w:rsid w:val="00E53B03"/>
    <w:rsid w:val="00E53E00"/>
    <w:rsid w:val="00E54221"/>
    <w:rsid w:val="00E54223"/>
    <w:rsid w:val="00E5450D"/>
    <w:rsid w:val="00E549FE"/>
    <w:rsid w:val="00E5501D"/>
    <w:rsid w:val="00E55026"/>
    <w:rsid w:val="00E5598E"/>
    <w:rsid w:val="00E55D05"/>
    <w:rsid w:val="00E561A9"/>
    <w:rsid w:val="00E5624E"/>
    <w:rsid w:val="00E5650A"/>
    <w:rsid w:val="00E5678C"/>
    <w:rsid w:val="00E56954"/>
    <w:rsid w:val="00E56AE8"/>
    <w:rsid w:val="00E5741F"/>
    <w:rsid w:val="00E574EC"/>
    <w:rsid w:val="00E5799D"/>
    <w:rsid w:val="00E57BF8"/>
    <w:rsid w:val="00E57D51"/>
    <w:rsid w:val="00E57F6C"/>
    <w:rsid w:val="00E57F9C"/>
    <w:rsid w:val="00E605CD"/>
    <w:rsid w:val="00E60C38"/>
    <w:rsid w:val="00E615F9"/>
    <w:rsid w:val="00E618EA"/>
    <w:rsid w:val="00E6193C"/>
    <w:rsid w:val="00E61ABA"/>
    <w:rsid w:val="00E61C02"/>
    <w:rsid w:val="00E61CC3"/>
    <w:rsid w:val="00E62026"/>
    <w:rsid w:val="00E621EC"/>
    <w:rsid w:val="00E6245F"/>
    <w:rsid w:val="00E624AB"/>
    <w:rsid w:val="00E62A5F"/>
    <w:rsid w:val="00E62BC2"/>
    <w:rsid w:val="00E62F2B"/>
    <w:rsid w:val="00E62F4C"/>
    <w:rsid w:val="00E63099"/>
    <w:rsid w:val="00E63494"/>
    <w:rsid w:val="00E63650"/>
    <w:rsid w:val="00E63945"/>
    <w:rsid w:val="00E63A49"/>
    <w:rsid w:val="00E63B6F"/>
    <w:rsid w:val="00E63DAA"/>
    <w:rsid w:val="00E63F28"/>
    <w:rsid w:val="00E640B7"/>
    <w:rsid w:val="00E64109"/>
    <w:rsid w:val="00E6468C"/>
    <w:rsid w:val="00E64DAA"/>
    <w:rsid w:val="00E64E33"/>
    <w:rsid w:val="00E65109"/>
    <w:rsid w:val="00E65110"/>
    <w:rsid w:val="00E65487"/>
    <w:rsid w:val="00E6550A"/>
    <w:rsid w:val="00E65E3B"/>
    <w:rsid w:val="00E65E42"/>
    <w:rsid w:val="00E65FFF"/>
    <w:rsid w:val="00E66796"/>
    <w:rsid w:val="00E66D4A"/>
    <w:rsid w:val="00E66E11"/>
    <w:rsid w:val="00E66F87"/>
    <w:rsid w:val="00E67495"/>
    <w:rsid w:val="00E676E8"/>
    <w:rsid w:val="00E67ACC"/>
    <w:rsid w:val="00E7033E"/>
    <w:rsid w:val="00E70452"/>
    <w:rsid w:val="00E70E48"/>
    <w:rsid w:val="00E70F87"/>
    <w:rsid w:val="00E71365"/>
    <w:rsid w:val="00E71D00"/>
    <w:rsid w:val="00E71D0F"/>
    <w:rsid w:val="00E71D57"/>
    <w:rsid w:val="00E71EE5"/>
    <w:rsid w:val="00E7221D"/>
    <w:rsid w:val="00E727AA"/>
    <w:rsid w:val="00E72A60"/>
    <w:rsid w:val="00E7304F"/>
    <w:rsid w:val="00E733F2"/>
    <w:rsid w:val="00E735E3"/>
    <w:rsid w:val="00E74A85"/>
    <w:rsid w:val="00E74F37"/>
    <w:rsid w:val="00E74F5E"/>
    <w:rsid w:val="00E7504E"/>
    <w:rsid w:val="00E751F6"/>
    <w:rsid w:val="00E7538D"/>
    <w:rsid w:val="00E75588"/>
    <w:rsid w:val="00E75A1C"/>
    <w:rsid w:val="00E7615F"/>
    <w:rsid w:val="00E76AE0"/>
    <w:rsid w:val="00E76B86"/>
    <w:rsid w:val="00E76BCB"/>
    <w:rsid w:val="00E76C0C"/>
    <w:rsid w:val="00E77FBE"/>
    <w:rsid w:val="00E80937"/>
    <w:rsid w:val="00E80C2F"/>
    <w:rsid w:val="00E80F6B"/>
    <w:rsid w:val="00E81A87"/>
    <w:rsid w:val="00E81B04"/>
    <w:rsid w:val="00E81BA5"/>
    <w:rsid w:val="00E81BCF"/>
    <w:rsid w:val="00E81C2C"/>
    <w:rsid w:val="00E82241"/>
    <w:rsid w:val="00E825E1"/>
    <w:rsid w:val="00E82821"/>
    <w:rsid w:val="00E82F27"/>
    <w:rsid w:val="00E83198"/>
    <w:rsid w:val="00E83279"/>
    <w:rsid w:val="00E83948"/>
    <w:rsid w:val="00E83CF9"/>
    <w:rsid w:val="00E83E36"/>
    <w:rsid w:val="00E83E6D"/>
    <w:rsid w:val="00E840C6"/>
    <w:rsid w:val="00E84180"/>
    <w:rsid w:val="00E842E4"/>
    <w:rsid w:val="00E844AD"/>
    <w:rsid w:val="00E84A1A"/>
    <w:rsid w:val="00E852D5"/>
    <w:rsid w:val="00E85A87"/>
    <w:rsid w:val="00E85C6E"/>
    <w:rsid w:val="00E85E33"/>
    <w:rsid w:val="00E86268"/>
    <w:rsid w:val="00E8655A"/>
    <w:rsid w:val="00E8682E"/>
    <w:rsid w:val="00E868AF"/>
    <w:rsid w:val="00E86B55"/>
    <w:rsid w:val="00E86E3B"/>
    <w:rsid w:val="00E86E74"/>
    <w:rsid w:val="00E86E8B"/>
    <w:rsid w:val="00E874FD"/>
    <w:rsid w:val="00E8769A"/>
    <w:rsid w:val="00E87D67"/>
    <w:rsid w:val="00E87EEB"/>
    <w:rsid w:val="00E90551"/>
    <w:rsid w:val="00E90678"/>
    <w:rsid w:val="00E90987"/>
    <w:rsid w:val="00E90AB1"/>
    <w:rsid w:val="00E90AD7"/>
    <w:rsid w:val="00E90BC5"/>
    <w:rsid w:val="00E90EB7"/>
    <w:rsid w:val="00E90FDA"/>
    <w:rsid w:val="00E9132B"/>
    <w:rsid w:val="00E9139E"/>
    <w:rsid w:val="00E91799"/>
    <w:rsid w:val="00E91C63"/>
    <w:rsid w:val="00E91F4E"/>
    <w:rsid w:val="00E92017"/>
    <w:rsid w:val="00E922F3"/>
    <w:rsid w:val="00E92341"/>
    <w:rsid w:val="00E9241C"/>
    <w:rsid w:val="00E92515"/>
    <w:rsid w:val="00E928C2"/>
    <w:rsid w:val="00E92974"/>
    <w:rsid w:val="00E92A7C"/>
    <w:rsid w:val="00E92E69"/>
    <w:rsid w:val="00E92F98"/>
    <w:rsid w:val="00E92FB9"/>
    <w:rsid w:val="00E9331D"/>
    <w:rsid w:val="00E939C8"/>
    <w:rsid w:val="00E93DBA"/>
    <w:rsid w:val="00E93F24"/>
    <w:rsid w:val="00E9406C"/>
    <w:rsid w:val="00E941B5"/>
    <w:rsid w:val="00E9439D"/>
    <w:rsid w:val="00E9446B"/>
    <w:rsid w:val="00E94973"/>
    <w:rsid w:val="00E952AD"/>
    <w:rsid w:val="00E9531D"/>
    <w:rsid w:val="00E95322"/>
    <w:rsid w:val="00E95490"/>
    <w:rsid w:val="00E957A7"/>
    <w:rsid w:val="00E95972"/>
    <w:rsid w:val="00E95D2E"/>
    <w:rsid w:val="00E95E38"/>
    <w:rsid w:val="00E95EAC"/>
    <w:rsid w:val="00E961A1"/>
    <w:rsid w:val="00E96353"/>
    <w:rsid w:val="00E9643A"/>
    <w:rsid w:val="00E966F8"/>
    <w:rsid w:val="00E968C1"/>
    <w:rsid w:val="00E969A4"/>
    <w:rsid w:val="00E96F66"/>
    <w:rsid w:val="00E971DA"/>
    <w:rsid w:val="00E971F6"/>
    <w:rsid w:val="00E973B1"/>
    <w:rsid w:val="00E97B00"/>
    <w:rsid w:val="00E97BDC"/>
    <w:rsid w:val="00E97D9C"/>
    <w:rsid w:val="00EA09D9"/>
    <w:rsid w:val="00EA0E54"/>
    <w:rsid w:val="00EA0EFE"/>
    <w:rsid w:val="00EA14B2"/>
    <w:rsid w:val="00EA1769"/>
    <w:rsid w:val="00EA1B05"/>
    <w:rsid w:val="00EA1B1E"/>
    <w:rsid w:val="00EA1B70"/>
    <w:rsid w:val="00EA1BDA"/>
    <w:rsid w:val="00EA2132"/>
    <w:rsid w:val="00EA23B2"/>
    <w:rsid w:val="00EA26AD"/>
    <w:rsid w:val="00EA292A"/>
    <w:rsid w:val="00EA2C5A"/>
    <w:rsid w:val="00EA2D29"/>
    <w:rsid w:val="00EA3202"/>
    <w:rsid w:val="00EA32D8"/>
    <w:rsid w:val="00EA3337"/>
    <w:rsid w:val="00EA339F"/>
    <w:rsid w:val="00EA364F"/>
    <w:rsid w:val="00EA3671"/>
    <w:rsid w:val="00EA3793"/>
    <w:rsid w:val="00EA3EC8"/>
    <w:rsid w:val="00EA406D"/>
    <w:rsid w:val="00EA4203"/>
    <w:rsid w:val="00EA424A"/>
    <w:rsid w:val="00EA4580"/>
    <w:rsid w:val="00EA4A90"/>
    <w:rsid w:val="00EA4FB6"/>
    <w:rsid w:val="00EA506B"/>
    <w:rsid w:val="00EA50AE"/>
    <w:rsid w:val="00EA5440"/>
    <w:rsid w:val="00EA5B61"/>
    <w:rsid w:val="00EA5B75"/>
    <w:rsid w:val="00EA5D0D"/>
    <w:rsid w:val="00EA5F01"/>
    <w:rsid w:val="00EA6322"/>
    <w:rsid w:val="00EA6C2A"/>
    <w:rsid w:val="00EA6C41"/>
    <w:rsid w:val="00EA6CB1"/>
    <w:rsid w:val="00EA6E12"/>
    <w:rsid w:val="00EA6F1E"/>
    <w:rsid w:val="00EA7241"/>
    <w:rsid w:val="00EA75BB"/>
    <w:rsid w:val="00EA77E7"/>
    <w:rsid w:val="00EA7C6F"/>
    <w:rsid w:val="00EA7FF8"/>
    <w:rsid w:val="00EB00C1"/>
    <w:rsid w:val="00EB0135"/>
    <w:rsid w:val="00EB0176"/>
    <w:rsid w:val="00EB05E5"/>
    <w:rsid w:val="00EB0948"/>
    <w:rsid w:val="00EB0AAB"/>
    <w:rsid w:val="00EB0D67"/>
    <w:rsid w:val="00EB0DDC"/>
    <w:rsid w:val="00EB0DEA"/>
    <w:rsid w:val="00EB10C4"/>
    <w:rsid w:val="00EB14E4"/>
    <w:rsid w:val="00EB1718"/>
    <w:rsid w:val="00EB1D88"/>
    <w:rsid w:val="00EB1DDC"/>
    <w:rsid w:val="00EB1F63"/>
    <w:rsid w:val="00EB209E"/>
    <w:rsid w:val="00EB27BC"/>
    <w:rsid w:val="00EB27F0"/>
    <w:rsid w:val="00EB286F"/>
    <w:rsid w:val="00EB2B27"/>
    <w:rsid w:val="00EB2E41"/>
    <w:rsid w:val="00EB34B3"/>
    <w:rsid w:val="00EB34BC"/>
    <w:rsid w:val="00EB35D6"/>
    <w:rsid w:val="00EB3E81"/>
    <w:rsid w:val="00EB3FC9"/>
    <w:rsid w:val="00EB444A"/>
    <w:rsid w:val="00EB46A4"/>
    <w:rsid w:val="00EB474B"/>
    <w:rsid w:val="00EB486B"/>
    <w:rsid w:val="00EB49C8"/>
    <w:rsid w:val="00EB4AE8"/>
    <w:rsid w:val="00EB4B3E"/>
    <w:rsid w:val="00EB4C39"/>
    <w:rsid w:val="00EB4DD2"/>
    <w:rsid w:val="00EB4E69"/>
    <w:rsid w:val="00EB54BD"/>
    <w:rsid w:val="00EB5665"/>
    <w:rsid w:val="00EB56CE"/>
    <w:rsid w:val="00EB5B71"/>
    <w:rsid w:val="00EB5B93"/>
    <w:rsid w:val="00EB5C07"/>
    <w:rsid w:val="00EB5D36"/>
    <w:rsid w:val="00EB6074"/>
    <w:rsid w:val="00EB6202"/>
    <w:rsid w:val="00EB6A32"/>
    <w:rsid w:val="00EB6BB8"/>
    <w:rsid w:val="00EB72F3"/>
    <w:rsid w:val="00EB76B3"/>
    <w:rsid w:val="00EB7915"/>
    <w:rsid w:val="00EB7AD2"/>
    <w:rsid w:val="00EB7F0F"/>
    <w:rsid w:val="00EB7F7E"/>
    <w:rsid w:val="00EC01A4"/>
    <w:rsid w:val="00EC02B5"/>
    <w:rsid w:val="00EC0421"/>
    <w:rsid w:val="00EC0B36"/>
    <w:rsid w:val="00EC0C55"/>
    <w:rsid w:val="00EC15B1"/>
    <w:rsid w:val="00EC18A4"/>
    <w:rsid w:val="00EC1DE6"/>
    <w:rsid w:val="00EC1E3B"/>
    <w:rsid w:val="00EC27B5"/>
    <w:rsid w:val="00EC2FBF"/>
    <w:rsid w:val="00EC2FFA"/>
    <w:rsid w:val="00EC3146"/>
    <w:rsid w:val="00EC33A0"/>
    <w:rsid w:val="00EC347C"/>
    <w:rsid w:val="00EC34BC"/>
    <w:rsid w:val="00EC3CB5"/>
    <w:rsid w:val="00EC3D9F"/>
    <w:rsid w:val="00EC441B"/>
    <w:rsid w:val="00EC4836"/>
    <w:rsid w:val="00EC4A5C"/>
    <w:rsid w:val="00EC4AD5"/>
    <w:rsid w:val="00EC4B9D"/>
    <w:rsid w:val="00EC4F02"/>
    <w:rsid w:val="00EC5088"/>
    <w:rsid w:val="00EC50A4"/>
    <w:rsid w:val="00EC51AC"/>
    <w:rsid w:val="00EC5479"/>
    <w:rsid w:val="00EC559A"/>
    <w:rsid w:val="00EC572D"/>
    <w:rsid w:val="00EC57EF"/>
    <w:rsid w:val="00EC5861"/>
    <w:rsid w:val="00EC72E8"/>
    <w:rsid w:val="00EC7E38"/>
    <w:rsid w:val="00ED01CA"/>
    <w:rsid w:val="00ED0772"/>
    <w:rsid w:val="00ED0840"/>
    <w:rsid w:val="00ED0910"/>
    <w:rsid w:val="00ED0E6A"/>
    <w:rsid w:val="00ED1025"/>
    <w:rsid w:val="00ED121F"/>
    <w:rsid w:val="00ED13D3"/>
    <w:rsid w:val="00ED1C27"/>
    <w:rsid w:val="00ED1C51"/>
    <w:rsid w:val="00ED1E17"/>
    <w:rsid w:val="00ED1EC8"/>
    <w:rsid w:val="00ED2031"/>
    <w:rsid w:val="00ED214F"/>
    <w:rsid w:val="00ED2178"/>
    <w:rsid w:val="00ED2260"/>
    <w:rsid w:val="00ED2545"/>
    <w:rsid w:val="00ED3530"/>
    <w:rsid w:val="00ED35B0"/>
    <w:rsid w:val="00ED3E6B"/>
    <w:rsid w:val="00ED47E1"/>
    <w:rsid w:val="00ED484D"/>
    <w:rsid w:val="00ED4D3F"/>
    <w:rsid w:val="00ED5085"/>
    <w:rsid w:val="00ED5500"/>
    <w:rsid w:val="00ED563A"/>
    <w:rsid w:val="00ED5DE9"/>
    <w:rsid w:val="00ED5DF5"/>
    <w:rsid w:val="00ED5E38"/>
    <w:rsid w:val="00ED6B5F"/>
    <w:rsid w:val="00ED6CFE"/>
    <w:rsid w:val="00ED6D2B"/>
    <w:rsid w:val="00ED6DE1"/>
    <w:rsid w:val="00ED6F4B"/>
    <w:rsid w:val="00ED7332"/>
    <w:rsid w:val="00ED7E49"/>
    <w:rsid w:val="00ED7F32"/>
    <w:rsid w:val="00EE0BBA"/>
    <w:rsid w:val="00EE0D5B"/>
    <w:rsid w:val="00EE11B5"/>
    <w:rsid w:val="00EE128B"/>
    <w:rsid w:val="00EE152C"/>
    <w:rsid w:val="00EE1575"/>
    <w:rsid w:val="00EE1B29"/>
    <w:rsid w:val="00EE1B69"/>
    <w:rsid w:val="00EE1FA9"/>
    <w:rsid w:val="00EE2703"/>
    <w:rsid w:val="00EE2E41"/>
    <w:rsid w:val="00EE2EB3"/>
    <w:rsid w:val="00EE2ECE"/>
    <w:rsid w:val="00EE39B1"/>
    <w:rsid w:val="00EE3F49"/>
    <w:rsid w:val="00EE40C6"/>
    <w:rsid w:val="00EE41DF"/>
    <w:rsid w:val="00EE4236"/>
    <w:rsid w:val="00EE4380"/>
    <w:rsid w:val="00EE4490"/>
    <w:rsid w:val="00EE4A07"/>
    <w:rsid w:val="00EE4C05"/>
    <w:rsid w:val="00EE4EEF"/>
    <w:rsid w:val="00EE50E4"/>
    <w:rsid w:val="00EE54B2"/>
    <w:rsid w:val="00EE5699"/>
    <w:rsid w:val="00EE5985"/>
    <w:rsid w:val="00EE5B8D"/>
    <w:rsid w:val="00EE5E31"/>
    <w:rsid w:val="00EE60EF"/>
    <w:rsid w:val="00EE6506"/>
    <w:rsid w:val="00EE650D"/>
    <w:rsid w:val="00EE66AD"/>
    <w:rsid w:val="00EE6832"/>
    <w:rsid w:val="00EE6847"/>
    <w:rsid w:val="00EE6888"/>
    <w:rsid w:val="00EE707B"/>
    <w:rsid w:val="00EE769A"/>
    <w:rsid w:val="00EE7AEC"/>
    <w:rsid w:val="00EE7D8E"/>
    <w:rsid w:val="00EE7EB6"/>
    <w:rsid w:val="00EF0048"/>
    <w:rsid w:val="00EF0387"/>
    <w:rsid w:val="00EF03B4"/>
    <w:rsid w:val="00EF0890"/>
    <w:rsid w:val="00EF095A"/>
    <w:rsid w:val="00EF09C8"/>
    <w:rsid w:val="00EF0F46"/>
    <w:rsid w:val="00EF10BA"/>
    <w:rsid w:val="00EF1755"/>
    <w:rsid w:val="00EF17A2"/>
    <w:rsid w:val="00EF1903"/>
    <w:rsid w:val="00EF1993"/>
    <w:rsid w:val="00EF1E64"/>
    <w:rsid w:val="00EF228E"/>
    <w:rsid w:val="00EF22E1"/>
    <w:rsid w:val="00EF2654"/>
    <w:rsid w:val="00EF276D"/>
    <w:rsid w:val="00EF28CF"/>
    <w:rsid w:val="00EF2A82"/>
    <w:rsid w:val="00EF2E7E"/>
    <w:rsid w:val="00EF2E8E"/>
    <w:rsid w:val="00EF3335"/>
    <w:rsid w:val="00EF34E8"/>
    <w:rsid w:val="00EF37C4"/>
    <w:rsid w:val="00EF3D58"/>
    <w:rsid w:val="00EF41DB"/>
    <w:rsid w:val="00EF49FE"/>
    <w:rsid w:val="00EF528D"/>
    <w:rsid w:val="00EF5521"/>
    <w:rsid w:val="00EF555F"/>
    <w:rsid w:val="00EF5659"/>
    <w:rsid w:val="00EF5765"/>
    <w:rsid w:val="00EF57F3"/>
    <w:rsid w:val="00EF5868"/>
    <w:rsid w:val="00EF587D"/>
    <w:rsid w:val="00EF58D2"/>
    <w:rsid w:val="00EF59E7"/>
    <w:rsid w:val="00EF6321"/>
    <w:rsid w:val="00EF64A2"/>
    <w:rsid w:val="00EF654E"/>
    <w:rsid w:val="00EF686B"/>
    <w:rsid w:val="00EF6A33"/>
    <w:rsid w:val="00EF6BFF"/>
    <w:rsid w:val="00EF6C6F"/>
    <w:rsid w:val="00EF6E7D"/>
    <w:rsid w:val="00EF7057"/>
    <w:rsid w:val="00EF7063"/>
    <w:rsid w:val="00EF7084"/>
    <w:rsid w:val="00EF7406"/>
    <w:rsid w:val="00EF7467"/>
    <w:rsid w:val="00EF7ACE"/>
    <w:rsid w:val="00EF7B27"/>
    <w:rsid w:val="00F005E1"/>
    <w:rsid w:val="00F00619"/>
    <w:rsid w:val="00F006FC"/>
    <w:rsid w:val="00F0090B"/>
    <w:rsid w:val="00F00921"/>
    <w:rsid w:val="00F0159F"/>
    <w:rsid w:val="00F015D0"/>
    <w:rsid w:val="00F01AFD"/>
    <w:rsid w:val="00F02149"/>
    <w:rsid w:val="00F02A9B"/>
    <w:rsid w:val="00F02F10"/>
    <w:rsid w:val="00F030B3"/>
    <w:rsid w:val="00F03814"/>
    <w:rsid w:val="00F03978"/>
    <w:rsid w:val="00F03B39"/>
    <w:rsid w:val="00F03D1B"/>
    <w:rsid w:val="00F03D43"/>
    <w:rsid w:val="00F04052"/>
    <w:rsid w:val="00F04143"/>
    <w:rsid w:val="00F04244"/>
    <w:rsid w:val="00F042EF"/>
    <w:rsid w:val="00F04BA8"/>
    <w:rsid w:val="00F04FED"/>
    <w:rsid w:val="00F05021"/>
    <w:rsid w:val="00F05777"/>
    <w:rsid w:val="00F05878"/>
    <w:rsid w:val="00F0595E"/>
    <w:rsid w:val="00F059C3"/>
    <w:rsid w:val="00F05AA6"/>
    <w:rsid w:val="00F05AE9"/>
    <w:rsid w:val="00F05E4C"/>
    <w:rsid w:val="00F06119"/>
    <w:rsid w:val="00F0634F"/>
    <w:rsid w:val="00F06415"/>
    <w:rsid w:val="00F06673"/>
    <w:rsid w:val="00F06961"/>
    <w:rsid w:val="00F06BC0"/>
    <w:rsid w:val="00F07215"/>
    <w:rsid w:val="00F07279"/>
    <w:rsid w:val="00F10265"/>
    <w:rsid w:val="00F103B3"/>
    <w:rsid w:val="00F103E1"/>
    <w:rsid w:val="00F1066F"/>
    <w:rsid w:val="00F109EA"/>
    <w:rsid w:val="00F10E3F"/>
    <w:rsid w:val="00F11021"/>
    <w:rsid w:val="00F11572"/>
    <w:rsid w:val="00F1175E"/>
    <w:rsid w:val="00F129CD"/>
    <w:rsid w:val="00F13087"/>
    <w:rsid w:val="00F130B4"/>
    <w:rsid w:val="00F130D2"/>
    <w:rsid w:val="00F13958"/>
    <w:rsid w:val="00F13A6C"/>
    <w:rsid w:val="00F1415F"/>
    <w:rsid w:val="00F14201"/>
    <w:rsid w:val="00F14372"/>
    <w:rsid w:val="00F1451B"/>
    <w:rsid w:val="00F1452C"/>
    <w:rsid w:val="00F1487B"/>
    <w:rsid w:val="00F149C9"/>
    <w:rsid w:val="00F149DC"/>
    <w:rsid w:val="00F14C2E"/>
    <w:rsid w:val="00F1508C"/>
    <w:rsid w:val="00F151C9"/>
    <w:rsid w:val="00F1523E"/>
    <w:rsid w:val="00F1524D"/>
    <w:rsid w:val="00F15282"/>
    <w:rsid w:val="00F1550C"/>
    <w:rsid w:val="00F155B9"/>
    <w:rsid w:val="00F1578E"/>
    <w:rsid w:val="00F15964"/>
    <w:rsid w:val="00F15D30"/>
    <w:rsid w:val="00F15E99"/>
    <w:rsid w:val="00F16444"/>
    <w:rsid w:val="00F1654E"/>
    <w:rsid w:val="00F1669C"/>
    <w:rsid w:val="00F16B1B"/>
    <w:rsid w:val="00F16CFA"/>
    <w:rsid w:val="00F17490"/>
    <w:rsid w:val="00F17C8A"/>
    <w:rsid w:val="00F17FCF"/>
    <w:rsid w:val="00F205E7"/>
    <w:rsid w:val="00F2062D"/>
    <w:rsid w:val="00F20763"/>
    <w:rsid w:val="00F209B3"/>
    <w:rsid w:val="00F20D0F"/>
    <w:rsid w:val="00F211E1"/>
    <w:rsid w:val="00F21D6C"/>
    <w:rsid w:val="00F224E9"/>
    <w:rsid w:val="00F227C8"/>
    <w:rsid w:val="00F23395"/>
    <w:rsid w:val="00F23586"/>
    <w:rsid w:val="00F23660"/>
    <w:rsid w:val="00F236EE"/>
    <w:rsid w:val="00F23840"/>
    <w:rsid w:val="00F23B85"/>
    <w:rsid w:val="00F23CB7"/>
    <w:rsid w:val="00F23FA0"/>
    <w:rsid w:val="00F24000"/>
    <w:rsid w:val="00F24072"/>
    <w:rsid w:val="00F2407B"/>
    <w:rsid w:val="00F240EA"/>
    <w:rsid w:val="00F24157"/>
    <w:rsid w:val="00F2463C"/>
    <w:rsid w:val="00F246FD"/>
    <w:rsid w:val="00F24964"/>
    <w:rsid w:val="00F24B84"/>
    <w:rsid w:val="00F24BA3"/>
    <w:rsid w:val="00F24C2C"/>
    <w:rsid w:val="00F24C36"/>
    <w:rsid w:val="00F250E4"/>
    <w:rsid w:val="00F257B5"/>
    <w:rsid w:val="00F259D2"/>
    <w:rsid w:val="00F261F6"/>
    <w:rsid w:val="00F26ABF"/>
    <w:rsid w:val="00F26AEA"/>
    <w:rsid w:val="00F26DF0"/>
    <w:rsid w:val="00F26F0F"/>
    <w:rsid w:val="00F270D9"/>
    <w:rsid w:val="00F270DE"/>
    <w:rsid w:val="00F27147"/>
    <w:rsid w:val="00F27172"/>
    <w:rsid w:val="00F2720E"/>
    <w:rsid w:val="00F2776D"/>
    <w:rsid w:val="00F27A98"/>
    <w:rsid w:val="00F300AD"/>
    <w:rsid w:val="00F301A5"/>
    <w:rsid w:val="00F30862"/>
    <w:rsid w:val="00F3097A"/>
    <w:rsid w:val="00F30A2D"/>
    <w:rsid w:val="00F30B42"/>
    <w:rsid w:val="00F311CA"/>
    <w:rsid w:val="00F317A2"/>
    <w:rsid w:val="00F317D7"/>
    <w:rsid w:val="00F31AF7"/>
    <w:rsid w:val="00F32178"/>
    <w:rsid w:val="00F3238D"/>
    <w:rsid w:val="00F32989"/>
    <w:rsid w:val="00F334B4"/>
    <w:rsid w:val="00F33628"/>
    <w:rsid w:val="00F34619"/>
    <w:rsid w:val="00F346B9"/>
    <w:rsid w:val="00F346E6"/>
    <w:rsid w:val="00F34A4E"/>
    <w:rsid w:val="00F34E81"/>
    <w:rsid w:val="00F3565A"/>
    <w:rsid w:val="00F3571E"/>
    <w:rsid w:val="00F35A90"/>
    <w:rsid w:val="00F35C2E"/>
    <w:rsid w:val="00F35ECD"/>
    <w:rsid w:val="00F36332"/>
    <w:rsid w:val="00F3670A"/>
    <w:rsid w:val="00F367DA"/>
    <w:rsid w:val="00F36C5A"/>
    <w:rsid w:val="00F36D8C"/>
    <w:rsid w:val="00F37329"/>
    <w:rsid w:val="00F37481"/>
    <w:rsid w:val="00F37771"/>
    <w:rsid w:val="00F37773"/>
    <w:rsid w:val="00F37F5F"/>
    <w:rsid w:val="00F40864"/>
    <w:rsid w:val="00F411B6"/>
    <w:rsid w:val="00F41598"/>
    <w:rsid w:val="00F41681"/>
    <w:rsid w:val="00F416FE"/>
    <w:rsid w:val="00F41785"/>
    <w:rsid w:val="00F418BD"/>
    <w:rsid w:val="00F41DD6"/>
    <w:rsid w:val="00F42405"/>
    <w:rsid w:val="00F428A3"/>
    <w:rsid w:val="00F42918"/>
    <w:rsid w:val="00F429DF"/>
    <w:rsid w:val="00F438B8"/>
    <w:rsid w:val="00F438FE"/>
    <w:rsid w:val="00F43B06"/>
    <w:rsid w:val="00F43B78"/>
    <w:rsid w:val="00F43EAD"/>
    <w:rsid w:val="00F43FA2"/>
    <w:rsid w:val="00F447C1"/>
    <w:rsid w:val="00F447EC"/>
    <w:rsid w:val="00F44895"/>
    <w:rsid w:val="00F44B4D"/>
    <w:rsid w:val="00F44EDA"/>
    <w:rsid w:val="00F453D4"/>
    <w:rsid w:val="00F454D9"/>
    <w:rsid w:val="00F45847"/>
    <w:rsid w:val="00F45A84"/>
    <w:rsid w:val="00F45E44"/>
    <w:rsid w:val="00F45EF7"/>
    <w:rsid w:val="00F45FD6"/>
    <w:rsid w:val="00F46620"/>
    <w:rsid w:val="00F46A7C"/>
    <w:rsid w:val="00F46BCA"/>
    <w:rsid w:val="00F46D66"/>
    <w:rsid w:val="00F470F6"/>
    <w:rsid w:val="00F47214"/>
    <w:rsid w:val="00F47338"/>
    <w:rsid w:val="00F475AA"/>
    <w:rsid w:val="00F47ACC"/>
    <w:rsid w:val="00F47CF8"/>
    <w:rsid w:val="00F50301"/>
    <w:rsid w:val="00F50585"/>
    <w:rsid w:val="00F50820"/>
    <w:rsid w:val="00F5085A"/>
    <w:rsid w:val="00F50B74"/>
    <w:rsid w:val="00F50EC1"/>
    <w:rsid w:val="00F513D8"/>
    <w:rsid w:val="00F51462"/>
    <w:rsid w:val="00F516E3"/>
    <w:rsid w:val="00F51995"/>
    <w:rsid w:val="00F519A9"/>
    <w:rsid w:val="00F52266"/>
    <w:rsid w:val="00F52267"/>
    <w:rsid w:val="00F527FE"/>
    <w:rsid w:val="00F52875"/>
    <w:rsid w:val="00F52A66"/>
    <w:rsid w:val="00F52A9B"/>
    <w:rsid w:val="00F52B68"/>
    <w:rsid w:val="00F52E86"/>
    <w:rsid w:val="00F5318B"/>
    <w:rsid w:val="00F53298"/>
    <w:rsid w:val="00F5361C"/>
    <w:rsid w:val="00F53B01"/>
    <w:rsid w:val="00F53B10"/>
    <w:rsid w:val="00F53D4A"/>
    <w:rsid w:val="00F53FFA"/>
    <w:rsid w:val="00F542C7"/>
    <w:rsid w:val="00F543E8"/>
    <w:rsid w:val="00F5453D"/>
    <w:rsid w:val="00F54832"/>
    <w:rsid w:val="00F5508C"/>
    <w:rsid w:val="00F55647"/>
    <w:rsid w:val="00F55677"/>
    <w:rsid w:val="00F557C1"/>
    <w:rsid w:val="00F5611D"/>
    <w:rsid w:val="00F56278"/>
    <w:rsid w:val="00F562AD"/>
    <w:rsid w:val="00F56951"/>
    <w:rsid w:val="00F56CDC"/>
    <w:rsid w:val="00F572EE"/>
    <w:rsid w:val="00F57590"/>
    <w:rsid w:val="00F57605"/>
    <w:rsid w:val="00F5783B"/>
    <w:rsid w:val="00F57885"/>
    <w:rsid w:val="00F602EE"/>
    <w:rsid w:val="00F605A8"/>
    <w:rsid w:val="00F61431"/>
    <w:rsid w:val="00F617B3"/>
    <w:rsid w:val="00F61C12"/>
    <w:rsid w:val="00F6226B"/>
    <w:rsid w:val="00F62687"/>
    <w:rsid w:val="00F627FE"/>
    <w:rsid w:val="00F62C13"/>
    <w:rsid w:val="00F62FB2"/>
    <w:rsid w:val="00F6346F"/>
    <w:rsid w:val="00F63563"/>
    <w:rsid w:val="00F63688"/>
    <w:rsid w:val="00F63770"/>
    <w:rsid w:val="00F639F9"/>
    <w:rsid w:val="00F63B45"/>
    <w:rsid w:val="00F63BB1"/>
    <w:rsid w:val="00F64176"/>
    <w:rsid w:val="00F6463C"/>
    <w:rsid w:val="00F6482A"/>
    <w:rsid w:val="00F64AA3"/>
    <w:rsid w:val="00F64B61"/>
    <w:rsid w:val="00F65092"/>
    <w:rsid w:val="00F65121"/>
    <w:rsid w:val="00F6527F"/>
    <w:rsid w:val="00F653F2"/>
    <w:rsid w:val="00F65AEF"/>
    <w:rsid w:val="00F65BA0"/>
    <w:rsid w:val="00F65D3E"/>
    <w:rsid w:val="00F65DE7"/>
    <w:rsid w:val="00F66073"/>
    <w:rsid w:val="00F66144"/>
    <w:rsid w:val="00F66878"/>
    <w:rsid w:val="00F668E6"/>
    <w:rsid w:val="00F67137"/>
    <w:rsid w:val="00F6713F"/>
    <w:rsid w:val="00F6780C"/>
    <w:rsid w:val="00F67838"/>
    <w:rsid w:val="00F67EDE"/>
    <w:rsid w:val="00F706B8"/>
    <w:rsid w:val="00F706CB"/>
    <w:rsid w:val="00F70ECD"/>
    <w:rsid w:val="00F70ED5"/>
    <w:rsid w:val="00F710A8"/>
    <w:rsid w:val="00F71228"/>
    <w:rsid w:val="00F715EB"/>
    <w:rsid w:val="00F71714"/>
    <w:rsid w:val="00F71956"/>
    <w:rsid w:val="00F71E55"/>
    <w:rsid w:val="00F71EA2"/>
    <w:rsid w:val="00F71FD3"/>
    <w:rsid w:val="00F7229B"/>
    <w:rsid w:val="00F722E5"/>
    <w:rsid w:val="00F723B7"/>
    <w:rsid w:val="00F728BE"/>
    <w:rsid w:val="00F72BE3"/>
    <w:rsid w:val="00F72CBE"/>
    <w:rsid w:val="00F72DD3"/>
    <w:rsid w:val="00F73122"/>
    <w:rsid w:val="00F7360D"/>
    <w:rsid w:val="00F743C2"/>
    <w:rsid w:val="00F743E2"/>
    <w:rsid w:val="00F74417"/>
    <w:rsid w:val="00F74433"/>
    <w:rsid w:val="00F74762"/>
    <w:rsid w:val="00F74B51"/>
    <w:rsid w:val="00F75C48"/>
    <w:rsid w:val="00F75DB5"/>
    <w:rsid w:val="00F75E4A"/>
    <w:rsid w:val="00F75F54"/>
    <w:rsid w:val="00F760B8"/>
    <w:rsid w:val="00F764F5"/>
    <w:rsid w:val="00F76739"/>
    <w:rsid w:val="00F7693F"/>
    <w:rsid w:val="00F76A32"/>
    <w:rsid w:val="00F771EE"/>
    <w:rsid w:val="00F7757E"/>
    <w:rsid w:val="00F800E9"/>
    <w:rsid w:val="00F80128"/>
    <w:rsid w:val="00F803B4"/>
    <w:rsid w:val="00F80B86"/>
    <w:rsid w:val="00F80C6D"/>
    <w:rsid w:val="00F80FE4"/>
    <w:rsid w:val="00F8128D"/>
    <w:rsid w:val="00F81362"/>
    <w:rsid w:val="00F81525"/>
    <w:rsid w:val="00F81538"/>
    <w:rsid w:val="00F818D3"/>
    <w:rsid w:val="00F81C85"/>
    <w:rsid w:val="00F81ECE"/>
    <w:rsid w:val="00F81F8C"/>
    <w:rsid w:val="00F82113"/>
    <w:rsid w:val="00F822A2"/>
    <w:rsid w:val="00F825F1"/>
    <w:rsid w:val="00F8292D"/>
    <w:rsid w:val="00F82CDB"/>
    <w:rsid w:val="00F83097"/>
    <w:rsid w:val="00F830EB"/>
    <w:rsid w:val="00F832C9"/>
    <w:rsid w:val="00F832E0"/>
    <w:rsid w:val="00F8331D"/>
    <w:rsid w:val="00F835B2"/>
    <w:rsid w:val="00F839CC"/>
    <w:rsid w:val="00F83ADF"/>
    <w:rsid w:val="00F83B7A"/>
    <w:rsid w:val="00F84683"/>
    <w:rsid w:val="00F846C2"/>
    <w:rsid w:val="00F84D23"/>
    <w:rsid w:val="00F854EE"/>
    <w:rsid w:val="00F8649B"/>
    <w:rsid w:val="00F86EBF"/>
    <w:rsid w:val="00F86FA9"/>
    <w:rsid w:val="00F86FAC"/>
    <w:rsid w:val="00F8705D"/>
    <w:rsid w:val="00F873C1"/>
    <w:rsid w:val="00F8746F"/>
    <w:rsid w:val="00F87832"/>
    <w:rsid w:val="00F8784B"/>
    <w:rsid w:val="00F901F7"/>
    <w:rsid w:val="00F90E2E"/>
    <w:rsid w:val="00F91042"/>
    <w:rsid w:val="00F91238"/>
    <w:rsid w:val="00F91353"/>
    <w:rsid w:val="00F9135C"/>
    <w:rsid w:val="00F9137C"/>
    <w:rsid w:val="00F91707"/>
    <w:rsid w:val="00F918CC"/>
    <w:rsid w:val="00F91D8B"/>
    <w:rsid w:val="00F91DE4"/>
    <w:rsid w:val="00F91E7C"/>
    <w:rsid w:val="00F9201D"/>
    <w:rsid w:val="00F92222"/>
    <w:rsid w:val="00F924EB"/>
    <w:rsid w:val="00F9252B"/>
    <w:rsid w:val="00F92914"/>
    <w:rsid w:val="00F9309A"/>
    <w:rsid w:val="00F9323F"/>
    <w:rsid w:val="00F93618"/>
    <w:rsid w:val="00F93B93"/>
    <w:rsid w:val="00F93DA0"/>
    <w:rsid w:val="00F94181"/>
    <w:rsid w:val="00F94198"/>
    <w:rsid w:val="00F943EF"/>
    <w:rsid w:val="00F94C0D"/>
    <w:rsid w:val="00F94DE0"/>
    <w:rsid w:val="00F957C4"/>
    <w:rsid w:val="00F95C49"/>
    <w:rsid w:val="00F95DC1"/>
    <w:rsid w:val="00F95EA7"/>
    <w:rsid w:val="00F96320"/>
    <w:rsid w:val="00F9666D"/>
    <w:rsid w:val="00F9684A"/>
    <w:rsid w:val="00F96978"/>
    <w:rsid w:val="00F96A7E"/>
    <w:rsid w:val="00F96CD0"/>
    <w:rsid w:val="00F97226"/>
    <w:rsid w:val="00FA04EC"/>
    <w:rsid w:val="00FA0715"/>
    <w:rsid w:val="00FA0825"/>
    <w:rsid w:val="00FA082E"/>
    <w:rsid w:val="00FA08AD"/>
    <w:rsid w:val="00FA0AC4"/>
    <w:rsid w:val="00FA0AE2"/>
    <w:rsid w:val="00FA0CC1"/>
    <w:rsid w:val="00FA1203"/>
    <w:rsid w:val="00FA1472"/>
    <w:rsid w:val="00FA15EF"/>
    <w:rsid w:val="00FA1790"/>
    <w:rsid w:val="00FA2348"/>
    <w:rsid w:val="00FA25DF"/>
    <w:rsid w:val="00FA2685"/>
    <w:rsid w:val="00FA26C9"/>
    <w:rsid w:val="00FA276A"/>
    <w:rsid w:val="00FA2940"/>
    <w:rsid w:val="00FA29EE"/>
    <w:rsid w:val="00FA2DF3"/>
    <w:rsid w:val="00FA2F27"/>
    <w:rsid w:val="00FA32B0"/>
    <w:rsid w:val="00FA3570"/>
    <w:rsid w:val="00FA35C3"/>
    <w:rsid w:val="00FA360F"/>
    <w:rsid w:val="00FA3D90"/>
    <w:rsid w:val="00FA3F2C"/>
    <w:rsid w:val="00FA4140"/>
    <w:rsid w:val="00FA4150"/>
    <w:rsid w:val="00FA4459"/>
    <w:rsid w:val="00FA446D"/>
    <w:rsid w:val="00FA46B1"/>
    <w:rsid w:val="00FA4747"/>
    <w:rsid w:val="00FA47ED"/>
    <w:rsid w:val="00FA4FAA"/>
    <w:rsid w:val="00FA521D"/>
    <w:rsid w:val="00FA5419"/>
    <w:rsid w:val="00FA5701"/>
    <w:rsid w:val="00FA5766"/>
    <w:rsid w:val="00FA5A82"/>
    <w:rsid w:val="00FA5ECA"/>
    <w:rsid w:val="00FA67B3"/>
    <w:rsid w:val="00FA69B4"/>
    <w:rsid w:val="00FA6C5A"/>
    <w:rsid w:val="00FA6D86"/>
    <w:rsid w:val="00FA70F5"/>
    <w:rsid w:val="00FA7991"/>
    <w:rsid w:val="00FA79DC"/>
    <w:rsid w:val="00FA7D7D"/>
    <w:rsid w:val="00FA7F1E"/>
    <w:rsid w:val="00FA7F57"/>
    <w:rsid w:val="00FA7FB3"/>
    <w:rsid w:val="00FB0224"/>
    <w:rsid w:val="00FB036D"/>
    <w:rsid w:val="00FB03D2"/>
    <w:rsid w:val="00FB0E4B"/>
    <w:rsid w:val="00FB0EE3"/>
    <w:rsid w:val="00FB12D1"/>
    <w:rsid w:val="00FB17D9"/>
    <w:rsid w:val="00FB19C5"/>
    <w:rsid w:val="00FB21B0"/>
    <w:rsid w:val="00FB2251"/>
    <w:rsid w:val="00FB2343"/>
    <w:rsid w:val="00FB2349"/>
    <w:rsid w:val="00FB26AB"/>
    <w:rsid w:val="00FB271E"/>
    <w:rsid w:val="00FB28E8"/>
    <w:rsid w:val="00FB294A"/>
    <w:rsid w:val="00FB2C3C"/>
    <w:rsid w:val="00FB2D7E"/>
    <w:rsid w:val="00FB3AA5"/>
    <w:rsid w:val="00FB3D56"/>
    <w:rsid w:val="00FB4297"/>
    <w:rsid w:val="00FB462D"/>
    <w:rsid w:val="00FB4B6C"/>
    <w:rsid w:val="00FB4BA3"/>
    <w:rsid w:val="00FB4CA5"/>
    <w:rsid w:val="00FB4EDB"/>
    <w:rsid w:val="00FB5173"/>
    <w:rsid w:val="00FB538D"/>
    <w:rsid w:val="00FB620D"/>
    <w:rsid w:val="00FB66CD"/>
    <w:rsid w:val="00FB68F6"/>
    <w:rsid w:val="00FB6C73"/>
    <w:rsid w:val="00FB6CDB"/>
    <w:rsid w:val="00FB6D35"/>
    <w:rsid w:val="00FB6F67"/>
    <w:rsid w:val="00FB71B5"/>
    <w:rsid w:val="00FB7490"/>
    <w:rsid w:val="00FB7E49"/>
    <w:rsid w:val="00FB7FA9"/>
    <w:rsid w:val="00FB7FB0"/>
    <w:rsid w:val="00FC015B"/>
    <w:rsid w:val="00FC0802"/>
    <w:rsid w:val="00FC0AD7"/>
    <w:rsid w:val="00FC0D3D"/>
    <w:rsid w:val="00FC0D55"/>
    <w:rsid w:val="00FC105C"/>
    <w:rsid w:val="00FC10DE"/>
    <w:rsid w:val="00FC1700"/>
    <w:rsid w:val="00FC19F0"/>
    <w:rsid w:val="00FC2295"/>
    <w:rsid w:val="00FC2A72"/>
    <w:rsid w:val="00FC2AD2"/>
    <w:rsid w:val="00FC2BFE"/>
    <w:rsid w:val="00FC2D17"/>
    <w:rsid w:val="00FC2D5F"/>
    <w:rsid w:val="00FC2ED5"/>
    <w:rsid w:val="00FC37AE"/>
    <w:rsid w:val="00FC3A2A"/>
    <w:rsid w:val="00FC3B95"/>
    <w:rsid w:val="00FC3C17"/>
    <w:rsid w:val="00FC3CE1"/>
    <w:rsid w:val="00FC3E3D"/>
    <w:rsid w:val="00FC431F"/>
    <w:rsid w:val="00FC4866"/>
    <w:rsid w:val="00FC4CED"/>
    <w:rsid w:val="00FC4D16"/>
    <w:rsid w:val="00FC5077"/>
    <w:rsid w:val="00FC5603"/>
    <w:rsid w:val="00FC590D"/>
    <w:rsid w:val="00FC5FF6"/>
    <w:rsid w:val="00FC63AD"/>
    <w:rsid w:val="00FC66FB"/>
    <w:rsid w:val="00FC6AAD"/>
    <w:rsid w:val="00FC6B3B"/>
    <w:rsid w:val="00FC6C20"/>
    <w:rsid w:val="00FC6E0E"/>
    <w:rsid w:val="00FC7250"/>
    <w:rsid w:val="00FC74E5"/>
    <w:rsid w:val="00FD0007"/>
    <w:rsid w:val="00FD0237"/>
    <w:rsid w:val="00FD0B28"/>
    <w:rsid w:val="00FD0B72"/>
    <w:rsid w:val="00FD0C2A"/>
    <w:rsid w:val="00FD0C2F"/>
    <w:rsid w:val="00FD0C9D"/>
    <w:rsid w:val="00FD0D33"/>
    <w:rsid w:val="00FD0DF9"/>
    <w:rsid w:val="00FD0F45"/>
    <w:rsid w:val="00FD1083"/>
    <w:rsid w:val="00FD11CF"/>
    <w:rsid w:val="00FD1522"/>
    <w:rsid w:val="00FD17BA"/>
    <w:rsid w:val="00FD1948"/>
    <w:rsid w:val="00FD19C2"/>
    <w:rsid w:val="00FD1C6E"/>
    <w:rsid w:val="00FD1E44"/>
    <w:rsid w:val="00FD1F40"/>
    <w:rsid w:val="00FD2614"/>
    <w:rsid w:val="00FD2776"/>
    <w:rsid w:val="00FD27B4"/>
    <w:rsid w:val="00FD2C9D"/>
    <w:rsid w:val="00FD2E73"/>
    <w:rsid w:val="00FD2F74"/>
    <w:rsid w:val="00FD35DF"/>
    <w:rsid w:val="00FD3914"/>
    <w:rsid w:val="00FD39FC"/>
    <w:rsid w:val="00FD3B2B"/>
    <w:rsid w:val="00FD3B94"/>
    <w:rsid w:val="00FD3BCB"/>
    <w:rsid w:val="00FD3FF2"/>
    <w:rsid w:val="00FD40DD"/>
    <w:rsid w:val="00FD43B3"/>
    <w:rsid w:val="00FD4530"/>
    <w:rsid w:val="00FD4828"/>
    <w:rsid w:val="00FD4B88"/>
    <w:rsid w:val="00FD4C46"/>
    <w:rsid w:val="00FD4F38"/>
    <w:rsid w:val="00FD5E0E"/>
    <w:rsid w:val="00FD611E"/>
    <w:rsid w:val="00FD6295"/>
    <w:rsid w:val="00FD62A7"/>
    <w:rsid w:val="00FD64DE"/>
    <w:rsid w:val="00FD6A9B"/>
    <w:rsid w:val="00FD7186"/>
    <w:rsid w:val="00FD7B57"/>
    <w:rsid w:val="00FD7E5C"/>
    <w:rsid w:val="00FE000C"/>
    <w:rsid w:val="00FE0493"/>
    <w:rsid w:val="00FE09A1"/>
    <w:rsid w:val="00FE0EB4"/>
    <w:rsid w:val="00FE1118"/>
    <w:rsid w:val="00FE17F7"/>
    <w:rsid w:val="00FE1A6E"/>
    <w:rsid w:val="00FE21F1"/>
    <w:rsid w:val="00FE234D"/>
    <w:rsid w:val="00FE2600"/>
    <w:rsid w:val="00FE2875"/>
    <w:rsid w:val="00FE28D1"/>
    <w:rsid w:val="00FE29E8"/>
    <w:rsid w:val="00FE2A6D"/>
    <w:rsid w:val="00FE2B3D"/>
    <w:rsid w:val="00FE2E3C"/>
    <w:rsid w:val="00FE3670"/>
    <w:rsid w:val="00FE40E5"/>
    <w:rsid w:val="00FE4105"/>
    <w:rsid w:val="00FE4739"/>
    <w:rsid w:val="00FE4972"/>
    <w:rsid w:val="00FE4A27"/>
    <w:rsid w:val="00FE4A7B"/>
    <w:rsid w:val="00FE4B26"/>
    <w:rsid w:val="00FE4C07"/>
    <w:rsid w:val="00FE4C0E"/>
    <w:rsid w:val="00FE4C3E"/>
    <w:rsid w:val="00FE4CC4"/>
    <w:rsid w:val="00FE4CC6"/>
    <w:rsid w:val="00FE4DB2"/>
    <w:rsid w:val="00FE51FA"/>
    <w:rsid w:val="00FE524B"/>
    <w:rsid w:val="00FE5546"/>
    <w:rsid w:val="00FE55A2"/>
    <w:rsid w:val="00FE5700"/>
    <w:rsid w:val="00FE63FE"/>
    <w:rsid w:val="00FE645A"/>
    <w:rsid w:val="00FE67B7"/>
    <w:rsid w:val="00FE681A"/>
    <w:rsid w:val="00FE681D"/>
    <w:rsid w:val="00FE6B62"/>
    <w:rsid w:val="00FE6CD3"/>
    <w:rsid w:val="00FE6DB9"/>
    <w:rsid w:val="00FE6E67"/>
    <w:rsid w:val="00FE6F50"/>
    <w:rsid w:val="00FE7275"/>
    <w:rsid w:val="00FE72E6"/>
    <w:rsid w:val="00FE74AC"/>
    <w:rsid w:val="00FE74DF"/>
    <w:rsid w:val="00FE76F0"/>
    <w:rsid w:val="00FE79EC"/>
    <w:rsid w:val="00FE7BD7"/>
    <w:rsid w:val="00FE7C22"/>
    <w:rsid w:val="00FF02B5"/>
    <w:rsid w:val="00FF02CB"/>
    <w:rsid w:val="00FF0594"/>
    <w:rsid w:val="00FF0784"/>
    <w:rsid w:val="00FF0A05"/>
    <w:rsid w:val="00FF0DBD"/>
    <w:rsid w:val="00FF12F3"/>
    <w:rsid w:val="00FF17C8"/>
    <w:rsid w:val="00FF1A0E"/>
    <w:rsid w:val="00FF1C27"/>
    <w:rsid w:val="00FF1DA8"/>
    <w:rsid w:val="00FF1E1C"/>
    <w:rsid w:val="00FF1F3D"/>
    <w:rsid w:val="00FF2100"/>
    <w:rsid w:val="00FF2165"/>
    <w:rsid w:val="00FF2681"/>
    <w:rsid w:val="00FF2A21"/>
    <w:rsid w:val="00FF2CBC"/>
    <w:rsid w:val="00FF2F0F"/>
    <w:rsid w:val="00FF2F16"/>
    <w:rsid w:val="00FF3514"/>
    <w:rsid w:val="00FF36E6"/>
    <w:rsid w:val="00FF3A07"/>
    <w:rsid w:val="00FF3DED"/>
    <w:rsid w:val="00FF3F3A"/>
    <w:rsid w:val="00FF3FEA"/>
    <w:rsid w:val="00FF4173"/>
    <w:rsid w:val="00FF42E6"/>
    <w:rsid w:val="00FF449E"/>
    <w:rsid w:val="00FF45D9"/>
    <w:rsid w:val="00FF485E"/>
    <w:rsid w:val="00FF4AB3"/>
    <w:rsid w:val="00FF4C20"/>
    <w:rsid w:val="00FF4C68"/>
    <w:rsid w:val="00FF5364"/>
    <w:rsid w:val="00FF62AD"/>
    <w:rsid w:val="00FF630F"/>
    <w:rsid w:val="00FF688E"/>
    <w:rsid w:val="00FF778E"/>
    <w:rsid w:val="00FF7E93"/>
    <w:rsid w:val="016BD06E"/>
    <w:rsid w:val="01918D65"/>
    <w:rsid w:val="01CBF14C"/>
    <w:rsid w:val="026ECA15"/>
    <w:rsid w:val="03BFE215"/>
    <w:rsid w:val="03C9080B"/>
    <w:rsid w:val="03DC6DF1"/>
    <w:rsid w:val="040D9F21"/>
    <w:rsid w:val="044444A6"/>
    <w:rsid w:val="057381E6"/>
    <w:rsid w:val="06072CC9"/>
    <w:rsid w:val="061232B4"/>
    <w:rsid w:val="066D9D91"/>
    <w:rsid w:val="06C8E5A7"/>
    <w:rsid w:val="0764950E"/>
    <w:rsid w:val="07710937"/>
    <w:rsid w:val="078C3B7E"/>
    <w:rsid w:val="0843FC08"/>
    <w:rsid w:val="08A95E00"/>
    <w:rsid w:val="091B5853"/>
    <w:rsid w:val="0A141071"/>
    <w:rsid w:val="0A70EF8F"/>
    <w:rsid w:val="0AA2F927"/>
    <w:rsid w:val="0AE39EB7"/>
    <w:rsid w:val="0C0CC39E"/>
    <w:rsid w:val="0C191D77"/>
    <w:rsid w:val="0C837E08"/>
    <w:rsid w:val="0CCCD987"/>
    <w:rsid w:val="0E386F0D"/>
    <w:rsid w:val="0E64A71B"/>
    <w:rsid w:val="0E6AD074"/>
    <w:rsid w:val="0E8BCAF4"/>
    <w:rsid w:val="0EDE204D"/>
    <w:rsid w:val="0EE057BF"/>
    <w:rsid w:val="0EE1789A"/>
    <w:rsid w:val="0F4E836D"/>
    <w:rsid w:val="10087FCD"/>
    <w:rsid w:val="1077CBA6"/>
    <w:rsid w:val="107CE454"/>
    <w:rsid w:val="10806015"/>
    <w:rsid w:val="1156A69E"/>
    <w:rsid w:val="11B7F2DE"/>
    <w:rsid w:val="11D5052E"/>
    <w:rsid w:val="128C970F"/>
    <w:rsid w:val="12C2770C"/>
    <w:rsid w:val="137C44E4"/>
    <w:rsid w:val="14879DF0"/>
    <w:rsid w:val="14A2396D"/>
    <w:rsid w:val="14A31479"/>
    <w:rsid w:val="14BA7352"/>
    <w:rsid w:val="153935A0"/>
    <w:rsid w:val="154DC5C1"/>
    <w:rsid w:val="1588198B"/>
    <w:rsid w:val="15C803B6"/>
    <w:rsid w:val="15E3509D"/>
    <w:rsid w:val="16B5A9E1"/>
    <w:rsid w:val="16C1661B"/>
    <w:rsid w:val="171D16EB"/>
    <w:rsid w:val="1870D5C3"/>
    <w:rsid w:val="18A84A0A"/>
    <w:rsid w:val="18E67DF9"/>
    <w:rsid w:val="1919C60A"/>
    <w:rsid w:val="1920B676"/>
    <w:rsid w:val="19923432"/>
    <w:rsid w:val="19B74CDB"/>
    <w:rsid w:val="19E841D6"/>
    <w:rsid w:val="1A84E9ED"/>
    <w:rsid w:val="1AFDC9B8"/>
    <w:rsid w:val="1B9BD0A6"/>
    <w:rsid w:val="1BCB1EC8"/>
    <w:rsid w:val="1C868A2A"/>
    <w:rsid w:val="1D1D1DF6"/>
    <w:rsid w:val="1D2FB4BB"/>
    <w:rsid w:val="1DC85276"/>
    <w:rsid w:val="1E72BA81"/>
    <w:rsid w:val="1EC29DC1"/>
    <w:rsid w:val="1F343BA6"/>
    <w:rsid w:val="1FC9091B"/>
    <w:rsid w:val="1FE470C6"/>
    <w:rsid w:val="20011A82"/>
    <w:rsid w:val="2033C0FF"/>
    <w:rsid w:val="211546BE"/>
    <w:rsid w:val="21482E3B"/>
    <w:rsid w:val="216499F2"/>
    <w:rsid w:val="2166539E"/>
    <w:rsid w:val="21765CFC"/>
    <w:rsid w:val="22206DFD"/>
    <w:rsid w:val="22498241"/>
    <w:rsid w:val="225A5637"/>
    <w:rsid w:val="22A7B256"/>
    <w:rsid w:val="22D5D57B"/>
    <w:rsid w:val="231C992C"/>
    <w:rsid w:val="233BDD1F"/>
    <w:rsid w:val="2366DBE5"/>
    <w:rsid w:val="24098A7E"/>
    <w:rsid w:val="2428D69E"/>
    <w:rsid w:val="247431FB"/>
    <w:rsid w:val="247B828A"/>
    <w:rsid w:val="248C1249"/>
    <w:rsid w:val="24DCD45F"/>
    <w:rsid w:val="2533BA0C"/>
    <w:rsid w:val="2698570E"/>
    <w:rsid w:val="26CC6AD3"/>
    <w:rsid w:val="2725687D"/>
    <w:rsid w:val="2781BD9E"/>
    <w:rsid w:val="27AA988A"/>
    <w:rsid w:val="27D40EB5"/>
    <w:rsid w:val="28330B66"/>
    <w:rsid w:val="28E00779"/>
    <w:rsid w:val="28F470A9"/>
    <w:rsid w:val="28FC47C1"/>
    <w:rsid w:val="291C8431"/>
    <w:rsid w:val="2A71457C"/>
    <w:rsid w:val="2A7C464D"/>
    <w:rsid w:val="2B6B1FE0"/>
    <w:rsid w:val="2BE8FFBB"/>
    <w:rsid w:val="2C049005"/>
    <w:rsid w:val="2C2BCEB9"/>
    <w:rsid w:val="2C3E7D90"/>
    <w:rsid w:val="2CA83D1C"/>
    <w:rsid w:val="2D2437B5"/>
    <w:rsid w:val="2D401696"/>
    <w:rsid w:val="2DA06066"/>
    <w:rsid w:val="2E668B7B"/>
    <w:rsid w:val="2F4FC2C0"/>
    <w:rsid w:val="2FF3926B"/>
    <w:rsid w:val="30F1711E"/>
    <w:rsid w:val="312F2F6C"/>
    <w:rsid w:val="3131AF5F"/>
    <w:rsid w:val="318136C8"/>
    <w:rsid w:val="31D202F2"/>
    <w:rsid w:val="322715AC"/>
    <w:rsid w:val="329616F8"/>
    <w:rsid w:val="330064F1"/>
    <w:rsid w:val="33277146"/>
    <w:rsid w:val="334684E5"/>
    <w:rsid w:val="338CECE3"/>
    <w:rsid w:val="33A9853D"/>
    <w:rsid w:val="33E5F333"/>
    <w:rsid w:val="34248A11"/>
    <w:rsid w:val="343F93C2"/>
    <w:rsid w:val="34E32D2F"/>
    <w:rsid w:val="35000D55"/>
    <w:rsid w:val="3520572D"/>
    <w:rsid w:val="35320369"/>
    <w:rsid w:val="353F3B85"/>
    <w:rsid w:val="35DE6409"/>
    <w:rsid w:val="36F8E183"/>
    <w:rsid w:val="371EB54D"/>
    <w:rsid w:val="3743A002"/>
    <w:rsid w:val="3863EC7E"/>
    <w:rsid w:val="3872C6BF"/>
    <w:rsid w:val="38985E7B"/>
    <w:rsid w:val="3929F127"/>
    <w:rsid w:val="399BB2C7"/>
    <w:rsid w:val="39D6DDE0"/>
    <w:rsid w:val="3B293580"/>
    <w:rsid w:val="3B3953E5"/>
    <w:rsid w:val="3B6F7ECA"/>
    <w:rsid w:val="3B84074A"/>
    <w:rsid w:val="3BB1FA9D"/>
    <w:rsid w:val="3BB8C95C"/>
    <w:rsid w:val="3BCBC3CD"/>
    <w:rsid w:val="3C151D6B"/>
    <w:rsid w:val="3C43D70E"/>
    <w:rsid w:val="3D1A5F5C"/>
    <w:rsid w:val="3D1A622A"/>
    <w:rsid w:val="3D244D1A"/>
    <w:rsid w:val="3D706CBD"/>
    <w:rsid w:val="3D743DAF"/>
    <w:rsid w:val="3EA6A8FD"/>
    <w:rsid w:val="3EF9E3E9"/>
    <w:rsid w:val="3F1CF313"/>
    <w:rsid w:val="3F3AC8B4"/>
    <w:rsid w:val="3F9A9D4A"/>
    <w:rsid w:val="4042795E"/>
    <w:rsid w:val="4068BB26"/>
    <w:rsid w:val="4078E1A8"/>
    <w:rsid w:val="40CD8E56"/>
    <w:rsid w:val="40EBBCD9"/>
    <w:rsid w:val="413E5BC8"/>
    <w:rsid w:val="41449CAD"/>
    <w:rsid w:val="41ACF8CF"/>
    <w:rsid w:val="41B52A7C"/>
    <w:rsid w:val="41C56800"/>
    <w:rsid w:val="41EA67A1"/>
    <w:rsid w:val="41EBF8C1"/>
    <w:rsid w:val="420C1EE4"/>
    <w:rsid w:val="427E3696"/>
    <w:rsid w:val="42909067"/>
    <w:rsid w:val="42B5AA0A"/>
    <w:rsid w:val="434431C1"/>
    <w:rsid w:val="434A168D"/>
    <w:rsid w:val="43969939"/>
    <w:rsid w:val="43E6F2FF"/>
    <w:rsid w:val="45186030"/>
    <w:rsid w:val="45367992"/>
    <w:rsid w:val="4592E34E"/>
    <w:rsid w:val="463D08BF"/>
    <w:rsid w:val="466C26C3"/>
    <w:rsid w:val="4693B17D"/>
    <w:rsid w:val="479BCC71"/>
    <w:rsid w:val="47D7B73C"/>
    <w:rsid w:val="4849A30E"/>
    <w:rsid w:val="4893D902"/>
    <w:rsid w:val="48CBF08E"/>
    <w:rsid w:val="499BE7CF"/>
    <w:rsid w:val="49A45A1D"/>
    <w:rsid w:val="4A929C7B"/>
    <w:rsid w:val="4AAF74D7"/>
    <w:rsid w:val="4AC43CD8"/>
    <w:rsid w:val="4C7DE488"/>
    <w:rsid w:val="4D10EC62"/>
    <w:rsid w:val="4E218392"/>
    <w:rsid w:val="4E6D5E6E"/>
    <w:rsid w:val="4E8F05F7"/>
    <w:rsid w:val="4EDE8894"/>
    <w:rsid w:val="4F88CD67"/>
    <w:rsid w:val="4F9D15DC"/>
    <w:rsid w:val="50683ADF"/>
    <w:rsid w:val="5136D5E4"/>
    <w:rsid w:val="5173FB27"/>
    <w:rsid w:val="5199B3B0"/>
    <w:rsid w:val="51F649D9"/>
    <w:rsid w:val="52439565"/>
    <w:rsid w:val="526A786A"/>
    <w:rsid w:val="527D3FCE"/>
    <w:rsid w:val="52F928D0"/>
    <w:rsid w:val="533408AE"/>
    <w:rsid w:val="5347F489"/>
    <w:rsid w:val="5395DECB"/>
    <w:rsid w:val="53B1F9B7"/>
    <w:rsid w:val="53F0FEA1"/>
    <w:rsid w:val="549F7601"/>
    <w:rsid w:val="54B8E639"/>
    <w:rsid w:val="54BF330B"/>
    <w:rsid w:val="54FCA77C"/>
    <w:rsid w:val="5604E579"/>
    <w:rsid w:val="56289F3E"/>
    <w:rsid w:val="566AD21D"/>
    <w:rsid w:val="57046103"/>
    <w:rsid w:val="5832E6DC"/>
    <w:rsid w:val="585FC9F2"/>
    <w:rsid w:val="58D94211"/>
    <w:rsid w:val="590CAD29"/>
    <w:rsid w:val="591F1E3B"/>
    <w:rsid w:val="59293AF6"/>
    <w:rsid w:val="595579C2"/>
    <w:rsid w:val="596AAC32"/>
    <w:rsid w:val="5A102652"/>
    <w:rsid w:val="5A64E5C8"/>
    <w:rsid w:val="5ABDE8BA"/>
    <w:rsid w:val="5C3E9438"/>
    <w:rsid w:val="5C7DDCF1"/>
    <w:rsid w:val="5CE89ADA"/>
    <w:rsid w:val="5D43B66D"/>
    <w:rsid w:val="5DCA62A6"/>
    <w:rsid w:val="5DCB8481"/>
    <w:rsid w:val="5DD07F99"/>
    <w:rsid w:val="5E0923F2"/>
    <w:rsid w:val="5E0F538C"/>
    <w:rsid w:val="5E3D530C"/>
    <w:rsid w:val="5E484AAA"/>
    <w:rsid w:val="5E57BF7B"/>
    <w:rsid w:val="5EB8260F"/>
    <w:rsid w:val="5EEDE578"/>
    <w:rsid w:val="5FAB92E9"/>
    <w:rsid w:val="6021142A"/>
    <w:rsid w:val="60798E0B"/>
    <w:rsid w:val="612B5223"/>
    <w:rsid w:val="62328A50"/>
    <w:rsid w:val="632D5160"/>
    <w:rsid w:val="639B6EA2"/>
    <w:rsid w:val="64488C8A"/>
    <w:rsid w:val="64AC2FE9"/>
    <w:rsid w:val="64BC451B"/>
    <w:rsid w:val="65D8B2B7"/>
    <w:rsid w:val="65E59AE9"/>
    <w:rsid w:val="6631C4CE"/>
    <w:rsid w:val="6633E7AB"/>
    <w:rsid w:val="667FB860"/>
    <w:rsid w:val="678168EC"/>
    <w:rsid w:val="67BD25EB"/>
    <w:rsid w:val="67C81A61"/>
    <w:rsid w:val="6831C2BD"/>
    <w:rsid w:val="683526F7"/>
    <w:rsid w:val="688417B4"/>
    <w:rsid w:val="689A5F50"/>
    <w:rsid w:val="689DAA89"/>
    <w:rsid w:val="689FD3A7"/>
    <w:rsid w:val="68B2AA7D"/>
    <w:rsid w:val="68B6BC87"/>
    <w:rsid w:val="68BBC219"/>
    <w:rsid w:val="693816F1"/>
    <w:rsid w:val="694D7CE2"/>
    <w:rsid w:val="698E945A"/>
    <w:rsid w:val="69D864C4"/>
    <w:rsid w:val="69E10D96"/>
    <w:rsid w:val="6A3BF191"/>
    <w:rsid w:val="6B036D76"/>
    <w:rsid w:val="6B0DA555"/>
    <w:rsid w:val="6B2BBA4C"/>
    <w:rsid w:val="6B422463"/>
    <w:rsid w:val="6BCB3BB0"/>
    <w:rsid w:val="6CB3BC04"/>
    <w:rsid w:val="6CD245C3"/>
    <w:rsid w:val="6CE5B639"/>
    <w:rsid w:val="6D331DD9"/>
    <w:rsid w:val="6D5AE1E9"/>
    <w:rsid w:val="6DE9555D"/>
    <w:rsid w:val="6E3F1532"/>
    <w:rsid w:val="6F42E812"/>
    <w:rsid w:val="6F80F778"/>
    <w:rsid w:val="6FA78DE3"/>
    <w:rsid w:val="70112BCD"/>
    <w:rsid w:val="7073F627"/>
    <w:rsid w:val="7099687F"/>
    <w:rsid w:val="70B96987"/>
    <w:rsid w:val="72185EBC"/>
    <w:rsid w:val="725685EC"/>
    <w:rsid w:val="7256C88C"/>
    <w:rsid w:val="726D4F43"/>
    <w:rsid w:val="72904E5E"/>
    <w:rsid w:val="729B985A"/>
    <w:rsid w:val="72B3E418"/>
    <w:rsid w:val="7392554F"/>
    <w:rsid w:val="73B4F237"/>
    <w:rsid w:val="745F7C6E"/>
    <w:rsid w:val="749FB384"/>
    <w:rsid w:val="74C454B0"/>
    <w:rsid w:val="7516BEF5"/>
    <w:rsid w:val="753B4DA2"/>
    <w:rsid w:val="7553B145"/>
    <w:rsid w:val="7579CFC4"/>
    <w:rsid w:val="76076146"/>
    <w:rsid w:val="77582381"/>
    <w:rsid w:val="775EAA24"/>
    <w:rsid w:val="77FABCA2"/>
    <w:rsid w:val="783F9312"/>
    <w:rsid w:val="78447F24"/>
    <w:rsid w:val="78D94E54"/>
    <w:rsid w:val="793E62B1"/>
    <w:rsid w:val="799490CE"/>
    <w:rsid w:val="79D74589"/>
    <w:rsid w:val="7A237F27"/>
    <w:rsid w:val="7A602C47"/>
    <w:rsid w:val="7ADE0965"/>
    <w:rsid w:val="7BB8553A"/>
    <w:rsid w:val="7D05D040"/>
    <w:rsid w:val="7D48B2ED"/>
    <w:rsid w:val="7D4AB64E"/>
    <w:rsid w:val="7D52453D"/>
    <w:rsid w:val="7D634460"/>
    <w:rsid w:val="7DEDC5DC"/>
    <w:rsid w:val="7F6C1B32"/>
    <w:rsid w:val="7FAFB4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B47B8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2"/>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uiPriority w:val="2"/>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005C99"/>
    <w:pPr>
      <w:keepNext/>
      <w:spacing w:before="360" w:after="120" w:line="240" w:lineRule="auto"/>
      <w:ind w:left="794" w:hanging="794"/>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005C99"/>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CMA Table Templat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153CA7"/>
    <w:pPr>
      <w:numPr>
        <w:numId w:val="5"/>
      </w:numPr>
      <w:spacing w:after="120" w:line="240" w:lineRule="auto"/>
    </w:p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Print" w:hAnsi="Segoe Prin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Print" w:hAnsi="Segoe Prin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Print" w:hAnsi="Segoe Print"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aryTabletextleft">
    <w:name w:val="Commentary Table text left"/>
    <w:basedOn w:val="Normal"/>
    <w:link w:val="CommentaryTabletextleftChar"/>
    <w:qFormat/>
    <w:rsid w:val="006D2664"/>
    <w:pPr>
      <w:spacing w:before="40" w:after="40" w:line="240" w:lineRule="auto"/>
    </w:pPr>
    <w:rPr>
      <w:rFonts w:ascii="Arial Narrow" w:eastAsia="Calibri" w:hAnsi="Arial Narrow"/>
      <w:color w:val="5B9BD5" w:themeColor="accent1"/>
      <w:sz w:val="20"/>
      <w:szCs w:val="20"/>
    </w:rPr>
  </w:style>
  <w:style w:type="character" w:customStyle="1" w:styleId="CommentaryTabletextleftChar">
    <w:name w:val="Commentary Table text left Char"/>
    <w:basedOn w:val="DefaultParagraphFont"/>
    <w:link w:val="CommentaryTabletextleft"/>
    <w:rsid w:val="006D2664"/>
    <w:rPr>
      <w:rFonts w:ascii="Arial Narrow" w:eastAsia="Calibri" w:hAnsi="Arial Narrow"/>
      <w:color w:val="5B9BD5" w:themeColor="accent1"/>
      <w:sz w:val="20"/>
      <w:szCs w:val="20"/>
    </w:rPr>
  </w:style>
  <w:style w:type="paragraph" w:customStyle="1" w:styleId="Commentarytextitalics-AGvoice">
    <w:name w:val="Commentary text italics - AG voice"/>
    <w:basedOn w:val="Normal"/>
    <w:link w:val="Commentarytextitalics-AGvoiceChar"/>
    <w:qFormat/>
    <w:rsid w:val="00F43B78"/>
    <w:pPr>
      <w:spacing w:before="0" w:after="120" w:line="264" w:lineRule="auto"/>
    </w:pPr>
    <w:rPr>
      <w:rFonts w:eastAsiaTheme="minorEastAsia" w:cs="Times New Roman"/>
      <w:i/>
      <w:snapToGrid w:val="0"/>
      <w:color w:val="5B9BD5" w:themeColor="accent1"/>
      <w:szCs w:val="20"/>
      <w:lang w:eastAsia="en-AU"/>
    </w:rPr>
  </w:style>
  <w:style w:type="character" w:customStyle="1" w:styleId="Commentarytextitalics-AGvoiceChar">
    <w:name w:val="Commentary text italics - AG voice Char"/>
    <w:basedOn w:val="DefaultParagraphFont"/>
    <w:link w:val="Commentarytextitalics-AGvoice"/>
    <w:rsid w:val="00F43B78"/>
    <w:rPr>
      <w:rFonts w:ascii="Franklin Gothic Book" w:eastAsiaTheme="minorEastAsia" w:hAnsi="Franklin Gothic Book" w:cs="Times New Roman"/>
      <w:i/>
      <w:snapToGrid w:val="0"/>
      <w:color w:val="5B9BD5" w:themeColor="accent1"/>
      <w:szCs w:val="20"/>
      <w:lang w:eastAsia="en-AU"/>
    </w:rPr>
  </w:style>
  <w:style w:type="paragraph" w:customStyle="1" w:styleId="CommentaryTabletextcentre">
    <w:name w:val="Commentary Table text centre"/>
    <w:basedOn w:val="Normal"/>
    <w:link w:val="CommentaryTabletextcentreChar"/>
    <w:qFormat/>
    <w:rsid w:val="003C0323"/>
    <w:pPr>
      <w:keepNext/>
      <w:spacing w:before="40" w:after="40" w:line="240" w:lineRule="auto"/>
      <w:ind w:left="57"/>
      <w:jc w:val="center"/>
    </w:pPr>
    <w:rPr>
      <w:rFonts w:ascii="Arial Narrow" w:eastAsia="Calibri" w:hAnsi="Arial Narrow"/>
      <w:i/>
      <w:color w:val="5B9BD5" w:themeColor="accent1"/>
      <w:sz w:val="18"/>
      <w:szCs w:val="20"/>
    </w:rPr>
  </w:style>
  <w:style w:type="character" w:customStyle="1" w:styleId="CommentaryTabletextcentreChar">
    <w:name w:val="Commentary Table text centre Char"/>
    <w:basedOn w:val="DefaultParagraphFont"/>
    <w:link w:val="CommentaryTabletextcentre"/>
    <w:rsid w:val="003C0323"/>
    <w:rPr>
      <w:rFonts w:ascii="Arial Narrow" w:eastAsia="Calibri" w:hAnsi="Arial Narrow"/>
      <w:i/>
      <w:color w:val="5B9BD5" w:themeColor="accent1"/>
      <w:sz w:val="18"/>
      <w:szCs w:val="20"/>
    </w:rPr>
  </w:style>
  <w:style w:type="character" w:customStyle="1" w:styleId="Heading5Char">
    <w:name w:val="Heading 5 Char"/>
    <w:basedOn w:val="DefaultParagraphFont"/>
    <w:link w:val="Heading5"/>
    <w:uiPriority w:val="9"/>
    <w:rsid w:val="00B47B8B"/>
    <w:rPr>
      <w:rFonts w:asciiTheme="majorHAnsi" w:eastAsiaTheme="majorEastAsia" w:hAnsiTheme="majorHAnsi" w:cstheme="majorBidi"/>
      <w:color w:val="2E74B5" w:themeColor="accent1" w:themeShade="BF"/>
    </w:rPr>
  </w:style>
  <w:style w:type="character" w:customStyle="1" w:styleId="quality-sign">
    <w:name w:val="quality-sign"/>
    <w:basedOn w:val="DefaultParagraphFont"/>
    <w:rsid w:val="005C794B"/>
  </w:style>
  <w:style w:type="character" w:customStyle="1" w:styleId="quality-text">
    <w:name w:val="quality-text"/>
    <w:basedOn w:val="DefaultParagraphFont"/>
    <w:rsid w:val="005C794B"/>
  </w:style>
  <w:style w:type="character" w:styleId="UnresolvedMention">
    <w:name w:val="Unresolved Mention"/>
    <w:basedOn w:val="DefaultParagraphFont"/>
    <w:uiPriority w:val="99"/>
    <w:unhideWhenUsed/>
    <w:rsid w:val="002723A2"/>
    <w:rPr>
      <w:color w:val="605E5C"/>
      <w:shd w:val="clear" w:color="auto" w:fill="E1DFDD"/>
    </w:rPr>
  </w:style>
  <w:style w:type="paragraph" w:customStyle="1" w:styleId="Commentarytext">
    <w:name w:val="Commentary text"/>
    <w:basedOn w:val="CommentText"/>
    <w:link w:val="CommentarytextChar"/>
    <w:qFormat/>
    <w:rsid w:val="009E4D47"/>
    <w:pPr>
      <w:spacing w:before="0" w:after="120" w:line="264" w:lineRule="auto"/>
    </w:pPr>
    <w:rPr>
      <w:rFonts w:ascii="Franklin Gothic Book" w:eastAsiaTheme="minorEastAsia" w:hAnsi="Franklin Gothic Book"/>
      <w:color w:val="5B9BD5" w:themeColor="accent1"/>
      <w:szCs w:val="20"/>
    </w:rPr>
  </w:style>
  <w:style w:type="character" w:customStyle="1" w:styleId="CommentarytextChar">
    <w:name w:val="Commentary text Char"/>
    <w:basedOn w:val="DefaultParagraphFont"/>
    <w:link w:val="Commentarytext"/>
    <w:rsid w:val="009E4D47"/>
    <w:rPr>
      <w:rFonts w:ascii="Franklin Gothic Book" w:eastAsiaTheme="minorEastAsia" w:hAnsi="Franklin Gothic Book" w:cs="Times New Roman"/>
      <w:color w:val="5B9BD5" w:themeColor="accent1"/>
      <w:szCs w:val="20"/>
      <w:lang w:eastAsia="en-AU"/>
    </w:rPr>
  </w:style>
  <w:style w:type="character" w:customStyle="1" w:styleId="aranob">
    <w:name w:val="aranob"/>
    <w:basedOn w:val="DefaultParagraphFont"/>
    <w:rsid w:val="00392E23"/>
  </w:style>
  <w:style w:type="paragraph" w:styleId="NormalWeb">
    <w:name w:val="Normal (Web)"/>
    <w:basedOn w:val="Normal"/>
    <w:uiPriority w:val="99"/>
    <w:unhideWhenUsed/>
    <w:rsid w:val="00F47C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17B76"/>
    <w:rPr>
      <w:color w:val="2B579A"/>
      <w:shd w:val="clear" w:color="auto" w:fill="E1DFDD"/>
    </w:rPr>
  </w:style>
  <w:style w:type="character" w:customStyle="1" w:styleId="normaltextrun">
    <w:name w:val="normaltextrun"/>
    <w:basedOn w:val="DefaultParagraphFont"/>
    <w:rsid w:val="00F830EB"/>
  </w:style>
  <w:style w:type="character" w:customStyle="1" w:styleId="eop">
    <w:name w:val="eop"/>
    <w:basedOn w:val="DefaultParagraphFont"/>
    <w:rsid w:val="00E62A5F"/>
  </w:style>
  <w:style w:type="character" w:customStyle="1" w:styleId="superscript">
    <w:name w:val="superscript"/>
    <w:basedOn w:val="DefaultParagraphFont"/>
    <w:rsid w:val="00E62A5F"/>
  </w:style>
  <w:style w:type="paragraph" w:customStyle="1" w:styleId="BulletBeforeDash">
    <w:name w:val="BulletBeforeDash"/>
    <w:basedOn w:val="Normal"/>
    <w:rsid w:val="00AB14AE"/>
    <w:pPr>
      <w:numPr>
        <w:numId w:val="98"/>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AB14AE"/>
    <w:pPr>
      <w:numPr>
        <w:numId w:val="0"/>
      </w:numPr>
      <w:spacing w:before="0" w:after="240"/>
      <w:ind w:left="786" w:hanging="360"/>
    </w:pPr>
    <w:rPr>
      <w:rFonts w:eastAsia="Times New Roman" w:cs="Times New Roman"/>
      <w:color w:val="000000"/>
      <w:szCs w:val="20"/>
      <w:lang w:eastAsia="en-AU"/>
    </w:rPr>
  </w:style>
  <w:style w:type="paragraph" w:customStyle="1" w:styleId="NormalBeforeBullet0">
    <w:name w:val="NormalBeforeBullet"/>
    <w:basedOn w:val="Normal"/>
    <w:qFormat/>
    <w:rsid w:val="00AB14AE"/>
    <w:pPr>
      <w:keepNext/>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8E2BC5"/>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8E2BC5"/>
    <w:rPr>
      <w:rFonts w:ascii="Book Antiqua" w:eastAsia="Times New Roman" w:hAnsi="Book Antiqua" w:cs="Times New Roman"/>
      <w:sz w:val="24"/>
      <w:szCs w:val="20"/>
    </w:rPr>
  </w:style>
  <w:style w:type="paragraph" w:customStyle="1" w:styleId="Default">
    <w:name w:val="Default"/>
    <w:rsid w:val="00A326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6372330">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0855834">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3485935">
      <w:bodyDiv w:val="1"/>
      <w:marLeft w:val="0"/>
      <w:marRight w:val="0"/>
      <w:marTop w:val="0"/>
      <w:marBottom w:val="0"/>
      <w:divBdr>
        <w:top w:val="none" w:sz="0" w:space="0" w:color="auto"/>
        <w:left w:val="none" w:sz="0" w:space="0" w:color="auto"/>
        <w:bottom w:val="none" w:sz="0" w:space="0" w:color="auto"/>
        <w:right w:val="none" w:sz="0" w:space="0" w:color="auto"/>
      </w:divBdr>
    </w:div>
    <w:div w:id="67673007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187374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5775133">
      <w:bodyDiv w:val="1"/>
      <w:marLeft w:val="0"/>
      <w:marRight w:val="0"/>
      <w:marTop w:val="0"/>
      <w:marBottom w:val="0"/>
      <w:divBdr>
        <w:top w:val="none" w:sz="0" w:space="0" w:color="auto"/>
        <w:left w:val="none" w:sz="0" w:space="0" w:color="auto"/>
        <w:bottom w:val="none" w:sz="0" w:space="0" w:color="auto"/>
        <w:right w:val="none" w:sz="0" w:space="0" w:color="auto"/>
      </w:divBdr>
      <w:divsChild>
        <w:div w:id="210844537">
          <w:marLeft w:val="0"/>
          <w:marRight w:val="0"/>
          <w:marTop w:val="0"/>
          <w:marBottom w:val="0"/>
          <w:divBdr>
            <w:top w:val="none" w:sz="0" w:space="0" w:color="auto"/>
            <w:left w:val="none" w:sz="0" w:space="0" w:color="auto"/>
            <w:bottom w:val="none" w:sz="0" w:space="0" w:color="auto"/>
            <w:right w:val="none" w:sz="0" w:space="0" w:color="auto"/>
          </w:divBdr>
          <w:divsChild>
            <w:div w:id="400445062">
              <w:marLeft w:val="0"/>
              <w:marRight w:val="0"/>
              <w:marTop w:val="0"/>
              <w:marBottom w:val="0"/>
              <w:divBdr>
                <w:top w:val="none" w:sz="0" w:space="0" w:color="auto"/>
                <w:left w:val="none" w:sz="0" w:space="0" w:color="auto"/>
                <w:bottom w:val="none" w:sz="0" w:space="0" w:color="auto"/>
                <w:right w:val="none" w:sz="0" w:space="0" w:color="auto"/>
              </w:divBdr>
              <w:divsChild>
                <w:div w:id="1681271845">
                  <w:marLeft w:val="0"/>
                  <w:marRight w:val="0"/>
                  <w:marTop w:val="0"/>
                  <w:marBottom w:val="0"/>
                  <w:divBdr>
                    <w:top w:val="none" w:sz="0" w:space="0" w:color="auto"/>
                    <w:left w:val="none" w:sz="0" w:space="0" w:color="auto"/>
                    <w:bottom w:val="none" w:sz="0" w:space="0" w:color="auto"/>
                    <w:right w:val="none" w:sz="0" w:space="0" w:color="auto"/>
                  </w:divBdr>
                  <w:divsChild>
                    <w:div w:id="561522753">
                      <w:marLeft w:val="300"/>
                      <w:marRight w:val="0"/>
                      <w:marTop w:val="0"/>
                      <w:marBottom w:val="0"/>
                      <w:divBdr>
                        <w:top w:val="none" w:sz="0" w:space="0" w:color="auto"/>
                        <w:left w:val="none" w:sz="0" w:space="0" w:color="auto"/>
                        <w:bottom w:val="none" w:sz="0" w:space="0" w:color="auto"/>
                        <w:right w:val="none" w:sz="0" w:space="0" w:color="auto"/>
                      </w:divBdr>
                      <w:divsChild>
                        <w:div w:id="1148936303">
                          <w:marLeft w:val="-300"/>
                          <w:marRight w:val="0"/>
                          <w:marTop w:val="0"/>
                          <w:marBottom w:val="0"/>
                          <w:divBdr>
                            <w:top w:val="none" w:sz="0" w:space="0" w:color="auto"/>
                            <w:left w:val="none" w:sz="0" w:space="0" w:color="auto"/>
                            <w:bottom w:val="none" w:sz="0" w:space="0" w:color="auto"/>
                            <w:right w:val="none" w:sz="0" w:space="0" w:color="auto"/>
                          </w:divBdr>
                          <w:divsChild>
                            <w:div w:id="2142451564">
                              <w:marLeft w:val="0"/>
                              <w:marRight w:val="0"/>
                              <w:marTop w:val="0"/>
                              <w:marBottom w:val="0"/>
                              <w:divBdr>
                                <w:top w:val="none" w:sz="0" w:space="0" w:color="auto"/>
                                <w:left w:val="none" w:sz="0" w:space="0" w:color="auto"/>
                                <w:bottom w:val="none" w:sz="0" w:space="0" w:color="auto"/>
                                <w:right w:val="none" w:sz="0" w:space="0" w:color="auto"/>
                              </w:divBdr>
                              <w:divsChild>
                                <w:div w:id="1567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9752018">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44624158">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2965059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0655016">
      <w:bodyDiv w:val="1"/>
      <w:marLeft w:val="0"/>
      <w:marRight w:val="0"/>
      <w:marTop w:val="0"/>
      <w:marBottom w:val="0"/>
      <w:divBdr>
        <w:top w:val="none" w:sz="0" w:space="0" w:color="auto"/>
        <w:left w:val="none" w:sz="0" w:space="0" w:color="auto"/>
        <w:bottom w:val="none" w:sz="0" w:space="0" w:color="auto"/>
        <w:right w:val="none" w:sz="0" w:space="0" w:color="auto"/>
      </w:divBdr>
    </w:div>
    <w:div w:id="1954942896">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2805212">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msac.gov.au/internet/msac/publishing.nsf/Content/Home-1" TargetMode="External"/><Relationship Id="rId23" Type="http://schemas.openxmlformats.org/officeDocument/2006/relationships/theme" Target="theme/theme1.xml"/><Relationship Id="rId10" Type="http://schemas.openxmlformats.org/officeDocument/2006/relationships/hyperlink" Target="http://www.msac.gov.au/internet/msac/publishing.nsf/Content/9443D1A4E336C171CA25866200139F0F/$File/1659%20Ratified%20PICO.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internet/msac/publishing.nsf/Content/1338-public" TargetMode="External"/><Relationship Id="rId14" Type="http://schemas.openxmlformats.org/officeDocument/2006/relationships/hyperlink" Target="http://www.msac.gov.au/internet/msac/publishing.nsf/Content/1338-publi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ipg754" TargetMode="External"/><Relationship Id="rId2" Type="http://schemas.openxmlformats.org/officeDocument/2006/relationships/hyperlink" Target="https://www.accessdata.fda.gov/scripts/cdrh/cfdocs/cfpma/pma.cfm?id=P220026" TargetMode="External"/><Relationship Id="rId1" Type="http://schemas.openxmlformats.org/officeDocument/2006/relationships/hyperlink" Target="https://www.nice.org.uk/guidance/ipg754" TargetMode="External"/><Relationship Id="rId5" Type="http://schemas.openxmlformats.org/officeDocument/2006/relationships/hyperlink" Target="https://www.heartfoundation.org.au/bundles/for-professionals/hypertension" TargetMode="External"/><Relationship Id="rId4" Type="http://schemas.openxmlformats.org/officeDocument/2006/relationships/hyperlink" Target="https://www.heartfoundation.org.au/bundles/for-professionals/hyper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21695</Words>
  <Characters>123668</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2024-02-14T04:01:00Z</dcterms:created>
  <dcterms:modified xsi:type="dcterms:W3CDTF">2024-02-14T04:01:00Z</dcterms:modified>
  <cp:category/>
</cp:coreProperties>
</file>