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5B57C" w14:textId="77777777" w:rsidR="00E44B80" w:rsidRPr="00F637B3" w:rsidRDefault="00E44B80" w:rsidP="00E44B80">
      <w:pPr>
        <w:jc w:val="center"/>
        <w:rPr>
          <w:b/>
          <w:szCs w:val="20"/>
        </w:rPr>
      </w:pPr>
      <w:r w:rsidRPr="00F637B3">
        <w:rPr>
          <w:b/>
          <w:noProof/>
          <w:szCs w:val="20"/>
          <w:lang w:eastAsia="en-AU"/>
        </w:rPr>
        <w:drawing>
          <wp:inline distT="0" distB="0" distL="0" distR="0" wp14:anchorId="5E8AE18D" wp14:editId="10FBD0A4">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4E004936" w14:textId="1935D1FE" w:rsidR="008B2610" w:rsidRDefault="00940C4B" w:rsidP="00F971CC">
      <w:pPr>
        <w:pStyle w:val="Title"/>
        <w:spacing w:before="2600"/>
      </w:pPr>
      <w:r>
        <w:t xml:space="preserve">MSAC </w:t>
      </w:r>
      <w:r w:rsidR="008B2610" w:rsidRPr="001906CD">
        <w:t xml:space="preserve">Application </w:t>
      </w:r>
      <w:r>
        <w:t>1661</w:t>
      </w:r>
    </w:p>
    <w:p w14:paraId="7C057D6C" w14:textId="77777777" w:rsidR="0056015F" w:rsidRDefault="0056015F" w:rsidP="0056015F"/>
    <w:p w14:paraId="79A98C25" w14:textId="669D1E89" w:rsidR="0056015F" w:rsidRPr="0056015F" w:rsidRDefault="00DB2097" w:rsidP="00940C4B">
      <w:pPr>
        <w:pStyle w:val="TitleBlue"/>
        <w:spacing w:after="840"/>
      </w:pPr>
      <w:r>
        <w:t>I</w:t>
      </w:r>
      <w:r w:rsidR="00653FD1">
        <w:t xml:space="preserve">mplantation of minimally invasive </w:t>
      </w:r>
      <w:r w:rsidR="00653FD1" w:rsidRPr="002C02EB">
        <w:t>i</w:t>
      </w:r>
      <w:r w:rsidRPr="002C02EB">
        <w:t xml:space="preserve">nterspinous </w:t>
      </w:r>
      <w:r w:rsidR="00A40A38" w:rsidRPr="002C02EB">
        <w:t>decompression spacers</w:t>
      </w:r>
      <w:r w:rsidR="00A40A38">
        <w:t xml:space="preserve"> </w:t>
      </w:r>
      <w:r>
        <w:t>for moderate degenerative lumbar spinal stenosis</w:t>
      </w:r>
    </w:p>
    <w:p w14:paraId="28AA7396" w14:textId="77777777" w:rsidR="00E44B80" w:rsidRPr="00154B00" w:rsidRDefault="00300EEB" w:rsidP="003F7CB9">
      <w:r>
        <w:t>T</w:t>
      </w:r>
      <w:r w:rsidR="008B2610" w:rsidRPr="00154B00">
        <w:t xml:space="preserve">his application form is to </w:t>
      </w:r>
      <w:proofErr w:type="gramStart"/>
      <w:r w:rsidR="008B2610" w:rsidRPr="00154B00">
        <w:t>be completed</w:t>
      </w:r>
      <w:proofErr w:type="gramEnd"/>
      <w:r w:rsidR="008B2610" w:rsidRPr="00154B00">
        <w:t xml:space="preserve">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2E2109A6"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447BFC12"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6382256A" w14:textId="77777777" w:rsidR="009F5758" w:rsidRPr="00154B00" w:rsidRDefault="009F5758" w:rsidP="003F7CB9">
      <w:pPr>
        <w:spacing w:before="0" w:after="0"/>
      </w:pPr>
    </w:p>
    <w:p w14:paraId="12E23C69"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0C344703"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4C9500C7"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0B4B9F19"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04A5B957" w14:textId="77777777" w:rsidR="001C7E1B" w:rsidRPr="001C7E1B" w:rsidRDefault="001C7E1B" w:rsidP="001C7E1B">
      <w:pPr>
        <w:pBdr>
          <w:top w:val="single" w:sz="4" w:space="1" w:color="auto"/>
          <w:left w:val="single" w:sz="4" w:space="4" w:color="auto"/>
          <w:bottom w:val="single" w:sz="4" w:space="1" w:color="auto"/>
          <w:right w:val="single" w:sz="4" w:space="4" w:color="auto"/>
        </w:pBdr>
        <w:rPr>
          <w:color w:val="365F91" w:themeColor="accent1" w:themeShade="BF"/>
        </w:rPr>
      </w:pPr>
      <w:r w:rsidRPr="001C7E1B">
        <w:rPr>
          <w:color w:val="365F91" w:themeColor="accent1" w:themeShade="BF"/>
        </w:rPr>
        <w:t>Corporation name: Boston Scientific</w:t>
      </w:r>
    </w:p>
    <w:p w14:paraId="64C3FE11" w14:textId="77777777" w:rsidR="001C7E1B" w:rsidRPr="001C7E1B" w:rsidRDefault="001C7E1B" w:rsidP="001C7E1B">
      <w:pPr>
        <w:pBdr>
          <w:top w:val="single" w:sz="4" w:space="1" w:color="auto"/>
          <w:left w:val="single" w:sz="4" w:space="4" w:color="auto"/>
          <w:bottom w:val="single" w:sz="4" w:space="1" w:color="auto"/>
          <w:right w:val="single" w:sz="4" w:space="4" w:color="auto"/>
        </w:pBdr>
        <w:rPr>
          <w:color w:val="365F91" w:themeColor="accent1" w:themeShade="BF"/>
        </w:rPr>
      </w:pPr>
      <w:r w:rsidRPr="001C7E1B">
        <w:rPr>
          <w:color w:val="365F91" w:themeColor="accent1" w:themeShade="BF"/>
        </w:rPr>
        <w:t>ABN: 45071 676 063</w:t>
      </w:r>
    </w:p>
    <w:p w14:paraId="4DF6CC9C" w14:textId="77777777" w:rsidR="001C7E1B" w:rsidRPr="001C7E1B" w:rsidRDefault="001C7E1B" w:rsidP="001C7E1B">
      <w:pPr>
        <w:pBdr>
          <w:top w:val="single" w:sz="4" w:space="1" w:color="auto"/>
          <w:left w:val="single" w:sz="4" w:space="4" w:color="auto"/>
          <w:bottom w:val="single" w:sz="4" w:space="1" w:color="auto"/>
          <w:right w:val="single" w:sz="4" w:space="4" w:color="auto"/>
        </w:pBdr>
        <w:rPr>
          <w:color w:val="365F91" w:themeColor="accent1" w:themeShade="BF"/>
        </w:rPr>
      </w:pPr>
      <w:r w:rsidRPr="001C7E1B">
        <w:rPr>
          <w:color w:val="365F91" w:themeColor="accent1" w:themeShade="BF"/>
        </w:rPr>
        <w:t>Business trading name: Boston Scientific Pty Ltd</w:t>
      </w:r>
    </w:p>
    <w:p w14:paraId="3EB438A7" w14:textId="77777777" w:rsidR="00C171FB" w:rsidRPr="00C171FB" w:rsidRDefault="00C171FB" w:rsidP="00C171FB"/>
    <w:p w14:paraId="39D73ADC" w14:textId="4F1B24FC" w:rsidR="00C171FB" w:rsidRDefault="00C171FB" w:rsidP="00C171FB">
      <w:pPr>
        <w:rPr>
          <w:b/>
          <w:color w:val="365F91" w:themeColor="accent1" w:themeShade="BF"/>
        </w:rPr>
      </w:pPr>
      <w:r>
        <w:rPr>
          <w:b/>
        </w:rPr>
        <w:t xml:space="preserve">Primary contact name: </w:t>
      </w:r>
      <w:r w:rsidR="00940C4B" w:rsidRPr="00940C4B">
        <w:rPr>
          <w:b/>
          <w:color w:val="365F91" w:themeColor="accent1" w:themeShade="BF"/>
        </w:rPr>
        <w:t>REDACTED</w:t>
      </w:r>
    </w:p>
    <w:p w14:paraId="5F66B847" w14:textId="77777777" w:rsidR="00940C4B" w:rsidRDefault="00940C4B" w:rsidP="00C171FB">
      <w:pPr>
        <w:rPr>
          <w:b/>
        </w:rPr>
      </w:pPr>
    </w:p>
    <w:p w14:paraId="10F9D514" w14:textId="6E0B5F6E" w:rsidR="00C171FB" w:rsidRPr="001C7E1B" w:rsidRDefault="00C171FB" w:rsidP="00C171FB">
      <w:pPr>
        <w:rPr>
          <w:b/>
          <w:color w:val="365F91" w:themeColor="accent1" w:themeShade="BF"/>
        </w:rPr>
      </w:pPr>
      <w:r>
        <w:rPr>
          <w:b/>
        </w:rPr>
        <w:t xml:space="preserve">Alternative contact name: </w:t>
      </w:r>
      <w:r w:rsidR="00940C4B" w:rsidRPr="00940C4B">
        <w:rPr>
          <w:b/>
          <w:color w:val="365F91" w:themeColor="accent1" w:themeShade="BF"/>
        </w:rPr>
        <w:t>REDACTED</w:t>
      </w:r>
    </w:p>
    <w:p w14:paraId="7B35CADE" w14:textId="77777777" w:rsidR="00C171FB" w:rsidRPr="00C171FB" w:rsidRDefault="00C171FB" w:rsidP="00C171FB"/>
    <w:p w14:paraId="59B49804" w14:textId="77777777" w:rsidR="00534C5F" w:rsidRPr="00154B00" w:rsidRDefault="00494011" w:rsidP="004A0BF4">
      <w:pPr>
        <w:pStyle w:val="Heading2"/>
      </w:pPr>
      <w:r>
        <w:t xml:space="preserve">(a) </w:t>
      </w:r>
      <w:r w:rsidR="00534C5F">
        <w:t>Are you a lobbyist acting on behalf of an Applicant?</w:t>
      </w:r>
    </w:p>
    <w:p w14:paraId="0038A48E" w14:textId="4E3F169A" w:rsidR="00A6491A" w:rsidRDefault="001C7E1B"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962EA">
        <w:rPr>
          <w:szCs w:val="20"/>
        </w:rPr>
      </w:r>
      <w:r w:rsidR="00A962EA">
        <w:rPr>
          <w:szCs w:val="20"/>
        </w:rPr>
        <w:fldChar w:fldCharType="separate"/>
      </w:r>
      <w:r>
        <w:rPr>
          <w:szCs w:val="20"/>
        </w:rPr>
        <w:fldChar w:fldCharType="end"/>
      </w:r>
      <w:r w:rsidR="00A6491A">
        <w:rPr>
          <w:szCs w:val="20"/>
        </w:rPr>
        <w:t xml:space="preserve"> Yes</w:t>
      </w:r>
    </w:p>
    <w:p w14:paraId="180D798F"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962EA">
        <w:rPr>
          <w:szCs w:val="20"/>
        </w:rPr>
      </w:r>
      <w:r w:rsidR="00A962EA">
        <w:rPr>
          <w:szCs w:val="20"/>
        </w:rPr>
        <w:fldChar w:fldCharType="separate"/>
      </w:r>
      <w:r w:rsidRPr="00753C44">
        <w:rPr>
          <w:szCs w:val="20"/>
        </w:rPr>
        <w:fldChar w:fldCharType="end"/>
      </w:r>
      <w:r>
        <w:rPr>
          <w:szCs w:val="20"/>
        </w:rPr>
        <w:t xml:space="preserve"> No</w:t>
      </w:r>
      <w:r w:rsidRPr="00753C44">
        <w:rPr>
          <w:szCs w:val="20"/>
        </w:rPr>
        <w:t xml:space="preserve">  </w:t>
      </w:r>
    </w:p>
    <w:p w14:paraId="57FD2F9A" w14:textId="77777777" w:rsidR="00534C5F" w:rsidRPr="00154B00" w:rsidRDefault="00534C5F" w:rsidP="003D0F62">
      <w:pPr>
        <w:pStyle w:val="Heading2"/>
        <w:numPr>
          <w:ilvl w:val="0"/>
          <w:numId w:val="2"/>
        </w:numPr>
      </w:pPr>
      <w:r w:rsidRPr="00154B00">
        <w:t xml:space="preserve">If yes, </w:t>
      </w:r>
      <w:r>
        <w:t xml:space="preserve">are </w:t>
      </w:r>
      <w:r w:rsidRPr="00FE33A6">
        <w:t>you</w:t>
      </w:r>
      <w:r>
        <w:t xml:space="preserve"> listed on the Register of Lobbyists?</w:t>
      </w:r>
    </w:p>
    <w:p w14:paraId="2718082F" w14:textId="1072766C" w:rsidR="00A6491A" w:rsidRDefault="001C7E1B"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962EA">
        <w:rPr>
          <w:szCs w:val="20"/>
        </w:rPr>
      </w:r>
      <w:r w:rsidR="00A962EA">
        <w:rPr>
          <w:szCs w:val="20"/>
        </w:rPr>
        <w:fldChar w:fldCharType="separate"/>
      </w:r>
      <w:r>
        <w:rPr>
          <w:szCs w:val="20"/>
        </w:rPr>
        <w:fldChar w:fldCharType="end"/>
      </w:r>
      <w:r w:rsidR="00A6491A">
        <w:rPr>
          <w:szCs w:val="20"/>
        </w:rPr>
        <w:t xml:space="preserve"> Yes</w:t>
      </w:r>
    </w:p>
    <w:p w14:paraId="5FFECBF0"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962EA">
        <w:rPr>
          <w:szCs w:val="20"/>
        </w:rPr>
      </w:r>
      <w:r w:rsidR="00A962EA">
        <w:rPr>
          <w:szCs w:val="20"/>
        </w:rPr>
        <w:fldChar w:fldCharType="separate"/>
      </w:r>
      <w:r w:rsidRPr="00753C44">
        <w:rPr>
          <w:szCs w:val="20"/>
        </w:rPr>
        <w:fldChar w:fldCharType="end"/>
      </w:r>
      <w:r>
        <w:rPr>
          <w:szCs w:val="20"/>
        </w:rPr>
        <w:t xml:space="preserve"> No</w:t>
      </w:r>
      <w:r w:rsidRPr="00753C44">
        <w:rPr>
          <w:szCs w:val="20"/>
        </w:rPr>
        <w:t xml:space="preserve">  </w:t>
      </w:r>
    </w:p>
    <w:p w14:paraId="4CE2A05C" w14:textId="77777777" w:rsidR="00E04FB3" w:rsidRDefault="00E04FB3" w:rsidP="005C333E">
      <w:pPr>
        <w:spacing w:before="0" w:after="0"/>
        <w:ind w:left="426"/>
        <w:rPr>
          <w:b/>
          <w:szCs w:val="20"/>
        </w:rPr>
      </w:pPr>
      <w:r w:rsidRPr="00154B00">
        <w:rPr>
          <w:b/>
          <w:szCs w:val="20"/>
        </w:rPr>
        <w:br w:type="page"/>
      </w:r>
      <w:bookmarkStart w:id="1" w:name="_GoBack"/>
      <w:bookmarkEnd w:id="1"/>
    </w:p>
    <w:p w14:paraId="2D2ED206"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783BF988" w14:textId="77777777" w:rsidR="000B3CD0" w:rsidRDefault="000B3CD0" w:rsidP="00730C04">
      <w:pPr>
        <w:pStyle w:val="Heading2"/>
      </w:pPr>
      <w:r w:rsidRPr="00154B00">
        <w:t>Application title</w:t>
      </w:r>
      <w:r w:rsidR="00A8732C">
        <w:t xml:space="preserve"> </w:t>
      </w:r>
    </w:p>
    <w:p w14:paraId="2FE0CFF1" w14:textId="5476AE0E" w:rsidR="009056C5" w:rsidRDefault="00DB2097" w:rsidP="00940C4B">
      <w:pPr>
        <w:ind w:left="426"/>
        <w:rPr>
          <w:color w:val="365F91" w:themeColor="accent1" w:themeShade="BF"/>
        </w:rPr>
      </w:pPr>
      <w:r>
        <w:rPr>
          <w:color w:val="365F91" w:themeColor="accent1" w:themeShade="BF"/>
        </w:rPr>
        <w:t>I</w:t>
      </w:r>
      <w:r w:rsidR="00653FD1">
        <w:rPr>
          <w:color w:val="365F91" w:themeColor="accent1" w:themeShade="BF"/>
        </w:rPr>
        <w:t>mplantation of minimally invasive i</w:t>
      </w:r>
      <w:r>
        <w:rPr>
          <w:color w:val="365F91" w:themeColor="accent1" w:themeShade="BF"/>
        </w:rPr>
        <w:t xml:space="preserve">nterspinous </w:t>
      </w:r>
      <w:r w:rsidR="00A40A38">
        <w:rPr>
          <w:color w:val="365F91" w:themeColor="accent1" w:themeShade="BF"/>
        </w:rPr>
        <w:t>decompression spacers (IDSs)</w:t>
      </w:r>
      <w:r>
        <w:rPr>
          <w:color w:val="365F91" w:themeColor="accent1" w:themeShade="BF"/>
        </w:rPr>
        <w:t xml:space="preserve"> for moderate degenerative lumbar spinal stenosis (LSS)</w:t>
      </w:r>
      <w:r w:rsidR="00874F3A">
        <w:rPr>
          <w:color w:val="365F91" w:themeColor="accent1" w:themeShade="BF"/>
        </w:rPr>
        <w:t xml:space="preserve">. </w:t>
      </w:r>
    </w:p>
    <w:p w14:paraId="5E961C01"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320AA968" w14:textId="44664EA0" w:rsidR="00E85B4F" w:rsidRPr="00E85B4F" w:rsidRDefault="00A40A38" w:rsidP="00940C4B">
      <w:pPr>
        <w:ind w:left="426"/>
        <w:rPr>
          <w:color w:val="365F91" w:themeColor="accent1" w:themeShade="BF"/>
        </w:rPr>
      </w:pPr>
      <w:r>
        <w:rPr>
          <w:color w:val="365F91" w:themeColor="accent1" w:themeShade="BF"/>
        </w:rPr>
        <w:t xml:space="preserve">LSS </w:t>
      </w:r>
      <w:r w:rsidR="00DB2097" w:rsidRPr="00DB2097">
        <w:rPr>
          <w:color w:val="365F91" w:themeColor="accent1" w:themeShade="BF"/>
        </w:rPr>
        <w:t xml:space="preserve">is a disabling medical condition in which narrowing of the spinal canal compresses the spinal cord and nerves causing a condition called neurogenic intermittent claudication (NIC). </w:t>
      </w:r>
      <w:r w:rsidR="00427966">
        <w:rPr>
          <w:color w:val="365F91" w:themeColor="accent1" w:themeShade="BF"/>
        </w:rPr>
        <w:t>NIC can lead to</w:t>
      </w:r>
      <w:r w:rsidR="00DB2097" w:rsidRPr="00DB2097">
        <w:rPr>
          <w:color w:val="365F91" w:themeColor="accent1" w:themeShade="BF"/>
        </w:rPr>
        <w:t xml:space="preserve"> pain or discomfort that radiates to the lower leg, thigh, and/or buttocks while walking. Patients with more pronounced LSS may also develop lower extremity weakness, muscle cramping, numbness, imbalance</w:t>
      </w:r>
      <w:r>
        <w:rPr>
          <w:color w:val="365F91" w:themeColor="accent1" w:themeShade="BF"/>
        </w:rPr>
        <w:t>,</w:t>
      </w:r>
      <w:r w:rsidR="00427966">
        <w:rPr>
          <w:color w:val="365F91" w:themeColor="accent1" w:themeShade="BF"/>
        </w:rPr>
        <w:t xml:space="preserve"> and difficulties controlling bowel and bladder function</w:t>
      </w:r>
      <w:r w:rsidR="00DB2097" w:rsidRPr="00DB2097">
        <w:rPr>
          <w:color w:val="365F91" w:themeColor="accent1" w:themeShade="BF"/>
        </w:rPr>
        <w:t>.</w:t>
      </w:r>
      <w:r w:rsidR="00427966">
        <w:rPr>
          <w:color w:val="365F91" w:themeColor="accent1" w:themeShade="BF"/>
        </w:rPr>
        <w:t xml:space="preserve"> </w:t>
      </w:r>
      <w:r w:rsidR="00427966" w:rsidRPr="00DB2097">
        <w:rPr>
          <w:color w:val="365F91" w:themeColor="accent1" w:themeShade="BF"/>
        </w:rPr>
        <w:t>The most common cause of LSS is the “wear and tear” that occurs with natural agin</w:t>
      </w:r>
      <w:r w:rsidR="00427966">
        <w:rPr>
          <w:color w:val="365F91" w:themeColor="accent1" w:themeShade="BF"/>
        </w:rPr>
        <w:t xml:space="preserve">g and osteoarthritis. </w:t>
      </w:r>
      <w:r w:rsidR="00427966" w:rsidRPr="00DB2097">
        <w:rPr>
          <w:color w:val="365F91" w:themeColor="accent1" w:themeShade="BF"/>
        </w:rPr>
        <w:t xml:space="preserve"> </w:t>
      </w:r>
    </w:p>
    <w:p w14:paraId="4C6A6F28" w14:textId="7C137116" w:rsidR="00A962EA" w:rsidRPr="00A962EA" w:rsidRDefault="000955E7" w:rsidP="00A962EA">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5E401244" w14:textId="359EDB0D" w:rsidR="004C18AC" w:rsidRPr="00A962EA" w:rsidRDefault="00A40A38" w:rsidP="00A962EA">
      <w:pPr>
        <w:ind w:left="426"/>
      </w:pPr>
      <w:r>
        <w:rPr>
          <w:color w:val="365F91" w:themeColor="accent1" w:themeShade="BF"/>
        </w:rPr>
        <w:t>IDS</w:t>
      </w:r>
      <w:r w:rsidR="002E3BFD">
        <w:rPr>
          <w:color w:val="365F91" w:themeColor="accent1" w:themeShade="BF"/>
        </w:rPr>
        <w:t xml:space="preserve">s </w:t>
      </w:r>
      <w:proofErr w:type="gramStart"/>
      <w:r w:rsidR="002E3BFD">
        <w:rPr>
          <w:color w:val="365F91" w:themeColor="accent1" w:themeShade="BF"/>
        </w:rPr>
        <w:t>we</w:t>
      </w:r>
      <w:r w:rsidR="002E3BFD" w:rsidRPr="002E3BFD">
        <w:rPr>
          <w:color w:val="365F91" w:themeColor="accent1" w:themeShade="BF"/>
        </w:rPr>
        <w:t>re designed</w:t>
      </w:r>
      <w:proofErr w:type="gramEnd"/>
      <w:r w:rsidR="002E3BFD" w:rsidRPr="002E3BFD">
        <w:rPr>
          <w:color w:val="365F91" w:themeColor="accent1" w:themeShade="BF"/>
        </w:rPr>
        <w:t xml:space="preserve"> for the</w:t>
      </w:r>
      <w:r w:rsidR="002E3BFD">
        <w:rPr>
          <w:color w:val="365F91" w:themeColor="accent1" w:themeShade="BF"/>
        </w:rPr>
        <w:t xml:space="preserve"> </w:t>
      </w:r>
      <w:r w:rsidR="002E3BFD" w:rsidRPr="002E3BFD">
        <w:rPr>
          <w:color w:val="365F91" w:themeColor="accent1" w:themeShade="BF"/>
        </w:rPr>
        <w:t xml:space="preserve">treatment of symptoms of intermittent </w:t>
      </w:r>
      <w:r w:rsidR="002E3BFD">
        <w:rPr>
          <w:color w:val="365F91" w:themeColor="accent1" w:themeShade="BF"/>
        </w:rPr>
        <w:t xml:space="preserve">NIC </w:t>
      </w:r>
      <w:r w:rsidR="002E3BFD" w:rsidRPr="002E3BFD">
        <w:rPr>
          <w:color w:val="365F91" w:themeColor="accent1" w:themeShade="BF"/>
        </w:rPr>
        <w:t>secondary to moderate</w:t>
      </w:r>
      <w:r>
        <w:rPr>
          <w:color w:val="365F91" w:themeColor="accent1" w:themeShade="BF"/>
        </w:rPr>
        <w:t xml:space="preserve"> degenerative</w:t>
      </w:r>
      <w:r w:rsidR="002E3BFD" w:rsidRPr="002E3BFD">
        <w:rPr>
          <w:color w:val="365F91" w:themeColor="accent1" w:themeShade="BF"/>
        </w:rPr>
        <w:t xml:space="preserve"> </w:t>
      </w:r>
      <w:r w:rsidR="002E3BFD">
        <w:rPr>
          <w:color w:val="365F91" w:themeColor="accent1" w:themeShade="BF"/>
        </w:rPr>
        <w:t>LSS</w:t>
      </w:r>
      <w:r w:rsidR="002E3BFD" w:rsidRPr="002E3BFD">
        <w:rPr>
          <w:color w:val="365F91" w:themeColor="accent1" w:themeShade="BF"/>
        </w:rPr>
        <w:t xml:space="preserve"> and</w:t>
      </w:r>
      <w:r w:rsidR="002E3BFD">
        <w:rPr>
          <w:color w:val="365F91" w:themeColor="accent1" w:themeShade="BF"/>
        </w:rPr>
        <w:t xml:space="preserve"> </w:t>
      </w:r>
      <w:r w:rsidR="002E3BFD" w:rsidRPr="002E3BFD">
        <w:rPr>
          <w:color w:val="365F91" w:themeColor="accent1" w:themeShade="BF"/>
        </w:rPr>
        <w:t>are implanted by minimally invasive methods.</w:t>
      </w:r>
      <w:r w:rsidR="002E3BFD">
        <w:rPr>
          <w:color w:val="365F91" w:themeColor="accent1" w:themeShade="BF"/>
        </w:rPr>
        <w:t xml:space="preserve"> When</w:t>
      </w:r>
      <w:r w:rsidR="002E3BFD" w:rsidRPr="00383F80">
        <w:rPr>
          <w:color w:val="365F91" w:themeColor="accent1" w:themeShade="BF"/>
        </w:rPr>
        <w:t xml:space="preserve"> implant</w:t>
      </w:r>
      <w:r w:rsidR="002E3BFD">
        <w:rPr>
          <w:color w:val="365F91" w:themeColor="accent1" w:themeShade="BF"/>
        </w:rPr>
        <w:t>ed</w:t>
      </w:r>
      <w:r w:rsidR="002E3BFD" w:rsidRPr="00383F80">
        <w:rPr>
          <w:color w:val="365F91" w:themeColor="accent1" w:themeShade="BF"/>
        </w:rPr>
        <w:t xml:space="preserve"> between spinous processes</w:t>
      </w:r>
      <w:r w:rsidR="002E3BFD">
        <w:rPr>
          <w:color w:val="365F91" w:themeColor="accent1" w:themeShade="BF"/>
        </w:rPr>
        <w:t xml:space="preserve"> of symptomatic </w:t>
      </w:r>
      <w:proofErr w:type="gramStart"/>
      <w:r w:rsidR="002E3BFD">
        <w:rPr>
          <w:color w:val="365F91" w:themeColor="accent1" w:themeShade="BF"/>
        </w:rPr>
        <w:t xml:space="preserve">level(s), </w:t>
      </w:r>
      <w:r w:rsidR="007A744F" w:rsidRPr="007A744F">
        <w:rPr>
          <w:color w:val="365F91" w:themeColor="accent1" w:themeShade="BF"/>
        </w:rPr>
        <w:t>ID</w:t>
      </w:r>
      <w:r>
        <w:rPr>
          <w:color w:val="365F91" w:themeColor="accent1" w:themeShade="BF"/>
        </w:rPr>
        <w:t>S</w:t>
      </w:r>
      <w:r w:rsidR="007A744F">
        <w:rPr>
          <w:color w:val="365F91" w:themeColor="accent1" w:themeShade="BF"/>
        </w:rPr>
        <w:t>s</w:t>
      </w:r>
      <w:r w:rsidR="007A744F" w:rsidRPr="007A744F">
        <w:rPr>
          <w:color w:val="365F91" w:themeColor="accent1" w:themeShade="BF"/>
        </w:rPr>
        <w:t xml:space="preserve"> stabili</w:t>
      </w:r>
      <w:r w:rsidR="007A744F">
        <w:rPr>
          <w:color w:val="365F91" w:themeColor="accent1" w:themeShade="BF"/>
        </w:rPr>
        <w:t>s</w:t>
      </w:r>
      <w:r w:rsidR="007A744F" w:rsidRPr="007A744F">
        <w:rPr>
          <w:color w:val="365F91" w:themeColor="accent1" w:themeShade="BF"/>
        </w:rPr>
        <w:t>e and</w:t>
      </w:r>
      <w:r w:rsidR="007A744F">
        <w:rPr>
          <w:color w:val="365F91" w:themeColor="accent1" w:themeShade="BF"/>
        </w:rPr>
        <w:t xml:space="preserve"> </w:t>
      </w:r>
      <w:r w:rsidR="007A744F" w:rsidRPr="007A744F">
        <w:rPr>
          <w:color w:val="365F91" w:themeColor="accent1" w:themeShade="BF"/>
        </w:rPr>
        <w:t>increase the interspinous distance</w:t>
      </w:r>
      <w:proofErr w:type="gramEnd"/>
      <w:r w:rsidR="002E3BFD">
        <w:rPr>
          <w:color w:val="365F91" w:themeColor="accent1" w:themeShade="BF"/>
        </w:rPr>
        <w:t xml:space="preserve"> and</w:t>
      </w:r>
      <w:r w:rsidR="007A744F" w:rsidRPr="007A744F">
        <w:rPr>
          <w:color w:val="365F91" w:themeColor="accent1" w:themeShade="BF"/>
        </w:rPr>
        <w:t xml:space="preserve"> prevent the</w:t>
      </w:r>
      <w:r w:rsidR="007A744F">
        <w:rPr>
          <w:color w:val="365F91" w:themeColor="accent1" w:themeShade="BF"/>
        </w:rPr>
        <w:t xml:space="preserve"> </w:t>
      </w:r>
      <w:r w:rsidR="007A744F" w:rsidRPr="007A744F">
        <w:rPr>
          <w:color w:val="365F91" w:themeColor="accent1" w:themeShade="BF"/>
        </w:rPr>
        <w:t>excessive dorsiflexion</w:t>
      </w:r>
      <w:r w:rsidR="002E3BFD">
        <w:rPr>
          <w:color w:val="365F91" w:themeColor="accent1" w:themeShade="BF"/>
        </w:rPr>
        <w:t>.</w:t>
      </w:r>
      <w:r w:rsidR="00A962EA" w:rsidRPr="00A962EA">
        <w:rPr>
          <w:color w:val="365F91" w:themeColor="accent1" w:themeShade="BF"/>
        </w:rPr>
        <w:t xml:space="preserve"> </w:t>
      </w:r>
      <w:r w:rsidR="00A962EA" w:rsidRPr="00A962EA">
        <w:rPr>
          <w:color w:val="365F91" w:themeColor="accent1" w:themeShade="BF"/>
        </w:rPr>
        <w:t>There are a number of IDSs registered for use in Australia, including devices manufactured by Boston Scientific (</w:t>
      </w:r>
      <w:proofErr w:type="spellStart"/>
      <w:r w:rsidR="00A962EA" w:rsidRPr="00A962EA">
        <w:rPr>
          <w:color w:val="365F91" w:themeColor="accent1" w:themeShade="BF"/>
        </w:rPr>
        <w:t>Superion</w:t>
      </w:r>
      <w:proofErr w:type="spellEnd"/>
      <w:r w:rsidR="00A962EA" w:rsidRPr="00A962EA">
        <w:rPr>
          <w:color w:val="365F91" w:themeColor="accent1" w:themeShade="BF"/>
        </w:rPr>
        <w:t xml:space="preserve">), </w:t>
      </w:r>
      <w:r w:rsidR="00A962EA" w:rsidRPr="00A962EA">
        <w:rPr>
          <w:b/>
        </w:rPr>
        <w:t>REDACTED</w:t>
      </w:r>
      <w:r w:rsidR="00A962EA" w:rsidRPr="00A962EA">
        <w:rPr>
          <w:color w:val="365F91" w:themeColor="accent1" w:themeShade="BF"/>
        </w:rPr>
        <w:t xml:space="preserve">, </w:t>
      </w:r>
      <w:r w:rsidR="00A962EA" w:rsidRPr="00A962EA">
        <w:rPr>
          <w:b/>
        </w:rPr>
        <w:t>REDACTED</w:t>
      </w:r>
      <w:r w:rsidR="00A962EA" w:rsidRPr="00A962EA">
        <w:rPr>
          <w:color w:val="365F91" w:themeColor="accent1" w:themeShade="BF"/>
        </w:rPr>
        <w:t xml:space="preserve"> and </w:t>
      </w:r>
      <w:r w:rsidR="00A962EA" w:rsidRPr="00A962EA">
        <w:rPr>
          <w:b/>
        </w:rPr>
        <w:t>REDACTED</w:t>
      </w:r>
      <w:r w:rsidR="00A962EA" w:rsidRPr="00A962EA">
        <w:rPr>
          <w:color w:val="365F91" w:themeColor="accent1" w:themeShade="BF"/>
        </w:rPr>
        <w:t xml:space="preserve">; however, all except </w:t>
      </w:r>
      <w:proofErr w:type="spellStart"/>
      <w:r w:rsidR="00A962EA" w:rsidRPr="00A962EA">
        <w:rPr>
          <w:color w:val="365F91" w:themeColor="accent1" w:themeShade="BF"/>
        </w:rPr>
        <w:t>Superion</w:t>
      </w:r>
      <w:proofErr w:type="spellEnd"/>
      <w:r w:rsidR="00A962EA" w:rsidRPr="00A962EA">
        <w:rPr>
          <w:color w:val="365F91" w:themeColor="accent1" w:themeShade="BF"/>
        </w:rPr>
        <w:t xml:space="preserve"> </w:t>
      </w:r>
      <w:proofErr w:type="gramStart"/>
      <w:r w:rsidR="00A962EA" w:rsidRPr="00A962EA">
        <w:rPr>
          <w:color w:val="365F91" w:themeColor="accent1" w:themeShade="BF"/>
        </w:rPr>
        <w:t>are used</w:t>
      </w:r>
      <w:proofErr w:type="gramEnd"/>
      <w:r w:rsidR="00A962EA" w:rsidRPr="00A962EA">
        <w:rPr>
          <w:color w:val="365F91" w:themeColor="accent1" w:themeShade="BF"/>
        </w:rPr>
        <w:t xml:space="preserve"> in addition to decompression surgery. Therefore, </w:t>
      </w:r>
      <w:proofErr w:type="spellStart"/>
      <w:r w:rsidR="00A962EA" w:rsidRPr="00A962EA">
        <w:rPr>
          <w:color w:val="365F91" w:themeColor="accent1" w:themeShade="BF"/>
        </w:rPr>
        <w:t>Superion</w:t>
      </w:r>
      <w:proofErr w:type="spellEnd"/>
      <w:r w:rsidR="00A962EA" w:rsidRPr="00A962EA">
        <w:rPr>
          <w:color w:val="365F91" w:themeColor="accent1" w:themeShade="BF"/>
        </w:rPr>
        <w:t xml:space="preserve"> is </w:t>
      </w:r>
      <w:r w:rsidR="00A962EA" w:rsidRPr="00A962EA">
        <w:rPr>
          <w:b/>
        </w:rPr>
        <w:t>REDACTED</w:t>
      </w:r>
      <w:r w:rsidR="00A962EA" w:rsidRPr="00A962EA">
        <w:rPr>
          <w:color w:val="365F91" w:themeColor="accent1" w:themeShade="BF"/>
        </w:rPr>
        <w:t xml:space="preserve"> currently registered IDS intended for use as an alternative to traditional decompression surgery (most often, laminectomy) with or without surgical fusion.</w:t>
      </w:r>
      <w:r w:rsidR="00A962EA" w:rsidRPr="00A962EA">
        <w:rPr>
          <w:color w:val="365F91" w:themeColor="accent1" w:themeShade="BF"/>
        </w:rPr>
        <w:t xml:space="preserve"> </w:t>
      </w:r>
      <w:r w:rsidR="004C18AC" w:rsidRPr="00197B97">
        <w:rPr>
          <w:color w:val="365F91" w:themeColor="accent1" w:themeShade="BF"/>
        </w:rPr>
        <w:t xml:space="preserve">The main advantages </w:t>
      </w:r>
      <w:proofErr w:type="gramStart"/>
      <w:r w:rsidR="004C18AC" w:rsidRPr="00197B97">
        <w:rPr>
          <w:color w:val="365F91" w:themeColor="accent1" w:themeShade="BF"/>
        </w:rPr>
        <w:t>of</w:t>
      </w:r>
      <w:r w:rsidR="002C02EB">
        <w:rPr>
          <w:color w:val="365F91" w:themeColor="accent1" w:themeShade="BF"/>
        </w:rPr>
        <w:t xml:space="preserve"> an</w:t>
      </w:r>
      <w:r w:rsidR="004C18AC" w:rsidRPr="00197B97">
        <w:rPr>
          <w:color w:val="365F91" w:themeColor="accent1" w:themeShade="BF"/>
        </w:rPr>
        <w:t xml:space="preserve"> </w:t>
      </w:r>
      <w:r>
        <w:rPr>
          <w:color w:val="365F91" w:themeColor="accent1" w:themeShade="BF"/>
        </w:rPr>
        <w:t>IDS</w:t>
      </w:r>
      <w:proofErr w:type="gramEnd"/>
      <w:r w:rsidR="004C18AC" w:rsidRPr="00197B97">
        <w:rPr>
          <w:color w:val="365F91" w:themeColor="accent1" w:themeShade="BF"/>
        </w:rPr>
        <w:t xml:space="preserve"> relative to current approaches include providing equivalent effectiveness, significantly fewer and less serious risks and complications</w:t>
      </w:r>
      <w:r w:rsidR="007A2F21">
        <w:rPr>
          <w:color w:val="365F91" w:themeColor="accent1" w:themeShade="BF"/>
        </w:rPr>
        <w:t>, and less hospitalisation time</w:t>
      </w:r>
      <w:r w:rsidR="004C18AC" w:rsidRPr="00197B97">
        <w:rPr>
          <w:color w:val="365F91" w:themeColor="accent1" w:themeShade="BF"/>
        </w:rPr>
        <w:t xml:space="preserve"> due to the minimally invasive implantation procedure.</w:t>
      </w:r>
    </w:p>
    <w:p w14:paraId="29D99F7E"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1CC8758C" w14:textId="4AA9967E" w:rsidR="00753C44" w:rsidRDefault="004014E2" w:rsidP="00940C4B">
      <w:pPr>
        <w:spacing w:before="0" w:after="0"/>
        <w:ind w:left="426"/>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A962EA">
        <w:rPr>
          <w:szCs w:val="20"/>
        </w:rPr>
      </w:r>
      <w:r w:rsidR="00A962EA">
        <w:rPr>
          <w:szCs w:val="20"/>
        </w:rPr>
        <w:fldChar w:fldCharType="separate"/>
      </w:r>
      <w:r>
        <w:rPr>
          <w:szCs w:val="20"/>
        </w:rPr>
        <w:fldChar w:fldCharType="end"/>
      </w:r>
      <w:bookmarkEnd w:id="2"/>
      <w:r w:rsidR="006B6390">
        <w:rPr>
          <w:szCs w:val="20"/>
        </w:rPr>
        <w:t xml:space="preserve"> Yes</w:t>
      </w:r>
    </w:p>
    <w:p w14:paraId="51524E5B" w14:textId="77777777" w:rsidR="00753C44" w:rsidRPr="00753C44" w:rsidRDefault="006B6390" w:rsidP="00940C4B">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962EA">
        <w:rPr>
          <w:szCs w:val="20"/>
        </w:rPr>
      </w:r>
      <w:r w:rsidR="00A962EA">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5D94D25F" w14:textId="77777777" w:rsidR="000B3CD0" w:rsidRPr="0011036E" w:rsidRDefault="000B3CD0" w:rsidP="003D0F62">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31577422" w14:textId="77777777"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962EA">
        <w:rPr>
          <w:szCs w:val="20"/>
        </w:rPr>
      </w:r>
      <w:r w:rsidR="00A962EA">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030F0C3B" w14:textId="49FA5CC2" w:rsidR="00753C44" w:rsidRPr="00753C44" w:rsidRDefault="004014E2" w:rsidP="00A6491A">
      <w:pPr>
        <w:spacing w:before="0" w:after="0"/>
        <w:ind w:left="284"/>
        <w:rPr>
          <w:szCs w:val="20"/>
        </w:rPr>
      </w:pPr>
      <w:r>
        <w:rPr>
          <w:szCs w:val="20"/>
        </w:rPr>
        <w:fldChar w:fldCharType="begin">
          <w:ffData>
            <w:name w:val="Check2"/>
            <w:enabled/>
            <w:calcOnExit w:val="0"/>
            <w:checkBox>
              <w:sizeAuto/>
              <w:default w:val="1"/>
            </w:checkBox>
          </w:ffData>
        </w:fldChar>
      </w:r>
      <w:bookmarkStart w:id="3" w:name="Check2"/>
      <w:r>
        <w:rPr>
          <w:szCs w:val="20"/>
        </w:rPr>
        <w:instrText xml:space="preserve"> FORMCHECKBOX </w:instrText>
      </w:r>
      <w:r w:rsidR="00A962EA">
        <w:rPr>
          <w:szCs w:val="20"/>
        </w:rPr>
      </w:r>
      <w:r w:rsidR="00A962EA">
        <w:rPr>
          <w:szCs w:val="20"/>
        </w:rPr>
        <w:fldChar w:fldCharType="separate"/>
      </w:r>
      <w:r>
        <w:rPr>
          <w:szCs w:val="20"/>
        </w:rPr>
        <w:fldChar w:fldCharType="end"/>
      </w:r>
      <w:bookmarkEnd w:id="3"/>
      <w:r w:rsidR="006B6390">
        <w:rPr>
          <w:szCs w:val="20"/>
        </w:rPr>
        <w:t xml:space="preserve"> </w:t>
      </w:r>
      <w:r w:rsidR="00753C44" w:rsidRPr="00154B00">
        <w:rPr>
          <w:szCs w:val="20"/>
        </w:rPr>
        <w:t>New MBS item</w:t>
      </w:r>
      <w:r w:rsidR="00753C44">
        <w:rPr>
          <w:szCs w:val="20"/>
        </w:rPr>
        <w:t>(s)</w:t>
      </w:r>
    </w:p>
    <w:p w14:paraId="7354D8AC" w14:textId="77777777" w:rsidR="000B3CD0" w:rsidRPr="0011036E" w:rsidRDefault="000B3CD0" w:rsidP="003D0F62">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190922E5" w14:textId="518F1D69" w:rsidR="003D795C" w:rsidRPr="004014E2" w:rsidRDefault="004014E2" w:rsidP="004014E2">
      <w:pPr>
        <w:ind w:left="360"/>
        <w:rPr>
          <w:color w:val="365F91" w:themeColor="accent1" w:themeShade="BF"/>
        </w:rPr>
      </w:pPr>
      <w:r w:rsidRPr="004014E2">
        <w:rPr>
          <w:color w:val="365F91" w:themeColor="accent1" w:themeShade="BF"/>
        </w:rPr>
        <w:t>Not applicable</w:t>
      </w:r>
    </w:p>
    <w:p w14:paraId="0E8C5EAC" w14:textId="77777777" w:rsidR="006C0843" w:rsidRPr="0011036E" w:rsidRDefault="006C0843" w:rsidP="003D0F62">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3A1897CB" w14:textId="77777777" w:rsidR="002A270B" w:rsidRPr="004A263B" w:rsidRDefault="002A270B" w:rsidP="003D0F62">
      <w:pPr>
        <w:pStyle w:val="ListParagraph"/>
        <w:numPr>
          <w:ilvl w:val="0"/>
          <w:numId w:val="12"/>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962EA">
        <w:rPr>
          <w:b/>
          <w:szCs w:val="20"/>
        </w:rPr>
      </w:r>
      <w:r w:rsidR="00A962EA">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5C842022" w14:textId="77777777" w:rsidR="002A270B" w:rsidRPr="004A263B" w:rsidRDefault="002A270B" w:rsidP="003D0F62">
      <w:pPr>
        <w:pStyle w:val="ListParagraph"/>
        <w:numPr>
          <w:ilvl w:val="0"/>
          <w:numId w:val="12"/>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962EA">
        <w:rPr>
          <w:b/>
          <w:szCs w:val="20"/>
        </w:rPr>
      </w:r>
      <w:r w:rsidR="00A962EA">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53D1ACF0" w14:textId="77777777" w:rsidR="002A270B" w:rsidRPr="004A263B" w:rsidRDefault="002A270B" w:rsidP="003D0F62">
      <w:pPr>
        <w:pStyle w:val="ListParagraph"/>
        <w:numPr>
          <w:ilvl w:val="0"/>
          <w:numId w:val="12"/>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962EA">
        <w:rPr>
          <w:b/>
          <w:szCs w:val="20"/>
        </w:rPr>
      </w:r>
      <w:r w:rsidR="00A962EA">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2DE4654E" w14:textId="77777777" w:rsidR="002A270B" w:rsidRPr="004A263B" w:rsidRDefault="002A270B" w:rsidP="003D0F62">
      <w:pPr>
        <w:pStyle w:val="ListParagraph"/>
        <w:numPr>
          <w:ilvl w:val="0"/>
          <w:numId w:val="12"/>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962EA">
        <w:rPr>
          <w:b/>
          <w:szCs w:val="20"/>
        </w:rPr>
      </w:r>
      <w:r w:rsidR="00A962EA">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2E0F2D51" w14:textId="77777777" w:rsidR="002A270B" w:rsidRPr="004A263B" w:rsidRDefault="002A270B" w:rsidP="003D0F62">
      <w:pPr>
        <w:pStyle w:val="ListParagraph"/>
        <w:numPr>
          <w:ilvl w:val="0"/>
          <w:numId w:val="12"/>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962EA">
        <w:rPr>
          <w:b/>
          <w:szCs w:val="20"/>
        </w:rPr>
      </w:r>
      <w:r w:rsidR="00A962EA">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174A36F3" w14:textId="77777777" w:rsidR="002A270B" w:rsidRPr="004A263B" w:rsidRDefault="002A270B" w:rsidP="003D0F62">
      <w:pPr>
        <w:pStyle w:val="ListParagraph"/>
        <w:numPr>
          <w:ilvl w:val="0"/>
          <w:numId w:val="12"/>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962EA">
        <w:rPr>
          <w:b/>
          <w:szCs w:val="20"/>
        </w:rPr>
      </w:r>
      <w:r w:rsidR="00A962EA">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152AB670" w14:textId="77777777" w:rsidR="002A270B" w:rsidRPr="004A263B" w:rsidRDefault="002A270B" w:rsidP="003D0F62">
      <w:pPr>
        <w:pStyle w:val="ListParagraph"/>
        <w:numPr>
          <w:ilvl w:val="0"/>
          <w:numId w:val="12"/>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962EA">
        <w:rPr>
          <w:b/>
          <w:szCs w:val="20"/>
        </w:rPr>
      </w:r>
      <w:r w:rsidR="00A962EA">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22A595F8" w14:textId="77777777" w:rsidR="002A270B" w:rsidRPr="004A263B" w:rsidRDefault="002A270B" w:rsidP="003D0F62">
      <w:pPr>
        <w:pStyle w:val="ListParagraph"/>
        <w:numPr>
          <w:ilvl w:val="0"/>
          <w:numId w:val="12"/>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962EA">
        <w:rPr>
          <w:b/>
          <w:szCs w:val="20"/>
        </w:rPr>
      </w:r>
      <w:r w:rsidR="00A962EA">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4577162C" w14:textId="77777777" w:rsidR="002A270B" w:rsidRDefault="004A263B" w:rsidP="003D0F62">
      <w:pPr>
        <w:pStyle w:val="ListParagraph"/>
        <w:numPr>
          <w:ilvl w:val="0"/>
          <w:numId w:val="12"/>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962EA">
        <w:rPr>
          <w:b/>
          <w:szCs w:val="20"/>
        </w:rPr>
      </w:r>
      <w:r w:rsidR="00A962EA">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2A6C6ABD" w14:textId="0BE83FED" w:rsidR="004014E2" w:rsidRPr="004014E2" w:rsidRDefault="004014E2" w:rsidP="004014E2">
      <w:pPr>
        <w:ind w:left="360"/>
        <w:rPr>
          <w:color w:val="365F91" w:themeColor="accent1" w:themeShade="BF"/>
        </w:rPr>
      </w:pPr>
      <w:r w:rsidRPr="004014E2">
        <w:rPr>
          <w:color w:val="365F91" w:themeColor="accent1" w:themeShade="BF"/>
        </w:rPr>
        <w:t>Not applicable</w:t>
      </w:r>
    </w:p>
    <w:p w14:paraId="049A6FFA" w14:textId="1C47A343" w:rsidR="002A270B" w:rsidRPr="00CB12EC" w:rsidRDefault="002A270B" w:rsidP="00A6491A">
      <w:pPr>
        <w:ind w:left="284"/>
      </w:pPr>
    </w:p>
    <w:p w14:paraId="33C68311" w14:textId="77777777" w:rsidR="00534C5F" w:rsidRPr="007E39E4" w:rsidRDefault="000770BA" w:rsidP="003D0F62">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w:t>
      </w:r>
      <w:proofErr w:type="gramStart"/>
      <w:r w:rsidR="003433D1" w:rsidRPr="007E39E4">
        <w:rPr>
          <w:rStyle w:val="Strong"/>
          <w:rFonts w:asciiTheme="minorHAnsi" w:eastAsiaTheme="minorHAnsi" w:hAnsiTheme="minorHAnsi" w:cstheme="minorBidi"/>
          <w:b/>
        </w:rPr>
        <w:t>is being requested</w:t>
      </w:r>
      <w:proofErr w:type="gramEnd"/>
      <w:r w:rsidRPr="007E39E4">
        <w:rPr>
          <w:rStyle w:val="Strong"/>
          <w:rFonts w:asciiTheme="minorHAnsi" w:eastAsiaTheme="minorHAnsi" w:hAnsiTheme="minorHAnsi" w:cstheme="minorBidi"/>
          <w:b/>
        </w:rPr>
        <w:t>, what is the nature of the change to the MBS being sought?</w:t>
      </w:r>
    </w:p>
    <w:p w14:paraId="619EF452" w14:textId="77777777" w:rsidR="006B6390" w:rsidRPr="00AA2CFE" w:rsidRDefault="006B6390" w:rsidP="003D0F62">
      <w:pPr>
        <w:pStyle w:val="ListParagraph"/>
        <w:numPr>
          <w:ilvl w:val="0"/>
          <w:numId w:val="13"/>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A962EA">
        <w:rPr>
          <w:b/>
          <w:szCs w:val="20"/>
        </w:rPr>
      </w:r>
      <w:r w:rsidR="00A962EA">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2A0FE321" w14:textId="1FFB2096" w:rsidR="006B6390" w:rsidRPr="00AA2CFE" w:rsidRDefault="004014E2" w:rsidP="003D0F62">
      <w:pPr>
        <w:pStyle w:val="ListParagraph"/>
        <w:numPr>
          <w:ilvl w:val="0"/>
          <w:numId w:val="13"/>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A962EA">
        <w:rPr>
          <w:b/>
          <w:szCs w:val="20"/>
        </w:rPr>
      </w:r>
      <w:r w:rsidR="00A962EA">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3E892DB3" w14:textId="77777777" w:rsidR="006B6390" w:rsidRPr="00AA2CFE" w:rsidRDefault="006B6390" w:rsidP="003D0F62">
      <w:pPr>
        <w:pStyle w:val="ListParagraph"/>
        <w:numPr>
          <w:ilvl w:val="0"/>
          <w:numId w:val="13"/>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A962EA">
        <w:rPr>
          <w:b/>
          <w:szCs w:val="20"/>
        </w:rPr>
      </w:r>
      <w:r w:rsidR="00A962EA">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2FAAF529" w14:textId="77777777" w:rsidR="006B6390" w:rsidRPr="00AA2CFE" w:rsidRDefault="006B6390" w:rsidP="003D0F62">
      <w:pPr>
        <w:pStyle w:val="ListParagraph"/>
        <w:numPr>
          <w:ilvl w:val="0"/>
          <w:numId w:val="13"/>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A962EA">
        <w:rPr>
          <w:b/>
          <w:szCs w:val="20"/>
        </w:rPr>
      </w:r>
      <w:r w:rsidR="00A962EA">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4C8BE429" w14:textId="77777777" w:rsidR="003027BB" w:rsidRPr="007E39E4" w:rsidRDefault="00F30C22" w:rsidP="003D0F62">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2DBCD090" w14:textId="77777777" w:rsidR="000A5B32" w:rsidRDefault="000A5B32" w:rsidP="00940C4B">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62EA">
        <w:rPr>
          <w:szCs w:val="20"/>
        </w:rPr>
      </w:r>
      <w:r w:rsidR="00A962EA">
        <w:rPr>
          <w:szCs w:val="20"/>
        </w:rPr>
        <w:fldChar w:fldCharType="separate"/>
      </w:r>
      <w:r w:rsidRPr="000A5B32">
        <w:rPr>
          <w:szCs w:val="20"/>
        </w:rPr>
        <w:fldChar w:fldCharType="end"/>
      </w:r>
      <w:r w:rsidRPr="000A5B32">
        <w:rPr>
          <w:szCs w:val="20"/>
        </w:rPr>
        <w:t xml:space="preserve"> Yes</w:t>
      </w:r>
    </w:p>
    <w:p w14:paraId="3F99EBB8" w14:textId="0F5F3DC9" w:rsidR="00626365" w:rsidRDefault="004014E2" w:rsidP="00940C4B">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962EA">
        <w:rPr>
          <w:szCs w:val="20"/>
        </w:rPr>
      </w:r>
      <w:r w:rsidR="00A962EA">
        <w:rPr>
          <w:szCs w:val="20"/>
        </w:rPr>
        <w:fldChar w:fldCharType="separate"/>
      </w:r>
      <w:r>
        <w:rPr>
          <w:szCs w:val="20"/>
        </w:rPr>
        <w:fldChar w:fldCharType="end"/>
      </w:r>
      <w:r w:rsidR="000A5B32" w:rsidRPr="000A5B32">
        <w:rPr>
          <w:szCs w:val="20"/>
        </w:rPr>
        <w:t xml:space="preserve"> No</w:t>
      </w:r>
    </w:p>
    <w:p w14:paraId="0EF4CFA8" w14:textId="296E0FA8" w:rsidR="00626365" w:rsidRDefault="00626365" w:rsidP="00626365">
      <w:pPr>
        <w:spacing w:before="0" w:after="0"/>
        <w:ind w:left="284"/>
        <w:rPr>
          <w:szCs w:val="20"/>
        </w:rPr>
      </w:pPr>
    </w:p>
    <w:p w14:paraId="058D987C" w14:textId="77777777" w:rsidR="003027BB" w:rsidRPr="007E39E4" w:rsidRDefault="003027BB" w:rsidP="003D0F62">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14:paraId="241F88C4" w14:textId="7455C797" w:rsidR="000A5B32" w:rsidRPr="004014E2" w:rsidRDefault="004014E2" w:rsidP="004014E2">
      <w:pPr>
        <w:ind w:left="360"/>
        <w:rPr>
          <w:rStyle w:val="Strong"/>
          <w:rFonts w:asciiTheme="minorHAnsi" w:eastAsiaTheme="minorHAnsi" w:hAnsiTheme="minorHAnsi" w:cstheme="minorBidi"/>
          <w:b w:val="0"/>
          <w:color w:val="365F91" w:themeColor="accent1" w:themeShade="BF"/>
        </w:rPr>
      </w:pPr>
      <w:r w:rsidRPr="004014E2">
        <w:rPr>
          <w:color w:val="365F91" w:themeColor="accent1" w:themeShade="BF"/>
        </w:rPr>
        <w:t>Not applicable</w:t>
      </w:r>
    </w:p>
    <w:p w14:paraId="68CE9820" w14:textId="77777777" w:rsidR="000B3CD0" w:rsidRDefault="000B3CD0" w:rsidP="00730C04">
      <w:pPr>
        <w:pStyle w:val="Heading2"/>
      </w:pPr>
      <w:r w:rsidRPr="00154B00">
        <w:t xml:space="preserve">What is the type of </w:t>
      </w:r>
      <w:proofErr w:type="gramStart"/>
      <w:r w:rsidRPr="00154B00">
        <w:t>service:</w:t>
      </w:r>
      <w:proofErr w:type="gramEnd"/>
    </w:p>
    <w:p w14:paraId="58AEE40E" w14:textId="6EAF749B" w:rsidR="00A6594E" w:rsidRDefault="00E24155" w:rsidP="00940C4B">
      <w:pPr>
        <w:spacing w:before="0" w:after="0"/>
        <w:ind w:left="426"/>
      </w:pPr>
      <w:r>
        <w:rPr>
          <w:b/>
          <w:szCs w:val="20"/>
        </w:rPr>
        <w:fldChar w:fldCharType="begin">
          <w:ffData>
            <w:name w:val=""/>
            <w:enabled/>
            <w:calcOnExit w:val="0"/>
            <w:checkBox>
              <w:sizeAuto/>
              <w:default w:val="1"/>
            </w:checkBox>
          </w:ffData>
        </w:fldChar>
      </w:r>
      <w:r>
        <w:rPr>
          <w:b/>
          <w:szCs w:val="20"/>
        </w:rPr>
        <w:instrText xml:space="preserve"> FORMCHECKBOX </w:instrText>
      </w:r>
      <w:r w:rsidR="00A962EA">
        <w:rPr>
          <w:b/>
          <w:szCs w:val="20"/>
        </w:rPr>
      </w:r>
      <w:r w:rsidR="00A962EA">
        <w:rPr>
          <w:b/>
          <w:szCs w:val="20"/>
        </w:rPr>
        <w:fldChar w:fldCharType="separate"/>
      </w:r>
      <w:r>
        <w:rPr>
          <w:b/>
          <w:szCs w:val="20"/>
        </w:rPr>
        <w:fldChar w:fldCharType="end"/>
      </w:r>
      <w:r w:rsidR="00A6594E" w:rsidRPr="0027105F">
        <w:rPr>
          <w:b/>
          <w:szCs w:val="20"/>
        </w:rPr>
        <w:t xml:space="preserve"> </w:t>
      </w:r>
      <w:r w:rsidR="00A6594E">
        <w:t>Therapeutic medical service</w:t>
      </w:r>
    </w:p>
    <w:p w14:paraId="486FE485" w14:textId="77777777" w:rsidR="00A6594E" w:rsidRDefault="00A6594E" w:rsidP="00940C4B">
      <w:pPr>
        <w:spacing w:before="0" w:after="0"/>
        <w:ind w:left="426"/>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962EA">
        <w:rPr>
          <w:b/>
          <w:szCs w:val="20"/>
        </w:rPr>
      </w:r>
      <w:r w:rsidR="00A962EA">
        <w:rPr>
          <w:b/>
          <w:szCs w:val="20"/>
        </w:rPr>
        <w:fldChar w:fldCharType="separate"/>
      </w:r>
      <w:r w:rsidRPr="0027105F">
        <w:rPr>
          <w:b/>
          <w:szCs w:val="20"/>
        </w:rPr>
        <w:fldChar w:fldCharType="end"/>
      </w:r>
      <w:r w:rsidRPr="0027105F">
        <w:rPr>
          <w:b/>
          <w:szCs w:val="20"/>
        </w:rPr>
        <w:t xml:space="preserve"> </w:t>
      </w:r>
      <w:r>
        <w:t>Investigative medical service</w:t>
      </w:r>
    </w:p>
    <w:p w14:paraId="079EB0B1" w14:textId="77777777" w:rsidR="00A6594E" w:rsidRDefault="00A6594E" w:rsidP="00940C4B">
      <w:pPr>
        <w:spacing w:before="0" w:after="0"/>
        <w:ind w:left="426"/>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962EA">
        <w:rPr>
          <w:b/>
          <w:szCs w:val="20"/>
        </w:rPr>
      </w:r>
      <w:r w:rsidR="00A962EA">
        <w:rPr>
          <w:b/>
          <w:szCs w:val="20"/>
        </w:rPr>
        <w:fldChar w:fldCharType="separate"/>
      </w:r>
      <w:r w:rsidRPr="0027105F">
        <w:rPr>
          <w:b/>
          <w:szCs w:val="20"/>
        </w:rPr>
        <w:fldChar w:fldCharType="end"/>
      </w:r>
      <w:r w:rsidRPr="0027105F">
        <w:rPr>
          <w:b/>
          <w:szCs w:val="20"/>
        </w:rPr>
        <w:t xml:space="preserve"> </w:t>
      </w:r>
      <w:r>
        <w:t>Single consultation medical service</w:t>
      </w:r>
    </w:p>
    <w:p w14:paraId="6DED18C4" w14:textId="77777777" w:rsidR="00A6594E" w:rsidRDefault="00A6594E" w:rsidP="00940C4B">
      <w:pPr>
        <w:spacing w:before="0" w:after="0"/>
        <w:ind w:left="426"/>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962EA">
        <w:rPr>
          <w:b/>
          <w:szCs w:val="20"/>
        </w:rPr>
      </w:r>
      <w:r w:rsidR="00A962EA">
        <w:rPr>
          <w:b/>
          <w:szCs w:val="20"/>
        </w:rPr>
        <w:fldChar w:fldCharType="separate"/>
      </w:r>
      <w:r w:rsidRPr="0027105F">
        <w:rPr>
          <w:b/>
          <w:szCs w:val="20"/>
        </w:rPr>
        <w:fldChar w:fldCharType="end"/>
      </w:r>
      <w:r w:rsidRPr="0027105F">
        <w:rPr>
          <w:b/>
          <w:szCs w:val="20"/>
        </w:rPr>
        <w:t xml:space="preserve"> </w:t>
      </w:r>
      <w:r>
        <w:t>Global consultation medical service</w:t>
      </w:r>
    </w:p>
    <w:p w14:paraId="3BDC0653" w14:textId="77777777" w:rsidR="00A6594E" w:rsidRDefault="00A6594E" w:rsidP="00940C4B">
      <w:pPr>
        <w:spacing w:before="0" w:after="0"/>
        <w:ind w:left="426"/>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962EA">
        <w:rPr>
          <w:b/>
          <w:szCs w:val="20"/>
        </w:rPr>
      </w:r>
      <w:r w:rsidR="00A962EA">
        <w:rPr>
          <w:b/>
          <w:szCs w:val="20"/>
        </w:rPr>
        <w:fldChar w:fldCharType="separate"/>
      </w:r>
      <w:r w:rsidRPr="0027105F">
        <w:rPr>
          <w:b/>
          <w:szCs w:val="20"/>
        </w:rPr>
        <w:fldChar w:fldCharType="end"/>
      </w:r>
      <w:r w:rsidRPr="0027105F">
        <w:rPr>
          <w:b/>
          <w:szCs w:val="20"/>
        </w:rPr>
        <w:t xml:space="preserve"> </w:t>
      </w:r>
      <w:r>
        <w:t>Allied health service</w:t>
      </w:r>
    </w:p>
    <w:p w14:paraId="02EB6005" w14:textId="77777777" w:rsidR="00A6594E" w:rsidRDefault="00A6594E" w:rsidP="00940C4B">
      <w:pPr>
        <w:spacing w:before="0" w:after="0"/>
        <w:ind w:left="426"/>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962EA">
        <w:rPr>
          <w:b/>
          <w:szCs w:val="20"/>
        </w:rPr>
      </w:r>
      <w:r w:rsidR="00A962EA">
        <w:rPr>
          <w:b/>
          <w:szCs w:val="20"/>
        </w:rPr>
        <w:fldChar w:fldCharType="separate"/>
      </w:r>
      <w:r w:rsidRPr="0027105F">
        <w:rPr>
          <w:b/>
          <w:szCs w:val="20"/>
        </w:rPr>
        <w:fldChar w:fldCharType="end"/>
      </w:r>
      <w:r w:rsidRPr="0027105F">
        <w:rPr>
          <w:b/>
          <w:szCs w:val="20"/>
        </w:rPr>
        <w:t xml:space="preserve"> </w:t>
      </w:r>
      <w:r>
        <w:t>Co-dependent technology</w:t>
      </w:r>
    </w:p>
    <w:p w14:paraId="1ACF4655" w14:textId="77777777" w:rsidR="00A6594E" w:rsidRPr="00A6594E" w:rsidRDefault="00A6594E" w:rsidP="00940C4B">
      <w:pPr>
        <w:spacing w:before="0" w:after="0"/>
        <w:ind w:left="426"/>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962EA">
        <w:rPr>
          <w:b/>
          <w:szCs w:val="20"/>
        </w:rPr>
      </w:r>
      <w:r w:rsidR="00A962EA">
        <w:rPr>
          <w:b/>
          <w:szCs w:val="20"/>
        </w:rPr>
        <w:fldChar w:fldCharType="separate"/>
      </w:r>
      <w:r w:rsidRPr="0027105F">
        <w:rPr>
          <w:b/>
          <w:szCs w:val="20"/>
        </w:rPr>
        <w:fldChar w:fldCharType="end"/>
      </w:r>
      <w:r w:rsidRPr="0027105F">
        <w:rPr>
          <w:b/>
          <w:szCs w:val="20"/>
        </w:rPr>
        <w:t xml:space="preserve"> </w:t>
      </w:r>
      <w:r>
        <w:t>Hybrid health technology</w:t>
      </w:r>
    </w:p>
    <w:p w14:paraId="1CC9EC4C"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097AD9AF" w14:textId="77777777" w:rsidR="00A6594E" w:rsidRDefault="00A6594E" w:rsidP="003D0F62">
      <w:pPr>
        <w:pStyle w:val="ListParagraph"/>
        <w:numPr>
          <w:ilvl w:val="0"/>
          <w:numId w:val="14"/>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A962EA">
        <w:rPr>
          <w:b/>
          <w:szCs w:val="20"/>
        </w:rPr>
      </w:r>
      <w:r w:rsidR="00A962EA">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48FDB948" w14:textId="77777777" w:rsidR="00A6594E" w:rsidRDefault="00A6594E" w:rsidP="003D0F62">
      <w:pPr>
        <w:pStyle w:val="ListParagraph"/>
        <w:numPr>
          <w:ilvl w:val="0"/>
          <w:numId w:val="14"/>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A962EA">
        <w:rPr>
          <w:b/>
          <w:szCs w:val="20"/>
        </w:rPr>
      </w:r>
      <w:r w:rsidR="00A962EA">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48B9ED87" w14:textId="77777777" w:rsidR="00A6594E" w:rsidRDefault="00A6594E" w:rsidP="003D0F62">
      <w:pPr>
        <w:pStyle w:val="ListParagraph"/>
        <w:numPr>
          <w:ilvl w:val="0"/>
          <w:numId w:val="14"/>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A962EA">
        <w:rPr>
          <w:b/>
          <w:szCs w:val="20"/>
        </w:rPr>
      </w:r>
      <w:r w:rsidR="00A962EA">
        <w:rPr>
          <w:b/>
          <w:szCs w:val="20"/>
        </w:rPr>
        <w:fldChar w:fldCharType="separate"/>
      </w:r>
      <w:r w:rsidRPr="00AF4466">
        <w:rPr>
          <w:b/>
          <w:szCs w:val="20"/>
        </w:rPr>
        <w:fldChar w:fldCharType="end"/>
      </w:r>
      <w:r w:rsidRPr="00AF4466">
        <w:rPr>
          <w:b/>
          <w:szCs w:val="20"/>
        </w:rPr>
        <w:t xml:space="preserve"> </w:t>
      </w:r>
      <w:r>
        <w:t>Provides information about prognosis</w:t>
      </w:r>
    </w:p>
    <w:p w14:paraId="1FDA1CE0" w14:textId="77777777" w:rsidR="00A6594E" w:rsidRDefault="00A6594E" w:rsidP="003D0F62">
      <w:pPr>
        <w:pStyle w:val="ListParagraph"/>
        <w:numPr>
          <w:ilvl w:val="0"/>
          <w:numId w:val="14"/>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A962EA">
        <w:rPr>
          <w:b/>
          <w:szCs w:val="20"/>
        </w:rPr>
      </w:r>
      <w:r w:rsidR="00A962EA">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14:paraId="0D928622" w14:textId="5165FAB4" w:rsidR="00A6594E" w:rsidRDefault="00A6594E" w:rsidP="003D0F62">
      <w:pPr>
        <w:pStyle w:val="ListParagraph"/>
        <w:numPr>
          <w:ilvl w:val="0"/>
          <w:numId w:val="14"/>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A962EA">
        <w:rPr>
          <w:b/>
          <w:szCs w:val="20"/>
        </w:rPr>
      </w:r>
      <w:r w:rsidR="00A962EA">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504FA0CF" w14:textId="551A7CBA" w:rsidR="00E24155" w:rsidRPr="00E24155" w:rsidRDefault="00E24155" w:rsidP="00E24155">
      <w:pPr>
        <w:ind w:left="360"/>
        <w:rPr>
          <w:color w:val="365F91" w:themeColor="accent1" w:themeShade="BF"/>
        </w:rPr>
      </w:pPr>
      <w:r w:rsidRPr="00E24155">
        <w:rPr>
          <w:color w:val="365F91" w:themeColor="accent1" w:themeShade="BF"/>
        </w:rPr>
        <w:t>Not applicable</w:t>
      </w:r>
    </w:p>
    <w:p w14:paraId="49308823"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65E392FC" w14:textId="77777777" w:rsidR="00FE16C1" w:rsidRDefault="00FE16C1" w:rsidP="00940C4B">
      <w:pPr>
        <w:spacing w:before="0" w:after="0"/>
        <w:ind w:left="426"/>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962EA">
        <w:rPr>
          <w:b/>
          <w:szCs w:val="20"/>
        </w:rPr>
      </w:r>
      <w:r w:rsidR="00A962EA">
        <w:rPr>
          <w:b/>
          <w:szCs w:val="20"/>
        </w:rPr>
        <w:fldChar w:fldCharType="separate"/>
      </w:r>
      <w:r w:rsidRPr="0027105F">
        <w:rPr>
          <w:b/>
          <w:szCs w:val="20"/>
        </w:rPr>
        <w:fldChar w:fldCharType="end"/>
      </w:r>
      <w:r w:rsidRPr="0027105F">
        <w:rPr>
          <w:b/>
          <w:szCs w:val="20"/>
        </w:rPr>
        <w:t xml:space="preserve"> </w:t>
      </w:r>
      <w:r>
        <w:t>Pharmaceutical / Biological</w:t>
      </w:r>
    </w:p>
    <w:p w14:paraId="668AB971" w14:textId="63E04538" w:rsidR="00FE16C1" w:rsidRDefault="00E24155" w:rsidP="00940C4B">
      <w:pPr>
        <w:spacing w:before="0" w:after="0"/>
        <w:ind w:left="426"/>
      </w:pPr>
      <w:r>
        <w:rPr>
          <w:b/>
          <w:szCs w:val="20"/>
        </w:rPr>
        <w:fldChar w:fldCharType="begin">
          <w:ffData>
            <w:name w:val=""/>
            <w:enabled/>
            <w:calcOnExit w:val="0"/>
            <w:checkBox>
              <w:sizeAuto/>
              <w:default w:val="1"/>
            </w:checkBox>
          </w:ffData>
        </w:fldChar>
      </w:r>
      <w:r>
        <w:rPr>
          <w:b/>
          <w:szCs w:val="20"/>
        </w:rPr>
        <w:instrText xml:space="preserve"> FORMCHECKBOX </w:instrText>
      </w:r>
      <w:r w:rsidR="00A962EA">
        <w:rPr>
          <w:b/>
          <w:szCs w:val="20"/>
        </w:rPr>
      </w:r>
      <w:r w:rsidR="00A962EA">
        <w:rPr>
          <w:b/>
          <w:szCs w:val="20"/>
        </w:rPr>
        <w:fldChar w:fldCharType="separate"/>
      </w:r>
      <w:r>
        <w:rPr>
          <w:b/>
          <w:szCs w:val="20"/>
        </w:rPr>
        <w:fldChar w:fldCharType="end"/>
      </w:r>
      <w:r w:rsidR="00FE16C1" w:rsidRPr="0027105F">
        <w:rPr>
          <w:b/>
          <w:szCs w:val="20"/>
        </w:rPr>
        <w:t xml:space="preserve"> </w:t>
      </w:r>
      <w:r w:rsidR="00FE16C1">
        <w:t>Prosthesis or device</w:t>
      </w:r>
    </w:p>
    <w:p w14:paraId="72F91377" w14:textId="77777777" w:rsidR="00FE16C1" w:rsidRPr="00FE16C1" w:rsidRDefault="00FE16C1" w:rsidP="00940C4B">
      <w:pPr>
        <w:spacing w:before="0" w:after="0"/>
        <w:ind w:left="426"/>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962EA">
        <w:rPr>
          <w:b/>
          <w:szCs w:val="20"/>
        </w:rPr>
      </w:r>
      <w:r w:rsidR="00A962EA">
        <w:rPr>
          <w:b/>
          <w:szCs w:val="20"/>
        </w:rPr>
        <w:fldChar w:fldCharType="separate"/>
      </w:r>
      <w:r w:rsidRPr="0027105F">
        <w:rPr>
          <w:b/>
          <w:szCs w:val="20"/>
        </w:rPr>
        <w:fldChar w:fldCharType="end"/>
      </w:r>
      <w:r w:rsidRPr="0027105F">
        <w:rPr>
          <w:b/>
          <w:szCs w:val="20"/>
        </w:rPr>
        <w:t xml:space="preserve"> </w:t>
      </w:r>
      <w:r>
        <w:t>No</w:t>
      </w:r>
    </w:p>
    <w:p w14:paraId="586CC041"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69738B2B" w14:textId="204E77DD" w:rsidR="00E24155" w:rsidRPr="00E24155" w:rsidRDefault="00E24155" w:rsidP="00940C4B">
      <w:pPr>
        <w:ind w:left="360" w:firstLine="66"/>
        <w:rPr>
          <w:color w:val="365F91" w:themeColor="accent1" w:themeShade="BF"/>
        </w:rPr>
      </w:pPr>
      <w:r w:rsidRPr="00E24155">
        <w:rPr>
          <w:color w:val="365F91" w:themeColor="accent1" w:themeShade="BF"/>
        </w:rPr>
        <w:t>Not applicable</w:t>
      </w:r>
    </w:p>
    <w:p w14:paraId="0BC16FE5" w14:textId="77777777" w:rsidR="00EC127A" w:rsidRPr="001E6958" w:rsidRDefault="000E5439" w:rsidP="003D0F62">
      <w:pPr>
        <w:pStyle w:val="Heading2"/>
        <w:numPr>
          <w:ilvl w:val="0"/>
          <w:numId w:val="4"/>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5F64C2D1" w14:textId="77777777" w:rsidR="00E24155" w:rsidRPr="00E24155" w:rsidRDefault="00E24155" w:rsidP="00E24155">
      <w:pPr>
        <w:ind w:left="360"/>
        <w:rPr>
          <w:color w:val="365F91" w:themeColor="accent1" w:themeShade="BF"/>
        </w:rPr>
      </w:pPr>
      <w:r w:rsidRPr="00E24155">
        <w:rPr>
          <w:color w:val="365F91" w:themeColor="accent1" w:themeShade="BF"/>
        </w:rPr>
        <w:t>Not applicable</w:t>
      </w:r>
    </w:p>
    <w:p w14:paraId="507AEEBB" w14:textId="77777777" w:rsidR="00411735" w:rsidRPr="001E6958" w:rsidRDefault="00411735" w:rsidP="003D0F62">
      <w:pPr>
        <w:pStyle w:val="Heading2"/>
        <w:numPr>
          <w:ilvl w:val="0"/>
          <w:numId w:val="4"/>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74596ABA" w14:textId="7E4E9231" w:rsidR="00E24155" w:rsidRPr="00E24155" w:rsidRDefault="00E24155" w:rsidP="00E24155">
      <w:pPr>
        <w:ind w:left="360"/>
        <w:rPr>
          <w:color w:val="365F91" w:themeColor="accent1" w:themeShade="BF"/>
        </w:rPr>
      </w:pPr>
      <w:r w:rsidRPr="00E24155">
        <w:rPr>
          <w:color w:val="365F91" w:themeColor="accent1" w:themeShade="BF"/>
        </w:rPr>
        <w:t>Not applicable</w:t>
      </w:r>
    </w:p>
    <w:p w14:paraId="63A0C6B7" w14:textId="77777777" w:rsidR="000E5439" w:rsidRDefault="000E5439" w:rsidP="003D0F62">
      <w:pPr>
        <w:pStyle w:val="Heading2"/>
        <w:numPr>
          <w:ilvl w:val="0"/>
          <w:numId w:val="4"/>
        </w:numPr>
      </w:pPr>
      <w:r w:rsidRPr="007E39E4">
        <w:t>If you are seeking both MBS and PBS listing</w:t>
      </w:r>
      <w:r w:rsidR="00B75965" w:rsidRPr="007E39E4">
        <w:t>, what is the trade name and generic name of the pharmaceutical?</w:t>
      </w:r>
    </w:p>
    <w:p w14:paraId="120431CD" w14:textId="77777777" w:rsidR="00E24155" w:rsidRPr="00E24155" w:rsidRDefault="00E24155" w:rsidP="00E24155">
      <w:pPr>
        <w:ind w:left="360"/>
        <w:rPr>
          <w:color w:val="365F91" w:themeColor="accent1" w:themeShade="BF"/>
        </w:rPr>
      </w:pPr>
      <w:r w:rsidRPr="00E24155">
        <w:rPr>
          <w:color w:val="365F91" w:themeColor="accent1" w:themeShade="BF"/>
        </w:rPr>
        <w:t>Not applicable</w:t>
      </w:r>
    </w:p>
    <w:p w14:paraId="35E9B800" w14:textId="77777777" w:rsidR="00B75965" w:rsidRPr="00BF66B4" w:rsidRDefault="00530204" w:rsidP="000878C7">
      <w:pPr>
        <w:pStyle w:val="Heading2"/>
        <w:ind w:left="567" w:hanging="283"/>
      </w:pPr>
      <w:r w:rsidRPr="00BF66B4">
        <w:lastRenderedPageBreak/>
        <w:t xml:space="preserve">(a) </w:t>
      </w:r>
      <w:r w:rsidR="00B75965" w:rsidRPr="00BF66B4">
        <w:t xml:space="preserve">If the proposed service </w:t>
      </w:r>
      <w:r w:rsidR="00A9062D" w:rsidRPr="00BF66B4">
        <w:t xml:space="preserve">is </w:t>
      </w:r>
      <w:r w:rsidR="00C73B62" w:rsidRPr="00BF66B4">
        <w:t>dependent on</w:t>
      </w:r>
      <w:r w:rsidR="00A9062D" w:rsidRPr="00BF66B4">
        <w:t xml:space="preserve"> </w:t>
      </w:r>
      <w:r w:rsidR="00BB003A" w:rsidRPr="00BF66B4">
        <w:t xml:space="preserve">the use of </w:t>
      </w:r>
      <w:r w:rsidR="00C05A45" w:rsidRPr="00BF66B4">
        <w:t>a prosthesis</w:t>
      </w:r>
      <w:r w:rsidR="00CD4E44" w:rsidRPr="00BF66B4">
        <w:t>,</w:t>
      </w:r>
      <w:r w:rsidR="00C05A45" w:rsidRPr="00BF66B4">
        <w:t xml:space="preserve"> </w:t>
      </w:r>
      <w:r w:rsidR="00B75965" w:rsidRPr="00BF66B4">
        <w:t>is it already included on the Prosthes</w:t>
      </w:r>
      <w:r w:rsidR="00BB003A" w:rsidRPr="00BF66B4">
        <w:t>e</w:t>
      </w:r>
      <w:r w:rsidR="00B75965" w:rsidRPr="00BF66B4">
        <w:t>s List?</w:t>
      </w:r>
    </w:p>
    <w:p w14:paraId="6244B00A" w14:textId="4DC19F62" w:rsidR="001E6958" w:rsidRPr="00BF66B4" w:rsidRDefault="00BF66B4"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A962EA">
        <w:rPr>
          <w:szCs w:val="20"/>
        </w:rPr>
      </w:r>
      <w:r w:rsidR="00A962EA">
        <w:rPr>
          <w:szCs w:val="20"/>
        </w:rPr>
        <w:fldChar w:fldCharType="separate"/>
      </w:r>
      <w:r>
        <w:rPr>
          <w:szCs w:val="20"/>
        </w:rPr>
        <w:fldChar w:fldCharType="end"/>
      </w:r>
      <w:r w:rsidR="001E6958" w:rsidRPr="00BF66B4">
        <w:rPr>
          <w:szCs w:val="20"/>
        </w:rPr>
        <w:t xml:space="preserve"> Yes</w:t>
      </w:r>
    </w:p>
    <w:p w14:paraId="40DEFC4F" w14:textId="50233E42" w:rsidR="001E6919" w:rsidRPr="000878C7" w:rsidRDefault="00BF66B4" w:rsidP="000878C7">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962EA">
        <w:rPr>
          <w:szCs w:val="20"/>
        </w:rPr>
      </w:r>
      <w:r w:rsidR="00A962EA">
        <w:rPr>
          <w:szCs w:val="20"/>
        </w:rPr>
        <w:fldChar w:fldCharType="separate"/>
      </w:r>
      <w:r>
        <w:rPr>
          <w:szCs w:val="20"/>
        </w:rPr>
        <w:fldChar w:fldCharType="end"/>
      </w:r>
      <w:r w:rsidR="001E6958" w:rsidRPr="00BF66B4">
        <w:rPr>
          <w:szCs w:val="20"/>
        </w:rPr>
        <w:t xml:space="preserve"> No</w:t>
      </w:r>
    </w:p>
    <w:p w14:paraId="2D42DDC2" w14:textId="0E7B9068" w:rsidR="00B75965" w:rsidRDefault="00B75965" w:rsidP="003D0F62">
      <w:pPr>
        <w:pStyle w:val="Heading2"/>
        <w:numPr>
          <w:ilvl w:val="0"/>
          <w:numId w:val="5"/>
        </w:numPr>
      </w:pPr>
      <w:r w:rsidRPr="00BF66B4">
        <w:t xml:space="preserve">If yes, </w:t>
      </w:r>
      <w:r w:rsidR="00C73B62" w:rsidRPr="00BF66B4">
        <w:t xml:space="preserve">please provide the following information (where relevant): </w:t>
      </w:r>
    </w:p>
    <w:p w14:paraId="3192731D" w14:textId="77777777" w:rsidR="001A46C2" w:rsidRPr="001A46C2" w:rsidRDefault="001A46C2" w:rsidP="001A46C2">
      <w:pPr>
        <w:ind w:left="360"/>
        <w:rPr>
          <w:color w:val="365F91" w:themeColor="accent1" w:themeShade="BF"/>
        </w:rPr>
      </w:pPr>
      <w:r w:rsidRPr="001A46C2">
        <w:rPr>
          <w:color w:val="365F91" w:themeColor="accent1" w:themeShade="BF"/>
        </w:rPr>
        <w:t>Not applicable</w:t>
      </w:r>
    </w:p>
    <w:p w14:paraId="3C99D09F" w14:textId="77777777" w:rsidR="00411735" w:rsidRDefault="00411735" w:rsidP="003D0F62">
      <w:pPr>
        <w:pStyle w:val="Heading2"/>
        <w:numPr>
          <w:ilvl w:val="0"/>
          <w:numId w:val="5"/>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73E5459D"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62EA">
        <w:rPr>
          <w:szCs w:val="20"/>
        </w:rPr>
      </w:r>
      <w:r w:rsidR="00A962EA">
        <w:rPr>
          <w:szCs w:val="20"/>
        </w:rPr>
        <w:fldChar w:fldCharType="separate"/>
      </w:r>
      <w:r w:rsidRPr="000A5B32">
        <w:rPr>
          <w:szCs w:val="20"/>
        </w:rPr>
        <w:fldChar w:fldCharType="end"/>
      </w:r>
      <w:r w:rsidRPr="000A5B32">
        <w:rPr>
          <w:szCs w:val="20"/>
        </w:rPr>
        <w:t xml:space="preserve"> Yes</w:t>
      </w:r>
    </w:p>
    <w:p w14:paraId="3DACA0C8" w14:textId="23A7556D" w:rsidR="001E6958" w:rsidRDefault="00E24155"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A962EA">
        <w:rPr>
          <w:szCs w:val="20"/>
        </w:rPr>
      </w:r>
      <w:r w:rsidR="00A962EA">
        <w:rPr>
          <w:szCs w:val="20"/>
        </w:rPr>
        <w:fldChar w:fldCharType="separate"/>
      </w:r>
      <w:r>
        <w:rPr>
          <w:szCs w:val="20"/>
        </w:rPr>
        <w:fldChar w:fldCharType="end"/>
      </w:r>
      <w:r w:rsidR="009939DC">
        <w:rPr>
          <w:szCs w:val="20"/>
        </w:rPr>
        <w:t xml:space="preserve"> No  </w:t>
      </w:r>
    </w:p>
    <w:p w14:paraId="13EE9E9B" w14:textId="4B4ADC1E" w:rsidR="001A46C2" w:rsidRPr="00E24155" w:rsidRDefault="001A46C2" w:rsidP="001A46C2">
      <w:pPr>
        <w:ind w:left="360"/>
        <w:rPr>
          <w:color w:val="365F91" w:themeColor="accent1" w:themeShade="BF"/>
        </w:rPr>
      </w:pPr>
      <w:r w:rsidRPr="00BF66B4">
        <w:rPr>
          <w:color w:val="365F91" w:themeColor="accent1" w:themeShade="BF"/>
        </w:rPr>
        <w:t xml:space="preserve">An application will be made to list Boston Scientific’s </w:t>
      </w:r>
      <w:r>
        <w:rPr>
          <w:color w:val="365F91" w:themeColor="accent1" w:themeShade="BF"/>
        </w:rPr>
        <w:t>Superion</w:t>
      </w:r>
      <w:r w:rsidRPr="00BF66B4">
        <w:rPr>
          <w:color w:val="365F91" w:themeColor="accent1" w:themeShade="BF"/>
        </w:rPr>
        <w:t xml:space="preserve"> </w:t>
      </w:r>
      <w:r>
        <w:rPr>
          <w:color w:val="365F91" w:themeColor="accent1" w:themeShade="BF"/>
        </w:rPr>
        <w:t>Indirect Decompression System</w:t>
      </w:r>
      <w:r w:rsidR="00BB7731">
        <w:rPr>
          <w:color w:val="365F91" w:themeColor="accent1" w:themeShade="BF"/>
        </w:rPr>
        <w:t xml:space="preserve"> on the Prostheses List.</w:t>
      </w:r>
    </w:p>
    <w:p w14:paraId="22A0DF2A" w14:textId="77777777" w:rsidR="00016B6E" w:rsidRPr="009939DC" w:rsidRDefault="00016B6E" w:rsidP="003D0F62">
      <w:pPr>
        <w:pStyle w:val="Heading2"/>
        <w:numPr>
          <w:ilvl w:val="0"/>
          <w:numId w:val="5"/>
        </w:numPr>
      </w:pPr>
      <w:r w:rsidRPr="009939DC">
        <w:t>Are there any other sponsor(s) and / or manufacturer(</w:t>
      </w:r>
      <w:r w:rsidR="008B729C" w:rsidRPr="009939DC">
        <w:t>s) that have a similar prosthesi</w:t>
      </w:r>
      <w:r w:rsidRPr="009939DC">
        <w:t xml:space="preserve">s or device component in the Australian market </w:t>
      </w:r>
      <w:proofErr w:type="gramStart"/>
      <w:r w:rsidRPr="009939DC">
        <w:t>place which</w:t>
      </w:r>
      <w:proofErr w:type="gramEnd"/>
      <w:r w:rsidRPr="009939DC">
        <w:t xml:space="preserve"> this application is relevant to?</w:t>
      </w:r>
    </w:p>
    <w:p w14:paraId="109E252E" w14:textId="1BAA0291" w:rsidR="009939DC" w:rsidRDefault="001A46C2"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A962EA">
        <w:rPr>
          <w:szCs w:val="20"/>
        </w:rPr>
      </w:r>
      <w:r w:rsidR="00A962EA">
        <w:rPr>
          <w:szCs w:val="20"/>
        </w:rPr>
        <w:fldChar w:fldCharType="separate"/>
      </w:r>
      <w:r>
        <w:rPr>
          <w:szCs w:val="20"/>
        </w:rPr>
        <w:fldChar w:fldCharType="end"/>
      </w:r>
      <w:r w:rsidR="009939DC" w:rsidRPr="000A5B32">
        <w:rPr>
          <w:szCs w:val="20"/>
        </w:rPr>
        <w:t xml:space="preserve"> Yes</w:t>
      </w:r>
    </w:p>
    <w:p w14:paraId="1E04FDCD" w14:textId="72CB3769" w:rsidR="009939DC" w:rsidRPr="001E6958" w:rsidRDefault="001A46C2"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962EA">
        <w:rPr>
          <w:szCs w:val="20"/>
        </w:rPr>
      </w:r>
      <w:r w:rsidR="00A962EA">
        <w:rPr>
          <w:szCs w:val="20"/>
        </w:rPr>
        <w:fldChar w:fldCharType="separate"/>
      </w:r>
      <w:r>
        <w:rPr>
          <w:szCs w:val="20"/>
        </w:rPr>
        <w:fldChar w:fldCharType="end"/>
      </w:r>
      <w:r w:rsidR="009939DC">
        <w:rPr>
          <w:szCs w:val="20"/>
        </w:rPr>
        <w:t xml:space="preserve"> No  </w:t>
      </w:r>
    </w:p>
    <w:p w14:paraId="40895BC4" w14:textId="77777777" w:rsidR="009939DC" w:rsidRDefault="00016B6E" w:rsidP="003D0F62">
      <w:pPr>
        <w:pStyle w:val="Heading2"/>
        <w:numPr>
          <w:ilvl w:val="0"/>
          <w:numId w:val="5"/>
        </w:numPr>
      </w:pPr>
      <w:r w:rsidRPr="009939DC">
        <w:t>If yes, please provide the name(s) of the spon</w:t>
      </w:r>
      <w:r w:rsidR="009939DC">
        <w:t>sor(s) and / or manufacturer(s):</w:t>
      </w:r>
    </w:p>
    <w:p w14:paraId="4F033923" w14:textId="77777777" w:rsidR="001A46C2" w:rsidRPr="001A46C2" w:rsidRDefault="001A46C2" w:rsidP="001A46C2">
      <w:pPr>
        <w:ind w:left="360"/>
        <w:rPr>
          <w:color w:val="365F91" w:themeColor="accent1" w:themeShade="BF"/>
        </w:rPr>
      </w:pPr>
      <w:r w:rsidRPr="001A46C2">
        <w:rPr>
          <w:color w:val="365F91" w:themeColor="accent1" w:themeShade="BF"/>
        </w:rPr>
        <w:t>Not applicable</w:t>
      </w:r>
    </w:p>
    <w:p w14:paraId="38B44AB8" w14:textId="77777777" w:rsidR="0084657B" w:rsidRPr="000B5A61" w:rsidRDefault="00A9062D" w:rsidP="000878C7">
      <w:pPr>
        <w:pStyle w:val="Heading2"/>
        <w:ind w:left="709" w:hanging="425"/>
      </w:pPr>
      <w:proofErr w:type="gramStart"/>
      <w:r w:rsidRPr="000B5A61">
        <w:t>P</w:t>
      </w:r>
      <w:r w:rsidR="0084657B" w:rsidRPr="000B5A61">
        <w:t xml:space="preserve">lease identify </w:t>
      </w:r>
      <w:r w:rsidR="00E8649B" w:rsidRPr="000B5A61">
        <w:t xml:space="preserve">any single </w:t>
      </w:r>
      <w:r w:rsidR="00016B6E" w:rsidRPr="000B5A61">
        <w:t>and / or multi-</w:t>
      </w:r>
      <w:r w:rsidR="00E8649B" w:rsidRPr="000B5A61">
        <w:t>use consumables</w:t>
      </w:r>
      <w:r w:rsidR="0084657B" w:rsidRPr="000B5A61">
        <w:t xml:space="preserve"> </w:t>
      </w:r>
      <w:r w:rsidR="00E8649B" w:rsidRPr="000B5A61">
        <w:t>delivered as part of the service?</w:t>
      </w:r>
      <w:proofErr w:type="gramEnd"/>
    </w:p>
    <w:p w14:paraId="1E306253" w14:textId="2E9054FA" w:rsidR="008F566C" w:rsidRDefault="008F566C" w:rsidP="008F566C">
      <w:pPr>
        <w:ind w:left="360"/>
        <w:rPr>
          <w:color w:val="365F91" w:themeColor="accent1" w:themeShade="BF"/>
        </w:rPr>
      </w:pPr>
      <w:r w:rsidRPr="008F566C">
        <w:rPr>
          <w:color w:val="365F91" w:themeColor="accent1" w:themeShade="BF"/>
        </w:rPr>
        <w:t xml:space="preserve">The </w:t>
      </w:r>
      <w:proofErr w:type="spellStart"/>
      <w:r w:rsidRPr="008F566C">
        <w:rPr>
          <w:color w:val="365F91" w:themeColor="accent1" w:themeShade="BF"/>
        </w:rPr>
        <w:t>Superion</w:t>
      </w:r>
      <w:proofErr w:type="spellEnd"/>
      <w:r w:rsidRPr="008F566C">
        <w:rPr>
          <w:color w:val="365F91" w:themeColor="accent1" w:themeShade="BF"/>
        </w:rPr>
        <w:t xml:space="preserve"> </w:t>
      </w:r>
      <w:r>
        <w:rPr>
          <w:color w:val="365F91" w:themeColor="accent1" w:themeShade="BF"/>
        </w:rPr>
        <w:t>IDS system</w:t>
      </w:r>
      <w:r w:rsidRPr="008F566C">
        <w:rPr>
          <w:color w:val="365F91" w:themeColor="accent1" w:themeShade="BF"/>
        </w:rPr>
        <w:t xml:space="preserve"> is a titanium implant designed to fit between the spinous process of the lumbar spine. It is composed of titanium 6AI-4VELI alloy, and consists of a single component with </w:t>
      </w:r>
      <w:proofErr w:type="spellStart"/>
      <w:r w:rsidRPr="008F566C">
        <w:rPr>
          <w:color w:val="365F91" w:themeColor="accent1" w:themeShade="BF"/>
        </w:rPr>
        <w:t>deployeable</w:t>
      </w:r>
      <w:proofErr w:type="spellEnd"/>
      <w:r w:rsidRPr="008F566C">
        <w:rPr>
          <w:color w:val="365F91" w:themeColor="accent1" w:themeShade="BF"/>
        </w:rPr>
        <w:t xml:space="preserve"> superior and inferior projections that engage the spinous processes to secure it in place dorsal to the lamina. The </w:t>
      </w:r>
      <w:proofErr w:type="spellStart"/>
      <w:r w:rsidRPr="008F566C">
        <w:rPr>
          <w:color w:val="365F91" w:themeColor="accent1" w:themeShade="BF"/>
        </w:rPr>
        <w:t>Superion</w:t>
      </w:r>
      <w:proofErr w:type="spellEnd"/>
      <w:r w:rsidRPr="008F566C">
        <w:rPr>
          <w:color w:val="365F91" w:themeColor="accent1" w:themeShade="BF"/>
        </w:rPr>
        <w:t xml:space="preserve"> IDS is provided sterile in sizes 8mm, 10mm, 12mm, 14mm, and 16mm. The </w:t>
      </w:r>
      <w:proofErr w:type="spellStart"/>
      <w:r w:rsidRPr="008F566C">
        <w:rPr>
          <w:color w:val="365F91" w:themeColor="accent1" w:themeShade="BF"/>
        </w:rPr>
        <w:t>Superion</w:t>
      </w:r>
      <w:proofErr w:type="spellEnd"/>
      <w:r w:rsidRPr="008F566C">
        <w:rPr>
          <w:color w:val="365F91" w:themeColor="accent1" w:themeShade="BF"/>
        </w:rPr>
        <w:t xml:space="preserve"> IDS is implanted by percutaneous means through a cannula inserted between adjacent spinous processes. Once inserted into the interspinous process space the </w:t>
      </w:r>
      <w:proofErr w:type="spellStart"/>
      <w:r w:rsidRPr="008F566C">
        <w:rPr>
          <w:color w:val="365F91" w:themeColor="accent1" w:themeShade="BF"/>
        </w:rPr>
        <w:t>Superion</w:t>
      </w:r>
      <w:proofErr w:type="spellEnd"/>
      <w:r w:rsidRPr="008F566C">
        <w:rPr>
          <w:color w:val="365F91" w:themeColor="accent1" w:themeShade="BF"/>
        </w:rPr>
        <w:t xml:space="preserve"> IDS is deployed, or opened, to provide distraction and restrict extension at the affected segment</w:t>
      </w:r>
      <w:r>
        <w:rPr>
          <w:color w:val="365F91" w:themeColor="accent1" w:themeShade="BF"/>
        </w:rPr>
        <w:t>.</w:t>
      </w:r>
    </w:p>
    <w:p w14:paraId="4A7F499C" w14:textId="4456664C" w:rsidR="008F566C" w:rsidRPr="008F566C" w:rsidRDefault="008F566C" w:rsidP="008F566C">
      <w:pPr>
        <w:ind w:left="360"/>
        <w:rPr>
          <w:color w:val="365F91" w:themeColor="accent1" w:themeShade="BF"/>
        </w:rPr>
      </w:pPr>
      <w:r w:rsidRPr="008F566C">
        <w:rPr>
          <w:color w:val="365F91" w:themeColor="accent1" w:themeShade="BF"/>
        </w:rPr>
        <w:t xml:space="preserve">The </w:t>
      </w:r>
      <w:proofErr w:type="spellStart"/>
      <w:r w:rsidRPr="008F566C">
        <w:rPr>
          <w:color w:val="365F91" w:themeColor="accent1" w:themeShade="BF"/>
        </w:rPr>
        <w:t>Superion</w:t>
      </w:r>
      <w:proofErr w:type="spellEnd"/>
      <w:r w:rsidRPr="008F566C">
        <w:rPr>
          <w:color w:val="365F91" w:themeColor="accent1" w:themeShade="BF"/>
        </w:rPr>
        <w:t xml:space="preserve"> IDS system includes a set of proprietary instruments to deliver the </w:t>
      </w:r>
      <w:proofErr w:type="spellStart"/>
      <w:r w:rsidRPr="008F566C">
        <w:rPr>
          <w:color w:val="365F91" w:themeColor="accent1" w:themeShade="BF"/>
        </w:rPr>
        <w:t>Superion</w:t>
      </w:r>
      <w:proofErr w:type="spellEnd"/>
      <w:r w:rsidRPr="008F566C">
        <w:rPr>
          <w:color w:val="365F91" w:themeColor="accent1" w:themeShade="BF"/>
        </w:rPr>
        <w:t xml:space="preserve"> Implant minimally invasively. Instruments specifically designed for implanting the </w:t>
      </w:r>
      <w:proofErr w:type="spellStart"/>
      <w:r w:rsidRPr="008F566C">
        <w:rPr>
          <w:color w:val="365F91" w:themeColor="accent1" w:themeShade="BF"/>
        </w:rPr>
        <w:t>Superion</w:t>
      </w:r>
      <w:proofErr w:type="spellEnd"/>
      <w:r w:rsidRPr="008F566C">
        <w:rPr>
          <w:color w:val="365F91" w:themeColor="accent1" w:themeShade="BF"/>
        </w:rPr>
        <w:t xml:space="preserve"> Implant are sterile, single use disposable instruments consisting of a dilator assembly, a cannula assembly, an interspinous gauge, an inserter, a reamer, and a driver.</w:t>
      </w:r>
    </w:p>
    <w:p w14:paraId="77A33ECB" w14:textId="5839778A" w:rsidR="009939DC" w:rsidRDefault="009939DC" w:rsidP="008B23B4">
      <w:pPr>
        <w:ind w:left="360"/>
        <w:rPr>
          <w:color w:val="365F91" w:themeColor="accent1" w:themeShade="BF"/>
        </w:rPr>
      </w:pPr>
      <w:r w:rsidRPr="008B23B4">
        <w:rPr>
          <w:color w:val="365F91" w:themeColor="accent1" w:themeShade="BF"/>
        </w:rPr>
        <w:t>Single use consumables</w:t>
      </w:r>
      <w:r w:rsidR="008F566C">
        <w:rPr>
          <w:color w:val="365F91" w:themeColor="accent1" w:themeShade="BF"/>
        </w:rPr>
        <w:t xml:space="preserve"> include</w:t>
      </w:r>
      <w:r w:rsidRPr="008B23B4">
        <w:rPr>
          <w:color w:val="365F91" w:themeColor="accent1" w:themeShade="BF"/>
        </w:rPr>
        <w:t xml:space="preserve">: </w:t>
      </w:r>
    </w:p>
    <w:p w14:paraId="75225459" w14:textId="75A87BC4" w:rsidR="00704344" w:rsidRPr="00704344" w:rsidRDefault="00704344" w:rsidP="003D0F62">
      <w:pPr>
        <w:pStyle w:val="ListParagraph"/>
        <w:numPr>
          <w:ilvl w:val="0"/>
          <w:numId w:val="15"/>
        </w:numPr>
        <w:spacing w:before="0" w:after="0"/>
        <w:rPr>
          <w:rFonts w:eastAsia="Times New Roman"/>
          <w:color w:val="365F91" w:themeColor="accent1" w:themeShade="BF"/>
          <w:lang w:val="en-US"/>
        </w:rPr>
      </w:pPr>
      <w:r w:rsidRPr="00704344">
        <w:rPr>
          <w:rFonts w:eastAsia="Times New Roman"/>
          <w:color w:val="365F91" w:themeColor="accent1" w:themeShade="BF"/>
          <w:lang w:val="en-US"/>
        </w:rPr>
        <w:t>Lumbar interspinous decompression spacer</w:t>
      </w:r>
      <w:r>
        <w:rPr>
          <w:rFonts w:eastAsia="Times New Roman"/>
          <w:color w:val="365F91" w:themeColor="accent1" w:themeShade="BF"/>
          <w:lang w:val="en-US"/>
        </w:rPr>
        <w:t>(s)</w:t>
      </w:r>
      <w:r w:rsidRPr="00704344">
        <w:rPr>
          <w:rFonts w:eastAsia="Times New Roman"/>
          <w:color w:val="365F91" w:themeColor="accent1" w:themeShade="BF"/>
          <w:lang w:val="en-US"/>
        </w:rPr>
        <w:t>, sterile</w:t>
      </w:r>
    </w:p>
    <w:p w14:paraId="0B502E10" w14:textId="72875DE5" w:rsidR="00C01CDE" w:rsidRDefault="009939DC" w:rsidP="008B23B4">
      <w:pPr>
        <w:ind w:left="360"/>
        <w:rPr>
          <w:color w:val="365F91" w:themeColor="accent1" w:themeShade="BF"/>
        </w:rPr>
      </w:pPr>
      <w:r w:rsidRPr="008B23B4">
        <w:rPr>
          <w:color w:val="365F91" w:themeColor="accent1" w:themeShade="BF"/>
        </w:rPr>
        <w:t>Multi-use consumables</w:t>
      </w:r>
      <w:r w:rsidR="008F566C">
        <w:rPr>
          <w:color w:val="365F91" w:themeColor="accent1" w:themeShade="BF"/>
        </w:rPr>
        <w:t xml:space="preserve"> include</w:t>
      </w:r>
      <w:r w:rsidRPr="008B23B4">
        <w:rPr>
          <w:color w:val="365F91" w:themeColor="accent1" w:themeShade="BF"/>
        </w:rPr>
        <w:t xml:space="preserve">: </w:t>
      </w:r>
    </w:p>
    <w:p w14:paraId="5FDC3DEE" w14:textId="77777777" w:rsidR="002C02EB" w:rsidRPr="00704344" w:rsidRDefault="002C02EB" w:rsidP="002C02EB">
      <w:pPr>
        <w:pStyle w:val="ListParagraph"/>
        <w:numPr>
          <w:ilvl w:val="0"/>
          <w:numId w:val="15"/>
        </w:numPr>
        <w:spacing w:before="0" w:after="0"/>
        <w:rPr>
          <w:szCs w:val="20"/>
        </w:rPr>
      </w:pPr>
      <w:proofErr w:type="spellStart"/>
      <w:r w:rsidRPr="00704344">
        <w:rPr>
          <w:rFonts w:eastAsia="Times New Roman"/>
          <w:color w:val="365F91" w:themeColor="accent1" w:themeShade="BF"/>
          <w:lang w:val="en-US"/>
        </w:rPr>
        <w:t>Superion</w:t>
      </w:r>
      <w:proofErr w:type="spellEnd"/>
      <w:r w:rsidRPr="00704344">
        <w:rPr>
          <w:rFonts w:eastAsia="Times New Roman"/>
          <w:color w:val="365F91" w:themeColor="accent1" w:themeShade="BF"/>
          <w:lang w:val="en-US"/>
        </w:rPr>
        <w:t xml:space="preserve"> Indirect Decompression Instrument Kit - Lumbar interspinous</w:t>
      </w:r>
      <w:r>
        <w:rPr>
          <w:rFonts w:eastAsia="Times New Roman"/>
          <w:color w:val="365F91" w:themeColor="accent1" w:themeShade="BF"/>
          <w:lang w:val="en-US"/>
        </w:rPr>
        <w:t xml:space="preserve"> </w:t>
      </w:r>
      <w:r w:rsidRPr="00704344">
        <w:rPr>
          <w:rFonts w:eastAsia="Times New Roman"/>
          <w:color w:val="365F91" w:themeColor="accent1" w:themeShade="BF"/>
          <w:lang w:val="en-US"/>
        </w:rPr>
        <w:t>decompression instrument set, single-use</w:t>
      </w:r>
    </w:p>
    <w:p w14:paraId="4CACFCAA" w14:textId="3E9CB66F" w:rsidR="00F301F1" w:rsidRDefault="00F301F1" w:rsidP="00A6491A">
      <w:pPr>
        <w:spacing w:before="0" w:after="0"/>
        <w:ind w:left="284"/>
      </w:pPr>
      <w:r w:rsidRPr="00855944">
        <w:br w:type="page"/>
      </w:r>
    </w:p>
    <w:p w14:paraId="677DB083" w14:textId="77777777" w:rsidR="002C02EB" w:rsidRPr="00855944" w:rsidRDefault="002C02EB" w:rsidP="00A6491A">
      <w:pPr>
        <w:spacing w:before="0" w:after="0"/>
        <w:ind w:left="284"/>
      </w:pPr>
    </w:p>
    <w:p w14:paraId="2365D69C" w14:textId="77777777" w:rsidR="00226777" w:rsidRPr="00C776B1" w:rsidRDefault="00530204" w:rsidP="0056015F">
      <w:pPr>
        <w:pStyle w:val="Heading1"/>
      </w:pPr>
      <w:r>
        <w:t>PART 3</w:t>
      </w:r>
      <w:r w:rsidR="00F93784">
        <w:t xml:space="preserve"> – </w:t>
      </w:r>
      <w:r w:rsidR="00226777" w:rsidRPr="00C776B1">
        <w:t>INFORMATION ABOUT REGULATORY REQUIREMENTS</w:t>
      </w:r>
    </w:p>
    <w:p w14:paraId="14E6D1C7"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17833D29" w14:textId="410AD0B8" w:rsidR="000B5A61" w:rsidRPr="00704344" w:rsidRDefault="000B5A61" w:rsidP="003D0F62">
      <w:pPr>
        <w:pStyle w:val="ListParagraph"/>
        <w:numPr>
          <w:ilvl w:val="0"/>
          <w:numId w:val="15"/>
        </w:numPr>
        <w:spacing w:before="0" w:after="0"/>
        <w:rPr>
          <w:rFonts w:eastAsia="Times New Roman"/>
          <w:color w:val="365F91" w:themeColor="accent1" w:themeShade="BF"/>
          <w:lang w:val="en-US"/>
        </w:rPr>
      </w:pPr>
      <w:r w:rsidRPr="00704344">
        <w:rPr>
          <w:rFonts w:eastAsia="Times New Roman"/>
          <w:color w:val="365F91" w:themeColor="accent1" w:themeShade="BF"/>
          <w:lang w:val="en-US"/>
        </w:rPr>
        <w:t>ARTG ID 333162 - Boston Scientific Pty Ltd - Superion Indirect Decompression Instrument Kit - Lumbar interspinous</w:t>
      </w:r>
      <w:r w:rsidR="00704344">
        <w:rPr>
          <w:rFonts w:eastAsia="Times New Roman"/>
          <w:color w:val="365F91" w:themeColor="accent1" w:themeShade="BF"/>
          <w:lang w:val="en-US"/>
        </w:rPr>
        <w:t xml:space="preserve"> </w:t>
      </w:r>
      <w:r w:rsidRPr="00704344">
        <w:rPr>
          <w:rFonts w:eastAsia="Times New Roman"/>
          <w:color w:val="365F91" w:themeColor="accent1" w:themeShade="BF"/>
          <w:lang w:val="en-US"/>
        </w:rPr>
        <w:t>decompression instrument set, single-use</w:t>
      </w:r>
    </w:p>
    <w:p w14:paraId="56F5FC62" w14:textId="559C5BC3" w:rsidR="00704344" w:rsidRPr="00704344" w:rsidRDefault="00704344" w:rsidP="003D0F62">
      <w:pPr>
        <w:pStyle w:val="ListParagraph"/>
        <w:numPr>
          <w:ilvl w:val="0"/>
          <w:numId w:val="15"/>
        </w:numPr>
        <w:spacing w:before="0" w:after="0"/>
        <w:rPr>
          <w:rFonts w:eastAsia="Times New Roman"/>
          <w:color w:val="365F91" w:themeColor="accent1" w:themeShade="BF"/>
          <w:lang w:val="en-US"/>
        </w:rPr>
      </w:pPr>
      <w:r>
        <w:rPr>
          <w:rFonts w:eastAsia="Times New Roman"/>
          <w:color w:val="365F91" w:themeColor="accent1" w:themeShade="BF"/>
          <w:lang w:val="en-US"/>
        </w:rPr>
        <w:t xml:space="preserve">ARTG ID </w:t>
      </w:r>
      <w:r w:rsidRPr="00704344">
        <w:rPr>
          <w:rFonts w:eastAsia="Times New Roman"/>
          <w:color w:val="365F91" w:themeColor="accent1" w:themeShade="BF"/>
          <w:lang w:val="en-US"/>
        </w:rPr>
        <w:t xml:space="preserve">334411 </w:t>
      </w:r>
      <w:r>
        <w:rPr>
          <w:rFonts w:eastAsia="Times New Roman"/>
          <w:color w:val="365F91" w:themeColor="accent1" w:themeShade="BF"/>
          <w:lang w:val="en-US"/>
        </w:rPr>
        <w:t xml:space="preserve">- </w:t>
      </w:r>
      <w:r w:rsidRPr="00704344">
        <w:rPr>
          <w:rFonts w:eastAsia="Times New Roman"/>
          <w:color w:val="365F91" w:themeColor="accent1" w:themeShade="BF"/>
          <w:lang w:val="en-US"/>
        </w:rPr>
        <w:t>Boston Scientific Pty Ltd - Lumbar interspinous decompression spacer, sterile</w:t>
      </w:r>
    </w:p>
    <w:p w14:paraId="55EEF4E0" w14:textId="77777777" w:rsidR="005E2CE3" w:rsidRPr="00154B00" w:rsidRDefault="005E2CE3" w:rsidP="003D0F62">
      <w:pPr>
        <w:pStyle w:val="Heading2"/>
        <w:numPr>
          <w:ilvl w:val="0"/>
          <w:numId w:val="6"/>
        </w:numPr>
      </w:pPr>
      <w:r>
        <w:t xml:space="preserve">Is the </w:t>
      </w:r>
      <w:r w:rsidRPr="0043654D">
        <w:t>medical</w:t>
      </w:r>
      <w:r>
        <w:t xml:space="preserve"> device classified by the TGA as either a Class III or Active Implantable Medical Device (AIMD) against the TGA regulatory scheme for devices?</w:t>
      </w:r>
    </w:p>
    <w:p w14:paraId="4B351BCD" w14:textId="4C8624AC" w:rsidR="00615F42" w:rsidRPr="00615F42" w:rsidRDefault="002C02EB" w:rsidP="00940C4B">
      <w:pPr>
        <w:spacing w:before="0" w:after="0"/>
        <w:ind w:left="36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A962EA">
        <w:rPr>
          <w:szCs w:val="20"/>
        </w:rPr>
      </w:r>
      <w:r w:rsidR="00A962EA">
        <w:rPr>
          <w:szCs w:val="20"/>
        </w:rPr>
        <w:fldChar w:fldCharType="separate"/>
      </w:r>
      <w:r>
        <w:rPr>
          <w:szCs w:val="20"/>
        </w:rPr>
        <w:fldChar w:fldCharType="end"/>
      </w:r>
      <w:r w:rsidR="00615F42" w:rsidRPr="000A5B32">
        <w:rPr>
          <w:szCs w:val="20"/>
        </w:rPr>
        <w:t xml:space="preserve"> </w:t>
      </w:r>
      <w:r w:rsidR="00615F42" w:rsidRPr="00615F42">
        <w:rPr>
          <w:szCs w:val="20"/>
        </w:rPr>
        <w:t>Class III</w:t>
      </w:r>
      <w:r w:rsidR="00D83475">
        <w:rPr>
          <w:szCs w:val="20"/>
        </w:rPr>
        <w:t xml:space="preserve"> </w:t>
      </w:r>
    </w:p>
    <w:p w14:paraId="4F786CED" w14:textId="08D18E49" w:rsidR="00615F42" w:rsidRPr="00615F42" w:rsidRDefault="002C02EB" w:rsidP="00940C4B">
      <w:pPr>
        <w:spacing w:before="0" w:after="0"/>
        <w:ind w:left="36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A962EA">
        <w:rPr>
          <w:szCs w:val="20"/>
        </w:rPr>
      </w:r>
      <w:r w:rsidR="00A962EA">
        <w:rPr>
          <w:szCs w:val="20"/>
        </w:rPr>
        <w:fldChar w:fldCharType="separate"/>
      </w:r>
      <w:r>
        <w:rPr>
          <w:szCs w:val="20"/>
        </w:rPr>
        <w:fldChar w:fldCharType="end"/>
      </w:r>
      <w:r w:rsidR="00615F42" w:rsidRPr="000A5B32">
        <w:rPr>
          <w:szCs w:val="20"/>
        </w:rPr>
        <w:t xml:space="preserve"> </w:t>
      </w:r>
      <w:r w:rsidR="00615F42" w:rsidRPr="00615F42">
        <w:rPr>
          <w:szCs w:val="20"/>
        </w:rPr>
        <w:t>AIMD</w:t>
      </w:r>
      <w:r w:rsidR="00D83475">
        <w:rPr>
          <w:szCs w:val="20"/>
        </w:rPr>
        <w:t xml:space="preserve"> </w:t>
      </w:r>
    </w:p>
    <w:p w14:paraId="59F797B0" w14:textId="6A99C65B" w:rsidR="005E2CE3" w:rsidRDefault="002C02EB" w:rsidP="00940C4B">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962EA">
        <w:rPr>
          <w:szCs w:val="20"/>
        </w:rPr>
      </w:r>
      <w:r w:rsidR="00A962EA">
        <w:rPr>
          <w:szCs w:val="20"/>
        </w:rPr>
        <w:fldChar w:fldCharType="separate"/>
      </w:r>
      <w:r>
        <w:rPr>
          <w:szCs w:val="20"/>
        </w:rPr>
        <w:fldChar w:fldCharType="end"/>
      </w:r>
      <w:r w:rsidR="00615F42" w:rsidRPr="000A5B32">
        <w:rPr>
          <w:szCs w:val="20"/>
        </w:rPr>
        <w:t xml:space="preserve"> </w:t>
      </w:r>
      <w:r w:rsidR="00615F42" w:rsidRPr="00615F42">
        <w:rPr>
          <w:szCs w:val="20"/>
        </w:rPr>
        <w:t>N/A</w:t>
      </w:r>
    </w:p>
    <w:p w14:paraId="285B6DF9" w14:textId="5696A5EC" w:rsidR="002C02EB" w:rsidRDefault="002C02EB" w:rsidP="00A6491A">
      <w:pPr>
        <w:spacing w:before="0" w:after="0"/>
        <w:ind w:left="284"/>
        <w:rPr>
          <w:szCs w:val="20"/>
        </w:rPr>
      </w:pPr>
    </w:p>
    <w:p w14:paraId="6C683EF9" w14:textId="0FE6E64D" w:rsidR="002C02EB" w:rsidRPr="002C02EB" w:rsidRDefault="002C02EB" w:rsidP="00940C4B">
      <w:pPr>
        <w:spacing w:before="0" w:after="0"/>
        <w:ind w:left="284" w:firstLine="76"/>
        <w:rPr>
          <w:rFonts w:eastAsia="Times New Roman"/>
          <w:color w:val="365F91" w:themeColor="accent1" w:themeShade="BF"/>
          <w:lang w:val="en-US"/>
        </w:rPr>
      </w:pPr>
      <w:r w:rsidRPr="002C02EB">
        <w:rPr>
          <w:rFonts w:eastAsia="Times New Roman"/>
          <w:color w:val="365F91" w:themeColor="accent1" w:themeShade="BF"/>
          <w:lang w:val="en-US"/>
        </w:rPr>
        <w:t xml:space="preserve">The </w:t>
      </w:r>
      <w:proofErr w:type="spellStart"/>
      <w:r w:rsidRPr="002C02EB">
        <w:rPr>
          <w:rFonts w:eastAsia="Times New Roman"/>
          <w:color w:val="365F91" w:themeColor="accent1" w:themeShade="BF"/>
          <w:lang w:val="en-US"/>
        </w:rPr>
        <w:t>Superion</w:t>
      </w:r>
      <w:proofErr w:type="spellEnd"/>
      <w:r>
        <w:rPr>
          <w:rFonts w:eastAsia="Times New Roman"/>
          <w:color w:val="365F91" w:themeColor="accent1" w:themeShade="BF"/>
          <w:lang w:val="en-US"/>
        </w:rPr>
        <w:t xml:space="preserve"> IDS</w:t>
      </w:r>
      <w:r w:rsidRPr="002C02EB">
        <w:rPr>
          <w:rFonts w:eastAsia="Times New Roman"/>
          <w:color w:val="365F91" w:themeColor="accent1" w:themeShade="BF"/>
          <w:lang w:val="en-US"/>
        </w:rPr>
        <w:t xml:space="preserve"> System is Class IIb</w:t>
      </w:r>
    </w:p>
    <w:p w14:paraId="0A8321BE"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63B23197" w14:textId="77777777" w:rsidR="00615F42" w:rsidRDefault="00615F42" w:rsidP="00940C4B">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62EA">
        <w:rPr>
          <w:szCs w:val="20"/>
        </w:rPr>
      </w:r>
      <w:r w:rsidR="00A962EA">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46255734" w14:textId="38D7197C" w:rsidR="003421AE" w:rsidRPr="00615F42" w:rsidRDefault="00D83475" w:rsidP="00940C4B">
      <w:pPr>
        <w:spacing w:before="0" w:after="0"/>
        <w:ind w:left="426"/>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962EA">
        <w:rPr>
          <w:szCs w:val="20"/>
        </w:rPr>
      </w:r>
      <w:r w:rsidR="00A962EA">
        <w:rPr>
          <w:szCs w:val="20"/>
        </w:rPr>
        <w:fldChar w:fldCharType="separate"/>
      </w:r>
      <w:r>
        <w:rPr>
          <w:szCs w:val="20"/>
        </w:rPr>
        <w:fldChar w:fldCharType="end"/>
      </w:r>
      <w:r w:rsidR="00615F42">
        <w:rPr>
          <w:szCs w:val="20"/>
        </w:rPr>
        <w:t xml:space="preserve"> No</w:t>
      </w:r>
    </w:p>
    <w:p w14:paraId="218F4E91" w14:textId="77777777" w:rsidR="00D85676" w:rsidRDefault="00D85676" w:rsidP="003D0F62">
      <w:pPr>
        <w:pStyle w:val="Heading2"/>
        <w:numPr>
          <w:ilvl w:val="0"/>
          <w:numId w:val="7"/>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11C5E101" w14:textId="4AB534C5" w:rsidR="0043654D" w:rsidRDefault="00D83475" w:rsidP="00940C4B">
      <w:pPr>
        <w:spacing w:before="0" w:after="0"/>
        <w:ind w:left="360" w:firstLine="6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962EA">
        <w:rPr>
          <w:szCs w:val="20"/>
        </w:rPr>
      </w:r>
      <w:r w:rsidR="00A962EA">
        <w:rPr>
          <w:szCs w:val="20"/>
        </w:rPr>
        <w:fldChar w:fldCharType="separate"/>
      </w:r>
      <w:r>
        <w:rPr>
          <w:szCs w:val="20"/>
        </w:rPr>
        <w:fldChar w:fldCharType="end"/>
      </w:r>
      <w:r w:rsidR="0043654D">
        <w:rPr>
          <w:szCs w:val="20"/>
        </w:rPr>
        <w:t xml:space="preserve"> Yes (if yes, please provide details below)</w:t>
      </w:r>
    </w:p>
    <w:p w14:paraId="6F558C0C" w14:textId="77777777" w:rsidR="0043654D" w:rsidRDefault="0043654D" w:rsidP="00940C4B">
      <w:pPr>
        <w:spacing w:before="0" w:after="0"/>
        <w:ind w:left="360" w:firstLine="6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62EA">
        <w:rPr>
          <w:szCs w:val="20"/>
        </w:rPr>
      </w:r>
      <w:r w:rsidR="00A962EA">
        <w:rPr>
          <w:szCs w:val="20"/>
        </w:rPr>
        <w:fldChar w:fldCharType="separate"/>
      </w:r>
      <w:r w:rsidRPr="000A5B32">
        <w:rPr>
          <w:szCs w:val="20"/>
        </w:rPr>
        <w:fldChar w:fldCharType="end"/>
      </w:r>
      <w:r>
        <w:rPr>
          <w:szCs w:val="20"/>
        </w:rPr>
        <w:t xml:space="preserve"> No</w:t>
      </w:r>
    </w:p>
    <w:p w14:paraId="3FEA9A67" w14:textId="36983838" w:rsidR="0043654D" w:rsidRDefault="0043654D" w:rsidP="0043654D">
      <w:pPr>
        <w:spacing w:before="0" w:after="0"/>
        <w:ind w:left="284"/>
        <w:rPr>
          <w:b/>
          <w:szCs w:val="20"/>
        </w:rPr>
      </w:pPr>
    </w:p>
    <w:tbl>
      <w:tblPr>
        <w:tblStyle w:val="TableGrid"/>
        <w:tblW w:w="0" w:type="auto"/>
        <w:tblInd w:w="284" w:type="dxa"/>
        <w:tblLook w:val="04A0" w:firstRow="1" w:lastRow="0" w:firstColumn="1" w:lastColumn="0" w:noHBand="0" w:noVBand="1"/>
        <w:tblCaption w:val="Table"/>
        <w:tblDescription w:val="Table"/>
      </w:tblPr>
      <w:tblGrid>
        <w:gridCol w:w="3113"/>
        <w:gridCol w:w="5529"/>
      </w:tblGrid>
      <w:tr w:rsidR="00D83475" w14:paraId="66AD8225" w14:textId="77777777" w:rsidTr="000878C7">
        <w:trPr>
          <w:tblHeader/>
        </w:trPr>
        <w:tc>
          <w:tcPr>
            <w:tcW w:w="3113" w:type="dxa"/>
          </w:tcPr>
          <w:p w14:paraId="1194F6F5" w14:textId="47873BBB" w:rsidR="00D83475" w:rsidRPr="008B23B4" w:rsidRDefault="00D83475" w:rsidP="00D83475">
            <w:pPr>
              <w:spacing w:before="0" w:after="0"/>
              <w:rPr>
                <w:rFonts w:eastAsia="Times New Roman"/>
                <w:b/>
                <w:bCs/>
                <w:color w:val="365F91" w:themeColor="accent1" w:themeShade="BF"/>
                <w:lang w:val="en-US"/>
              </w:rPr>
            </w:pPr>
            <w:r w:rsidRPr="008B23B4">
              <w:rPr>
                <w:rFonts w:eastAsia="Times New Roman"/>
                <w:b/>
                <w:bCs/>
                <w:color w:val="365F91" w:themeColor="accent1" w:themeShade="BF"/>
                <w:lang w:val="en-US"/>
              </w:rPr>
              <w:t>ARTG</w:t>
            </w:r>
          </w:p>
        </w:tc>
        <w:tc>
          <w:tcPr>
            <w:tcW w:w="5529" w:type="dxa"/>
          </w:tcPr>
          <w:p w14:paraId="222E5632" w14:textId="66A06019" w:rsidR="00D83475" w:rsidRPr="008B23B4" w:rsidRDefault="00D83475" w:rsidP="0043654D">
            <w:pPr>
              <w:spacing w:before="0" w:after="0"/>
              <w:rPr>
                <w:b/>
                <w:color w:val="365F91" w:themeColor="accent1" w:themeShade="BF"/>
                <w:szCs w:val="20"/>
              </w:rPr>
            </w:pPr>
            <w:r w:rsidRPr="008B23B4">
              <w:rPr>
                <w:b/>
                <w:color w:val="365F91" w:themeColor="accent1" w:themeShade="BF"/>
                <w:szCs w:val="20"/>
              </w:rPr>
              <w:t>TGA indication/purpose</w:t>
            </w:r>
          </w:p>
        </w:tc>
      </w:tr>
      <w:tr w:rsidR="00704344" w14:paraId="2EC9F7EC" w14:textId="77777777" w:rsidTr="00704344">
        <w:tc>
          <w:tcPr>
            <w:tcW w:w="3113" w:type="dxa"/>
          </w:tcPr>
          <w:p w14:paraId="326C6424" w14:textId="12C83AC0" w:rsidR="00704344" w:rsidRPr="008B23B4" w:rsidRDefault="00704344" w:rsidP="00704344">
            <w:pPr>
              <w:spacing w:before="0" w:after="0"/>
              <w:rPr>
                <w:rFonts w:eastAsia="Times New Roman"/>
                <w:color w:val="365F91" w:themeColor="accent1" w:themeShade="BF"/>
                <w:lang w:val="en-US"/>
              </w:rPr>
            </w:pPr>
            <w:r w:rsidRPr="00D00299">
              <w:rPr>
                <w:rFonts w:eastAsia="Times New Roman"/>
                <w:color w:val="365F91" w:themeColor="accent1" w:themeShade="BF"/>
                <w:lang w:val="en-US"/>
              </w:rPr>
              <w:t>ARTG ID 333162 - Boston Scientific Pty Ltd - Superion Indirect Decompression Instrument Kit - Lumbar interspinous decompression instrument set, single-use</w:t>
            </w:r>
          </w:p>
        </w:tc>
        <w:tc>
          <w:tcPr>
            <w:tcW w:w="5529" w:type="dxa"/>
          </w:tcPr>
          <w:p w14:paraId="5B4CDD13" w14:textId="7F8FD4AD" w:rsidR="00704344" w:rsidRPr="00704344" w:rsidRDefault="00704344" w:rsidP="00704344">
            <w:pPr>
              <w:spacing w:before="0" w:after="0"/>
              <w:rPr>
                <w:rFonts w:eastAsia="Times New Roman"/>
                <w:color w:val="365F91" w:themeColor="accent1" w:themeShade="BF"/>
                <w:lang w:val="en-US"/>
              </w:rPr>
            </w:pPr>
            <w:r w:rsidRPr="00704344">
              <w:rPr>
                <w:rFonts w:eastAsia="Times New Roman"/>
                <w:color w:val="365F91" w:themeColor="accent1" w:themeShade="BF"/>
                <w:lang w:val="en-US"/>
              </w:rPr>
              <w:t>The single-use manual instruments are employed to access the interspinous process space and to position the Superion implant</w:t>
            </w:r>
            <w:r>
              <w:rPr>
                <w:rFonts w:eastAsia="Times New Roman"/>
                <w:color w:val="365F91" w:themeColor="accent1" w:themeShade="BF"/>
                <w:lang w:val="en-US"/>
              </w:rPr>
              <w:t xml:space="preserve"> </w:t>
            </w:r>
          </w:p>
        </w:tc>
      </w:tr>
      <w:tr w:rsidR="00704344" w14:paraId="60BD8D3E" w14:textId="77777777" w:rsidTr="00704344">
        <w:tc>
          <w:tcPr>
            <w:tcW w:w="3113" w:type="dxa"/>
          </w:tcPr>
          <w:p w14:paraId="1538F74C" w14:textId="7CD2D752" w:rsidR="00704344" w:rsidRPr="008B23B4" w:rsidRDefault="00704344" w:rsidP="00704344">
            <w:pPr>
              <w:spacing w:before="0" w:after="0"/>
              <w:rPr>
                <w:rFonts w:eastAsia="Times New Roman"/>
                <w:color w:val="365F91" w:themeColor="accent1" w:themeShade="BF"/>
                <w:lang w:val="en-US"/>
              </w:rPr>
            </w:pPr>
            <w:r w:rsidRPr="00D00299">
              <w:rPr>
                <w:rFonts w:eastAsia="Times New Roman"/>
                <w:color w:val="365F91" w:themeColor="accent1" w:themeShade="BF"/>
                <w:lang w:val="en-US"/>
              </w:rPr>
              <w:t>ARTG ID 334411 - Boston Scientific Pty Ltd - Lumbar interspinous decompression spacer, sterile</w:t>
            </w:r>
          </w:p>
        </w:tc>
        <w:tc>
          <w:tcPr>
            <w:tcW w:w="5529" w:type="dxa"/>
          </w:tcPr>
          <w:p w14:paraId="08A29868" w14:textId="4BDEFC10" w:rsidR="00704344" w:rsidRPr="008B23B4" w:rsidRDefault="00704344" w:rsidP="00704344">
            <w:pPr>
              <w:spacing w:before="0" w:after="0"/>
              <w:rPr>
                <w:b/>
                <w:color w:val="365F91" w:themeColor="accent1" w:themeShade="BF"/>
                <w:szCs w:val="20"/>
              </w:rPr>
            </w:pPr>
            <w:r w:rsidRPr="00704344">
              <w:rPr>
                <w:rFonts w:eastAsia="Times New Roman"/>
                <w:color w:val="365F91" w:themeColor="accent1" w:themeShade="BF"/>
                <w:lang w:val="en-US"/>
              </w:rPr>
              <w:t>The intended use of the Superion Indirect Decompression System is to provide posterior stabilization of the lumbar spine, Levels L1 to L5, via a percutaneous/minimally invasive procedure.</w:t>
            </w:r>
          </w:p>
        </w:tc>
      </w:tr>
    </w:tbl>
    <w:p w14:paraId="08B18F25" w14:textId="77777777" w:rsidR="00D83475" w:rsidRPr="00615F42" w:rsidRDefault="00D83475" w:rsidP="0043654D">
      <w:pPr>
        <w:spacing w:before="0" w:after="0"/>
        <w:ind w:left="284"/>
        <w:rPr>
          <w:b/>
          <w:szCs w:val="20"/>
        </w:rPr>
      </w:pPr>
    </w:p>
    <w:p w14:paraId="34937C00" w14:textId="77777777" w:rsidR="00C0796F" w:rsidRPr="0043654D" w:rsidRDefault="00C0796F" w:rsidP="00530204">
      <w:pPr>
        <w:pStyle w:val="Heading2"/>
      </w:pPr>
      <w:r w:rsidRPr="0043654D">
        <w:t xml:space="preserve">If the therapeutic good </w:t>
      </w:r>
      <w:proofErr w:type="gramStart"/>
      <w:r w:rsidRPr="0043654D">
        <w:t>has not been listed</w:t>
      </w:r>
      <w:proofErr w:type="gramEnd"/>
      <w:r w:rsidRPr="0043654D">
        <w:t>, registered or included in the ARTG, is the therapeutic good in the process of being considered for inclusion by the TGA?</w:t>
      </w:r>
    </w:p>
    <w:p w14:paraId="69179743" w14:textId="56EA513C" w:rsidR="0047581D" w:rsidRPr="00D83475" w:rsidRDefault="00D83475" w:rsidP="00940C4B">
      <w:pPr>
        <w:ind w:left="360" w:firstLine="66"/>
        <w:rPr>
          <w:color w:val="365F91" w:themeColor="accent1" w:themeShade="BF"/>
        </w:rPr>
      </w:pPr>
      <w:r w:rsidRPr="00E24155">
        <w:rPr>
          <w:color w:val="365F91" w:themeColor="accent1" w:themeShade="BF"/>
        </w:rPr>
        <w:t>Not applicable</w:t>
      </w:r>
    </w:p>
    <w:p w14:paraId="618740F6" w14:textId="77777777" w:rsidR="00C0796F" w:rsidRPr="000A110D" w:rsidRDefault="000A110D" w:rsidP="00530204">
      <w:pPr>
        <w:pStyle w:val="Heading2"/>
      </w:pPr>
      <w:r>
        <w:t>I</w:t>
      </w:r>
      <w:r w:rsidR="00C0796F" w:rsidRPr="000A110D">
        <w:t xml:space="preserve">f the therapeutic good </w:t>
      </w:r>
      <w:r w:rsidR="00F83A9D" w:rsidRPr="000A110D">
        <w:t xml:space="preserve">is not in the process of </w:t>
      </w:r>
      <w:proofErr w:type="gramStart"/>
      <w:r w:rsidR="00F83A9D" w:rsidRPr="000A110D">
        <w:t>being considered</w:t>
      </w:r>
      <w:proofErr w:type="gramEnd"/>
      <w:r w:rsidR="00F83A9D" w:rsidRPr="000A110D">
        <w:t xml:space="preserve">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34811DF1" w14:textId="04A1E0CF" w:rsidR="00F83A9D" w:rsidRPr="00154B00" w:rsidRDefault="00D83475" w:rsidP="00940C4B">
      <w:pPr>
        <w:ind w:left="360" w:firstLine="66"/>
        <w:rPr>
          <w:szCs w:val="20"/>
        </w:rPr>
      </w:pPr>
      <w:r w:rsidRPr="00E24155">
        <w:rPr>
          <w:color w:val="365F91" w:themeColor="accent1" w:themeShade="BF"/>
        </w:rPr>
        <w:t>Not applicable</w:t>
      </w:r>
    </w:p>
    <w:p w14:paraId="58666411" w14:textId="77777777" w:rsidR="00DD308E" w:rsidRDefault="00DD308E">
      <w:pPr>
        <w:rPr>
          <w:b/>
          <w:sz w:val="32"/>
          <w:szCs w:val="32"/>
        </w:rPr>
        <w:sectPr w:rsidR="00DD308E" w:rsidSect="00991E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p>
    <w:p w14:paraId="6B19BEE2"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55BCD4B8" w14:textId="4A6D80F1" w:rsidR="00DD308E"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p w14:paraId="65F867A7" w14:textId="28C02182" w:rsidR="00CC5DCA" w:rsidRPr="00CC5DCA" w:rsidRDefault="00CC5DCA" w:rsidP="00CC5DCA">
      <w:pPr>
        <w:ind w:left="360"/>
        <w:rPr>
          <w:color w:val="365F91" w:themeColor="accent1" w:themeShade="BF"/>
        </w:rPr>
      </w:pPr>
      <w:r w:rsidRPr="00CC5DCA">
        <w:rPr>
          <w:color w:val="365F91" w:themeColor="accent1" w:themeShade="BF"/>
        </w:rPr>
        <w:t xml:space="preserve">The </w:t>
      </w:r>
      <w:r>
        <w:rPr>
          <w:color w:val="365F91" w:themeColor="accent1" w:themeShade="BF"/>
        </w:rPr>
        <w:t xml:space="preserve">evidence base for </w:t>
      </w:r>
      <w:r w:rsidR="00A40A38">
        <w:rPr>
          <w:color w:val="365F91" w:themeColor="accent1" w:themeShade="BF"/>
        </w:rPr>
        <w:t>IDS</w:t>
      </w:r>
      <w:r w:rsidR="00234779">
        <w:rPr>
          <w:color w:val="365F91" w:themeColor="accent1" w:themeShade="BF"/>
        </w:rPr>
        <w:t xml:space="preserve">s is expected to consist of </w:t>
      </w:r>
      <w:r w:rsidR="00F31D60">
        <w:rPr>
          <w:color w:val="365F91" w:themeColor="accent1" w:themeShade="BF"/>
        </w:rPr>
        <w:t>randomised controlled trials (</w:t>
      </w:r>
      <w:r w:rsidR="00234779">
        <w:rPr>
          <w:color w:val="365F91" w:themeColor="accent1" w:themeShade="BF"/>
        </w:rPr>
        <w:t>RCTs</w:t>
      </w:r>
      <w:r w:rsidR="00F31D60">
        <w:rPr>
          <w:color w:val="365F91" w:themeColor="accent1" w:themeShade="BF"/>
        </w:rPr>
        <w:t>)</w:t>
      </w:r>
      <w:r w:rsidR="00234779">
        <w:rPr>
          <w:color w:val="365F91" w:themeColor="accent1" w:themeShade="BF"/>
        </w:rPr>
        <w:t xml:space="preserve"> in patients with LSS, with decompression or fusion and decompression as the main comparators. Evidence for long term efficacy outcomes is likely to be derived from an RCT of Superion compared to the X-Stop device, which has up to five years of efficacy data available. </w:t>
      </w:r>
    </w:p>
    <w:p w14:paraId="13969AE6" w14:textId="6A76AF9B" w:rsidR="001C7E1B" w:rsidRPr="001C7E1B" w:rsidRDefault="001C7E1B" w:rsidP="001C7E1B">
      <w:pPr>
        <w:rPr>
          <w:color w:val="365F91" w:themeColor="accent1" w:themeShade="BF"/>
        </w:rPr>
      </w:pPr>
    </w:p>
    <w:tbl>
      <w:tblPr>
        <w:tblStyle w:val="TableGrid"/>
        <w:tblW w:w="5285" w:type="pct"/>
        <w:tblInd w:w="-289" w:type="dxa"/>
        <w:tblLayout w:type="fixed"/>
        <w:tblLook w:val="04A0" w:firstRow="1" w:lastRow="0" w:firstColumn="1" w:lastColumn="0" w:noHBand="0" w:noVBand="1"/>
        <w:tblCaption w:val="Summary of Evidence - Published"/>
      </w:tblPr>
      <w:tblGrid>
        <w:gridCol w:w="426"/>
        <w:gridCol w:w="1985"/>
        <w:gridCol w:w="3970"/>
        <w:gridCol w:w="4110"/>
        <w:gridCol w:w="2695"/>
        <w:gridCol w:w="1557"/>
      </w:tblGrid>
      <w:tr w:rsidR="00DD308E" w14:paraId="503B39F4" w14:textId="77777777" w:rsidTr="00940C4B">
        <w:trPr>
          <w:cantSplit/>
          <w:tblHeader/>
        </w:trPr>
        <w:tc>
          <w:tcPr>
            <w:tcW w:w="144" w:type="pct"/>
          </w:tcPr>
          <w:p w14:paraId="483970FB" w14:textId="77777777" w:rsidR="00DD308E" w:rsidRDefault="00DD308E" w:rsidP="00855944">
            <w:pPr>
              <w:pStyle w:val="TableHEADER"/>
            </w:pPr>
          </w:p>
        </w:tc>
        <w:tc>
          <w:tcPr>
            <w:tcW w:w="673" w:type="pct"/>
          </w:tcPr>
          <w:p w14:paraId="5EB03ABA" w14:textId="77777777" w:rsidR="00DD308E" w:rsidRDefault="00DD308E" w:rsidP="00855944">
            <w:pPr>
              <w:pStyle w:val="TableHEADER"/>
            </w:pPr>
            <w:r>
              <w:t>Type of study design*</w:t>
            </w:r>
          </w:p>
        </w:tc>
        <w:tc>
          <w:tcPr>
            <w:tcW w:w="1346" w:type="pct"/>
          </w:tcPr>
          <w:p w14:paraId="29C9E0D7" w14:textId="77777777" w:rsidR="00DD308E" w:rsidRDefault="00DD308E" w:rsidP="00855944">
            <w:pPr>
              <w:pStyle w:val="TableHEADER"/>
            </w:pPr>
            <w:r>
              <w:t>Title of journal article  or research project (including any trial identifier or study lead if relevant)</w:t>
            </w:r>
          </w:p>
        </w:tc>
        <w:tc>
          <w:tcPr>
            <w:tcW w:w="1394" w:type="pct"/>
          </w:tcPr>
          <w:p w14:paraId="40C367D4" w14:textId="77777777" w:rsidR="00DD308E" w:rsidRDefault="00DD308E" w:rsidP="00855944">
            <w:pPr>
              <w:pStyle w:val="TableHEADER"/>
            </w:pPr>
            <w:r>
              <w:t>Short description of research  (max 50 words)**</w:t>
            </w:r>
          </w:p>
        </w:tc>
        <w:tc>
          <w:tcPr>
            <w:tcW w:w="914" w:type="pct"/>
          </w:tcPr>
          <w:p w14:paraId="2373140C" w14:textId="77777777" w:rsidR="00DD308E" w:rsidRDefault="00DD308E" w:rsidP="00855944">
            <w:pPr>
              <w:pStyle w:val="TableHEADER"/>
            </w:pPr>
            <w:r w:rsidRPr="00E82F54">
              <w:t xml:space="preserve">Website link to </w:t>
            </w:r>
            <w:r>
              <w:t>journal article or research (if available)</w:t>
            </w:r>
          </w:p>
        </w:tc>
        <w:tc>
          <w:tcPr>
            <w:tcW w:w="528" w:type="pct"/>
          </w:tcPr>
          <w:p w14:paraId="10D4D6A5" w14:textId="77777777" w:rsidR="00DD308E" w:rsidRDefault="00DD308E" w:rsidP="00855944">
            <w:pPr>
              <w:pStyle w:val="TableHEADER"/>
            </w:pPr>
            <w:r w:rsidRPr="00E82F54">
              <w:t>Date</w:t>
            </w:r>
            <w:r>
              <w:t xml:space="preserve"> of publication</w:t>
            </w:r>
            <w:r w:rsidRPr="00E82F54">
              <w:t>*</w:t>
            </w:r>
            <w:r>
              <w:t>**</w:t>
            </w:r>
          </w:p>
        </w:tc>
      </w:tr>
      <w:tr w:rsidR="00DD308E" w14:paraId="59D83728" w14:textId="77777777" w:rsidTr="00940C4B">
        <w:trPr>
          <w:cantSplit/>
        </w:trPr>
        <w:tc>
          <w:tcPr>
            <w:tcW w:w="144" w:type="pct"/>
          </w:tcPr>
          <w:p w14:paraId="0B2B2075" w14:textId="77777777" w:rsidR="00DD308E" w:rsidRPr="00B45823" w:rsidRDefault="00DD308E" w:rsidP="00DD308E">
            <w:pPr>
              <w:rPr>
                <w:szCs w:val="20"/>
              </w:rPr>
            </w:pPr>
            <w:r w:rsidRPr="00B45823">
              <w:rPr>
                <w:szCs w:val="20"/>
              </w:rPr>
              <w:t>1.</w:t>
            </w:r>
          </w:p>
        </w:tc>
        <w:tc>
          <w:tcPr>
            <w:tcW w:w="673" w:type="pct"/>
          </w:tcPr>
          <w:p w14:paraId="1088E1AD" w14:textId="1B13B974" w:rsidR="00DD308E" w:rsidRPr="00B45823" w:rsidRDefault="00B45823" w:rsidP="00DD308E">
            <w:pPr>
              <w:rPr>
                <w:szCs w:val="20"/>
              </w:rPr>
            </w:pPr>
            <w:proofErr w:type="spellStart"/>
            <w:r w:rsidRPr="00B45823">
              <w:rPr>
                <w:szCs w:val="20"/>
              </w:rPr>
              <w:t>Moojen</w:t>
            </w:r>
            <w:proofErr w:type="spellEnd"/>
            <w:r w:rsidRPr="00B45823">
              <w:rPr>
                <w:szCs w:val="20"/>
              </w:rPr>
              <w:t>, 201</w:t>
            </w:r>
            <w:r>
              <w:rPr>
                <w:szCs w:val="20"/>
              </w:rPr>
              <w:t>5</w:t>
            </w:r>
          </w:p>
        </w:tc>
        <w:tc>
          <w:tcPr>
            <w:tcW w:w="1346" w:type="pct"/>
          </w:tcPr>
          <w:p w14:paraId="6E467406" w14:textId="1A33FA31" w:rsidR="00D83475" w:rsidRPr="00B45823" w:rsidRDefault="00B45823" w:rsidP="00B45823">
            <w:pPr>
              <w:rPr>
                <w:szCs w:val="20"/>
              </w:rPr>
            </w:pPr>
            <w:proofErr w:type="spellStart"/>
            <w:r w:rsidRPr="00B45823">
              <w:rPr>
                <w:szCs w:val="20"/>
              </w:rPr>
              <w:t>Moojen</w:t>
            </w:r>
            <w:proofErr w:type="spellEnd"/>
            <w:r w:rsidRPr="00B45823">
              <w:rPr>
                <w:szCs w:val="20"/>
              </w:rPr>
              <w:t xml:space="preserve"> WA, Arts MP, Jacobs WC, et al. </w:t>
            </w:r>
            <w:r w:rsidR="00A40A38">
              <w:rPr>
                <w:szCs w:val="20"/>
              </w:rPr>
              <w:t>IDS</w:t>
            </w:r>
            <w:r w:rsidRPr="00B45823">
              <w:rPr>
                <w:szCs w:val="20"/>
              </w:rPr>
              <w:t xml:space="preserve"> without</w:t>
            </w:r>
            <w:r>
              <w:rPr>
                <w:szCs w:val="20"/>
              </w:rPr>
              <w:t xml:space="preserve"> </w:t>
            </w:r>
            <w:r w:rsidRPr="00B45823">
              <w:rPr>
                <w:szCs w:val="20"/>
              </w:rPr>
              <w:t>bony decompression versus conventional surgical</w:t>
            </w:r>
            <w:r>
              <w:rPr>
                <w:szCs w:val="20"/>
              </w:rPr>
              <w:t xml:space="preserve"> </w:t>
            </w:r>
            <w:r w:rsidRPr="00B45823">
              <w:rPr>
                <w:szCs w:val="20"/>
              </w:rPr>
              <w:t>decompression for lumbar spinal stenosis: 2-year</w:t>
            </w:r>
            <w:r>
              <w:rPr>
                <w:szCs w:val="20"/>
              </w:rPr>
              <w:t xml:space="preserve"> </w:t>
            </w:r>
            <w:r w:rsidRPr="00B45823">
              <w:rPr>
                <w:szCs w:val="20"/>
              </w:rPr>
              <w:t>results of a double-blind randomized controlled trial.</w:t>
            </w:r>
            <w:r>
              <w:rPr>
                <w:szCs w:val="20"/>
              </w:rPr>
              <w:t xml:space="preserve"> </w:t>
            </w:r>
            <w:r w:rsidRPr="00B45823">
              <w:rPr>
                <w:szCs w:val="20"/>
              </w:rPr>
              <w:t>Eur Spine J 2015;</w:t>
            </w:r>
            <w:r>
              <w:rPr>
                <w:szCs w:val="20"/>
              </w:rPr>
              <w:t xml:space="preserve"> </w:t>
            </w:r>
            <w:r w:rsidRPr="00B45823">
              <w:rPr>
                <w:szCs w:val="20"/>
              </w:rPr>
              <w:t>24:2295-305.</w:t>
            </w:r>
          </w:p>
        </w:tc>
        <w:tc>
          <w:tcPr>
            <w:tcW w:w="1394" w:type="pct"/>
          </w:tcPr>
          <w:p w14:paraId="1E29E35F" w14:textId="651D6A8C" w:rsidR="00D83475" w:rsidRDefault="00486426" w:rsidP="00D83475">
            <w:pPr>
              <w:rPr>
                <w:szCs w:val="20"/>
              </w:rPr>
            </w:pPr>
            <w:r>
              <w:rPr>
                <w:szCs w:val="20"/>
              </w:rPr>
              <w:t xml:space="preserve">RCT of spinal bony decompression and an un-named </w:t>
            </w:r>
            <w:r w:rsidR="00A40A38">
              <w:rPr>
                <w:szCs w:val="20"/>
              </w:rPr>
              <w:t>IDS</w:t>
            </w:r>
            <w:r>
              <w:rPr>
                <w:szCs w:val="20"/>
              </w:rPr>
              <w:t xml:space="preserve"> in patients </w:t>
            </w:r>
            <w:r w:rsidR="00A47A27">
              <w:rPr>
                <w:szCs w:val="20"/>
              </w:rPr>
              <w:t xml:space="preserve">with NIC from LSS after failed conservative treatment. </w:t>
            </w:r>
          </w:p>
          <w:p w14:paraId="1FDE03A4" w14:textId="1FDB1722" w:rsidR="00486426" w:rsidRPr="00B45823" w:rsidRDefault="00486426" w:rsidP="00D83475">
            <w:pPr>
              <w:rPr>
                <w:szCs w:val="20"/>
              </w:rPr>
            </w:pPr>
            <w:r>
              <w:rPr>
                <w:szCs w:val="20"/>
              </w:rPr>
              <w:t>N=159</w:t>
            </w:r>
          </w:p>
        </w:tc>
        <w:tc>
          <w:tcPr>
            <w:tcW w:w="914" w:type="pct"/>
          </w:tcPr>
          <w:p w14:paraId="233E6EFD" w14:textId="2C722EA9" w:rsidR="00C335E2" w:rsidRPr="00B45823" w:rsidRDefault="00A47A27" w:rsidP="00DD308E">
            <w:pPr>
              <w:rPr>
                <w:szCs w:val="20"/>
              </w:rPr>
            </w:pPr>
            <w:r w:rsidRPr="00A47A27">
              <w:rPr>
                <w:szCs w:val="20"/>
              </w:rPr>
              <w:t>https://link.springer.com/article/10.1007%2Fs00586-014-3748-2</w:t>
            </w:r>
          </w:p>
        </w:tc>
        <w:tc>
          <w:tcPr>
            <w:tcW w:w="528" w:type="pct"/>
          </w:tcPr>
          <w:p w14:paraId="2D34B388" w14:textId="38C57249" w:rsidR="00DD308E" w:rsidRPr="00B45823" w:rsidRDefault="00B45823" w:rsidP="00DD308E">
            <w:pPr>
              <w:rPr>
                <w:szCs w:val="20"/>
              </w:rPr>
            </w:pPr>
            <w:r>
              <w:rPr>
                <w:szCs w:val="20"/>
              </w:rPr>
              <w:t>2015</w:t>
            </w:r>
          </w:p>
        </w:tc>
      </w:tr>
      <w:tr w:rsidR="009A769C" w14:paraId="6331D218" w14:textId="77777777" w:rsidTr="00940C4B">
        <w:trPr>
          <w:cantSplit/>
        </w:trPr>
        <w:tc>
          <w:tcPr>
            <w:tcW w:w="144" w:type="pct"/>
          </w:tcPr>
          <w:p w14:paraId="50A9FA1E" w14:textId="29DB0282" w:rsidR="009A769C" w:rsidRPr="00B45823" w:rsidRDefault="009A769C" w:rsidP="00DD308E">
            <w:pPr>
              <w:rPr>
                <w:szCs w:val="20"/>
              </w:rPr>
            </w:pPr>
            <w:r w:rsidRPr="00B45823">
              <w:rPr>
                <w:szCs w:val="20"/>
              </w:rPr>
              <w:t>2.</w:t>
            </w:r>
          </w:p>
        </w:tc>
        <w:tc>
          <w:tcPr>
            <w:tcW w:w="673" w:type="pct"/>
          </w:tcPr>
          <w:p w14:paraId="23ED2771" w14:textId="58CCA470" w:rsidR="009A769C" w:rsidRPr="00B45823" w:rsidRDefault="00B45823" w:rsidP="00DD308E">
            <w:pPr>
              <w:rPr>
                <w:szCs w:val="20"/>
              </w:rPr>
            </w:pPr>
            <w:proofErr w:type="spellStart"/>
            <w:r w:rsidRPr="00B45823">
              <w:rPr>
                <w:szCs w:val="20"/>
              </w:rPr>
              <w:t>Stromqvist</w:t>
            </w:r>
            <w:proofErr w:type="spellEnd"/>
            <w:r w:rsidRPr="00B45823">
              <w:rPr>
                <w:szCs w:val="20"/>
              </w:rPr>
              <w:t>, 2013</w:t>
            </w:r>
          </w:p>
        </w:tc>
        <w:tc>
          <w:tcPr>
            <w:tcW w:w="1346" w:type="pct"/>
          </w:tcPr>
          <w:p w14:paraId="5C0EEC05" w14:textId="28667F71" w:rsidR="009A769C" w:rsidRPr="00B45823" w:rsidRDefault="00B45823" w:rsidP="00B45823">
            <w:pPr>
              <w:rPr>
                <w:szCs w:val="20"/>
              </w:rPr>
            </w:pPr>
            <w:proofErr w:type="spellStart"/>
            <w:r w:rsidRPr="00B45823">
              <w:rPr>
                <w:szCs w:val="20"/>
              </w:rPr>
              <w:t>Stromqvist</w:t>
            </w:r>
            <w:proofErr w:type="spellEnd"/>
            <w:r w:rsidRPr="00B45823">
              <w:rPr>
                <w:szCs w:val="20"/>
              </w:rPr>
              <w:t xml:space="preserve"> BH, Berg S, </w:t>
            </w:r>
            <w:proofErr w:type="spellStart"/>
            <w:r w:rsidRPr="00B45823">
              <w:rPr>
                <w:szCs w:val="20"/>
              </w:rPr>
              <w:t>Gerdhem</w:t>
            </w:r>
            <w:proofErr w:type="spellEnd"/>
            <w:r w:rsidRPr="00B45823">
              <w:rPr>
                <w:szCs w:val="20"/>
              </w:rPr>
              <w:t xml:space="preserve"> P et al (2013) X-stop</w:t>
            </w:r>
            <w:r>
              <w:rPr>
                <w:szCs w:val="20"/>
              </w:rPr>
              <w:t xml:space="preserve"> </w:t>
            </w:r>
            <w:r w:rsidRPr="00B45823">
              <w:rPr>
                <w:szCs w:val="20"/>
              </w:rPr>
              <w:t>versus decompressive surgery for lumbar neurogenic intermittent</w:t>
            </w:r>
            <w:r>
              <w:rPr>
                <w:szCs w:val="20"/>
              </w:rPr>
              <w:t xml:space="preserve"> </w:t>
            </w:r>
            <w:r w:rsidRPr="00B45823">
              <w:rPr>
                <w:szCs w:val="20"/>
              </w:rPr>
              <w:t>claudication: randomized controlled trial with 2-year</w:t>
            </w:r>
            <w:r>
              <w:rPr>
                <w:szCs w:val="20"/>
              </w:rPr>
              <w:t xml:space="preserve"> </w:t>
            </w:r>
            <w:r w:rsidRPr="00B45823">
              <w:rPr>
                <w:szCs w:val="20"/>
              </w:rPr>
              <w:t>follow-up. Spine 38:1436–1442.</w:t>
            </w:r>
          </w:p>
        </w:tc>
        <w:tc>
          <w:tcPr>
            <w:tcW w:w="1394" w:type="pct"/>
          </w:tcPr>
          <w:p w14:paraId="396336C1" w14:textId="77777777" w:rsidR="009A769C" w:rsidRDefault="00A47A27" w:rsidP="00D83475">
            <w:pPr>
              <w:rPr>
                <w:szCs w:val="20"/>
              </w:rPr>
            </w:pPr>
            <w:r>
              <w:rPr>
                <w:szCs w:val="20"/>
              </w:rPr>
              <w:t xml:space="preserve">RCT of </w:t>
            </w:r>
            <w:r w:rsidRPr="00A47A27">
              <w:rPr>
                <w:szCs w:val="20"/>
              </w:rPr>
              <w:t xml:space="preserve">indirect decompression by means of the X-Stop implant with conventional decompression in patients with </w:t>
            </w:r>
            <w:r>
              <w:rPr>
                <w:szCs w:val="20"/>
              </w:rPr>
              <w:t>NIC due to LSS.</w:t>
            </w:r>
          </w:p>
          <w:p w14:paraId="43817114" w14:textId="4A91B76D" w:rsidR="00A47A27" w:rsidRPr="00B45823" w:rsidRDefault="00A47A27" w:rsidP="00D83475">
            <w:pPr>
              <w:rPr>
                <w:szCs w:val="20"/>
              </w:rPr>
            </w:pPr>
            <w:r>
              <w:rPr>
                <w:szCs w:val="20"/>
              </w:rPr>
              <w:t>N=100</w:t>
            </w:r>
          </w:p>
        </w:tc>
        <w:tc>
          <w:tcPr>
            <w:tcW w:w="914" w:type="pct"/>
          </w:tcPr>
          <w:p w14:paraId="57DBF05E" w14:textId="530D6306" w:rsidR="009A769C" w:rsidRPr="00B45823" w:rsidRDefault="00A47A27" w:rsidP="00DD308E">
            <w:pPr>
              <w:rPr>
                <w:szCs w:val="20"/>
              </w:rPr>
            </w:pPr>
            <w:r w:rsidRPr="00A47A27">
              <w:rPr>
                <w:szCs w:val="20"/>
              </w:rPr>
              <w:t>https://pubmed.ncbi.nlm.nih.gov/23403549/</w:t>
            </w:r>
          </w:p>
        </w:tc>
        <w:tc>
          <w:tcPr>
            <w:tcW w:w="528" w:type="pct"/>
          </w:tcPr>
          <w:p w14:paraId="2BA139C4" w14:textId="5A61D606" w:rsidR="009A769C" w:rsidRPr="00B45823" w:rsidRDefault="00B45823" w:rsidP="00DD308E">
            <w:pPr>
              <w:rPr>
                <w:szCs w:val="20"/>
              </w:rPr>
            </w:pPr>
            <w:r>
              <w:rPr>
                <w:szCs w:val="20"/>
              </w:rPr>
              <w:t>2013</w:t>
            </w:r>
          </w:p>
        </w:tc>
      </w:tr>
      <w:tr w:rsidR="009A769C" w14:paraId="4750EE09" w14:textId="77777777" w:rsidTr="00940C4B">
        <w:trPr>
          <w:cantSplit/>
        </w:trPr>
        <w:tc>
          <w:tcPr>
            <w:tcW w:w="144" w:type="pct"/>
          </w:tcPr>
          <w:p w14:paraId="502724FD" w14:textId="499C41BC" w:rsidR="009A769C" w:rsidRPr="00B45823" w:rsidRDefault="009A769C" w:rsidP="00DD308E">
            <w:pPr>
              <w:rPr>
                <w:szCs w:val="20"/>
              </w:rPr>
            </w:pPr>
            <w:r w:rsidRPr="00B45823">
              <w:rPr>
                <w:szCs w:val="20"/>
              </w:rPr>
              <w:t>3.</w:t>
            </w:r>
          </w:p>
        </w:tc>
        <w:tc>
          <w:tcPr>
            <w:tcW w:w="673" w:type="pct"/>
          </w:tcPr>
          <w:p w14:paraId="08C2EEC1" w14:textId="36C96890" w:rsidR="009A769C" w:rsidRPr="00B45823" w:rsidRDefault="00B45823" w:rsidP="00DD308E">
            <w:pPr>
              <w:rPr>
                <w:szCs w:val="20"/>
              </w:rPr>
            </w:pPr>
            <w:proofErr w:type="spellStart"/>
            <w:r w:rsidRPr="00B45823">
              <w:rPr>
                <w:szCs w:val="20"/>
              </w:rPr>
              <w:t>Azzazi</w:t>
            </w:r>
            <w:proofErr w:type="spellEnd"/>
            <w:r w:rsidRPr="00B45823">
              <w:rPr>
                <w:szCs w:val="20"/>
              </w:rPr>
              <w:t>, 2010</w:t>
            </w:r>
          </w:p>
        </w:tc>
        <w:tc>
          <w:tcPr>
            <w:tcW w:w="1346" w:type="pct"/>
          </w:tcPr>
          <w:p w14:paraId="394E2AB8" w14:textId="2EF7E069" w:rsidR="009A769C" w:rsidRPr="00B45823" w:rsidRDefault="00B45823" w:rsidP="00B45823">
            <w:pPr>
              <w:rPr>
                <w:szCs w:val="20"/>
              </w:rPr>
            </w:pPr>
            <w:proofErr w:type="spellStart"/>
            <w:r w:rsidRPr="00B45823">
              <w:rPr>
                <w:szCs w:val="20"/>
              </w:rPr>
              <w:t>Azzazi</w:t>
            </w:r>
            <w:proofErr w:type="spellEnd"/>
            <w:r w:rsidRPr="00B45823">
              <w:rPr>
                <w:szCs w:val="20"/>
              </w:rPr>
              <w:t xml:space="preserve"> A, </w:t>
            </w:r>
            <w:proofErr w:type="spellStart"/>
            <w:r w:rsidRPr="00B45823">
              <w:rPr>
                <w:szCs w:val="20"/>
              </w:rPr>
              <w:t>Elhawary</w:t>
            </w:r>
            <w:proofErr w:type="spellEnd"/>
            <w:r w:rsidRPr="00B45823">
              <w:rPr>
                <w:szCs w:val="20"/>
              </w:rPr>
              <w:t xml:space="preserve"> Y (2010) Dynamic stabilization using X-stop</w:t>
            </w:r>
            <w:r>
              <w:rPr>
                <w:szCs w:val="20"/>
              </w:rPr>
              <w:t xml:space="preserve"> </w:t>
            </w:r>
            <w:r w:rsidRPr="00B45823">
              <w:rPr>
                <w:szCs w:val="20"/>
              </w:rPr>
              <w:t>versus transpedicular screw fixation in the treatment of lumbar canal</w:t>
            </w:r>
            <w:r>
              <w:rPr>
                <w:szCs w:val="20"/>
              </w:rPr>
              <w:t xml:space="preserve"> </w:t>
            </w:r>
            <w:r w:rsidRPr="00B45823">
              <w:rPr>
                <w:szCs w:val="20"/>
              </w:rPr>
              <w:t xml:space="preserve">stenosis; comparative study of the clinical outcome. </w:t>
            </w:r>
            <w:proofErr w:type="spellStart"/>
            <w:r w:rsidRPr="00B45823">
              <w:rPr>
                <w:szCs w:val="20"/>
              </w:rPr>
              <w:t>Neurosurg</w:t>
            </w:r>
            <w:proofErr w:type="spellEnd"/>
            <w:r>
              <w:rPr>
                <w:szCs w:val="20"/>
              </w:rPr>
              <w:t xml:space="preserve"> </w:t>
            </w:r>
            <w:r w:rsidRPr="00B45823">
              <w:rPr>
                <w:szCs w:val="20"/>
              </w:rPr>
              <w:t>Q 20:165–169</w:t>
            </w:r>
          </w:p>
        </w:tc>
        <w:tc>
          <w:tcPr>
            <w:tcW w:w="1394" w:type="pct"/>
          </w:tcPr>
          <w:p w14:paraId="041D7C74" w14:textId="27EA74AB" w:rsidR="009A769C" w:rsidRDefault="00F60A7F" w:rsidP="00D83475">
            <w:pPr>
              <w:rPr>
                <w:szCs w:val="20"/>
              </w:rPr>
            </w:pPr>
            <w:r>
              <w:rPr>
                <w:szCs w:val="20"/>
              </w:rPr>
              <w:t xml:space="preserve">RCT </w:t>
            </w:r>
            <w:r w:rsidR="00A47A27" w:rsidRPr="00A47A27">
              <w:rPr>
                <w:szCs w:val="20"/>
              </w:rPr>
              <w:t xml:space="preserve">to compare the clinical outcome of transpedicular screw fixation </w:t>
            </w:r>
            <w:r>
              <w:rPr>
                <w:szCs w:val="20"/>
              </w:rPr>
              <w:t xml:space="preserve">(spinal fusion) </w:t>
            </w:r>
            <w:r w:rsidR="00A47A27" w:rsidRPr="00A47A27">
              <w:rPr>
                <w:szCs w:val="20"/>
              </w:rPr>
              <w:t>and dynamic stabilization using X-stop</w:t>
            </w:r>
            <w:r>
              <w:rPr>
                <w:szCs w:val="20"/>
              </w:rPr>
              <w:t xml:space="preserve"> in patients with </w:t>
            </w:r>
            <w:r w:rsidRPr="00F60A7F">
              <w:rPr>
                <w:szCs w:val="20"/>
              </w:rPr>
              <w:t>degenerative spondylolisthesis or retrolisthesis (Grade I), lateral or central spinal stenosis.</w:t>
            </w:r>
          </w:p>
          <w:p w14:paraId="06C9AF10" w14:textId="60B4ACDE" w:rsidR="00F60A7F" w:rsidRPr="00B45823" w:rsidRDefault="00F60A7F" w:rsidP="00D83475">
            <w:pPr>
              <w:rPr>
                <w:szCs w:val="20"/>
              </w:rPr>
            </w:pPr>
            <w:r>
              <w:rPr>
                <w:szCs w:val="20"/>
              </w:rPr>
              <w:t>N=60</w:t>
            </w:r>
          </w:p>
        </w:tc>
        <w:tc>
          <w:tcPr>
            <w:tcW w:w="914" w:type="pct"/>
          </w:tcPr>
          <w:p w14:paraId="024DA09B" w14:textId="562E1E6B" w:rsidR="009A769C" w:rsidRPr="00B45823" w:rsidRDefault="00A47A27" w:rsidP="00DD308E">
            <w:pPr>
              <w:rPr>
                <w:szCs w:val="20"/>
              </w:rPr>
            </w:pPr>
            <w:r w:rsidRPr="00A47A27">
              <w:rPr>
                <w:szCs w:val="20"/>
              </w:rPr>
              <w:t>https://journals.lww.com/neurosurgery-quarterly/Abstract/2010/09000/Dynamic_Stabilization_Using_X_stop_Versus.9.aspx</w:t>
            </w:r>
          </w:p>
        </w:tc>
        <w:tc>
          <w:tcPr>
            <w:tcW w:w="528" w:type="pct"/>
          </w:tcPr>
          <w:p w14:paraId="7716F8BA" w14:textId="2BC598A4" w:rsidR="009A769C" w:rsidRPr="00B45823" w:rsidRDefault="00B45823" w:rsidP="00DD308E">
            <w:pPr>
              <w:rPr>
                <w:szCs w:val="20"/>
              </w:rPr>
            </w:pPr>
            <w:r>
              <w:rPr>
                <w:szCs w:val="20"/>
              </w:rPr>
              <w:t>2010</w:t>
            </w:r>
          </w:p>
        </w:tc>
      </w:tr>
      <w:tr w:rsidR="009A769C" w14:paraId="4D3AB793" w14:textId="77777777" w:rsidTr="00940C4B">
        <w:trPr>
          <w:cantSplit/>
        </w:trPr>
        <w:tc>
          <w:tcPr>
            <w:tcW w:w="144" w:type="pct"/>
          </w:tcPr>
          <w:p w14:paraId="44FA19EF" w14:textId="3433624A" w:rsidR="009A769C" w:rsidRPr="00B45823" w:rsidRDefault="009A769C" w:rsidP="00DD308E">
            <w:pPr>
              <w:rPr>
                <w:szCs w:val="20"/>
              </w:rPr>
            </w:pPr>
            <w:r w:rsidRPr="00B45823">
              <w:rPr>
                <w:szCs w:val="20"/>
              </w:rPr>
              <w:lastRenderedPageBreak/>
              <w:t>4.</w:t>
            </w:r>
          </w:p>
        </w:tc>
        <w:tc>
          <w:tcPr>
            <w:tcW w:w="673" w:type="pct"/>
          </w:tcPr>
          <w:p w14:paraId="49C1BF83" w14:textId="50834879" w:rsidR="009A769C" w:rsidRPr="00B45823" w:rsidRDefault="00B45823" w:rsidP="00DD308E">
            <w:pPr>
              <w:rPr>
                <w:szCs w:val="20"/>
              </w:rPr>
            </w:pPr>
            <w:proofErr w:type="spellStart"/>
            <w:r>
              <w:rPr>
                <w:szCs w:val="20"/>
              </w:rPr>
              <w:t>Lonne</w:t>
            </w:r>
            <w:proofErr w:type="spellEnd"/>
            <w:r>
              <w:rPr>
                <w:szCs w:val="20"/>
              </w:rPr>
              <w:t>, 2015</w:t>
            </w:r>
          </w:p>
        </w:tc>
        <w:tc>
          <w:tcPr>
            <w:tcW w:w="1346" w:type="pct"/>
          </w:tcPr>
          <w:p w14:paraId="28DCEEB1" w14:textId="53539FE4" w:rsidR="009A769C" w:rsidRPr="00B45823" w:rsidRDefault="00B45823" w:rsidP="00B45823">
            <w:pPr>
              <w:rPr>
                <w:szCs w:val="20"/>
              </w:rPr>
            </w:pPr>
            <w:proofErr w:type="spellStart"/>
            <w:r>
              <w:rPr>
                <w:szCs w:val="20"/>
              </w:rPr>
              <w:t>Lonne</w:t>
            </w:r>
            <w:proofErr w:type="spellEnd"/>
            <w:r>
              <w:rPr>
                <w:szCs w:val="20"/>
              </w:rPr>
              <w:t xml:space="preserve"> </w:t>
            </w:r>
            <w:r w:rsidRPr="00B45823">
              <w:rPr>
                <w:szCs w:val="20"/>
              </w:rPr>
              <w:t xml:space="preserve">G, Johnsen LG, </w:t>
            </w:r>
            <w:proofErr w:type="spellStart"/>
            <w:r w:rsidRPr="00B45823">
              <w:rPr>
                <w:szCs w:val="20"/>
              </w:rPr>
              <w:t>Rossvoll</w:t>
            </w:r>
            <w:proofErr w:type="spellEnd"/>
            <w:r w:rsidRPr="00B45823">
              <w:rPr>
                <w:szCs w:val="20"/>
              </w:rPr>
              <w:t xml:space="preserve"> I, et al. Minimally invasive</w:t>
            </w:r>
            <w:r>
              <w:rPr>
                <w:szCs w:val="20"/>
              </w:rPr>
              <w:t xml:space="preserve"> </w:t>
            </w:r>
            <w:r w:rsidRPr="00B45823">
              <w:rPr>
                <w:szCs w:val="20"/>
              </w:rPr>
              <w:t>decompression versus x-stop in lumbar spinal</w:t>
            </w:r>
            <w:r>
              <w:rPr>
                <w:szCs w:val="20"/>
              </w:rPr>
              <w:t xml:space="preserve"> </w:t>
            </w:r>
            <w:r w:rsidRPr="00B45823">
              <w:rPr>
                <w:szCs w:val="20"/>
              </w:rPr>
              <w:t xml:space="preserve">stenosis: a randomized controlled </w:t>
            </w:r>
            <w:proofErr w:type="spellStart"/>
            <w:r w:rsidRPr="00B45823">
              <w:rPr>
                <w:szCs w:val="20"/>
              </w:rPr>
              <w:t>multicenter</w:t>
            </w:r>
            <w:proofErr w:type="spellEnd"/>
            <w:r w:rsidRPr="00B45823">
              <w:rPr>
                <w:szCs w:val="20"/>
              </w:rPr>
              <w:t xml:space="preserve"> study.</w:t>
            </w:r>
            <w:r>
              <w:rPr>
                <w:szCs w:val="20"/>
              </w:rPr>
              <w:t xml:space="preserve"> </w:t>
            </w:r>
            <w:r w:rsidRPr="00B45823">
              <w:rPr>
                <w:szCs w:val="20"/>
              </w:rPr>
              <w:t>Spine (Phila Pa 1976) 2015</w:t>
            </w:r>
            <w:proofErr w:type="gramStart"/>
            <w:r w:rsidRPr="00B45823">
              <w:rPr>
                <w:szCs w:val="20"/>
              </w:rPr>
              <w:t>;40:77</w:t>
            </w:r>
            <w:proofErr w:type="gramEnd"/>
            <w:r w:rsidRPr="00B45823">
              <w:rPr>
                <w:szCs w:val="20"/>
              </w:rPr>
              <w:t>-85.</w:t>
            </w:r>
          </w:p>
        </w:tc>
        <w:tc>
          <w:tcPr>
            <w:tcW w:w="1394" w:type="pct"/>
          </w:tcPr>
          <w:p w14:paraId="3EBDB792" w14:textId="12951DCC" w:rsidR="009A769C" w:rsidRPr="00B45823" w:rsidRDefault="00F60A7F" w:rsidP="00D83475">
            <w:pPr>
              <w:rPr>
                <w:szCs w:val="20"/>
              </w:rPr>
            </w:pPr>
            <w:r>
              <w:rPr>
                <w:szCs w:val="20"/>
              </w:rPr>
              <w:t xml:space="preserve">RCT to </w:t>
            </w:r>
            <w:r w:rsidRPr="00F60A7F">
              <w:rPr>
                <w:szCs w:val="20"/>
              </w:rPr>
              <w:t xml:space="preserve">compare the effect of X-Stop with minimally invasive decompression (MID) in patients with </w:t>
            </w:r>
            <w:r>
              <w:rPr>
                <w:szCs w:val="20"/>
              </w:rPr>
              <w:t xml:space="preserve">NIC due to LSS in patients with </w:t>
            </w:r>
            <w:r w:rsidRPr="00F60A7F">
              <w:rPr>
                <w:szCs w:val="20"/>
              </w:rPr>
              <w:t xml:space="preserve">symptoms of </w:t>
            </w:r>
            <w:r>
              <w:rPr>
                <w:szCs w:val="20"/>
              </w:rPr>
              <w:t>NIC</w:t>
            </w:r>
            <w:r w:rsidRPr="00F60A7F">
              <w:rPr>
                <w:szCs w:val="20"/>
              </w:rPr>
              <w:t xml:space="preserve"> within 250-m walking distance and 1- or 2-level </w:t>
            </w:r>
            <w:r>
              <w:rPr>
                <w:szCs w:val="20"/>
              </w:rPr>
              <w:t>LSS.</w:t>
            </w:r>
          </w:p>
        </w:tc>
        <w:tc>
          <w:tcPr>
            <w:tcW w:w="914" w:type="pct"/>
          </w:tcPr>
          <w:p w14:paraId="0F382985" w14:textId="37EC32C6" w:rsidR="009A769C" w:rsidRPr="00B45823" w:rsidRDefault="00F60A7F" w:rsidP="00DD308E">
            <w:pPr>
              <w:rPr>
                <w:szCs w:val="20"/>
              </w:rPr>
            </w:pPr>
            <w:r w:rsidRPr="00F60A7F">
              <w:rPr>
                <w:szCs w:val="20"/>
              </w:rPr>
              <w:t>https://journals.lww.com/spinejournal/Abstract/2015/01150/Minimally_Invasive_Decompression_Versus_X_Stop_in.3.aspx</w:t>
            </w:r>
          </w:p>
        </w:tc>
        <w:tc>
          <w:tcPr>
            <w:tcW w:w="528" w:type="pct"/>
          </w:tcPr>
          <w:p w14:paraId="789D7FBF" w14:textId="0E74F14B" w:rsidR="009A769C" w:rsidRPr="00B45823" w:rsidRDefault="00B45823" w:rsidP="00DD308E">
            <w:pPr>
              <w:rPr>
                <w:szCs w:val="20"/>
              </w:rPr>
            </w:pPr>
            <w:r>
              <w:rPr>
                <w:szCs w:val="20"/>
              </w:rPr>
              <w:t>2015</w:t>
            </w:r>
          </w:p>
        </w:tc>
      </w:tr>
      <w:tr w:rsidR="00B45823" w14:paraId="6CBE352E" w14:textId="77777777" w:rsidTr="00940C4B">
        <w:trPr>
          <w:cantSplit/>
        </w:trPr>
        <w:tc>
          <w:tcPr>
            <w:tcW w:w="144" w:type="pct"/>
          </w:tcPr>
          <w:p w14:paraId="12F15660" w14:textId="290A19B9" w:rsidR="00B45823" w:rsidRPr="00B45823" w:rsidRDefault="00B45823" w:rsidP="00DD308E">
            <w:pPr>
              <w:rPr>
                <w:szCs w:val="20"/>
              </w:rPr>
            </w:pPr>
            <w:r>
              <w:rPr>
                <w:szCs w:val="20"/>
              </w:rPr>
              <w:t>5.</w:t>
            </w:r>
          </w:p>
        </w:tc>
        <w:tc>
          <w:tcPr>
            <w:tcW w:w="673" w:type="pct"/>
          </w:tcPr>
          <w:p w14:paraId="4F8B6549" w14:textId="5151428F" w:rsidR="00B45823" w:rsidRDefault="00F801E5" w:rsidP="00DD308E">
            <w:pPr>
              <w:rPr>
                <w:szCs w:val="20"/>
              </w:rPr>
            </w:pPr>
            <w:r w:rsidRPr="00B45823">
              <w:rPr>
                <w:szCs w:val="20"/>
              </w:rPr>
              <w:t xml:space="preserve">Patel et al. 2015a, 2015b, 2014; </w:t>
            </w:r>
            <w:r w:rsidR="00B45823" w:rsidRPr="00B45823">
              <w:rPr>
                <w:szCs w:val="20"/>
              </w:rPr>
              <w:t>Nunley et al. 2018a, 2018b, 2017a, 2017b; Miller &amp; Block 2012</w:t>
            </w:r>
          </w:p>
        </w:tc>
        <w:tc>
          <w:tcPr>
            <w:tcW w:w="1346" w:type="pct"/>
          </w:tcPr>
          <w:p w14:paraId="31B97524" w14:textId="14659BB5" w:rsidR="00B45823" w:rsidRDefault="00B45823" w:rsidP="00B45823">
            <w:pPr>
              <w:rPr>
                <w:szCs w:val="20"/>
              </w:rPr>
            </w:pPr>
            <w:r w:rsidRPr="00B45823">
              <w:rPr>
                <w:szCs w:val="20"/>
              </w:rPr>
              <w:t>ISISS Study Prospective, randomised; Superion vs. X-Stop device</w:t>
            </w:r>
          </w:p>
        </w:tc>
        <w:tc>
          <w:tcPr>
            <w:tcW w:w="1394" w:type="pct"/>
          </w:tcPr>
          <w:p w14:paraId="2B68F92B" w14:textId="38F91F16" w:rsidR="00B45823" w:rsidRPr="00B45823" w:rsidRDefault="00486426" w:rsidP="00B45823">
            <w:pPr>
              <w:rPr>
                <w:szCs w:val="20"/>
              </w:rPr>
            </w:pPr>
            <w:r>
              <w:rPr>
                <w:szCs w:val="20"/>
              </w:rPr>
              <w:t>RCT</w:t>
            </w:r>
            <w:r w:rsidR="00B45823">
              <w:rPr>
                <w:szCs w:val="20"/>
              </w:rPr>
              <w:t xml:space="preserve"> of Superion and X-Stop in s</w:t>
            </w:r>
            <w:r w:rsidR="00B45823" w:rsidRPr="00B45823">
              <w:rPr>
                <w:szCs w:val="20"/>
              </w:rPr>
              <w:t>ubjects suffering from symptoms of intermittent neurogenic claudication, secondary to a confirmed diagnosis of moderate degenerative lumbar spinal stenosis at one or two contiguous levels from L1 to L5</w:t>
            </w:r>
          </w:p>
          <w:p w14:paraId="32CFB4D4" w14:textId="752BBECF" w:rsidR="00B45823" w:rsidRPr="00B45823" w:rsidRDefault="00B45823" w:rsidP="00B45823">
            <w:pPr>
              <w:rPr>
                <w:szCs w:val="20"/>
              </w:rPr>
            </w:pPr>
            <w:r w:rsidRPr="00B45823">
              <w:rPr>
                <w:szCs w:val="20"/>
              </w:rPr>
              <w:t>n=391</w:t>
            </w:r>
          </w:p>
        </w:tc>
        <w:tc>
          <w:tcPr>
            <w:tcW w:w="914" w:type="pct"/>
          </w:tcPr>
          <w:p w14:paraId="6558FF2E" w14:textId="4D5349B4" w:rsidR="00B45823" w:rsidRPr="00B45823" w:rsidRDefault="00F801E5" w:rsidP="00DD308E">
            <w:pPr>
              <w:rPr>
                <w:szCs w:val="20"/>
              </w:rPr>
            </w:pPr>
            <w:r w:rsidRPr="00F801E5">
              <w:rPr>
                <w:szCs w:val="20"/>
              </w:rPr>
              <w:t>https://www.ncbi.nlm.nih.gov/pmc/articles/PMC4599047/</w:t>
            </w:r>
          </w:p>
        </w:tc>
        <w:tc>
          <w:tcPr>
            <w:tcW w:w="528" w:type="pct"/>
          </w:tcPr>
          <w:p w14:paraId="22428392" w14:textId="23FC9F16" w:rsidR="00B45823" w:rsidRPr="00B45823" w:rsidRDefault="00B45823" w:rsidP="00DD308E">
            <w:pPr>
              <w:rPr>
                <w:szCs w:val="20"/>
              </w:rPr>
            </w:pPr>
            <w:r>
              <w:rPr>
                <w:szCs w:val="20"/>
              </w:rPr>
              <w:t>2015</w:t>
            </w:r>
          </w:p>
        </w:tc>
      </w:tr>
    </w:tbl>
    <w:p w14:paraId="2B06DC65" w14:textId="77777777" w:rsidR="00DD308E" w:rsidRDefault="00DD308E" w:rsidP="00940C4B">
      <w:pPr>
        <w:spacing w:before="0" w:after="0"/>
        <w:ind w:left="425"/>
        <w:rPr>
          <w:i/>
          <w:szCs w:val="20"/>
        </w:rPr>
      </w:pPr>
      <w:r>
        <w:rPr>
          <w:i/>
          <w:szCs w:val="20"/>
        </w:rPr>
        <w:t xml:space="preserve">* Categorise study design, for example meta-analysis, randomised trials, non-randomised trial or observational study, study of diagnostic accuracy, etc. </w:t>
      </w:r>
    </w:p>
    <w:p w14:paraId="4141CFA8" w14:textId="77777777" w:rsidR="00DD308E" w:rsidRDefault="00DD308E" w:rsidP="00940C4B">
      <w:pPr>
        <w:spacing w:before="0" w:after="0"/>
        <w:ind w:left="425"/>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14C82604" w14:textId="77777777" w:rsidR="00DD308E" w:rsidRDefault="00DD308E" w:rsidP="00940C4B">
      <w:pPr>
        <w:spacing w:before="0" w:after="0"/>
        <w:ind w:left="425"/>
        <w:rPr>
          <w:i/>
          <w:szCs w:val="20"/>
        </w:rPr>
      </w:pPr>
      <w:r w:rsidRPr="00E82F54">
        <w:rPr>
          <w:i/>
          <w:szCs w:val="20"/>
        </w:rPr>
        <w:t>*</w:t>
      </w:r>
      <w:r>
        <w:rPr>
          <w:szCs w:val="20"/>
        </w:rPr>
        <w:t>**</w:t>
      </w:r>
      <w:r>
        <w:rPr>
          <w:i/>
          <w:szCs w:val="20"/>
        </w:rPr>
        <w:t xml:space="preserve"> If the publication is a follow-up to an initial publication, please advise.</w:t>
      </w:r>
    </w:p>
    <w:p w14:paraId="681A8F38" w14:textId="0D185EE4" w:rsidR="004C49EF" w:rsidRDefault="004C49EF" w:rsidP="00530204">
      <w:pPr>
        <w:pStyle w:val="Heading2"/>
        <w:rPr>
          <w:i/>
        </w:rPr>
      </w:pPr>
      <w:r w:rsidRPr="00E82F54">
        <w:t xml:space="preserve">Identify yet to be published research that may have results available in the near </w:t>
      </w:r>
      <w:proofErr w:type="gramStart"/>
      <w:r w:rsidRPr="00E82F54">
        <w:t>future</w:t>
      </w:r>
      <w:proofErr w:type="gramEnd"/>
      <w:r w:rsidRPr="00E82F54">
        <w:t xml:space="preserv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w:t>
      </w:r>
      <w:proofErr w:type="gramStart"/>
      <w:r w:rsidRPr="001130B0">
        <w:rPr>
          <w:i/>
        </w:rPr>
        <w:t>articles,</w:t>
      </w:r>
      <w:proofErr w:type="gramEnd"/>
      <w:r w:rsidRPr="001130B0">
        <w:rPr>
          <w:i/>
        </w:rPr>
        <w:t xml:space="preserve"> this is just intended to be a summary.</w:t>
      </w:r>
    </w:p>
    <w:p w14:paraId="7E52CC77" w14:textId="781A14F3" w:rsidR="00DD308E" w:rsidRPr="00940C4B" w:rsidRDefault="00F801E5" w:rsidP="00940C4B">
      <w:pPr>
        <w:ind w:firstLine="426"/>
        <w:rPr>
          <w:color w:val="365F91" w:themeColor="accent1" w:themeShade="BF"/>
        </w:rPr>
        <w:sectPr w:rsidR="00DD308E" w:rsidRPr="00940C4B" w:rsidSect="00DD308E">
          <w:pgSz w:w="16838" w:h="11906" w:orient="landscape"/>
          <w:pgMar w:top="1440" w:right="1440" w:bottom="1440" w:left="1440" w:header="708" w:footer="708" w:gutter="0"/>
          <w:cols w:space="708"/>
          <w:docGrid w:linePitch="360"/>
        </w:sectPr>
      </w:pPr>
      <w:r>
        <w:rPr>
          <w:color w:val="365F91" w:themeColor="accent1" w:themeShade="BF"/>
        </w:rPr>
        <w:t>Not applicable</w:t>
      </w:r>
      <w:r w:rsidR="00F301F1">
        <w:rPr>
          <w:b/>
          <w:sz w:val="32"/>
          <w:szCs w:val="32"/>
        </w:rPr>
        <w:br w:type="page"/>
      </w:r>
    </w:p>
    <w:p w14:paraId="497AF734"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0D6A570B" w14:textId="0B03C1E1" w:rsidR="00E82F54" w:rsidRPr="001C3230" w:rsidRDefault="00E82F54" w:rsidP="005C3AE7">
      <w:pPr>
        <w:pStyle w:val="Heading2"/>
      </w:pPr>
      <w:r w:rsidRPr="001C3230">
        <w:t xml:space="preserve">List </w:t>
      </w:r>
      <w:r w:rsidR="00EA173C" w:rsidRPr="001C3230">
        <w:t>all appropriate professional bodies / organisations</w:t>
      </w:r>
      <w:r w:rsidRPr="001C3230">
        <w:t xml:space="preserve"> representing the group(s) of health profess</w:t>
      </w:r>
      <w:r w:rsidR="00EA173C" w:rsidRPr="001C3230">
        <w:t xml:space="preserve">ionals who provide the service </w:t>
      </w:r>
      <w:r w:rsidR="00F93784" w:rsidRPr="001C3230">
        <w:t xml:space="preserve">(please </w:t>
      </w:r>
      <w:r w:rsidR="00EA173C" w:rsidRPr="001C3230">
        <w:t>attach</w:t>
      </w:r>
      <w:r w:rsidR="00F93784" w:rsidRPr="001C3230">
        <w:t xml:space="preserve"> a </w:t>
      </w:r>
      <w:r w:rsidR="00254813" w:rsidRPr="001C3230">
        <w:t>statement of clinical relevance from</w:t>
      </w:r>
      <w:r w:rsidR="00EA173C" w:rsidRPr="001C3230">
        <w:t xml:space="preserve"> each </w:t>
      </w:r>
      <w:r w:rsidR="00F93784" w:rsidRPr="001C3230">
        <w:t>group</w:t>
      </w:r>
      <w:r w:rsidR="00EA173C" w:rsidRPr="001C3230">
        <w:t xml:space="preserve"> nominated</w:t>
      </w:r>
      <w:r w:rsidR="00F93784" w:rsidRPr="001C3230">
        <w:t>)</w:t>
      </w:r>
      <w:r w:rsidR="00A727B6" w:rsidRPr="001C3230">
        <w:t>:</w:t>
      </w:r>
    </w:p>
    <w:p w14:paraId="2A318D29" w14:textId="737DAF3A" w:rsidR="001C3230" w:rsidRPr="00940C4B" w:rsidRDefault="001C3230" w:rsidP="001C3230">
      <w:pPr>
        <w:ind w:left="426"/>
        <w:rPr>
          <w:color w:val="365F91" w:themeColor="accent1" w:themeShade="BF"/>
        </w:rPr>
      </w:pPr>
      <w:r w:rsidRPr="00940C4B">
        <w:rPr>
          <w:color w:val="365F91" w:themeColor="accent1" w:themeShade="BF"/>
        </w:rPr>
        <w:t xml:space="preserve">Boston Scientific is working with a number of professional bodies / consumer organisations /clinical experts to obtain clinical endorsement for </w:t>
      </w:r>
      <w:proofErr w:type="spellStart"/>
      <w:r w:rsidRPr="00940C4B">
        <w:rPr>
          <w:color w:val="365F91" w:themeColor="accent1" w:themeShade="BF"/>
        </w:rPr>
        <w:t>Superion</w:t>
      </w:r>
      <w:proofErr w:type="spellEnd"/>
      <w:r w:rsidRPr="00940C4B">
        <w:rPr>
          <w:color w:val="365F91" w:themeColor="accent1" w:themeShade="BF"/>
        </w:rPr>
        <w:t xml:space="preserve"> and will provide these details to the Department once they are available. </w:t>
      </w:r>
    </w:p>
    <w:p w14:paraId="02A3CA63" w14:textId="77777777" w:rsidR="00EA173C" w:rsidRPr="001C3230" w:rsidRDefault="00EA173C" w:rsidP="00530204">
      <w:pPr>
        <w:pStyle w:val="Heading2"/>
      </w:pPr>
      <w:r w:rsidRPr="001C3230">
        <w:t>List any professional bodies / organisations that may be impacted by this medical service</w:t>
      </w:r>
      <w:r w:rsidR="00F93784" w:rsidRPr="001C3230">
        <w:t xml:space="preserve"> (i.e. those who provide the comparator service)</w:t>
      </w:r>
      <w:r w:rsidR="00197D29" w:rsidRPr="001C3230">
        <w:t>:</w:t>
      </w:r>
    </w:p>
    <w:p w14:paraId="6097DABB" w14:textId="73F0E53F" w:rsidR="00EA173C" w:rsidRPr="00940C4B" w:rsidRDefault="001C3230" w:rsidP="00A727B6">
      <w:pPr>
        <w:ind w:left="426"/>
        <w:rPr>
          <w:color w:val="365F91" w:themeColor="accent1" w:themeShade="BF"/>
        </w:rPr>
      </w:pPr>
      <w:r w:rsidRPr="00940C4B">
        <w:rPr>
          <w:color w:val="365F91" w:themeColor="accent1" w:themeShade="BF"/>
        </w:rPr>
        <w:t>See above</w:t>
      </w:r>
    </w:p>
    <w:p w14:paraId="3CAF1C91" w14:textId="77777777" w:rsidR="00E82F54" w:rsidRPr="001C3230" w:rsidRDefault="00E82F54" w:rsidP="00530204">
      <w:pPr>
        <w:pStyle w:val="Heading2"/>
      </w:pPr>
      <w:r w:rsidRPr="001C3230">
        <w:t>List the consumer organisations relevant to the proposed medical service</w:t>
      </w:r>
      <w:r w:rsidR="00C12C5C" w:rsidRPr="001C3230">
        <w:t xml:space="preserve"> (please attach a letter of support for each consumer organisation nominated)</w:t>
      </w:r>
      <w:r w:rsidR="00197D29" w:rsidRPr="001C3230">
        <w:t>:</w:t>
      </w:r>
    </w:p>
    <w:p w14:paraId="24E7AEFC" w14:textId="4E29752C" w:rsidR="00E82F54" w:rsidRPr="00940C4B" w:rsidRDefault="001C3230" w:rsidP="00A727B6">
      <w:pPr>
        <w:ind w:left="426"/>
        <w:rPr>
          <w:color w:val="365F91" w:themeColor="accent1" w:themeShade="BF"/>
        </w:rPr>
      </w:pPr>
      <w:r w:rsidRPr="00940C4B">
        <w:rPr>
          <w:color w:val="365F91" w:themeColor="accent1" w:themeShade="BF"/>
        </w:rPr>
        <w:t>See above</w:t>
      </w:r>
    </w:p>
    <w:p w14:paraId="6730B7E3" w14:textId="77777777" w:rsidR="003433D1" w:rsidRPr="001C3230" w:rsidRDefault="003433D1" w:rsidP="00530204">
      <w:pPr>
        <w:pStyle w:val="Heading2"/>
      </w:pPr>
      <w:r w:rsidRPr="001C3230">
        <w:t xml:space="preserve">List the relevant sponsor(s) and / or manufacturer(s) who produce similar products relevant </w:t>
      </w:r>
      <w:r w:rsidR="00197D29" w:rsidRPr="001C3230">
        <w:t>to the proposed medical service:</w:t>
      </w:r>
    </w:p>
    <w:p w14:paraId="530B5E19" w14:textId="0531C586" w:rsidR="00EE6450" w:rsidRPr="00940C4B" w:rsidRDefault="001C3230" w:rsidP="00EE6450">
      <w:pPr>
        <w:ind w:left="426"/>
        <w:rPr>
          <w:color w:val="365F91" w:themeColor="accent1" w:themeShade="BF"/>
        </w:rPr>
      </w:pPr>
      <w:r w:rsidRPr="00940C4B">
        <w:rPr>
          <w:color w:val="365F91" w:themeColor="accent1" w:themeShade="BF"/>
        </w:rPr>
        <w:t xml:space="preserve">As noted previously, a number of manufacturers produce interspinous spacers; however, all except </w:t>
      </w:r>
      <w:proofErr w:type="spellStart"/>
      <w:r w:rsidRPr="00940C4B">
        <w:rPr>
          <w:color w:val="365F91" w:themeColor="accent1" w:themeShade="BF"/>
        </w:rPr>
        <w:t>Superion</w:t>
      </w:r>
      <w:proofErr w:type="spellEnd"/>
      <w:r w:rsidRPr="00940C4B">
        <w:rPr>
          <w:color w:val="365F91" w:themeColor="accent1" w:themeShade="BF"/>
        </w:rPr>
        <w:t xml:space="preserve"> require additional decompression surgery and are therefore not considered minimally invasive. As such, </w:t>
      </w:r>
      <w:proofErr w:type="spellStart"/>
      <w:r w:rsidRPr="00940C4B">
        <w:rPr>
          <w:color w:val="365F91" w:themeColor="accent1" w:themeShade="BF"/>
        </w:rPr>
        <w:t>Superion</w:t>
      </w:r>
      <w:proofErr w:type="spellEnd"/>
      <w:r w:rsidRPr="00940C4B">
        <w:rPr>
          <w:color w:val="365F91" w:themeColor="accent1" w:themeShade="BF"/>
        </w:rPr>
        <w:t xml:space="preserve"> is the only manufacturer of a device that would be considered eligible for implantation under the proposed MBS listing. </w:t>
      </w:r>
    </w:p>
    <w:p w14:paraId="7625CEBA" w14:textId="77777777" w:rsidR="00E82F54" w:rsidRPr="001C3230" w:rsidRDefault="00E82F54" w:rsidP="00530204">
      <w:pPr>
        <w:pStyle w:val="Heading2"/>
      </w:pPr>
      <w:r w:rsidRPr="001C3230">
        <w:t>Nominate two experts who could be approached about the proposed medical service and the current clinical management of the service(s):</w:t>
      </w:r>
    </w:p>
    <w:p w14:paraId="7ABEC1E0" w14:textId="046E1773" w:rsidR="00987ABE" w:rsidRPr="00940C4B" w:rsidRDefault="001C3230" w:rsidP="00940C4B">
      <w:pPr>
        <w:ind w:left="426"/>
        <w:rPr>
          <w:color w:val="365F91" w:themeColor="accent1" w:themeShade="BF"/>
        </w:rPr>
      </w:pPr>
      <w:r w:rsidRPr="00940C4B">
        <w:rPr>
          <w:color w:val="365F91" w:themeColor="accent1" w:themeShade="BF"/>
        </w:rPr>
        <w:t xml:space="preserve">See above. Boston Scientific will provide these details to the Department once they are available. </w:t>
      </w:r>
    </w:p>
    <w:p w14:paraId="0320B061" w14:textId="77777777" w:rsidR="00E82F54" w:rsidRPr="00154B00" w:rsidRDefault="00E82F54" w:rsidP="00E82F54">
      <w:pPr>
        <w:ind w:left="426"/>
        <w:rPr>
          <w:i/>
          <w:szCs w:val="20"/>
        </w:rPr>
      </w:pPr>
      <w:r w:rsidRPr="001C3230">
        <w:rPr>
          <w:i/>
          <w:szCs w:val="20"/>
        </w:rPr>
        <w:t>Please note that the Department may also consult with other referrers, proceduralists and disease specialists to obtain their insight.</w:t>
      </w:r>
    </w:p>
    <w:p w14:paraId="181B3269" w14:textId="77777777" w:rsidR="003433D1" w:rsidRDefault="003433D1">
      <w:pPr>
        <w:rPr>
          <w:b/>
          <w:sz w:val="32"/>
          <w:szCs w:val="32"/>
        </w:rPr>
      </w:pPr>
      <w:r>
        <w:rPr>
          <w:b/>
          <w:sz w:val="32"/>
          <w:szCs w:val="32"/>
        </w:rPr>
        <w:br w:type="page"/>
      </w:r>
    </w:p>
    <w:p w14:paraId="6669B053" w14:textId="77777777" w:rsidR="00E82F54" w:rsidRPr="00EA173C" w:rsidRDefault="00F93784" w:rsidP="0056015F">
      <w:pPr>
        <w:pStyle w:val="Heading1"/>
      </w:pPr>
      <w:r w:rsidRPr="008F566C">
        <w:lastRenderedPageBreak/>
        <w:t>PAR</w:t>
      </w:r>
      <w:r w:rsidR="005C3AE7" w:rsidRPr="008F566C">
        <w:t>T 6</w:t>
      </w:r>
      <w:r w:rsidRPr="008F566C">
        <w:t xml:space="preserve"> – POPULATION</w:t>
      </w:r>
      <w:r w:rsidR="000525BC" w:rsidRPr="008F566C">
        <w:t xml:space="preserve"> (AND PRIOR TESTS)</w:t>
      </w:r>
      <w:r w:rsidRPr="008F566C">
        <w:t xml:space="preserve">, </w:t>
      </w:r>
      <w:r w:rsidR="00CC5AB1" w:rsidRPr="008F566C">
        <w:t>INTERVENTION</w:t>
      </w:r>
      <w:r w:rsidRPr="008F566C">
        <w:t>, COMPARATOR, OUTCOME (PICO)</w:t>
      </w:r>
    </w:p>
    <w:p w14:paraId="12094AC4" w14:textId="77777777" w:rsidR="003D0F62" w:rsidRPr="005C3AE7" w:rsidRDefault="003D0F62" w:rsidP="003D0F62">
      <w:pPr>
        <w:pStyle w:val="Subtitle"/>
      </w:pPr>
      <w:r w:rsidRPr="005C3AE7">
        <w:t>PART 6a – INFORMATION ABOUT THE PROPOSED POPULATION</w:t>
      </w:r>
    </w:p>
    <w:p w14:paraId="0985F774" w14:textId="77777777" w:rsidR="003D0F62" w:rsidRPr="00A96329" w:rsidRDefault="003D0F62" w:rsidP="003D0F62">
      <w:pPr>
        <w:pStyle w:val="Heading2"/>
      </w:pPr>
      <w:r w:rsidRPr="00A96329">
        <w:t>Define the medical condition, including providing information on the natural history of the condition and a high level summary of associated burden of disease in terms of both morbidity and mortality</w:t>
      </w:r>
      <w:r>
        <w:t>:</w:t>
      </w:r>
    </w:p>
    <w:p w14:paraId="5A66E5F3" w14:textId="4B03A728" w:rsidR="00334B33" w:rsidRDefault="00334B33" w:rsidP="00940C4B">
      <w:pPr>
        <w:ind w:left="426"/>
        <w:rPr>
          <w:color w:val="365F91" w:themeColor="accent1" w:themeShade="BF"/>
        </w:rPr>
      </w:pPr>
      <w:r>
        <w:rPr>
          <w:color w:val="365F91" w:themeColor="accent1" w:themeShade="BF"/>
        </w:rPr>
        <w:t>LSS</w:t>
      </w:r>
      <w:r w:rsidRPr="00334B33">
        <w:rPr>
          <w:color w:val="365F91" w:themeColor="accent1" w:themeShade="BF"/>
        </w:rPr>
        <w:t xml:space="preserve"> is a common spinal disorder in the older population, and a clinical syndrome consisting of pain in the buttock or lower extremity, with or without low back pain and corresponding imaging findings of narrowing of spaces around neural and vascular elements in the lumbar spine. </w:t>
      </w:r>
      <w:r w:rsidR="00AD3E40" w:rsidRPr="00AD3E40">
        <w:rPr>
          <w:color w:val="365F91" w:themeColor="accent1" w:themeShade="BF"/>
        </w:rPr>
        <w:t>Spondylosis, or degenerative arthritis affecting the spine, is the most common cause of LSS and typically affects individuals over the age of 60 years</w:t>
      </w:r>
      <w:r w:rsidR="00AD3E40">
        <w:rPr>
          <w:color w:val="365F91" w:themeColor="accent1" w:themeShade="BF"/>
        </w:rPr>
        <w:t>.</w:t>
      </w:r>
    </w:p>
    <w:p w14:paraId="0815F563" w14:textId="49940B14" w:rsidR="000150D9" w:rsidRDefault="00AD3E40" w:rsidP="00940C4B">
      <w:pPr>
        <w:ind w:left="426"/>
        <w:rPr>
          <w:color w:val="365F91" w:themeColor="accent1" w:themeShade="BF"/>
        </w:rPr>
      </w:pPr>
      <w:r w:rsidRPr="00AD3E40">
        <w:rPr>
          <w:color w:val="365F91" w:themeColor="accent1" w:themeShade="BF"/>
        </w:rPr>
        <w:t xml:space="preserve">LSS is a </w:t>
      </w:r>
      <w:r>
        <w:rPr>
          <w:color w:val="365F91" w:themeColor="accent1" w:themeShade="BF"/>
        </w:rPr>
        <w:t xml:space="preserve">significant </w:t>
      </w:r>
      <w:r w:rsidRPr="00AD3E40">
        <w:rPr>
          <w:color w:val="365F91" w:themeColor="accent1" w:themeShade="BF"/>
        </w:rPr>
        <w:t>cause of disabilit</w:t>
      </w:r>
      <w:r w:rsidR="000150D9">
        <w:rPr>
          <w:color w:val="365F91" w:themeColor="accent1" w:themeShade="BF"/>
        </w:rPr>
        <w:t xml:space="preserve">y, and its </w:t>
      </w:r>
      <w:r w:rsidR="000150D9" w:rsidRPr="000150D9">
        <w:rPr>
          <w:color w:val="365F91" w:themeColor="accent1" w:themeShade="BF"/>
        </w:rPr>
        <w:t>prevalence is expected to increase with the</w:t>
      </w:r>
      <w:r w:rsidR="000150D9">
        <w:rPr>
          <w:color w:val="365F91" w:themeColor="accent1" w:themeShade="BF"/>
        </w:rPr>
        <w:t xml:space="preserve"> </w:t>
      </w:r>
      <w:r w:rsidR="000150D9" w:rsidRPr="000150D9">
        <w:rPr>
          <w:color w:val="365F91" w:themeColor="accent1" w:themeShade="BF"/>
        </w:rPr>
        <w:t>continued ageing of the population.</w:t>
      </w:r>
      <w:r>
        <w:rPr>
          <w:color w:val="365F91" w:themeColor="accent1" w:themeShade="BF"/>
        </w:rPr>
        <w:t xml:space="preserve"> </w:t>
      </w:r>
      <w:r w:rsidRPr="00AD3E40">
        <w:rPr>
          <w:color w:val="365F91" w:themeColor="accent1" w:themeShade="BF"/>
        </w:rPr>
        <w:t>The first symptoms of stenosis include bouts of low back pain. After a few months or years, this may progress to claudication. The pain may be radicular, following the classic neurologic pathways. This occurs as the spinal nerves or spinal cord become increasingly trapped in a smaller space within the canal. Most people with mild to moderate symptoms do not get worse</w:t>
      </w:r>
      <w:r>
        <w:rPr>
          <w:color w:val="365F91" w:themeColor="accent1" w:themeShade="BF"/>
        </w:rPr>
        <w:t xml:space="preserve"> (</w:t>
      </w:r>
      <w:proofErr w:type="spellStart"/>
      <w:r>
        <w:rPr>
          <w:color w:val="365F91" w:themeColor="accent1" w:themeShade="BF"/>
        </w:rPr>
        <w:t>Djurasovic</w:t>
      </w:r>
      <w:proofErr w:type="spellEnd"/>
      <w:r>
        <w:rPr>
          <w:color w:val="365F91" w:themeColor="accent1" w:themeShade="BF"/>
        </w:rPr>
        <w:t xml:space="preserve"> 2010); however, </w:t>
      </w:r>
      <w:r w:rsidR="000150D9">
        <w:rPr>
          <w:color w:val="365F91" w:themeColor="accent1" w:themeShade="BF"/>
        </w:rPr>
        <w:t xml:space="preserve">ongoing symptoms can </w:t>
      </w:r>
      <w:r w:rsidR="000150D9" w:rsidRPr="000150D9">
        <w:rPr>
          <w:color w:val="365F91" w:themeColor="accent1" w:themeShade="BF"/>
        </w:rPr>
        <w:t xml:space="preserve">have a </w:t>
      </w:r>
      <w:r w:rsidR="000150D9">
        <w:rPr>
          <w:color w:val="365F91" w:themeColor="accent1" w:themeShade="BF"/>
        </w:rPr>
        <w:t xml:space="preserve">substantial </w:t>
      </w:r>
      <w:r w:rsidR="000150D9" w:rsidRPr="000150D9">
        <w:rPr>
          <w:color w:val="365F91" w:themeColor="accent1" w:themeShade="BF"/>
        </w:rPr>
        <w:t>negative effect on general health-related quality of life</w:t>
      </w:r>
      <w:r w:rsidR="00F31D60">
        <w:rPr>
          <w:color w:val="365F91" w:themeColor="accent1" w:themeShade="BF"/>
        </w:rPr>
        <w:t xml:space="preserve"> (</w:t>
      </w:r>
      <w:proofErr w:type="spellStart"/>
      <w:r w:rsidR="00F31D60">
        <w:rPr>
          <w:color w:val="365F91" w:themeColor="accent1" w:themeShade="BF"/>
        </w:rPr>
        <w:t>HRQoL</w:t>
      </w:r>
      <w:proofErr w:type="spellEnd"/>
      <w:r w:rsidR="00F31D60">
        <w:rPr>
          <w:color w:val="365F91" w:themeColor="accent1" w:themeShade="BF"/>
        </w:rPr>
        <w:t>)</w:t>
      </w:r>
      <w:r w:rsidR="000150D9" w:rsidRPr="000150D9">
        <w:rPr>
          <w:color w:val="365F91" w:themeColor="accent1" w:themeShade="BF"/>
        </w:rPr>
        <w:t xml:space="preserve"> </w:t>
      </w:r>
      <w:r w:rsidR="000150D9">
        <w:rPr>
          <w:color w:val="365F91" w:themeColor="accent1" w:themeShade="BF"/>
        </w:rPr>
        <w:t xml:space="preserve">- especially in physical domains. </w:t>
      </w:r>
      <w:r w:rsidR="00537302" w:rsidRPr="00537302">
        <w:rPr>
          <w:color w:val="365F91" w:themeColor="accent1" w:themeShade="BF"/>
        </w:rPr>
        <w:t xml:space="preserve">A number of studies demonstrated that </w:t>
      </w:r>
      <w:proofErr w:type="spellStart"/>
      <w:r w:rsidR="00331F08">
        <w:rPr>
          <w:color w:val="365F91" w:themeColor="accent1" w:themeShade="BF"/>
        </w:rPr>
        <w:t>HRQoL</w:t>
      </w:r>
      <w:proofErr w:type="spellEnd"/>
      <w:r w:rsidR="00331F08">
        <w:rPr>
          <w:color w:val="365F91" w:themeColor="accent1" w:themeShade="BF"/>
        </w:rPr>
        <w:t xml:space="preserve"> </w:t>
      </w:r>
      <w:r w:rsidR="00537302" w:rsidRPr="00537302">
        <w:rPr>
          <w:color w:val="365F91" w:themeColor="accent1" w:themeShade="BF"/>
        </w:rPr>
        <w:t>is poorer in patients with LSS compared</w:t>
      </w:r>
      <w:r w:rsidR="00331F08">
        <w:rPr>
          <w:color w:val="365F91" w:themeColor="accent1" w:themeShade="BF"/>
        </w:rPr>
        <w:t xml:space="preserve"> </w:t>
      </w:r>
      <w:r w:rsidR="00537302" w:rsidRPr="00537302">
        <w:rPr>
          <w:color w:val="365F91" w:themeColor="accent1" w:themeShade="BF"/>
        </w:rPr>
        <w:t>with healthy individuals without this condition and even</w:t>
      </w:r>
      <w:r w:rsidR="00331F08">
        <w:rPr>
          <w:color w:val="365F91" w:themeColor="accent1" w:themeShade="BF"/>
        </w:rPr>
        <w:t xml:space="preserve"> </w:t>
      </w:r>
      <w:r w:rsidR="00537302" w:rsidRPr="00537302">
        <w:rPr>
          <w:color w:val="365F91" w:themeColor="accent1" w:themeShade="BF"/>
        </w:rPr>
        <w:t>compared with patients diagnosed with chronic back</w:t>
      </w:r>
      <w:r w:rsidR="00331F08">
        <w:rPr>
          <w:color w:val="365F91" w:themeColor="accent1" w:themeShade="BF"/>
        </w:rPr>
        <w:t xml:space="preserve"> </w:t>
      </w:r>
      <w:r w:rsidR="00537302" w:rsidRPr="00537302">
        <w:rPr>
          <w:color w:val="365F91" w:themeColor="accent1" w:themeShade="BF"/>
        </w:rPr>
        <w:t>pain</w:t>
      </w:r>
      <w:r w:rsidR="00331F08">
        <w:rPr>
          <w:color w:val="365F91" w:themeColor="accent1" w:themeShade="BF"/>
        </w:rPr>
        <w:t xml:space="preserve"> (</w:t>
      </w:r>
      <w:proofErr w:type="spellStart"/>
      <w:r w:rsidR="00331F08">
        <w:rPr>
          <w:color w:val="365F91" w:themeColor="accent1" w:themeShade="BF"/>
        </w:rPr>
        <w:t>Otani</w:t>
      </w:r>
      <w:proofErr w:type="spellEnd"/>
      <w:r w:rsidR="00331F08">
        <w:rPr>
          <w:color w:val="365F91" w:themeColor="accent1" w:themeShade="BF"/>
        </w:rPr>
        <w:t xml:space="preserve"> 2013; </w:t>
      </w:r>
      <w:proofErr w:type="spellStart"/>
      <w:r w:rsidR="00331F08">
        <w:rPr>
          <w:color w:val="365F91" w:themeColor="accent1" w:themeShade="BF"/>
        </w:rPr>
        <w:t>Saban</w:t>
      </w:r>
      <w:proofErr w:type="spellEnd"/>
      <w:r w:rsidR="00331F08">
        <w:rPr>
          <w:color w:val="365F91" w:themeColor="accent1" w:themeShade="BF"/>
        </w:rPr>
        <w:t xml:space="preserve"> 2007)</w:t>
      </w:r>
      <w:r w:rsidR="00537302" w:rsidRPr="00537302">
        <w:rPr>
          <w:color w:val="365F91" w:themeColor="accent1" w:themeShade="BF"/>
        </w:rPr>
        <w:t>.</w:t>
      </w:r>
      <w:r w:rsidR="00331F08">
        <w:rPr>
          <w:color w:val="365F91" w:themeColor="accent1" w:themeShade="BF"/>
        </w:rPr>
        <w:t xml:space="preserve"> </w:t>
      </w:r>
      <w:r w:rsidR="00331F08" w:rsidRPr="00331F08">
        <w:rPr>
          <w:color w:val="365F91" w:themeColor="accent1" w:themeShade="BF"/>
        </w:rPr>
        <w:t>Patients with LSS experience significantly lower job</w:t>
      </w:r>
      <w:r w:rsidR="00331F08">
        <w:rPr>
          <w:color w:val="365F91" w:themeColor="accent1" w:themeShade="BF"/>
        </w:rPr>
        <w:t xml:space="preserve"> </w:t>
      </w:r>
      <w:r w:rsidR="00331F08" w:rsidRPr="00331F08">
        <w:rPr>
          <w:color w:val="365F91" w:themeColor="accent1" w:themeShade="BF"/>
        </w:rPr>
        <w:t>satisfaction than individua</w:t>
      </w:r>
      <w:r w:rsidR="00CD6093">
        <w:rPr>
          <w:color w:val="365F91" w:themeColor="accent1" w:themeShade="BF"/>
        </w:rPr>
        <w:t>l</w:t>
      </w:r>
      <w:r w:rsidR="00331F08" w:rsidRPr="00331F08">
        <w:rPr>
          <w:color w:val="365F91" w:themeColor="accent1" w:themeShade="BF"/>
        </w:rPr>
        <w:t>s without this condition</w:t>
      </w:r>
      <w:r w:rsidR="00331F08">
        <w:rPr>
          <w:color w:val="365F91" w:themeColor="accent1" w:themeShade="BF"/>
        </w:rPr>
        <w:t xml:space="preserve"> (Sekiguchi 2015)</w:t>
      </w:r>
      <w:r w:rsidR="00331F08" w:rsidRPr="00331F08">
        <w:rPr>
          <w:color w:val="365F91" w:themeColor="accent1" w:themeShade="BF"/>
        </w:rPr>
        <w:t>.</w:t>
      </w:r>
      <w:r w:rsidR="00331F08">
        <w:rPr>
          <w:color w:val="365F91" w:themeColor="accent1" w:themeShade="BF"/>
        </w:rPr>
        <w:t xml:space="preserve"> </w:t>
      </w:r>
      <w:r w:rsidR="00331F08" w:rsidRPr="00331F08">
        <w:rPr>
          <w:color w:val="365F91" w:themeColor="accent1" w:themeShade="BF"/>
        </w:rPr>
        <w:t>In addition, about 20%–40% of the patients with LSS</w:t>
      </w:r>
      <w:r w:rsidR="00331F08">
        <w:rPr>
          <w:color w:val="365F91" w:themeColor="accent1" w:themeShade="BF"/>
        </w:rPr>
        <w:t xml:space="preserve"> </w:t>
      </w:r>
      <w:r w:rsidR="00331F08" w:rsidRPr="00331F08">
        <w:rPr>
          <w:color w:val="365F91" w:themeColor="accent1" w:themeShade="BF"/>
        </w:rPr>
        <w:t>present clinically significant depressive symptoms</w:t>
      </w:r>
      <w:r w:rsidR="00331F08">
        <w:rPr>
          <w:color w:val="365F91" w:themeColor="accent1" w:themeShade="BF"/>
        </w:rPr>
        <w:t xml:space="preserve"> (Levy 2002; </w:t>
      </w:r>
      <w:proofErr w:type="spellStart"/>
      <w:r w:rsidR="00331F08">
        <w:rPr>
          <w:color w:val="365F91" w:themeColor="accent1" w:themeShade="BF"/>
        </w:rPr>
        <w:t>Sinikallio</w:t>
      </w:r>
      <w:proofErr w:type="spellEnd"/>
      <w:r w:rsidR="00331F08">
        <w:rPr>
          <w:color w:val="365F91" w:themeColor="accent1" w:themeShade="BF"/>
        </w:rPr>
        <w:t xml:space="preserve"> 2006)</w:t>
      </w:r>
      <w:r w:rsidR="00331F08" w:rsidRPr="00331F08">
        <w:rPr>
          <w:color w:val="365F91" w:themeColor="accent1" w:themeShade="BF"/>
        </w:rPr>
        <w:t>.</w:t>
      </w:r>
    </w:p>
    <w:p w14:paraId="56703E25" w14:textId="074DD8DC" w:rsidR="00334B33" w:rsidRDefault="002432F0" w:rsidP="00940C4B">
      <w:pPr>
        <w:ind w:left="426"/>
        <w:rPr>
          <w:color w:val="365F91" w:themeColor="accent1" w:themeShade="BF"/>
        </w:rPr>
      </w:pPr>
      <w:r>
        <w:rPr>
          <w:color w:val="365F91" w:themeColor="accent1" w:themeShade="BF"/>
        </w:rPr>
        <w:t xml:space="preserve">A systematic review </w:t>
      </w:r>
      <w:r w:rsidRPr="002432F0">
        <w:rPr>
          <w:color w:val="365F91" w:themeColor="accent1" w:themeShade="BF"/>
        </w:rPr>
        <w:t>in general and clinical populations</w:t>
      </w:r>
      <w:r>
        <w:rPr>
          <w:color w:val="365F91" w:themeColor="accent1" w:themeShade="BF"/>
        </w:rPr>
        <w:t xml:space="preserve"> (Jensen 2020), based on an analysis of 55 study samples, reported the mean prevalence of LSS in the general population was </w:t>
      </w:r>
      <w:r w:rsidRPr="002432F0">
        <w:rPr>
          <w:color w:val="365F91" w:themeColor="accent1" w:themeShade="BF"/>
        </w:rPr>
        <w:t>11% (95% CI 4–18%)</w:t>
      </w:r>
      <w:r>
        <w:rPr>
          <w:color w:val="365F91" w:themeColor="accent1" w:themeShade="BF"/>
        </w:rPr>
        <w:t xml:space="preserve"> based on clinical diagnosis. In Australia, </w:t>
      </w:r>
      <w:r w:rsidRPr="002432F0">
        <w:rPr>
          <w:color w:val="365F91" w:themeColor="accent1" w:themeShade="BF"/>
        </w:rPr>
        <w:t xml:space="preserve">decompression rates for </w:t>
      </w:r>
      <w:r>
        <w:rPr>
          <w:color w:val="365F91" w:themeColor="accent1" w:themeShade="BF"/>
        </w:rPr>
        <w:t>LSS</w:t>
      </w:r>
      <w:r w:rsidRPr="002432F0">
        <w:rPr>
          <w:color w:val="365F91" w:themeColor="accent1" w:themeShade="BF"/>
        </w:rPr>
        <w:t xml:space="preserve"> increased from 2003 to 2013</w:t>
      </w:r>
      <w:r w:rsidR="00283BAF">
        <w:rPr>
          <w:color w:val="365F91" w:themeColor="accent1" w:themeShade="BF"/>
        </w:rPr>
        <w:t>, and t</w:t>
      </w:r>
      <w:r w:rsidRPr="002432F0">
        <w:rPr>
          <w:color w:val="365F91" w:themeColor="accent1" w:themeShade="BF"/>
        </w:rPr>
        <w:t>he fastest increasing surgical procedure was complex fusion.</w:t>
      </w:r>
    </w:p>
    <w:p w14:paraId="70845239" w14:textId="77777777" w:rsidR="003D0F62" w:rsidRPr="00154B00" w:rsidRDefault="003D0F62" w:rsidP="003D0F62">
      <w:pPr>
        <w:pStyle w:val="Heading2"/>
      </w:pPr>
      <w:r w:rsidRPr="00154B00">
        <w:t>Specify any characteristics of patients with the medical condition</w:t>
      </w:r>
      <w:r>
        <w:t>, or suspected of,</w:t>
      </w:r>
      <w:r w:rsidRPr="00154B00">
        <w:t xml:space="preserve"> who are proposed to be eligible for the </w:t>
      </w:r>
      <w:r w:rsidRPr="00DA7D0C">
        <w:t>proposed</w:t>
      </w:r>
      <w:r w:rsidRPr="00154B00">
        <w:t xml:space="preserve"> medical service, including any details of how a patient would be investigated, managed and referred within the Australian health care system in the lead up to being considered eligible for the service</w:t>
      </w:r>
      <w:r>
        <w:t>:</w:t>
      </w:r>
    </w:p>
    <w:p w14:paraId="298CE337" w14:textId="77777777" w:rsidR="002C02EB" w:rsidRPr="00B542FB" w:rsidRDefault="002C02EB" w:rsidP="00940C4B">
      <w:pPr>
        <w:ind w:left="426"/>
        <w:rPr>
          <w:color w:val="365F91" w:themeColor="accent1" w:themeShade="BF"/>
        </w:rPr>
      </w:pPr>
      <w:r w:rsidRPr="00102480">
        <w:rPr>
          <w:color w:val="365F91" w:themeColor="accent1" w:themeShade="BF"/>
        </w:rPr>
        <w:t xml:space="preserve">There have been two previous applications to the MSAC for </w:t>
      </w:r>
      <w:r>
        <w:rPr>
          <w:color w:val="365F91" w:themeColor="accent1" w:themeShade="BF"/>
        </w:rPr>
        <w:t>IDS</w:t>
      </w:r>
      <w:r w:rsidRPr="00102480">
        <w:rPr>
          <w:color w:val="365F91" w:themeColor="accent1" w:themeShade="BF"/>
        </w:rPr>
        <w:t>s. In 2007, a contracted assessment (MSAC Application 1099) assessed the safety, effectiveness</w:t>
      </w:r>
      <w:r>
        <w:rPr>
          <w:color w:val="365F91" w:themeColor="accent1" w:themeShade="BF"/>
        </w:rPr>
        <w:t>,</w:t>
      </w:r>
      <w:r w:rsidRPr="00102480">
        <w:rPr>
          <w:color w:val="365F91" w:themeColor="accent1" w:themeShade="BF"/>
        </w:rPr>
        <w:t xml:space="preserve"> and cost-effectiveness for a pedicle screw device (</w:t>
      </w:r>
      <w:proofErr w:type="spellStart"/>
      <w:r w:rsidRPr="00102480">
        <w:rPr>
          <w:color w:val="365F91" w:themeColor="accent1" w:themeShade="BF"/>
        </w:rPr>
        <w:t>Dynesys</w:t>
      </w:r>
      <w:proofErr w:type="spellEnd"/>
      <w:r w:rsidRPr="00102480">
        <w:rPr>
          <w:color w:val="365F91" w:themeColor="accent1" w:themeShade="BF"/>
        </w:rPr>
        <w:t>) and ID</w:t>
      </w:r>
      <w:r>
        <w:rPr>
          <w:color w:val="365F91" w:themeColor="accent1" w:themeShade="BF"/>
        </w:rPr>
        <w:t>S</w:t>
      </w:r>
      <w:r w:rsidRPr="00102480">
        <w:rPr>
          <w:color w:val="365F91" w:themeColor="accent1" w:themeShade="BF"/>
        </w:rPr>
        <w:t>s (</w:t>
      </w:r>
      <w:proofErr w:type="spellStart"/>
      <w:r w:rsidRPr="00102480">
        <w:rPr>
          <w:color w:val="365F91" w:themeColor="accent1" w:themeShade="BF"/>
        </w:rPr>
        <w:t>Coflex</w:t>
      </w:r>
      <w:proofErr w:type="spellEnd"/>
      <w:r w:rsidRPr="00102480">
        <w:rPr>
          <w:color w:val="365F91" w:themeColor="accent1" w:themeShade="BF"/>
        </w:rPr>
        <w:t xml:space="preserve">, the X STOP, the Wallis and the DIAM) compared with laminectomy with and without conventional spinal fusion. A more recent applicant developed assessment report (ADAR) in 2017 (MSAC Application 1422) looked specifically at the safety, effectiveness, and cost-effectiveness of using the </w:t>
      </w:r>
      <w:proofErr w:type="spellStart"/>
      <w:r w:rsidRPr="00102480">
        <w:rPr>
          <w:color w:val="365F91" w:themeColor="accent1" w:themeShade="BF"/>
        </w:rPr>
        <w:t>Coflex</w:t>
      </w:r>
      <w:proofErr w:type="spellEnd"/>
      <w:r w:rsidRPr="00102480">
        <w:rPr>
          <w:color w:val="365F91" w:themeColor="accent1" w:themeShade="BF"/>
        </w:rPr>
        <w:t xml:space="preserve"> </w:t>
      </w:r>
      <w:proofErr w:type="spellStart"/>
      <w:r w:rsidRPr="00102480">
        <w:rPr>
          <w:color w:val="365F91" w:themeColor="accent1" w:themeShade="BF"/>
        </w:rPr>
        <w:t>interlaminar</w:t>
      </w:r>
      <w:proofErr w:type="spellEnd"/>
      <w:r w:rsidRPr="00102480">
        <w:rPr>
          <w:color w:val="365F91" w:themeColor="accent1" w:themeShade="BF"/>
        </w:rPr>
        <w:t xml:space="preserve"> stabilisation device in combination with decompression.</w:t>
      </w:r>
      <w:r>
        <w:rPr>
          <w:color w:val="365F91" w:themeColor="accent1" w:themeShade="BF"/>
        </w:rPr>
        <w:t xml:space="preserve"> </w:t>
      </w:r>
      <w:r w:rsidRPr="00102480">
        <w:rPr>
          <w:color w:val="365F91" w:themeColor="accent1" w:themeShade="BF"/>
        </w:rPr>
        <w:t>Both of the previous applications were rejected by MSAC due to poor evidence for clinical efficacy.</w:t>
      </w:r>
    </w:p>
    <w:p w14:paraId="144FBBA5" w14:textId="502B15DA" w:rsidR="00334B33" w:rsidRPr="00334B33" w:rsidRDefault="00334B33" w:rsidP="00940C4B">
      <w:pPr>
        <w:ind w:left="426"/>
        <w:rPr>
          <w:color w:val="365F91" w:themeColor="accent1" w:themeShade="BF"/>
        </w:rPr>
      </w:pPr>
      <w:r>
        <w:rPr>
          <w:color w:val="365F91" w:themeColor="accent1" w:themeShade="BF"/>
        </w:rPr>
        <w:t>The population broadly targeted in the proposed submission consists of patients with moderate</w:t>
      </w:r>
      <w:r w:rsidR="00F31D60">
        <w:rPr>
          <w:color w:val="365F91" w:themeColor="accent1" w:themeShade="BF"/>
        </w:rPr>
        <w:t xml:space="preserve"> degenerative</w:t>
      </w:r>
      <w:r>
        <w:rPr>
          <w:color w:val="365F91" w:themeColor="accent1" w:themeShade="BF"/>
        </w:rPr>
        <w:t xml:space="preserve"> LSS. </w:t>
      </w:r>
      <w:r w:rsidRPr="00334B33">
        <w:rPr>
          <w:color w:val="365F91" w:themeColor="accent1" w:themeShade="BF"/>
        </w:rPr>
        <w:t xml:space="preserve">The population proposed for treatment in a future MSAC application for Superion would be broadly similar to that included in the previous MSAC submission for </w:t>
      </w:r>
      <w:proofErr w:type="spellStart"/>
      <w:r w:rsidRPr="00334B33">
        <w:rPr>
          <w:color w:val="365F91" w:themeColor="accent1" w:themeShade="BF"/>
        </w:rPr>
        <w:t>Coflex</w:t>
      </w:r>
      <w:proofErr w:type="spellEnd"/>
      <w:r w:rsidRPr="00334B33">
        <w:rPr>
          <w:color w:val="365F91" w:themeColor="accent1" w:themeShade="BF"/>
        </w:rPr>
        <w:t xml:space="preserve"> (1422), that is:</w:t>
      </w:r>
    </w:p>
    <w:p w14:paraId="51DE57C5" w14:textId="77777777" w:rsidR="00334B33" w:rsidRPr="00334B33" w:rsidRDefault="00334B33" w:rsidP="00940C4B">
      <w:pPr>
        <w:pStyle w:val="ListParagraph"/>
        <w:numPr>
          <w:ilvl w:val="0"/>
          <w:numId w:val="19"/>
        </w:numPr>
        <w:ind w:left="1070"/>
        <w:rPr>
          <w:color w:val="365F91" w:themeColor="accent1" w:themeShade="BF"/>
        </w:rPr>
      </w:pPr>
      <w:r w:rsidRPr="00334B33">
        <w:rPr>
          <w:color w:val="365F91" w:themeColor="accent1" w:themeShade="BF"/>
        </w:rPr>
        <w:t>Lumbar stenosis or mild degenerative instability - one or two lumbar motion segments.</w:t>
      </w:r>
    </w:p>
    <w:p w14:paraId="59DA0E8F" w14:textId="77777777" w:rsidR="00334B33" w:rsidRPr="00334B33" w:rsidRDefault="00334B33" w:rsidP="00940C4B">
      <w:pPr>
        <w:pStyle w:val="ListParagraph"/>
        <w:numPr>
          <w:ilvl w:val="0"/>
          <w:numId w:val="19"/>
        </w:numPr>
        <w:ind w:left="1070"/>
        <w:rPr>
          <w:color w:val="365F91" w:themeColor="accent1" w:themeShade="BF"/>
        </w:rPr>
      </w:pPr>
      <w:r w:rsidRPr="00334B33">
        <w:rPr>
          <w:color w:val="365F91" w:themeColor="accent1" w:themeShade="BF"/>
        </w:rPr>
        <w:t>Failure of conservative management for at least 6 months.</w:t>
      </w:r>
    </w:p>
    <w:p w14:paraId="1D6D76AB" w14:textId="056141C8" w:rsidR="00334B33" w:rsidRPr="00334B33" w:rsidRDefault="00334B33" w:rsidP="00940C4B">
      <w:pPr>
        <w:pStyle w:val="ListParagraph"/>
        <w:numPr>
          <w:ilvl w:val="0"/>
          <w:numId w:val="19"/>
        </w:numPr>
        <w:ind w:left="1070"/>
        <w:rPr>
          <w:color w:val="365F91" w:themeColor="accent1" w:themeShade="BF"/>
        </w:rPr>
      </w:pPr>
      <w:r w:rsidRPr="00334B33">
        <w:rPr>
          <w:color w:val="365F91" w:themeColor="accent1" w:themeShade="BF"/>
        </w:rPr>
        <w:t>Moderately severe functional impairment with symptoms exacerbated in extension and relieved in flexion</w:t>
      </w:r>
      <w:r w:rsidR="00F31D60">
        <w:rPr>
          <w:color w:val="365F91" w:themeColor="accent1" w:themeShade="BF"/>
        </w:rPr>
        <w:t>.</w:t>
      </w:r>
    </w:p>
    <w:p w14:paraId="0B6E351F" w14:textId="57254FFC" w:rsidR="00334B33" w:rsidRPr="00334B33" w:rsidRDefault="00334B33" w:rsidP="00940C4B">
      <w:pPr>
        <w:pStyle w:val="ListParagraph"/>
        <w:numPr>
          <w:ilvl w:val="0"/>
          <w:numId w:val="19"/>
        </w:numPr>
        <w:ind w:left="1070"/>
        <w:rPr>
          <w:color w:val="365F91" w:themeColor="accent1" w:themeShade="BF"/>
        </w:rPr>
      </w:pPr>
      <w:r w:rsidRPr="00334B33">
        <w:rPr>
          <w:color w:val="365F91" w:themeColor="accent1" w:themeShade="BF"/>
        </w:rPr>
        <w:t>With or without low-grade spondylolisthesis</w:t>
      </w:r>
      <w:r w:rsidR="00F31D60">
        <w:rPr>
          <w:color w:val="365F91" w:themeColor="accent1" w:themeShade="BF"/>
        </w:rPr>
        <w:t>.</w:t>
      </w:r>
    </w:p>
    <w:p w14:paraId="1DF8A62E" w14:textId="69A129AB" w:rsidR="00334B33" w:rsidRPr="00334B33" w:rsidRDefault="00334B33" w:rsidP="00334B33">
      <w:pPr>
        <w:ind w:left="284"/>
        <w:rPr>
          <w:color w:val="365F91" w:themeColor="accent1" w:themeShade="BF"/>
        </w:rPr>
      </w:pPr>
      <w:r w:rsidRPr="00334B33">
        <w:rPr>
          <w:color w:val="365F91" w:themeColor="accent1" w:themeShade="BF"/>
        </w:rPr>
        <w:lastRenderedPageBreak/>
        <w:t>These criteria a</w:t>
      </w:r>
      <w:r w:rsidR="00F31D60">
        <w:rPr>
          <w:color w:val="365F91" w:themeColor="accent1" w:themeShade="BF"/>
        </w:rPr>
        <w:t>re</w:t>
      </w:r>
      <w:r w:rsidRPr="00334B33">
        <w:rPr>
          <w:color w:val="365F91" w:themeColor="accent1" w:themeShade="BF"/>
        </w:rPr>
        <w:t xml:space="preserve"> similar to the Australian indication for Superion, which is </w:t>
      </w:r>
      <w:r w:rsidR="00283BAF">
        <w:rPr>
          <w:color w:val="365F91" w:themeColor="accent1" w:themeShade="BF"/>
        </w:rPr>
        <w:t>as follows</w:t>
      </w:r>
      <w:r w:rsidRPr="00334B33">
        <w:rPr>
          <w:color w:val="365F91" w:themeColor="accent1" w:themeShade="BF"/>
        </w:rPr>
        <w:t xml:space="preserve">:  </w:t>
      </w:r>
    </w:p>
    <w:p w14:paraId="670BE3DD" w14:textId="4E74B16C" w:rsidR="00334B33" w:rsidRDefault="00334B33" w:rsidP="00334B33">
      <w:pPr>
        <w:ind w:left="284"/>
        <w:rPr>
          <w:i/>
          <w:iCs/>
          <w:color w:val="365F91" w:themeColor="accent1" w:themeShade="BF"/>
        </w:rPr>
      </w:pPr>
      <w:r w:rsidRPr="00283BAF">
        <w:rPr>
          <w:i/>
          <w:iCs/>
          <w:color w:val="365F91" w:themeColor="accent1" w:themeShade="BF"/>
        </w:rPr>
        <w:t>"skeletally mature patients suffering from pain, numbness, and/or cramping in the legs (neurogenic intermittent claudication) secondary to a diagnosis of moderate lumbar spinal stenosis, with or without Grade 1 spondylolisthesis, confirmed by X-ray, MRI and/or CT evidence of thickened ligamentum flavum, narrowed lateral recess, and/or central canal or foraminal narrowing. The Superion IDS [Superion] is indicated for those patients with impaired physical function who experience relief in flexion from symptoms of leg/buttock/groin pain, with or without back pain, who have undergone at least 6 months of non-operative treatment.  The Superion IDS may be implanted at one or two adjacent lumbar levels in patients in whom operative treatment is indicated at no more than two levels, from L1 to L5".</w:t>
      </w:r>
    </w:p>
    <w:p w14:paraId="3365E3E4" w14:textId="77777777" w:rsidR="00654579" w:rsidRDefault="00654579" w:rsidP="00654579">
      <w:pPr>
        <w:ind w:left="284"/>
        <w:rPr>
          <w:color w:val="365F91" w:themeColor="accent1" w:themeShade="BF"/>
        </w:rPr>
      </w:pPr>
      <w:r>
        <w:rPr>
          <w:color w:val="365F91" w:themeColor="accent1" w:themeShade="BF"/>
        </w:rPr>
        <w:t xml:space="preserve">Identifying individuals with </w:t>
      </w:r>
      <w:r w:rsidRPr="00DB1161">
        <w:rPr>
          <w:color w:val="365F91" w:themeColor="accent1" w:themeShade="BF"/>
        </w:rPr>
        <w:t xml:space="preserve">moderate degenerative LSS </w:t>
      </w:r>
      <w:r>
        <w:rPr>
          <w:color w:val="365F91" w:themeColor="accent1" w:themeShade="BF"/>
        </w:rPr>
        <w:t>is challenging and often relies on the assessment of the individual’s symptoms and physical examination findings. NIC</w:t>
      </w:r>
      <w:r w:rsidRPr="000150D9">
        <w:rPr>
          <w:color w:val="365F91" w:themeColor="accent1" w:themeShade="BF"/>
        </w:rPr>
        <w:t xml:space="preserve"> represents the key symptomatic aspect of LSS, defined as intermittent pain radiating to the buttocks, thighs and/or lower legs that is</w:t>
      </w:r>
      <w:r>
        <w:rPr>
          <w:color w:val="365F91" w:themeColor="accent1" w:themeShade="BF"/>
        </w:rPr>
        <w:t xml:space="preserve"> </w:t>
      </w:r>
      <w:r w:rsidRPr="000150D9">
        <w:rPr>
          <w:color w:val="365F91" w:themeColor="accent1" w:themeShade="BF"/>
        </w:rPr>
        <w:t>typically provoked by standing, walking and/or lumbar</w:t>
      </w:r>
      <w:r>
        <w:rPr>
          <w:color w:val="365F91" w:themeColor="accent1" w:themeShade="BF"/>
        </w:rPr>
        <w:t xml:space="preserve"> </w:t>
      </w:r>
      <w:r w:rsidRPr="000150D9">
        <w:rPr>
          <w:color w:val="365F91" w:themeColor="accent1" w:themeShade="BF"/>
        </w:rPr>
        <w:t>extension, and relieved with sitting, lying down or</w:t>
      </w:r>
      <w:r>
        <w:rPr>
          <w:color w:val="365F91" w:themeColor="accent1" w:themeShade="BF"/>
        </w:rPr>
        <w:t xml:space="preserve"> </w:t>
      </w:r>
      <w:r w:rsidRPr="000150D9">
        <w:rPr>
          <w:color w:val="365F91" w:themeColor="accent1" w:themeShade="BF"/>
        </w:rPr>
        <w:t xml:space="preserve">lumbar flexion. </w:t>
      </w:r>
      <w:r>
        <w:rPr>
          <w:color w:val="365F91" w:themeColor="accent1" w:themeShade="BF"/>
        </w:rPr>
        <w:t xml:space="preserve">In individuals with history and physical examination findings consistent with LSS, magnetic resonance imaging (MRI), X-ray and/or computed tomography (CT) are suggested as appropriate tests to confirm the presence of moderate degenerative LSS (e.g., </w:t>
      </w:r>
      <w:r w:rsidRPr="003A2427">
        <w:rPr>
          <w:color w:val="365F91" w:themeColor="accent1" w:themeShade="BF"/>
        </w:rPr>
        <w:t>evidence of thickened ligamentum flavum</w:t>
      </w:r>
      <w:r>
        <w:rPr>
          <w:color w:val="365F91" w:themeColor="accent1" w:themeShade="BF"/>
        </w:rPr>
        <w:t xml:space="preserve">). </w:t>
      </w:r>
    </w:p>
    <w:p w14:paraId="6DC76CB3" w14:textId="7E9A8AF6" w:rsidR="00654579" w:rsidRDefault="00654579" w:rsidP="00654579">
      <w:pPr>
        <w:ind w:left="284"/>
        <w:rPr>
          <w:color w:val="365F91" w:themeColor="accent1" w:themeShade="BF"/>
        </w:rPr>
      </w:pPr>
      <w:r w:rsidRPr="000150D9">
        <w:rPr>
          <w:color w:val="365F91" w:themeColor="accent1" w:themeShade="BF"/>
        </w:rPr>
        <w:t>The presence of a narrowed spinal canal on radiographic imaging is not a sufficient criterion to diagnose</w:t>
      </w:r>
      <w:r>
        <w:rPr>
          <w:color w:val="365F91" w:themeColor="accent1" w:themeShade="BF"/>
        </w:rPr>
        <w:t xml:space="preserve"> </w:t>
      </w:r>
      <w:r w:rsidRPr="000150D9">
        <w:rPr>
          <w:color w:val="365F91" w:themeColor="accent1" w:themeShade="BF"/>
        </w:rPr>
        <w:t>LSS, and a correlation between narrowing of the spinal</w:t>
      </w:r>
      <w:r>
        <w:rPr>
          <w:color w:val="365F91" w:themeColor="accent1" w:themeShade="BF"/>
        </w:rPr>
        <w:t xml:space="preserve"> </w:t>
      </w:r>
      <w:r w:rsidRPr="000150D9">
        <w:rPr>
          <w:color w:val="365F91" w:themeColor="accent1" w:themeShade="BF"/>
        </w:rPr>
        <w:t>canal and clinical symptoms of spinal stenosis has not</w:t>
      </w:r>
      <w:r>
        <w:rPr>
          <w:color w:val="365F91" w:themeColor="accent1" w:themeShade="BF"/>
        </w:rPr>
        <w:t xml:space="preserve"> </w:t>
      </w:r>
      <w:r w:rsidRPr="000150D9">
        <w:rPr>
          <w:color w:val="365F91" w:themeColor="accent1" w:themeShade="BF"/>
        </w:rPr>
        <w:t>been demonstrated yet. Therefore, LSS is mainly</w:t>
      </w:r>
      <w:r>
        <w:rPr>
          <w:color w:val="365F91" w:themeColor="accent1" w:themeShade="BF"/>
        </w:rPr>
        <w:t xml:space="preserve"> </w:t>
      </w:r>
      <w:r w:rsidRPr="000150D9">
        <w:rPr>
          <w:color w:val="365F91" w:themeColor="accent1" w:themeShade="BF"/>
        </w:rPr>
        <w:t xml:space="preserve">a clinical diagnosis supported by consistent </w:t>
      </w:r>
      <w:r>
        <w:rPr>
          <w:color w:val="365F91" w:themeColor="accent1" w:themeShade="BF"/>
        </w:rPr>
        <w:t>r</w:t>
      </w:r>
      <w:r w:rsidRPr="000150D9">
        <w:rPr>
          <w:color w:val="365F91" w:themeColor="accent1" w:themeShade="BF"/>
        </w:rPr>
        <w:t>adiological</w:t>
      </w:r>
      <w:r>
        <w:rPr>
          <w:color w:val="365F91" w:themeColor="accent1" w:themeShade="BF"/>
        </w:rPr>
        <w:t xml:space="preserve"> </w:t>
      </w:r>
      <w:r w:rsidRPr="000150D9">
        <w:rPr>
          <w:color w:val="365F91" w:themeColor="accent1" w:themeShade="BF"/>
        </w:rPr>
        <w:t>findings.</w:t>
      </w:r>
      <w:r w:rsidR="0098540D">
        <w:rPr>
          <w:color w:val="365F91" w:themeColor="accent1" w:themeShade="BF"/>
        </w:rPr>
        <w:t xml:space="preserve"> The Superion Instructions for Use defines moderate degenerative LSS as follows:</w:t>
      </w:r>
    </w:p>
    <w:p w14:paraId="17893130" w14:textId="77777777" w:rsidR="0098540D" w:rsidRPr="0098540D" w:rsidRDefault="0098540D" w:rsidP="0098540D">
      <w:pPr>
        <w:pStyle w:val="ListParagraph"/>
        <w:numPr>
          <w:ilvl w:val="0"/>
          <w:numId w:val="21"/>
        </w:numPr>
        <w:rPr>
          <w:color w:val="365F91" w:themeColor="accent1" w:themeShade="BF"/>
        </w:rPr>
      </w:pPr>
      <w:r w:rsidRPr="0098540D">
        <w:rPr>
          <w:color w:val="365F91" w:themeColor="accent1" w:themeShade="BF"/>
        </w:rPr>
        <w:t>25% to 50% reduction in the central canal and/or nerve root canal (subarticular, neuroforaminal) compared to the adjacent levels on radiographic studies, with radiographic confirmation of any one of the following: </w:t>
      </w:r>
      <w:r w:rsidRPr="0098540D">
        <w:rPr>
          <w:color w:val="365F91" w:themeColor="accent1" w:themeShade="BF"/>
        </w:rPr>
        <w:br/>
      </w:r>
    </w:p>
    <w:p w14:paraId="0530BF41" w14:textId="77777777" w:rsidR="0098540D" w:rsidRPr="0098540D" w:rsidRDefault="0098540D" w:rsidP="0098540D">
      <w:pPr>
        <w:pStyle w:val="ListParagraph"/>
        <w:numPr>
          <w:ilvl w:val="1"/>
          <w:numId w:val="21"/>
        </w:numPr>
        <w:rPr>
          <w:color w:val="365F91" w:themeColor="accent1" w:themeShade="BF"/>
        </w:rPr>
      </w:pPr>
      <w:r w:rsidRPr="0098540D">
        <w:rPr>
          <w:color w:val="365F91" w:themeColor="accent1" w:themeShade="BF"/>
        </w:rPr>
        <w:t>Evidence of thecal sac and/or cauda equina compression</w:t>
      </w:r>
    </w:p>
    <w:p w14:paraId="3A25D8A9" w14:textId="77777777" w:rsidR="0098540D" w:rsidRPr="0098540D" w:rsidRDefault="0098540D" w:rsidP="0098540D">
      <w:pPr>
        <w:pStyle w:val="ListParagraph"/>
        <w:numPr>
          <w:ilvl w:val="1"/>
          <w:numId w:val="21"/>
        </w:numPr>
        <w:rPr>
          <w:color w:val="365F91" w:themeColor="accent1" w:themeShade="BF"/>
        </w:rPr>
      </w:pPr>
      <w:r w:rsidRPr="0098540D">
        <w:rPr>
          <w:color w:val="365F91" w:themeColor="accent1" w:themeShade="BF"/>
        </w:rPr>
        <w:t>Evidence of nerve root impingement (displacement or compression) by either osseous or non-osseous elements</w:t>
      </w:r>
    </w:p>
    <w:p w14:paraId="620D4943" w14:textId="2C36F344" w:rsidR="0098540D" w:rsidRPr="0098540D" w:rsidRDefault="0098540D" w:rsidP="0098540D">
      <w:pPr>
        <w:pStyle w:val="ListParagraph"/>
        <w:numPr>
          <w:ilvl w:val="1"/>
          <w:numId w:val="21"/>
        </w:numPr>
        <w:rPr>
          <w:color w:val="365F91" w:themeColor="accent1" w:themeShade="BF"/>
        </w:rPr>
      </w:pPr>
      <w:r w:rsidRPr="0098540D">
        <w:rPr>
          <w:color w:val="365F91" w:themeColor="accent1" w:themeShade="BF"/>
        </w:rPr>
        <w:t>Evidence of hypertrophic facets with canal encroachment</w:t>
      </w:r>
    </w:p>
    <w:p w14:paraId="32C0746B" w14:textId="77777777" w:rsidR="0098540D" w:rsidRPr="0098540D" w:rsidRDefault="0098540D" w:rsidP="0098540D">
      <w:pPr>
        <w:pStyle w:val="ListParagraph"/>
        <w:numPr>
          <w:ilvl w:val="0"/>
          <w:numId w:val="21"/>
        </w:numPr>
        <w:rPr>
          <w:color w:val="365F91" w:themeColor="accent1" w:themeShade="BF"/>
        </w:rPr>
      </w:pPr>
      <w:r w:rsidRPr="0098540D">
        <w:rPr>
          <w:color w:val="365F91" w:themeColor="accent1" w:themeShade="BF"/>
        </w:rPr>
        <w:t>AND Associated with the following clinical signs:</w:t>
      </w:r>
      <w:r w:rsidRPr="0098540D">
        <w:rPr>
          <w:color w:val="365F91" w:themeColor="accent1" w:themeShade="BF"/>
        </w:rPr>
        <w:br/>
      </w:r>
    </w:p>
    <w:p w14:paraId="1C3F07FD" w14:textId="77777777" w:rsidR="0098540D" w:rsidRPr="0098540D" w:rsidRDefault="0098540D" w:rsidP="0098540D">
      <w:pPr>
        <w:pStyle w:val="ListParagraph"/>
        <w:numPr>
          <w:ilvl w:val="1"/>
          <w:numId w:val="21"/>
        </w:numPr>
        <w:rPr>
          <w:color w:val="365F91" w:themeColor="accent1" w:themeShade="BF"/>
        </w:rPr>
      </w:pPr>
      <w:r w:rsidRPr="0098540D">
        <w:rPr>
          <w:color w:val="365F91" w:themeColor="accent1" w:themeShade="BF"/>
        </w:rPr>
        <w:t>Presents with moderately impaired Physical Function (PF) defined as a score of ≥ 2.0 of the Zurich Claudication Questionnaire (ZCQ)</w:t>
      </w:r>
    </w:p>
    <w:p w14:paraId="09D1EF2A" w14:textId="441E6F1B" w:rsidR="0098540D" w:rsidRPr="0098540D" w:rsidRDefault="0098540D" w:rsidP="0098540D">
      <w:pPr>
        <w:pStyle w:val="ListParagraph"/>
        <w:numPr>
          <w:ilvl w:val="1"/>
          <w:numId w:val="21"/>
        </w:numPr>
        <w:spacing w:after="240"/>
        <w:ind w:left="1723" w:hanging="357"/>
        <w:rPr>
          <w:color w:val="365F91" w:themeColor="accent1" w:themeShade="BF"/>
        </w:rPr>
      </w:pPr>
      <w:r w:rsidRPr="0098540D">
        <w:rPr>
          <w:color w:val="365F91" w:themeColor="accent1" w:themeShade="BF"/>
        </w:rPr>
        <w:t>Ability to sit for 50 minutes without pain and to walk 50 feet or more.</w:t>
      </w:r>
    </w:p>
    <w:p w14:paraId="36A06DE8" w14:textId="6C515022" w:rsidR="003D0F62" w:rsidRDefault="003D0F62" w:rsidP="003D0F62">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an easy to follow flowchart </w:t>
      </w:r>
      <w:r>
        <w:t xml:space="preserve">[as an attachment to the Application Form] </w:t>
      </w:r>
      <w:r w:rsidRPr="00154B00">
        <w:t>depicting the current clinical manag</w:t>
      </w:r>
      <w:r>
        <w:t>ement pathway up to this point):</w:t>
      </w:r>
    </w:p>
    <w:p w14:paraId="33A3D047" w14:textId="27DDE83F" w:rsidR="00654579" w:rsidRPr="00CD6093" w:rsidRDefault="00654579" w:rsidP="00654579">
      <w:pPr>
        <w:ind w:left="284"/>
        <w:rPr>
          <w:color w:val="365F91" w:themeColor="accent1" w:themeShade="BF"/>
        </w:rPr>
      </w:pPr>
      <w:r>
        <w:rPr>
          <w:color w:val="365F91" w:themeColor="accent1" w:themeShade="BF"/>
        </w:rPr>
        <w:t>In Australia,</w:t>
      </w:r>
      <w:r w:rsidR="003D0F62">
        <w:rPr>
          <w:color w:val="365F91" w:themeColor="accent1" w:themeShade="BF"/>
        </w:rPr>
        <w:t xml:space="preserve"> the appropriate treatment </w:t>
      </w:r>
      <w:r w:rsidR="00F31D60">
        <w:rPr>
          <w:color w:val="365F91" w:themeColor="accent1" w:themeShade="BF"/>
        </w:rPr>
        <w:t xml:space="preserve">for moderate generative LSS </w:t>
      </w:r>
      <w:r w:rsidR="003D0F62">
        <w:rPr>
          <w:color w:val="365F91" w:themeColor="accent1" w:themeShade="BF"/>
        </w:rPr>
        <w:t>is determined following an appointment with a consultant</w:t>
      </w:r>
      <w:r w:rsidR="00A02E41">
        <w:rPr>
          <w:color w:val="365F91" w:themeColor="accent1" w:themeShade="BF"/>
        </w:rPr>
        <w:t xml:space="preserve"> pain specialist,</w:t>
      </w:r>
      <w:r w:rsidR="003D0F62">
        <w:rPr>
          <w:color w:val="365F91" w:themeColor="accent1" w:themeShade="BF"/>
        </w:rPr>
        <w:t xml:space="preserve"> neurosurgeon or orthopaedic surgeon based on the individual needs of the patient. </w:t>
      </w:r>
      <w:r>
        <w:rPr>
          <w:color w:val="365F91" w:themeColor="accent1" w:themeShade="BF"/>
        </w:rPr>
        <w:t xml:space="preserve">Once diagnosed, </w:t>
      </w:r>
      <w:bookmarkStart w:id="4" w:name="_Hlk55904330"/>
      <w:r>
        <w:rPr>
          <w:color w:val="365F91" w:themeColor="accent1" w:themeShade="BF"/>
        </w:rPr>
        <w:t>patients with</w:t>
      </w:r>
      <w:r w:rsidRPr="00DB1161">
        <w:t xml:space="preserve"> </w:t>
      </w:r>
      <w:r w:rsidRPr="00DB1161">
        <w:rPr>
          <w:color w:val="365F91" w:themeColor="accent1" w:themeShade="BF"/>
        </w:rPr>
        <w:t>moderate degenerative LSS</w:t>
      </w:r>
      <w:r>
        <w:rPr>
          <w:color w:val="365F91" w:themeColor="accent1" w:themeShade="BF"/>
        </w:rPr>
        <w:t xml:space="preserve"> are required to first undergo 6 months of conservative management, </w:t>
      </w:r>
      <w:r w:rsidRPr="00E346EC">
        <w:rPr>
          <w:color w:val="365F91" w:themeColor="accent1" w:themeShade="BF"/>
        </w:rPr>
        <w:t>which may include any of the following: orthosis, rehabilitation, physical therapy, exercise, heat and cold, transcutaneous electrical nerve stimulation, ultrasounds, analgesics, nonsteroidal anti-inflammatory drugs, epidural steroids, and back bracing</w:t>
      </w:r>
      <w:bookmarkEnd w:id="4"/>
      <w:r w:rsidRPr="00E346EC">
        <w:rPr>
          <w:color w:val="365F91" w:themeColor="accent1" w:themeShade="BF"/>
        </w:rPr>
        <w:t>.</w:t>
      </w:r>
      <w:r>
        <w:rPr>
          <w:color w:val="365F91" w:themeColor="accent1" w:themeShade="BF"/>
        </w:rPr>
        <w:t xml:space="preserve"> This approach is consistent with </w:t>
      </w:r>
      <w:r w:rsidRPr="00CD6093">
        <w:rPr>
          <w:color w:val="365F91" w:themeColor="accent1" w:themeShade="BF"/>
        </w:rPr>
        <w:t>evidence-based clinical practice guidelines, which generally recommend conservative care for patients with</w:t>
      </w:r>
      <w:r w:rsidRPr="00CD6093">
        <w:t xml:space="preserve"> </w:t>
      </w:r>
      <w:r w:rsidRPr="00CD6093">
        <w:rPr>
          <w:color w:val="365F91" w:themeColor="accent1" w:themeShade="BF"/>
        </w:rPr>
        <w:t>moderate degenerative LSS, and surgical or invasive options where this approach is unsuccessful (</w:t>
      </w:r>
      <w:proofErr w:type="spellStart"/>
      <w:r w:rsidRPr="00CD6093">
        <w:rPr>
          <w:color w:val="365F91" w:themeColor="accent1" w:themeShade="BF"/>
        </w:rPr>
        <w:t>Kreiner</w:t>
      </w:r>
      <w:proofErr w:type="spellEnd"/>
      <w:r w:rsidR="008C4933" w:rsidRPr="00CD6093">
        <w:rPr>
          <w:color w:val="365F91" w:themeColor="accent1" w:themeShade="BF"/>
        </w:rPr>
        <w:t xml:space="preserve"> </w:t>
      </w:r>
      <w:r w:rsidRPr="00CD6093">
        <w:rPr>
          <w:color w:val="365F91" w:themeColor="accent1" w:themeShade="BF"/>
        </w:rPr>
        <w:t xml:space="preserve">2013). </w:t>
      </w:r>
    </w:p>
    <w:p w14:paraId="43A53074" w14:textId="42CA4DF2" w:rsidR="003D0F62" w:rsidRDefault="00654579" w:rsidP="003D0F62">
      <w:pPr>
        <w:ind w:left="284"/>
        <w:rPr>
          <w:color w:val="365F91" w:themeColor="accent1" w:themeShade="BF"/>
        </w:rPr>
      </w:pPr>
      <w:r w:rsidRPr="00CD6093">
        <w:rPr>
          <w:color w:val="365F91" w:themeColor="accent1" w:themeShade="BF"/>
        </w:rPr>
        <w:t>In patients for whom conservative care is unsuccessful, t</w:t>
      </w:r>
      <w:r w:rsidR="003D0F62" w:rsidRPr="00CD6093">
        <w:rPr>
          <w:color w:val="365F91" w:themeColor="accent1" w:themeShade="BF"/>
        </w:rPr>
        <w:t>he available treatment options are decompression with or without fusion surgery or fusion surgery alone.</w:t>
      </w:r>
      <w:r w:rsidR="008C4933" w:rsidRPr="00CD6093">
        <w:rPr>
          <w:color w:val="365F91" w:themeColor="accent1" w:themeShade="BF"/>
        </w:rPr>
        <w:t xml:space="preserve"> </w:t>
      </w:r>
      <w:r w:rsidR="003D0F62" w:rsidRPr="00CD6093">
        <w:rPr>
          <w:color w:val="365F91" w:themeColor="accent1" w:themeShade="BF"/>
        </w:rPr>
        <w:t xml:space="preserve">Decompression can be conducted with laminectomy, partial laminectomy, or spinous process osteotomy, depending on the nature of the pathology. The most </w:t>
      </w:r>
      <w:r w:rsidRPr="00CD6093">
        <w:rPr>
          <w:color w:val="365F91" w:themeColor="accent1" w:themeShade="BF"/>
        </w:rPr>
        <w:t>common</w:t>
      </w:r>
      <w:r w:rsidR="003D0F62" w:rsidRPr="00CD6093">
        <w:rPr>
          <w:color w:val="365F91" w:themeColor="accent1" w:themeShade="BF"/>
        </w:rPr>
        <w:t xml:space="preserve"> treatment option is usually compression without fusion surgery</w:t>
      </w:r>
      <w:r w:rsidR="000150D9" w:rsidRPr="00CD6093">
        <w:rPr>
          <w:color w:val="365F91" w:themeColor="accent1" w:themeShade="BF"/>
        </w:rPr>
        <w:t xml:space="preserve">; however, </w:t>
      </w:r>
      <w:r w:rsidRPr="00CD6093">
        <w:rPr>
          <w:color w:val="365F91" w:themeColor="accent1" w:themeShade="BF"/>
        </w:rPr>
        <w:t xml:space="preserve">some patients will receive both interventions together, and others will undergo surgical fusion </w:t>
      </w:r>
      <w:r w:rsidR="000150D9" w:rsidRPr="00CD6093">
        <w:rPr>
          <w:color w:val="365F91" w:themeColor="accent1" w:themeShade="BF"/>
        </w:rPr>
        <w:t>after the failure of decompression</w:t>
      </w:r>
      <w:r w:rsidRPr="00CD6093">
        <w:rPr>
          <w:color w:val="365F91" w:themeColor="accent1" w:themeShade="BF"/>
        </w:rPr>
        <w:t xml:space="preserve">. </w:t>
      </w:r>
      <w:r w:rsidR="008C4933" w:rsidRPr="008F566C">
        <w:rPr>
          <w:color w:val="365F91" w:themeColor="accent1" w:themeShade="BF"/>
        </w:rPr>
        <w:t xml:space="preserve">Additionally, it was noted in MSAC Application 1099 that </w:t>
      </w:r>
      <w:bookmarkStart w:id="5" w:name="_Hlk55904282"/>
      <w:r w:rsidR="008C4933" w:rsidRPr="008F566C">
        <w:rPr>
          <w:color w:val="365F91" w:themeColor="accent1" w:themeShade="BF"/>
        </w:rPr>
        <w:t>in Australia, fusion surgery is only occasionally performed without prior decompression</w:t>
      </w:r>
      <w:bookmarkEnd w:id="5"/>
      <w:r w:rsidR="008C4933" w:rsidRPr="00CD6093">
        <w:rPr>
          <w:color w:val="365F91" w:themeColor="accent1" w:themeShade="BF"/>
        </w:rPr>
        <w:t xml:space="preserve">. </w:t>
      </w:r>
      <w:r w:rsidRPr="00CD6093">
        <w:rPr>
          <w:color w:val="365F91" w:themeColor="accent1" w:themeShade="BF"/>
        </w:rPr>
        <w:t xml:space="preserve">The Lumbar Spinal Stenosis </w:t>
      </w:r>
      <w:r w:rsidRPr="00CD6093">
        <w:rPr>
          <w:color w:val="365F91" w:themeColor="accent1" w:themeShade="BF"/>
        </w:rPr>
        <w:lastRenderedPageBreak/>
        <w:t xml:space="preserve">Consensus Group Guidelines for Minimally Invasive Spine Treatment (MIST Guidelines) contain a consensus recommendation for the use of </w:t>
      </w:r>
      <w:r w:rsidR="00A40A38" w:rsidRPr="00CD6093">
        <w:rPr>
          <w:color w:val="365F91" w:themeColor="accent1" w:themeShade="BF"/>
        </w:rPr>
        <w:t>IDS</w:t>
      </w:r>
      <w:r w:rsidRPr="00CD6093">
        <w:rPr>
          <w:color w:val="365F91" w:themeColor="accent1" w:themeShade="BF"/>
        </w:rPr>
        <w:t xml:space="preserve">s to treat LSS. The guideline proposes that if </w:t>
      </w:r>
      <w:r w:rsidR="00A40A38" w:rsidRPr="00CD6093">
        <w:rPr>
          <w:color w:val="365F91" w:themeColor="accent1" w:themeShade="BF"/>
        </w:rPr>
        <w:t>IDS</w:t>
      </w:r>
      <w:r w:rsidRPr="00CD6093">
        <w:rPr>
          <w:color w:val="365F91" w:themeColor="accent1" w:themeShade="BF"/>
        </w:rPr>
        <w:t xml:space="preserve"> efficacy is at least equivalent to that of laminectomy, the less-invasive </w:t>
      </w:r>
      <w:r w:rsidR="00A40A38" w:rsidRPr="00CD6093">
        <w:rPr>
          <w:color w:val="365F91" w:themeColor="accent1" w:themeShade="BF"/>
        </w:rPr>
        <w:t>IDS</w:t>
      </w:r>
      <w:r w:rsidRPr="00CD6093">
        <w:rPr>
          <w:color w:val="365F91" w:themeColor="accent1" w:themeShade="BF"/>
        </w:rPr>
        <w:t xml:space="preserve"> procedure, with its lower risk and complication rate, is the preferable treatment option (Deer 2019).</w:t>
      </w:r>
    </w:p>
    <w:p w14:paraId="33409D72" w14:textId="78784B67" w:rsidR="003D0F62" w:rsidRDefault="003D0F62" w:rsidP="003D0F62">
      <w:pPr>
        <w:ind w:left="284"/>
        <w:rPr>
          <w:color w:val="365F91" w:themeColor="accent1" w:themeShade="BF"/>
        </w:rPr>
      </w:pPr>
      <w:r w:rsidRPr="002303F1">
        <w:rPr>
          <w:color w:val="365F91" w:themeColor="accent1" w:themeShade="BF"/>
        </w:rPr>
        <w:t xml:space="preserve">The </w:t>
      </w:r>
      <w:r w:rsidR="008C4933">
        <w:rPr>
          <w:color w:val="365F91" w:themeColor="accent1" w:themeShade="BF"/>
        </w:rPr>
        <w:t>current</w:t>
      </w:r>
      <w:r w:rsidRPr="002303F1">
        <w:rPr>
          <w:color w:val="365F91" w:themeColor="accent1" w:themeShade="BF"/>
        </w:rPr>
        <w:t xml:space="preserve"> clinical management algorithm for </w:t>
      </w:r>
      <w:r w:rsidR="008C4933">
        <w:rPr>
          <w:color w:val="365F91" w:themeColor="accent1" w:themeShade="BF"/>
        </w:rPr>
        <w:t xml:space="preserve">the treatment of </w:t>
      </w:r>
      <w:r w:rsidRPr="00A317A3">
        <w:rPr>
          <w:color w:val="365F91" w:themeColor="accent1" w:themeShade="BF"/>
        </w:rPr>
        <w:t xml:space="preserve">moderate degenerative LSS </w:t>
      </w:r>
      <w:r w:rsidR="00210015">
        <w:rPr>
          <w:color w:val="365F91" w:themeColor="accent1" w:themeShade="BF"/>
        </w:rPr>
        <w:t xml:space="preserve">is summarised in </w:t>
      </w:r>
      <w:r>
        <w:rPr>
          <w:color w:val="365F91" w:themeColor="accent1" w:themeShade="BF"/>
        </w:rPr>
        <w:t>Attachment X</w:t>
      </w:r>
      <w:r w:rsidR="00210015">
        <w:rPr>
          <w:color w:val="365F91" w:themeColor="accent1" w:themeShade="BF"/>
        </w:rPr>
        <w:t>.</w:t>
      </w:r>
      <w:r w:rsidRPr="002303F1">
        <w:rPr>
          <w:color w:val="365F91" w:themeColor="accent1" w:themeShade="BF"/>
        </w:rPr>
        <w:t xml:space="preserve"> </w:t>
      </w:r>
    </w:p>
    <w:p w14:paraId="50E4E6F2" w14:textId="77777777" w:rsidR="003D0F62" w:rsidRPr="00881F93" w:rsidRDefault="003D0F62" w:rsidP="003D0F62">
      <w:pPr>
        <w:pStyle w:val="Subtitle"/>
      </w:pPr>
      <w:r>
        <w:t xml:space="preserve">PART 6b – </w:t>
      </w:r>
      <w:r w:rsidRPr="00881F93">
        <w:t>INFORMATION ABOUT THE INTERVENTION</w:t>
      </w:r>
    </w:p>
    <w:p w14:paraId="787CA528" w14:textId="77777777" w:rsidR="003D0F62" w:rsidRPr="00154B00" w:rsidRDefault="003D0F62" w:rsidP="003D0F62">
      <w:pPr>
        <w:pStyle w:val="Heading2"/>
      </w:pPr>
      <w:r w:rsidRPr="00154B00">
        <w:t xml:space="preserve">Describe </w:t>
      </w:r>
      <w:r w:rsidRPr="00DA7D0C">
        <w:t>the</w:t>
      </w:r>
      <w:r w:rsidRPr="00154B00">
        <w:t xml:space="preserve"> key components and clinical steps involved in delivering </w:t>
      </w:r>
      <w:r>
        <w:t>the proposed medical service:</w:t>
      </w:r>
    </w:p>
    <w:p w14:paraId="45C55F58" w14:textId="0E89D389" w:rsidR="0098540D" w:rsidRDefault="0098540D" w:rsidP="00940C4B">
      <w:pPr>
        <w:ind w:left="426"/>
        <w:rPr>
          <w:color w:val="365F91" w:themeColor="accent1" w:themeShade="BF"/>
        </w:rPr>
      </w:pPr>
      <w:r>
        <w:rPr>
          <w:color w:val="365F91" w:themeColor="accent1" w:themeShade="BF"/>
        </w:rPr>
        <w:t xml:space="preserve">While </w:t>
      </w:r>
      <w:r w:rsidR="00A40A38">
        <w:rPr>
          <w:color w:val="365F91" w:themeColor="accent1" w:themeShade="BF"/>
        </w:rPr>
        <w:t>IDS</w:t>
      </w:r>
      <w:r>
        <w:rPr>
          <w:color w:val="365F91" w:themeColor="accent1" w:themeShade="BF"/>
        </w:rPr>
        <w:t xml:space="preserve">s differ in their exact design, they can be broadly described as implants that fit between the spinous processes of the lumbar spine. </w:t>
      </w:r>
      <w:r w:rsidR="003D0F62" w:rsidRPr="00E76A68">
        <w:rPr>
          <w:color w:val="365F91" w:themeColor="accent1" w:themeShade="BF"/>
        </w:rPr>
        <w:t>The process</w:t>
      </w:r>
      <w:r w:rsidR="003D0F62">
        <w:rPr>
          <w:color w:val="365F91" w:themeColor="accent1" w:themeShade="BF"/>
        </w:rPr>
        <w:t xml:space="preserve"> for implanting an </w:t>
      </w:r>
      <w:r w:rsidR="00A40A38">
        <w:rPr>
          <w:color w:val="365F91" w:themeColor="accent1" w:themeShade="BF"/>
        </w:rPr>
        <w:t>IDS</w:t>
      </w:r>
      <w:r w:rsidR="003D0F62">
        <w:rPr>
          <w:color w:val="365F91" w:themeColor="accent1" w:themeShade="BF"/>
        </w:rPr>
        <w:t xml:space="preserve"> </w:t>
      </w:r>
      <w:r w:rsidR="00DF37BD" w:rsidRPr="00A02E41">
        <w:rPr>
          <w:color w:val="365F91" w:themeColor="accent1" w:themeShade="BF"/>
        </w:rPr>
        <w:t>such as Superion</w:t>
      </w:r>
      <w:r w:rsidR="00DF37BD">
        <w:rPr>
          <w:color w:val="365F91" w:themeColor="accent1" w:themeShade="BF"/>
        </w:rPr>
        <w:t xml:space="preserve"> </w:t>
      </w:r>
      <w:r w:rsidR="003D0F62">
        <w:rPr>
          <w:color w:val="365F91" w:themeColor="accent1" w:themeShade="BF"/>
        </w:rPr>
        <w:t xml:space="preserve">is minimally invasive and is generally undertaken in </w:t>
      </w:r>
      <w:r w:rsidR="003D0F62" w:rsidRPr="00A02E41">
        <w:rPr>
          <w:color w:val="365F91" w:themeColor="accent1" w:themeShade="BF"/>
        </w:rPr>
        <w:t xml:space="preserve">a </w:t>
      </w:r>
      <w:r w:rsidR="00DF37BD" w:rsidRPr="00A02E41">
        <w:rPr>
          <w:color w:val="365F91" w:themeColor="accent1" w:themeShade="BF"/>
        </w:rPr>
        <w:t>day surgery</w:t>
      </w:r>
      <w:r w:rsidR="00DF37BD" w:rsidRPr="00DF37BD">
        <w:rPr>
          <w:color w:val="365F91" w:themeColor="accent1" w:themeShade="BF"/>
        </w:rPr>
        <w:t xml:space="preserve"> </w:t>
      </w:r>
      <w:r w:rsidR="003D0F62">
        <w:rPr>
          <w:color w:val="365F91" w:themeColor="accent1" w:themeShade="BF"/>
        </w:rPr>
        <w:t xml:space="preserve">setting </w:t>
      </w:r>
      <w:r w:rsidR="009807FF">
        <w:rPr>
          <w:color w:val="365F91" w:themeColor="accent1" w:themeShade="BF"/>
        </w:rPr>
        <w:t>(</w:t>
      </w:r>
      <w:r w:rsidR="003D0F62">
        <w:rPr>
          <w:color w:val="365F91" w:themeColor="accent1" w:themeShade="BF"/>
        </w:rPr>
        <w:t>without the need for hospital admission</w:t>
      </w:r>
      <w:r w:rsidR="009807FF">
        <w:rPr>
          <w:color w:val="365F91" w:themeColor="accent1" w:themeShade="BF"/>
        </w:rPr>
        <w:t xml:space="preserve">) </w:t>
      </w:r>
      <w:r w:rsidR="003D0F62">
        <w:rPr>
          <w:color w:val="365F91" w:themeColor="accent1" w:themeShade="BF"/>
        </w:rPr>
        <w:t xml:space="preserve">under local anaesthesia with conscious sedation. </w:t>
      </w:r>
      <w:r w:rsidR="00A40A38">
        <w:rPr>
          <w:color w:val="365F91" w:themeColor="accent1" w:themeShade="BF"/>
        </w:rPr>
        <w:t>IDS</w:t>
      </w:r>
      <w:r w:rsidR="003D0F62" w:rsidRPr="00B37448">
        <w:rPr>
          <w:color w:val="365F91" w:themeColor="accent1" w:themeShade="BF"/>
        </w:rPr>
        <w:t xml:space="preserve"> placement may be performed by interventional pain physicians sufficiently adept at implantable device procedures (e.g., spinal cord stimulators), and does not require the services of a</w:t>
      </w:r>
      <w:r w:rsidR="00A2355F">
        <w:rPr>
          <w:color w:val="365F91" w:themeColor="accent1" w:themeShade="BF"/>
        </w:rPr>
        <w:t>n orthopaedic</w:t>
      </w:r>
      <w:r w:rsidR="003D0F62" w:rsidRPr="00B37448">
        <w:rPr>
          <w:color w:val="365F91" w:themeColor="accent1" w:themeShade="BF"/>
        </w:rPr>
        <w:t xml:space="preserve"> surgeon or neurosurgeon.</w:t>
      </w:r>
      <w:r w:rsidR="003D0F62">
        <w:rPr>
          <w:color w:val="365F91" w:themeColor="accent1" w:themeShade="BF"/>
        </w:rPr>
        <w:t xml:space="preserve"> </w:t>
      </w:r>
    </w:p>
    <w:p w14:paraId="7C4F7E2D" w14:textId="7B4D1CBE" w:rsidR="003D0F62" w:rsidRDefault="00DF37BD" w:rsidP="00940C4B">
      <w:pPr>
        <w:ind w:left="426"/>
        <w:rPr>
          <w:color w:val="365F91" w:themeColor="accent1" w:themeShade="BF"/>
        </w:rPr>
      </w:pPr>
      <w:r>
        <w:rPr>
          <w:color w:val="365F91" w:themeColor="accent1" w:themeShade="BF"/>
        </w:rPr>
        <w:t>The p</w:t>
      </w:r>
      <w:r w:rsidR="003D0F62">
        <w:rPr>
          <w:color w:val="365F91" w:themeColor="accent1" w:themeShade="BF"/>
        </w:rPr>
        <w:t xml:space="preserve">lacement of </w:t>
      </w:r>
      <w:r w:rsidR="009807FF">
        <w:rPr>
          <w:color w:val="365F91" w:themeColor="accent1" w:themeShade="BF"/>
        </w:rPr>
        <w:t xml:space="preserve">the </w:t>
      </w:r>
      <w:r w:rsidR="00412CE9">
        <w:rPr>
          <w:color w:val="365F91" w:themeColor="accent1" w:themeShade="BF"/>
        </w:rPr>
        <w:t>Superio</w:t>
      </w:r>
      <w:r w:rsidR="00014D8E">
        <w:rPr>
          <w:color w:val="365F91" w:themeColor="accent1" w:themeShade="BF"/>
        </w:rPr>
        <w:t>n</w:t>
      </w:r>
      <w:r w:rsidR="009807FF">
        <w:rPr>
          <w:color w:val="365F91" w:themeColor="accent1" w:themeShade="BF"/>
        </w:rPr>
        <w:t xml:space="preserve"> IDS</w:t>
      </w:r>
      <w:r w:rsidR="00014D8E">
        <w:rPr>
          <w:color w:val="365F91" w:themeColor="accent1" w:themeShade="BF"/>
        </w:rPr>
        <w:t xml:space="preserve"> </w:t>
      </w:r>
      <w:r w:rsidR="003D0F62">
        <w:rPr>
          <w:color w:val="365F91" w:themeColor="accent1" w:themeShade="BF"/>
        </w:rPr>
        <w:t xml:space="preserve">is generally via a midline approach through a cannula roughly 12 mm in diameter. </w:t>
      </w:r>
      <w:r w:rsidR="003D0F62" w:rsidRPr="00B37448">
        <w:rPr>
          <w:color w:val="365F91" w:themeColor="accent1" w:themeShade="BF"/>
        </w:rPr>
        <w:t>The implant is positioned between adjacent spinous processes dorsal to the lamina, and the cannula is removed. Excepting only the initial skin incision to place the cannula, no tissue is dissected or resected, and the implant is positioned dorsal to the neural elements. In the event of treatment failure, the implant may be removed in the same minimally invasive manner in which it was implanted</w:t>
      </w:r>
      <w:r w:rsidR="003D0F62" w:rsidRPr="00A02E41">
        <w:rPr>
          <w:color w:val="365F91" w:themeColor="accent1" w:themeShade="BF"/>
        </w:rPr>
        <w:t xml:space="preserve">. </w:t>
      </w:r>
      <w:r w:rsidR="009807FF" w:rsidRPr="00A02E41">
        <w:rPr>
          <w:color w:val="365F91" w:themeColor="accent1" w:themeShade="BF"/>
        </w:rPr>
        <w:t xml:space="preserve">To note, the placement of IDSs may differ in clinical practice but </w:t>
      </w:r>
      <w:r w:rsidR="00864251" w:rsidRPr="00A02E41">
        <w:rPr>
          <w:color w:val="365F91" w:themeColor="accent1" w:themeShade="BF"/>
        </w:rPr>
        <w:t>the proposed MBS listing is limited to those that are implanted using a</w:t>
      </w:r>
      <w:r w:rsidR="009807FF" w:rsidRPr="00A02E41">
        <w:rPr>
          <w:color w:val="365F91" w:themeColor="accent1" w:themeShade="BF"/>
        </w:rPr>
        <w:t xml:space="preserve"> minimally invasive approach. </w:t>
      </w:r>
      <w:r w:rsidR="00DC07B9" w:rsidRPr="00A02E41">
        <w:rPr>
          <w:color w:val="365F91" w:themeColor="accent1" w:themeShade="BF"/>
        </w:rPr>
        <w:t xml:space="preserve">Any </w:t>
      </w:r>
      <w:r w:rsidR="009807FF" w:rsidRPr="00A02E41">
        <w:rPr>
          <w:color w:val="365F91" w:themeColor="accent1" w:themeShade="BF"/>
        </w:rPr>
        <w:t xml:space="preserve">differences between Superion and other IDSs </w:t>
      </w:r>
      <w:r w:rsidR="00DC07B9" w:rsidRPr="00A02E41">
        <w:rPr>
          <w:color w:val="365F91" w:themeColor="accent1" w:themeShade="BF"/>
        </w:rPr>
        <w:t xml:space="preserve">in terms of the implantation procedure </w:t>
      </w:r>
      <w:r w:rsidR="009807FF" w:rsidRPr="00A02E41">
        <w:rPr>
          <w:color w:val="365F91" w:themeColor="accent1" w:themeShade="BF"/>
        </w:rPr>
        <w:t>will be explored in the ADAR.</w:t>
      </w:r>
    </w:p>
    <w:p w14:paraId="03192B09" w14:textId="203E2E86" w:rsidR="0098540D" w:rsidRPr="00E76A68" w:rsidRDefault="0098540D" w:rsidP="00940C4B">
      <w:pPr>
        <w:ind w:left="426"/>
        <w:rPr>
          <w:color w:val="365F91" w:themeColor="accent1" w:themeShade="BF"/>
        </w:rPr>
      </w:pPr>
      <w:r>
        <w:rPr>
          <w:color w:val="365F91" w:themeColor="accent1" w:themeShade="BF"/>
        </w:rPr>
        <w:t xml:space="preserve">The TGA approved indication states that the </w:t>
      </w:r>
      <w:r w:rsidRPr="0098540D">
        <w:rPr>
          <w:color w:val="365F91" w:themeColor="accent1" w:themeShade="BF"/>
        </w:rPr>
        <w:t xml:space="preserve">Superion </w:t>
      </w:r>
      <w:r w:rsidR="00A40A38">
        <w:rPr>
          <w:color w:val="365F91" w:themeColor="accent1" w:themeShade="BF"/>
        </w:rPr>
        <w:t>IDS</w:t>
      </w:r>
      <w:r w:rsidRPr="0098540D">
        <w:rPr>
          <w:color w:val="365F91" w:themeColor="accent1" w:themeShade="BF"/>
        </w:rPr>
        <w:t xml:space="preserve"> may be implanted at one or two adjacent lumbar levels in patients in whom operative treatment is indicated at no more than two levels, from L1 to L5.</w:t>
      </w:r>
      <w:r>
        <w:rPr>
          <w:color w:val="365F91" w:themeColor="accent1" w:themeShade="BF"/>
        </w:rPr>
        <w:t xml:space="preserve"> Therefore, a proportion of patients with evidence of stenosis at more than just one level may require the implantation of two devices. </w:t>
      </w:r>
      <w:r w:rsidR="003801A7">
        <w:rPr>
          <w:color w:val="365F91" w:themeColor="accent1" w:themeShade="BF"/>
        </w:rPr>
        <w:t xml:space="preserve">Based on the current utilisation of one and two-level laminectomies (MBS items 51011 and 51012), it is expected that approximately 31% of patients treated with </w:t>
      </w:r>
      <w:r w:rsidR="00A40A38">
        <w:rPr>
          <w:color w:val="365F91" w:themeColor="accent1" w:themeShade="BF"/>
        </w:rPr>
        <w:t>IDS</w:t>
      </w:r>
      <w:r w:rsidR="003801A7">
        <w:rPr>
          <w:color w:val="365F91" w:themeColor="accent1" w:themeShade="BF"/>
        </w:rPr>
        <w:t xml:space="preserve">s will be implanted at two levels. </w:t>
      </w:r>
    </w:p>
    <w:p w14:paraId="588E130F" w14:textId="77777777" w:rsidR="003D0F62" w:rsidRPr="0097548C" w:rsidRDefault="003D0F62" w:rsidP="003D0F62">
      <w:pPr>
        <w:pStyle w:val="Heading2"/>
      </w:pPr>
      <w:r w:rsidRPr="0097548C">
        <w:t>Does the proposed medical service include a registered trademark component with characteristics that distinguishes it from other similar health components?</w:t>
      </w:r>
    </w:p>
    <w:p w14:paraId="19062BF3" w14:textId="7FA2A7BC" w:rsidR="0097548C" w:rsidRDefault="00A02E41" w:rsidP="00940C4B">
      <w:pPr>
        <w:ind w:left="426"/>
        <w:rPr>
          <w:color w:val="365F91" w:themeColor="accent1" w:themeShade="BF"/>
        </w:rPr>
      </w:pPr>
      <w:proofErr w:type="spellStart"/>
      <w:r>
        <w:rPr>
          <w:color w:val="365F91" w:themeColor="accent1" w:themeShade="BF"/>
        </w:rPr>
        <w:t>Superion</w:t>
      </w:r>
      <w:proofErr w:type="spellEnd"/>
      <w:r>
        <w:rPr>
          <w:color w:val="365F91" w:themeColor="accent1" w:themeShade="BF"/>
        </w:rPr>
        <w:t xml:space="preserve"> is the only registered device that is indicated for placement without decompression surgery</w:t>
      </w:r>
      <w:r w:rsidR="0042012C">
        <w:rPr>
          <w:color w:val="365F91" w:themeColor="accent1" w:themeShade="BF"/>
        </w:rPr>
        <w:t>.</w:t>
      </w:r>
      <w:r>
        <w:rPr>
          <w:color w:val="365F91" w:themeColor="accent1" w:themeShade="BF"/>
        </w:rPr>
        <w:t xml:space="preserve"> </w:t>
      </w:r>
      <w:r w:rsidR="0042012C">
        <w:rPr>
          <w:color w:val="365F91" w:themeColor="accent1" w:themeShade="BF"/>
        </w:rPr>
        <w:t xml:space="preserve">The proposed medical service is for the implantation of any minimally invasive IDS that meets the item descriptor, not restricted to </w:t>
      </w:r>
      <w:proofErr w:type="spellStart"/>
      <w:r w:rsidR="0042012C">
        <w:rPr>
          <w:color w:val="365F91" w:themeColor="accent1" w:themeShade="BF"/>
        </w:rPr>
        <w:t>Superion</w:t>
      </w:r>
      <w:proofErr w:type="spellEnd"/>
      <w:r w:rsidR="0042012C">
        <w:rPr>
          <w:color w:val="365F91" w:themeColor="accent1" w:themeShade="BF"/>
        </w:rPr>
        <w:t>.</w:t>
      </w:r>
    </w:p>
    <w:p w14:paraId="48AC8839" w14:textId="77777777" w:rsidR="003D0F62" w:rsidRDefault="003D0F62" w:rsidP="003D0F62">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1DF2D1A5" w14:textId="4F93285A" w:rsidR="003D0F62" w:rsidRDefault="009807FF" w:rsidP="00940C4B">
      <w:pPr>
        <w:ind w:left="426"/>
        <w:rPr>
          <w:color w:val="365F91" w:themeColor="accent1" w:themeShade="BF"/>
        </w:rPr>
      </w:pPr>
      <w:r w:rsidRPr="0042012C">
        <w:rPr>
          <w:color w:val="365F91" w:themeColor="accent1" w:themeShade="BF"/>
        </w:rPr>
        <w:t xml:space="preserve">The </w:t>
      </w:r>
      <w:r w:rsidR="00DC07B9" w:rsidRPr="0042012C">
        <w:rPr>
          <w:color w:val="365F91" w:themeColor="accent1" w:themeShade="BF"/>
        </w:rPr>
        <w:t>implantation</w:t>
      </w:r>
      <w:r w:rsidRPr="0042012C">
        <w:rPr>
          <w:color w:val="365F91" w:themeColor="accent1" w:themeShade="BF"/>
        </w:rPr>
        <w:t xml:space="preserve"> of </w:t>
      </w:r>
      <w:r w:rsidR="00DC07B9" w:rsidRPr="0042012C">
        <w:rPr>
          <w:color w:val="365F91" w:themeColor="accent1" w:themeShade="BF"/>
        </w:rPr>
        <w:t xml:space="preserve">an </w:t>
      </w:r>
      <w:r w:rsidRPr="0042012C">
        <w:rPr>
          <w:color w:val="365F91" w:themeColor="accent1" w:themeShade="BF"/>
        </w:rPr>
        <w:t>IDS is</w:t>
      </w:r>
      <w:r>
        <w:rPr>
          <w:color w:val="365F91" w:themeColor="accent1" w:themeShade="BF"/>
        </w:rPr>
        <w:t xml:space="preserve"> </w:t>
      </w:r>
      <w:r w:rsidR="0097548C">
        <w:rPr>
          <w:color w:val="365F91" w:themeColor="accent1" w:themeShade="BF"/>
        </w:rPr>
        <w:t xml:space="preserve">less invasive </w:t>
      </w:r>
      <w:r w:rsidR="00DC07B9">
        <w:rPr>
          <w:color w:val="365F91" w:themeColor="accent1" w:themeShade="BF"/>
        </w:rPr>
        <w:t>and associated</w:t>
      </w:r>
      <w:r w:rsidR="0097548C">
        <w:rPr>
          <w:color w:val="365F91" w:themeColor="accent1" w:themeShade="BF"/>
        </w:rPr>
        <w:t xml:space="preserve"> with fewer complications than traditional approaches to the management of </w:t>
      </w:r>
      <w:r w:rsidR="0097548C" w:rsidRPr="0042012C">
        <w:rPr>
          <w:color w:val="365F91" w:themeColor="accent1" w:themeShade="BF"/>
        </w:rPr>
        <w:t>LSS</w:t>
      </w:r>
      <w:r w:rsidRPr="0042012C">
        <w:rPr>
          <w:color w:val="365F91" w:themeColor="accent1" w:themeShade="BF"/>
        </w:rPr>
        <w:t xml:space="preserve"> (e.g. decompression surgery)</w:t>
      </w:r>
      <w:r w:rsidR="00DC07B9" w:rsidRPr="0042012C">
        <w:rPr>
          <w:color w:val="365F91" w:themeColor="accent1" w:themeShade="BF"/>
        </w:rPr>
        <w:t>.</w:t>
      </w:r>
      <w:r w:rsidR="0097548C" w:rsidRPr="0042012C">
        <w:rPr>
          <w:color w:val="365F91" w:themeColor="accent1" w:themeShade="BF"/>
        </w:rPr>
        <w:t xml:space="preserve"> </w:t>
      </w:r>
      <w:r w:rsidR="00DC07B9" w:rsidRPr="0042012C">
        <w:rPr>
          <w:color w:val="365F91" w:themeColor="accent1" w:themeShade="BF"/>
        </w:rPr>
        <w:t>T</w:t>
      </w:r>
      <w:r w:rsidR="0097548C" w:rsidRPr="0042012C">
        <w:rPr>
          <w:color w:val="365F91" w:themeColor="accent1" w:themeShade="BF"/>
        </w:rPr>
        <w:t>he</w:t>
      </w:r>
      <w:r w:rsidRPr="0042012C">
        <w:rPr>
          <w:color w:val="365F91" w:themeColor="accent1" w:themeShade="BF"/>
        </w:rPr>
        <w:t>refore, the</w:t>
      </w:r>
      <w:r w:rsidR="003D0F62" w:rsidRPr="0042012C">
        <w:rPr>
          <w:color w:val="365F91" w:themeColor="accent1" w:themeShade="BF"/>
        </w:rPr>
        <w:t xml:space="preserve"> use of an </w:t>
      </w:r>
      <w:r w:rsidR="00A40A38" w:rsidRPr="0042012C">
        <w:rPr>
          <w:color w:val="365F91" w:themeColor="accent1" w:themeShade="BF"/>
        </w:rPr>
        <w:t>IDS</w:t>
      </w:r>
      <w:r w:rsidR="003D0F62" w:rsidRPr="0042012C">
        <w:rPr>
          <w:color w:val="365F91" w:themeColor="accent1" w:themeShade="BF"/>
        </w:rPr>
        <w:t xml:space="preserve"> </w:t>
      </w:r>
      <w:r w:rsidR="0097548C" w:rsidRPr="0042012C">
        <w:rPr>
          <w:color w:val="365F91" w:themeColor="accent1" w:themeShade="BF"/>
        </w:rPr>
        <w:t>would result in</w:t>
      </w:r>
      <w:r w:rsidR="003D0F62" w:rsidRPr="0042012C">
        <w:rPr>
          <w:color w:val="365F91" w:themeColor="accent1" w:themeShade="BF"/>
        </w:rPr>
        <w:t xml:space="preserve"> </w:t>
      </w:r>
      <w:r w:rsidR="00A85E0C" w:rsidRPr="0042012C">
        <w:rPr>
          <w:color w:val="365F91" w:themeColor="accent1" w:themeShade="BF"/>
        </w:rPr>
        <w:t xml:space="preserve">a </w:t>
      </w:r>
      <w:r w:rsidR="003D0F62" w:rsidRPr="0042012C">
        <w:rPr>
          <w:color w:val="365F91" w:themeColor="accent1" w:themeShade="BF"/>
        </w:rPr>
        <w:t>change to the manner in which patients with moderate</w:t>
      </w:r>
      <w:r w:rsidR="003D0F62">
        <w:rPr>
          <w:color w:val="365F91" w:themeColor="accent1" w:themeShade="BF"/>
        </w:rPr>
        <w:t xml:space="preserve"> degenerat</w:t>
      </w:r>
      <w:r w:rsidR="0097548C">
        <w:rPr>
          <w:color w:val="365F91" w:themeColor="accent1" w:themeShade="BF"/>
        </w:rPr>
        <w:t>ive</w:t>
      </w:r>
      <w:r w:rsidR="003D0F62">
        <w:rPr>
          <w:color w:val="365F91" w:themeColor="accent1" w:themeShade="BF"/>
        </w:rPr>
        <w:t xml:space="preserve"> LSS </w:t>
      </w:r>
      <w:r w:rsidR="0097548C">
        <w:rPr>
          <w:color w:val="365F91" w:themeColor="accent1" w:themeShade="BF"/>
        </w:rPr>
        <w:t>are managed.</w:t>
      </w:r>
    </w:p>
    <w:p w14:paraId="07615FBE" w14:textId="77777777" w:rsidR="003D0F62" w:rsidRPr="00E357B9" w:rsidRDefault="003D0F62" w:rsidP="003D0F62">
      <w:pPr>
        <w:pStyle w:val="Heading2"/>
      </w:pPr>
      <w:r w:rsidRPr="00154B00">
        <w:t xml:space="preserve">If applicable, are there any limitations on the </w:t>
      </w:r>
      <w:r>
        <w:t xml:space="preserve">provision </w:t>
      </w:r>
      <w:r w:rsidRPr="00154B00">
        <w:t>of the proposed medical se</w:t>
      </w:r>
      <w:r>
        <w:t xml:space="preserve">rvice delivered to the patient (i.e. accessibility, </w:t>
      </w:r>
      <w:r w:rsidRPr="0073597B">
        <w:t>dosage</w:t>
      </w:r>
      <w:r>
        <w:t>, quantity, duration or frequency):</w:t>
      </w:r>
    </w:p>
    <w:p w14:paraId="3DA2A35C" w14:textId="43B9FDC9" w:rsidR="003D0F62" w:rsidRDefault="003D0F62" w:rsidP="00940C4B">
      <w:pPr>
        <w:ind w:left="426"/>
        <w:rPr>
          <w:color w:val="365F91" w:themeColor="accent1" w:themeShade="BF"/>
        </w:rPr>
      </w:pPr>
      <w:r>
        <w:rPr>
          <w:color w:val="365F91" w:themeColor="accent1" w:themeShade="BF"/>
        </w:rPr>
        <w:t xml:space="preserve">In terms of </w:t>
      </w:r>
      <w:r w:rsidR="0097548C">
        <w:rPr>
          <w:color w:val="365F91" w:themeColor="accent1" w:themeShade="BF"/>
        </w:rPr>
        <w:t>procedure complexity and resources,</w:t>
      </w:r>
      <w:r>
        <w:rPr>
          <w:color w:val="365F91" w:themeColor="accent1" w:themeShade="BF"/>
        </w:rPr>
        <w:t xml:space="preserve"> implantation of an </w:t>
      </w:r>
      <w:r w:rsidR="00A40A38">
        <w:rPr>
          <w:color w:val="365F91" w:themeColor="accent1" w:themeShade="BF"/>
        </w:rPr>
        <w:t>IDS</w:t>
      </w:r>
      <w:r>
        <w:rPr>
          <w:color w:val="365F91" w:themeColor="accent1" w:themeShade="BF"/>
        </w:rPr>
        <w:t xml:space="preserve"> is clinically similar to </w:t>
      </w:r>
      <w:r w:rsidR="0097548C">
        <w:rPr>
          <w:color w:val="365F91" w:themeColor="accent1" w:themeShade="BF"/>
        </w:rPr>
        <w:t>laminectomy</w:t>
      </w:r>
      <w:r>
        <w:rPr>
          <w:color w:val="365F91" w:themeColor="accent1" w:themeShade="BF"/>
        </w:rPr>
        <w:t xml:space="preserve">. Therefore, the </w:t>
      </w:r>
      <w:r w:rsidRPr="00E47144">
        <w:rPr>
          <w:color w:val="365F91" w:themeColor="accent1" w:themeShade="BF"/>
        </w:rPr>
        <w:t xml:space="preserve">necessary capabilities to perform </w:t>
      </w:r>
      <w:r w:rsidR="00A40A38">
        <w:rPr>
          <w:color w:val="365F91" w:themeColor="accent1" w:themeShade="BF"/>
        </w:rPr>
        <w:t>IDS</w:t>
      </w:r>
      <w:r>
        <w:rPr>
          <w:color w:val="365F91" w:themeColor="accent1" w:themeShade="BF"/>
        </w:rPr>
        <w:t xml:space="preserve"> implantation are already established at the relevant clinics and institutions. </w:t>
      </w:r>
    </w:p>
    <w:p w14:paraId="2361E820" w14:textId="77777777" w:rsidR="003D0F62" w:rsidRPr="00154B00" w:rsidRDefault="003D0F62" w:rsidP="003D0F62">
      <w:pPr>
        <w:pStyle w:val="Heading2"/>
      </w:pPr>
      <w:r w:rsidRPr="00154B00">
        <w:t xml:space="preserve">If </w:t>
      </w:r>
      <w:r w:rsidRPr="0073597B">
        <w:t>applicable</w:t>
      </w:r>
      <w:r w:rsidRPr="00154B00">
        <w:t xml:space="preserve">, identify any healthcare resources </w:t>
      </w:r>
      <w:r>
        <w:t xml:space="preserve">or other medical services </w:t>
      </w:r>
      <w:r w:rsidRPr="00154B00">
        <w:t xml:space="preserve">that would need to be delivered </w:t>
      </w:r>
      <w:r w:rsidRPr="007C2260">
        <w:rPr>
          <w:u w:val="single"/>
        </w:rPr>
        <w:t>at the same time</w:t>
      </w:r>
      <w:r w:rsidRPr="00154B00">
        <w:t xml:space="preserve"> </w:t>
      </w:r>
      <w:r>
        <w:t>as the proposed medical service:</w:t>
      </w:r>
    </w:p>
    <w:p w14:paraId="7E12D615" w14:textId="1BE035C9" w:rsidR="003D0F62" w:rsidRPr="00E47144" w:rsidRDefault="00A40A38" w:rsidP="00940C4B">
      <w:pPr>
        <w:ind w:left="426"/>
        <w:rPr>
          <w:color w:val="365F91" w:themeColor="accent1" w:themeShade="BF"/>
        </w:rPr>
      </w:pPr>
      <w:r>
        <w:rPr>
          <w:color w:val="365F91" w:themeColor="accent1" w:themeShade="BF"/>
        </w:rPr>
        <w:t>IDS</w:t>
      </w:r>
      <w:r w:rsidR="003D0F62">
        <w:rPr>
          <w:color w:val="365F91" w:themeColor="accent1" w:themeShade="BF"/>
        </w:rPr>
        <w:t xml:space="preserve"> percutaneous implantation is commonly provided under local anaesthesia with conscious sedation. An anaesthetist may be required to provide the appropriate level of sedation. </w:t>
      </w:r>
    </w:p>
    <w:p w14:paraId="33ABE841" w14:textId="77777777" w:rsidR="003D0F62" w:rsidRDefault="003D0F62" w:rsidP="003D0F62">
      <w:pPr>
        <w:pStyle w:val="Heading2"/>
      </w:pPr>
      <w:r w:rsidRPr="00154B00">
        <w:lastRenderedPageBreak/>
        <w:t xml:space="preserve">If applicable, advise which health professionals will primarily deliver the proposed </w:t>
      </w:r>
      <w:r>
        <w:t>service:</w:t>
      </w:r>
    </w:p>
    <w:p w14:paraId="64F9CC92" w14:textId="5C6F13FD" w:rsidR="003D0F62" w:rsidRDefault="0042012C" w:rsidP="00940C4B">
      <w:pPr>
        <w:ind w:left="426"/>
        <w:rPr>
          <w:color w:val="365F91" w:themeColor="accent1" w:themeShade="BF"/>
        </w:rPr>
      </w:pPr>
      <w:r w:rsidRPr="0042012C">
        <w:rPr>
          <w:color w:val="365F91" w:themeColor="accent1" w:themeShade="BF"/>
        </w:rPr>
        <w:t xml:space="preserve">Pain Specialists will primarily perform this </w:t>
      </w:r>
      <w:proofErr w:type="gramStart"/>
      <w:r w:rsidRPr="0042012C">
        <w:rPr>
          <w:color w:val="365F91" w:themeColor="accent1" w:themeShade="BF"/>
        </w:rPr>
        <w:t>procedure(</w:t>
      </w:r>
      <w:proofErr w:type="gramEnd"/>
      <w:r w:rsidRPr="0042012C">
        <w:rPr>
          <w:color w:val="365F91" w:themeColor="accent1" w:themeShade="BF"/>
        </w:rPr>
        <w:t>&gt;85%), with orthopaedic, spine, and neurosurgeons being a smaller group of treating physicians</w:t>
      </w:r>
      <w:r>
        <w:rPr>
          <w:color w:val="365F91" w:themeColor="accent1" w:themeShade="BF"/>
        </w:rPr>
        <w:t>.</w:t>
      </w:r>
    </w:p>
    <w:p w14:paraId="5E29D767" w14:textId="77777777" w:rsidR="003D0F62" w:rsidRPr="00154B00" w:rsidRDefault="003D0F62" w:rsidP="003D0F62">
      <w:pPr>
        <w:pStyle w:val="Heading2"/>
      </w:pPr>
      <w:r w:rsidRPr="00154B00">
        <w:t xml:space="preserve">If applicable, advise whether the proposed medical service could be delegated or referred to another professional </w:t>
      </w:r>
      <w:r w:rsidRPr="0073597B">
        <w:t>for</w:t>
      </w:r>
      <w:r w:rsidRPr="00154B00">
        <w:t xml:space="preserve"> delive</w:t>
      </w:r>
      <w:r>
        <w:t>ry:</w:t>
      </w:r>
    </w:p>
    <w:p w14:paraId="06396682" w14:textId="77777777" w:rsidR="003D0F62" w:rsidRPr="00A532F9" w:rsidRDefault="003D0F62" w:rsidP="00940C4B">
      <w:pPr>
        <w:ind w:left="284" w:firstLine="142"/>
        <w:rPr>
          <w:color w:val="365F91" w:themeColor="accent1" w:themeShade="BF"/>
        </w:rPr>
      </w:pPr>
      <w:r w:rsidRPr="00A532F9">
        <w:rPr>
          <w:color w:val="365F91" w:themeColor="accent1" w:themeShade="BF"/>
        </w:rPr>
        <w:t>Not applicable</w:t>
      </w:r>
    </w:p>
    <w:p w14:paraId="631E45C4" w14:textId="77777777" w:rsidR="003D0F62" w:rsidRPr="00154B00" w:rsidRDefault="003D0F62" w:rsidP="003D0F62">
      <w:pPr>
        <w:pStyle w:val="Heading2"/>
      </w:pPr>
      <w:r w:rsidRPr="00154B00">
        <w:t xml:space="preserve">If applicable, </w:t>
      </w:r>
      <w:r w:rsidRPr="0073597B">
        <w:t>specify</w:t>
      </w:r>
      <w:r w:rsidRPr="00154B00">
        <w:t xml:space="preserve"> any proposed limitations on who might deliver the proposed medical service, or who </w:t>
      </w:r>
      <w:r>
        <w:t>might provide a referral for it:</w:t>
      </w:r>
    </w:p>
    <w:p w14:paraId="1B67676B" w14:textId="77777777" w:rsidR="003D0F62" w:rsidRPr="00A532F9" w:rsidRDefault="003D0F62" w:rsidP="00940C4B">
      <w:pPr>
        <w:ind w:left="284" w:firstLine="142"/>
        <w:rPr>
          <w:color w:val="365F91" w:themeColor="accent1" w:themeShade="BF"/>
        </w:rPr>
      </w:pPr>
      <w:r w:rsidRPr="00A532F9">
        <w:rPr>
          <w:color w:val="365F91" w:themeColor="accent1" w:themeShade="BF"/>
        </w:rPr>
        <w:t>Not applicable</w:t>
      </w:r>
    </w:p>
    <w:p w14:paraId="68F726F8" w14:textId="77777777" w:rsidR="003D0F62" w:rsidRPr="00154B00" w:rsidRDefault="003D0F62" w:rsidP="003D0F62">
      <w:pPr>
        <w:pStyle w:val="Heading2"/>
      </w:pPr>
      <w:r w:rsidRPr="00154B00">
        <w:t xml:space="preserve">If applicable, advise what type of training or qualifications would be required to perform the </w:t>
      </w:r>
      <w:r>
        <w:t xml:space="preserve">proposed </w:t>
      </w:r>
      <w:r w:rsidRPr="00154B00">
        <w:t>service</w:t>
      </w:r>
      <w:r>
        <w:t>,</w:t>
      </w:r>
      <w:r w:rsidRPr="00154B00">
        <w:t xml:space="preserve"> as well as any accreditation requirements to support service delivery</w:t>
      </w:r>
      <w:r>
        <w:t>:</w:t>
      </w:r>
    </w:p>
    <w:p w14:paraId="6C9EF3A6" w14:textId="77777777" w:rsidR="003D0F62" w:rsidRPr="00A532F9" w:rsidRDefault="003D0F62" w:rsidP="00940C4B">
      <w:pPr>
        <w:ind w:left="284" w:firstLine="142"/>
        <w:rPr>
          <w:color w:val="365F91" w:themeColor="accent1" w:themeShade="BF"/>
        </w:rPr>
      </w:pPr>
      <w:r w:rsidRPr="00A532F9">
        <w:rPr>
          <w:color w:val="365F91" w:themeColor="accent1" w:themeShade="BF"/>
        </w:rPr>
        <w:t xml:space="preserve">No further training would be required. </w:t>
      </w:r>
    </w:p>
    <w:p w14:paraId="28F6154D" w14:textId="77777777" w:rsidR="003D0F62" w:rsidRDefault="003D0F62" w:rsidP="003D0F62">
      <w:pPr>
        <w:pStyle w:val="Heading2"/>
      </w:pPr>
      <w:r>
        <w:t xml:space="preserve">(a) </w:t>
      </w:r>
      <w:r w:rsidRPr="00154B00">
        <w:t>Indicate the proposed setting</w:t>
      </w:r>
      <w:r>
        <w:t>(</w:t>
      </w:r>
      <w:r w:rsidRPr="00154B00">
        <w:t>s</w:t>
      </w:r>
      <w:r>
        <w:t>)</w:t>
      </w:r>
      <w:r w:rsidRPr="00154B00">
        <w:t xml:space="preserve"> in which the proposed medical service will be delivered</w:t>
      </w:r>
      <w:r>
        <w:t xml:space="preserve"> (select </w:t>
      </w:r>
      <w:r w:rsidRPr="0079354C">
        <w:rPr>
          <w:u w:val="single"/>
        </w:rPr>
        <w:t>ALL</w:t>
      </w:r>
      <w:r>
        <w:t xml:space="preserve"> relevant settings):</w:t>
      </w:r>
    </w:p>
    <w:p w14:paraId="039BF754" w14:textId="77777777" w:rsidR="003D0F62" w:rsidRDefault="003D0F62" w:rsidP="003D0F62">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A962EA">
        <w:rPr>
          <w:szCs w:val="20"/>
        </w:rPr>
      </w:r>
      <w:r w:rsidR="00A962EA">
        <w:rPr>
          <w:szCs w:val="20"/>
        </w:rPr>
        <w:fldChar w:fldCharType="separate"/>
      </w:r>
      <w:r>
        <w:rPr>
          <w:szCs w:val="20"/>
        </w:rPr>
        <w:fldChar w:fldCharType="end"/>
      </w:r>
      <w:r>
        <w:rPr>
          <w:szCs w:val="20"/>
        </w:rPr>
        <w:t xml:space="preserve"> </w:t>
      </w:r>
      <w:r>
        <w:t>Inpatient private hospital (admitted patient)</w:t>
      </w:r>
    </w:p>
    <w:p w14:paraId="116C0884" w14:textId="77777777" w:rsidR="003D0F62" w:rsidRDefault="003D0F62" w:rsidP="003D0F62">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A962EA">
        <w:rPr>
          <w:szCs w:val="20"/>
        </w:rPr>
      </w:r>
      <w:r w:rsidR="00A962EA">
        <w:rPr>
          <w:szCs w:val="20"/>
        </w:rPr>
        <w:fldChar w:fldCharType="separate"/>
      </w:r>
      <w:r>
        <w:rPr>
          <w:szCs w:val="20"/>
        </w:rPr>
        <w:fldChar w:fldCharType="end"/>
      </w:r>
      <w:r>
        <w:rPr>
          <w:szCs w:val="20"/>
        </w:rPr>
        <w:t xml:space="preserve"> </w:t>
      </w:r>
      <w:r>
        <w:t>Inpatient public hospital (admitted patient)</w:t>
      </w:r>
    </w:p>
    <w:p w14:paraId="788F6FDD" w14:textId="4CF0EB2C" w:rsidR="003D0F62" w:rsidRDefault="00124128" w:rsidP="003D0F62">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A962EA">
        <w:rPr>
          <w:szCs w:val="20"/>
        </w:rPr>
      </w:r>
      <w:r w:rsidR="00A962EA">
        <w:rPr>
          <w:szCs w:val="20"/>
        </w:rPr>
        <w:fldChar w:fldCharType="separate"/>
      </w:r>
      <w:r>
        <w:rPr>
          <w:szCs w:val="20"/>
        </w:rPr>
        <w:fldChar w:fldCharType="end"/>
      </w:r>
      <w:r w:rsidR="003D0F62">
        <w:rPr>
          <w:szCs w:val="20"/>
        </w:rPr>
        <w:t xml:space="preserve"> Private o</w:t>
      </w:r>
      <w:r w:rsidR="003D0F62">
        <w:t>utpatient clinic</w:t>
      </w:r>
    </w:p>
    <w:p w14:paraId="31C36F2A" w14:textId="349503B5" w:rsidR="003D0F62" w:rsidRDefault="00124128" w:rsidP="003D0F62">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A962EA">
        <w:rPr>
          <w:szCs w:val="20"/>
        </w:rPr>
      </w:r>
      <w:r w:rsidR="00A962EA">
        <w:rPr>
          <w:szCs w:val="20"/>
        </w:rPr>
        <w:fldChar w:fldCharType="separate"/>
      </w:r>
      <w:r>
        <w:rPr>
          <w:szCs w:val="20"/>
        </w:rPr>
        <w:fldChar w:fldCharType="end"/>
      </w:r>
      <w:r w:rsidR="003D0F62">
        <w:rPr>
          <w:szCs w:val="20"/>
        </w:rPr>
        <w:t xml:space="preserve"> Public outpatient clinic</w:t>
      </w:r>
    </w:p>
    <w:p w14:paraId="318C7E18" w14:textId="77777777" w:rsidR="003D0F62" w:rsidRDefault="003D0F62" w:rsidP="003D0F62">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62EA">
        <w:rPr>
          <w:szCs w:val="20"/>
        </w:rPr>
      </w:r>
      <w:r w:rsidR="00A962EA">
        <w:rPr>
          <w:szCs w:val="20"/>
        </w:rPr>
        <w:fldChar w:fldCharType="separate"/>
      </w:r>
      <w:r w:rsidRPr="000A5B32">
        <w:rPr>
          <w:szCs w:val="20"/>
        </w:rPr>
        <w:fldChar w:fldCharType="end"/>
      </w:r>
      <w:r>
        <w:rPr>
          <w:szCs w:val="20"/>
        </w:rPr>
        <w:t xml:space="preserve"> </w:t>
      </w:r>
      <w:r>
        <w:t>Emergency Department</w:t>
      </w:r>
    </w:p>
    <w:p w14:paraId="75CE1E68" w14:textId="77777777" w:rsidR="003D0F62" w:rsidRDefault="003D0F62" w:rsidP="003D0F62">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62EA">
        <w:rPr>
          <w:szCs w:val="20"/>
        </w:rPr>
      </w:r>
      <w:r w:rsidR="00A962EA">
        <w:rPr>
          <w:szCs w:val="20"/>
        </w:rPr>
        <w:fldChar w:fldCharType="separate"/>
      </w:r>
      <w:r w:rsidRPr="000A5B32">
        <w:rPr>
          <w:szCs w:val="20"/>
        </w:rPr>
        <w:fldChar w:fldCharType="end"/>
      </w:r>
      <w:r>
        <w:rPr>
          <w:szCs w:val="20"/>
        </w:rPr>
        <w:t xml:space="preserve"> Private </w:t>
      </w:r>
      <w:r>
        <w:t>consulting rooms - GP</w:t>
      </w:r>
    </w:p>
    <w:p w14:paraId="7F7164C1" w14:textId="77777777" w:rsidR="003D0F62" w:rsidRDefault="003D0F62" w:rsidP="003D0F62">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62EA">
        <w:rPr>
          <w:szCs w:val="20"/>
        </w:rPr>
      </w:r>
      <w:r w:rsidR="00A962EA">
        <w:rPr>
          <w:szCs w:val="20"/>
        </w:rPr>
        <w:fldChar w:fldCharType="separate"/>
      </w:r>
      <w:r w:rsidRPr="000A5B32">
        <w:rPr>
          <w:szCs w:val="20"/>
        </w:rPr>
        <w:fldChar w:fldCharType="end"/>
      </w:r>
      <w:r>
        <w:rPr>
          <w:szCs w:val="20"/>
        </w:rPr>
        <w:t xml:space="preserve"> Private consulting rooms – specialist</w:t>
      </w:r>
    </w:p>
    <w:p w14:paraId="3C332C63" w14:textId="77777777" w:rsidR="003D0F62" w:rsidRDefault="003D0F62" w:rsidP="003D0F62">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62EA">
        <w:rPr>
          <w:szCs w:val="20"/>
        </w:rPr>
      </w:r>
      <w:r w:rsidR="00A962EA">
        <w:rPr>
          <w:szCs w:val="20"/>
        </w:rPr>
        <w:fldChar w:fldCharType="separate"/>
      </w:r>
      <w:r w:rsidRPr="000A5B32">
        <w:rPr>
          <w:szCs w:val="20"/>
        </w:rPr>
        <w:fldChar w:fldCharType="end"/>
      </w:r>
      <w:r>
        <w:rPr>
          <w:szCs w:val="20"/>
        </w:rPr>
        <w:t xml:space="preserve"> Private consulting rooms – other health practitioner (nurse or allied health)</w:t>
      </w:r>
    </w:p>
    <w:p w14:paraId="123A9794" w14:textId="571EA2F5" w:rsidR="003D0F62" w:rsidRDefault="00124128" w:rsidP="003D0F62">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A962EA">
        <w:rPr>
          <w:szCs w:val="20"/>
        </w:rPr>
      </w:r>
      <w:r w:rsidR="00A962EA">
        <w:rPr>
          <w:szCs w:val="20"/>
        </w:rPr>
        <w:fldChar w:fldCharType="separate"/>
      </w:r>
      <w:r>
        <w:rPr>
          <w:szCs w:val="20"/>
        </w:rPr>
        <w:fldChar w:fldCharType="end"/>
      </w:r>
      <w:r w:rsidR="003D0F62">
        <w:rPr>
          <w:szCs w:val="20"/>
        </w:rPr>
        <w:t xml:space="preserve"> Private d</w:t>
      </w:r>
      <w:r w:rsidR="003D0F62">
        <w:t>ay surgery clinic (admitted patient)</w:t>
      </w:r>
    </w:p>
    <w:p w14:paraId="6CD5B26C" w14:textId="77777777" w:rsidR="003D0F62" w:rsidRDefault="003D0F62" w:rsidP="003D0F62">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A962EA">
        <w:rPr>
          <w:szCs w:val="20"/>
        </w:rPr>
      </w:r>
      <w:r w:rsidR="00A962EA">
        <w:rPr>
          <w:szCs w:val="20"/>
        </w:rPr>
        <w:fldChar w:fldCharType="separate"/>
      </w:r>
      <w:r>
        <w:rPr>
          <w:szCs w:val="20"/>
        </w:rPr>
        <w:fldChar w:fldCharType="end"/>
      </w:r>
      <w:r>
        <w:rPr>
          <w:szCs w:val="20"/>
        </w:rPr>
        <w:t xml:space="preserve"> Private day surgery clinic (non-admitted patient)</w:t>
      </w:r>
    </w:p>
    <w:p w14:paraId="5D2AD923" w14:textId="4BC7618F" w:rsidR="003D0F62" w:rsidRDefault="00124128" w:rsidP="003D0F62">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962EA">
        <w:rPr>
          <w:szCs w:val="20"/>
        </w:rPr>
      </w:r>
      <w:r w:rsidR="00A962EA">
        <w:rPr>
          <w:szCs w:val="20"/>
        </w:rPr>
        <w:fldChar w:fldCharType="separate"/>
      </w:r>
      <w:r>
        <w:rPr>
          <w:szCs w:val="20"/>
        </w:rPr>
        <w:fldChar w:fldCharType="end"/>
      </w:r>
      <w:r w:rsidR="003D0F62">
        <w:rPr>
          <w:szCs w:val="20"/>
        </w:rPr>
        <w:t xml:space="preserve"> Public day surgery clinic (admitted patient)</w:t>
      </w:r>
    </w:p>
    <w:p w14:paraId="4FD8EFF3" w14:textId="77777777" w:rsidR="003D0F62" w:rsidRDefault="003D0F62" w:rsidP="003D0F62">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A962EA">
        <w:rPr>
          <w:szCs w:val="20"/>
        </w:rPr>
      </w:r>
      <w:r w:rsidR="00A962EA">
        <w:rPr>
          <w:szCs w:val="20"/>
        </w:rPr>
        <w:fldChar w:fldCharType="separate"/>
      </w:r>
      <w:r>
        <w:rPr>
          <w:szCs w:val="20"/>
        </w:rPr>
        <w:fldChar w:fldCharType="end"/>
      </w:r>
      <w:r>
        <w:rPr>
          <w:szCs w:val="20"/>
        </w:rPr>
        <w:t xml:space="preserve"> Public day surgery clinic (non-admitted patient)</w:t>
      </w:r>
    </w:p>
    <w:p w14:paraId="507A2E1E" w14:textId="77777777" w:rsidR="003D0F62" w:rsidRDefault="003D0F62" w:rsidP="003D0F62">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62EA">
        <w:rPr>
          <w:szCs w:val="20"/>
        </w:rPr>
      </w:r>
      <w:r w:rsidR="00A962EA">
        <w:rPr>
          <w:szCs w:val="20"/>
        </w:rPr>
        <w:fldChar w:fldCharType="separate"/>
      </w:r>
      <w:r w:rsidRPr="000A5B32">
        <w:rPr>
          <w:szCs w:val="20"/>
        </w:rPr>
        <w:fldChar w:fldCharType="end"/>
      </w:r>
      <w:r>
        <w:rPr>
          <w:szCs w:val="20"/>
        </w:rPr>
        <w:t xml:space="preserve"> </w:t>
      </w:r>
      <w:r>
        <w:t>Residential aged care facility</w:t>
      </w:r>
    </w:p>
    <w:p w14:paraId="7A4823DD" w14:textId="77777777" w:rsidR="003D0F62" w:rsidRDefault="003D0F62" w:rsidP="003D0F62">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62EA">
        <w:rPr>
          <w:szCs w:val="20"/>
        </w:rPr>
      </w:r>
      <w:r w:rsidR="00A962EA">
        <w:rPr>
          <w:szCs w:val="20"/>
        </w:rPr>
        <w:fldChar w:fldCharType="separate"/>
      </w:r>
      <w:r w:rsidRPr="000A5B32">
        <w:rPr>
          <w:szCs w:val="20"/>
        </w:rPr>
        <w:fldChar w:fldCharType="end"/>
      </w:r>
      <w:r>
        <w:rPr>
          <w:szCs w:val="20"/>
        </w:rPr>
        <w:t xml:space="preserve"> </w:t>
      </w:r>
      <w:r>
        <w:t>Patient’s home</w:t>
      </w:r>
    </w:p>
    <w:p w14:paraId="3C94D5DD" w14:textId="77777777" w:rsidR="003D0F62" w:rsidRDefault="003D0F62" w:rsidP="003D0F62">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62EA">
        <w:rPr>
          <w:szCs w:val="20"/>
        </w:rPr>
      </w:r>
      <w:r w:rsidR="00A962EA">
        <w:rPr>
          <w:szCs w:val="20"/>
        </w:rPr>
        <w:fldChar w:fldCharType="separate"/>
      </w:r>
      <w:r w:rsidRPr="000A5B32">
        <w:rPr>
          <w:szCs w:val="20"/>
        </w:rPr>
        <w:fldChar w:fldCharType="end"/>
      </w:r>
      <w:r>
        <w:rPr>
          <w:szCs w:val="20"/>
        </w:rPr>
        <w:t xml:space="preserve"> </w:t>
      </w:r>
      <w:r>
        <w:t>Laboratory</w:t>
      </w:r>
    </w:p>
    <w:p w14:paraId="34DD4D70" w14:textId="77777777" w:rsidR="003D0F62" w:rsidRPr="000A478F" w:rsidRDefault="003D0F62" w:rsidP="003D0F62">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62EA">
        <w:rPr>
          <w:szCs w:val="20"/>
        </w:rPr>
      </w:r>
      <w:r w:rsidR="00A962EA">
        <w:rPr>
          <w:szCs w:val="20"/>
        </w:rPr>
        <w:fldChar w:fldCharType="separate"/>
      </w:r>
      <w:r w:rsidRPr="000A5B32">
        <w:rPr>
          <w:szCs w:val="20"/>
        </w:rPr>
        <w:fldChar w:fldCharType="end"/>
      </w:r>
      <w:r>
        <w:rPr>
          <w:szCs w:val="20"/>
        </w:rPr>
        <w:t xml:space="preserve"> </w:t>
      </w:r>
      <w:r>
        <w:t>Other – please specify below</w:t>
      </w:r>
    </w:p>
    <w:p w14:paraId="28F08679" w14:textId="77777777" w:rsidR="003D0F62" w:rsidRPr="00102112" w:rsidRDefault="003D0F62" w:rsidP="003D0F62">
      <w:pPr>
        <w:pStyle w:val="Heading2"/>
      </w:pPr>
      <w:r w:rsidRPr="00102112">
        <w:t xml:space="preserve">Where the proposed medical service </w:t>
      </w:r>
      <w:proofErr w:type="gramStart"/>
      <w:r w:rsidRPr="00102112">
        <w:t>is provided</w:t>
      </w:r>
      <w:proofErr w:type="gramEnd"/>
      <w:r w:rsidRPr="00102112">
        <w:t xml:space="preserve"> in more than one setting, please describe the rationale related to each:</w:t>
      </w:r>
    </w:p>
    <w:p w14:paraId="2E63A00F" w14:textId="49953AF0" w:rsidR="003D0F62" w:rsidRPr="00102112" w:rsidRDefault="00A85E0C" w:rsidP="00940C4B">
      <w:pPr>
        <w:ind w:left="284" w:firstLine="142"/>
        <w:rPr>
          <w:color w:val="365F91" w:themeColor="accent1" w:themeShade="BF"/>
        </w:rPr>
      </w:pPr>
      <w:r w:rsidRPr="0042012C">
        <w:rPr>
          <w:color w:val="365F91" w:themeColor="accent1" w:themeShade="BF"/>
        </w:rPr>
        <w:t>Not applicable.</w:t>
      </w:r>
      <w:r>
        <w:rPr>
          <w:color w:val="365F91" w:themeColor="accent1" w:themeShade="BF"/>
        </w:rPr>
        <w:t xml:space="preserve"> </w:t>
      </w:r>
    </w:p>
    <w:p w14:paraId="3F001998" w14:textId="77777777" w:rsidR="003D0F62" w:rsidRDefault="003D0F62" w:rsidP="003D0F62">
      <w:pPr>
        <w:pStyle w:val="Heading2"/>
      </w:pPr>
      <w:r>
        <w:t xml:space="preserve">Is the </w:t>
      </w:r>
      <w:r w:rsidRPr="001B29A1">
        <w:t>proposed</w:t>
      </w:r>
      <w:r>
        <w:t xml:space="preserve"> medical service intended to be entirely rendered in Australia?</w:t>
      </w:r>
    </w:p>
    <w:p w14:paraId="01E2B443" w14:textId="77777777" w:rsidR="003D0F62" w:rsidRDefault="003D0F62" w:rsidP="003D0F62">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962EA">
        <w:rPr>
          <w:szCs w:val="20"/>
        </w:rPr>
      </w:r>
      <w:r w:rsidR="00A962EA">
        <w:rPr>
          <w:szCs w:val="20"/>
        </w:rPr>
        <w:fldChar w:fldCharType="separate"/>
      </w:r>
      <w:r>
        <w:rPr>
          <w:szCs w:val="20"/>
        </w:rPr>
        <w:fldChar w:fldCharType="end"/>
      </w:r>
      <w:r>
        <w:rPr>
          <w:szCs w:val="20"/>
        </w:rPr>
        <w:t xml:space="preserve"> Yes</w:t>
      </w:r>
    </w:p>
    <w:p w14:paraId="712A3239" w14:textId="77777777" w:rsidR="003D0F62" w:rsidRPr="00753C44" w:rsidRDefault="003D0F62" w:rsidP="003D0F62">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962EA">
        <w:rPr>
          <w:szCs w:val="20"/>
        </w:rPr>
      </w:r>
      <w:r w:rsidR="00A962EA">
        <w:rPr>
          <w:szCs w:val="20"/>
        </w:rPr>
        <w:fldChar w:fldCharType="separate"/>
      </w:r>
      <w:r w:rsidRPr="00753C44">
        <w:rPr>
          <w:szCs w:val="20"/>
        </w:rPr>
        <w:fldChar w:fldCharType="end"/>
      </w:r>
      <w:r>
        <w:rPr>
          <w:szCs w:val="20"/>
        </w:rPr>
        <w:t xml:space="preserve"> No – please specify below</w:t>
      </w:r>
    </w:p>
    <w:p w14:paraId="710C1407" w14:textId="77777777" w:rsidR="003D0F62" w:rsidRDefault="003D0F62" w:rsidP="003D0F62">
      <w:pPr>
        <w:rPr>
          <w:b/>
          <w:i/>
          <w:szCs w:val="20"/>
          <w:u w:val="single"/>
        </w:rPr>
      </w:pPr>
      <w:r>
        <w:rPr>
          <w:b/>
          <w:i/>
          <w:szCs w:val="20"/>
          <w:u w:val="single"/>
        </w:rPr>
        <w:br w:type="page"/>
      </w:r>
    </w:p>
    <w:p w14:paraId="77694175" w14:textId="77777777" w:rsidR="003D0F62" w:rsidRPr="00881F93" w:rsidRDefault="003D0F62" w:rsidP="003D0F62">
      <w:pPr>
        <w:pStyle w:val="Subtitle"/>
      </w:pPr>
      <w:r>
        <w:lastRenderedPageBreak/>
        <w:t xml:space="preserve">PART 6c – </w:t>
      </w:r>
      <w:r w:rsidRPr="00881F93">
        <w:t>INFORMATION ABOUT THE COMPARATOR(S)</w:t>
      </w:r>
    </w:p>
    <w:p w14:paraId="1C011B85" w14:textId="77777777" w:rsidR="003D0F62" w:rsidRPr="00154B00" w:rsidRDefault="003D0F62" w:rsidP="003D0F62">
      <w:pPr>
        <w:pStyle w:val="Heading2"/>
      </w:pPr>
      <w:r w:rsidRPr="00154B00">
        <w:t>Nominate the appropriate comparator(s) for the proposed medical service</w:t>
      </w:r>
      <w:r>
        <w:t>, i.</w:t>
      </w:r>
      <w:r w:rsidRPr="00154B00">
        <w:t xml:space="preserve">e. how is the proposed </w:t>
      </w:r>
      <w:r w:rsidRPr="001B29A1">
        <w:t>population</w:t>
      </w:r>
      <w:r w:rsidRPr="00154B00">
        <w:t xml:space="preserve"> currently managed in </w:t>
      </w:r>
      <w:r>
        <w:t>the</w:t>
      </w:r>
      <w:r w:rsidRPr="00154B00">
        <w:t xml:space="preserve"> absence of the proposed medical service being available in the Australian health care system (</w:t>
      </w:r>
      <w:r>
        <w:t xml:space="preserve">including </w:t>
      </w:r>
      <w:r w:rsidRPr="00154B00">
        <w:t>identify</w:t>
      </w:r>
      <w:r>
        <w:t>ing</w:t>
      </w:r>
      <w:r w:rsidRPr="00154B00">
        <w:t xml:space="preserve"> health care resources that are need</w:t>
      </w:r>
      <w:r>
        <w:t>ed</w:t>
      </w:r>
      <w:r w:rsidRPr="00154B00">
        <w:t xml:space="preserve"> to be delivered at the same time as the comparator service)</w:t>
      </w:r>
      <w:r>
        <w:t>:</w:t>
      </w:r>
    </w:p>
    <w:p w14:paraId="2020CC5B" w14:textId="3241E127" w:rsidR="008E16BE" w:rsidRDefault="008E16BE" w:rsidP="008E16BE">
      <w:pPr>
        <w:ind w:left="284"/>
        <w:rPr>
          <w:color w:val="365F91" w:themeColor="accent1" w:themeShade="BF"/>
        </w:rPr>
      </w:pPr>
      <w:r w:rsidRPr="008E16BE">
        <w:rPr>
          <w:color w:val="365F91" w:themeColor="accent1" w:themeShade="BF"/>
        </w:rPr>
        <w:t xml:space="preserve">Patients only become candidates for surgical treatment when they have exhausted non-operative treatments without pain relief. Surgery is suitable for a small number of patients who are psychologically healthy and who have the source of their pain verified </w:t>
      </w:r>
      <w:proofErr w:type="gramStart"/>
      <w:r w:rsidRPr="008E16BE">
        <w:rPr>
          <w:color w:val="365F91" w:themeColor="accent1" w:themeShade="BF"/>
        </w:rPr>
        <w:t>through the use of</w:t>
      </w:r>
      <w:proofErr w:type="gramEnd"/>
      <w:r w:rsidRPr="008E16BE">
        <w:rPr>
          <w:color w:val="365F91" w:themeColor="accent1" w:themeShade="BF"/>
        </w:rPr>
        <w:t xml:space="preserve"> clinical assessment, plain radiography, </w:t>
      </w:r>
      <w:r w:rsidR="00A85E0C">
        <w:rPr>
          <w:color w:val="365F91" w:themeColor="accent1" w:themeShade="BF"/>
        </w:rPr>
        <w:t>MRI</w:t>
      </w:r>
      <w:r w:rsidRPr="008E16BE">
        <w:rPr>
          <w:color w:val="365F91" w:themeColor="accent1" w:themeShade="BF"/>
        </w:rPr>
        <w:t xml:space="preserve"> and discography where appropriate</w:t>
      </w:r>
      <w:r>
        <w:rPr>
          <w:color w:val="365F91" w:themeColor="accent1" w:themeShade="BF"/>
        </w:rPr>
        <w:t xml:space="preserve">. </w:t>
      </w:r>
      <w:r w:rsidRPr="008E16BE">
        <w:rPr>
          <w:color w:val="365F91" w:themeColor="accent1" w:themeShade="BF"/>
        </w:rPr>
        <w:t xml:space="preserve">Surgical options currently available for treating symptomatic </w:t>
      </w:r>
      <w:r>
        <w:rPr>
          <w:color w:val="365F91" w:themeColor="accent1" w:themeShade="BF"/>
        </w:rPr>
        <w:t>LSS</w:t>
      </w:r>
      <w:r w:rsidRPr="008E16BE">
        <w:rPr>
          <w:color w:val="365F91" w:themeColor="accent1" w:themeShade="BF"/>
        </w:rPr>
        <w:t xml:space="preserve"> include spinal decompression </w:t>
      </w:r>
      <w:r>
        <w:rPr>
          <w:color w:val="365F91" w:themeColor="accent1" w:themeShade="BF"/>
        </w:rPr>
        <w:t xml:space="preserve">with or without </w:t>
      </w:r>
      <w:r w:rsidRPr="008E16BE">
        <w:rPr>
          <w:color w:val="365F91" w:themeColor="accent1" w:themeShade="BF"/>
        </w:rPr>
        <w:t>fusion surgery</w:t>
      </w:r>
      <w:r>
        <w:rPr>
          <w:color w:val="365F91" w:themeColor="accent1" w:themeShade="BF"/>
        </w:rPr>
        <w:t>. Accordingly, in MSAC Application 1099, these two procedures were the main comparators for non-fusion devices.</w:t>
      </w:r>
    </w:p>
    <w:p w14:paraId="61AE2D9B" w14:textId="77777777" w:rsidR="008E16BE" w:rsidRPr="008E16BE" w:rsidRDefault="008E16BE" w:rsidP="008E16BE">
      <w:pPr>
        <w:ind w:left="284"/>
        <w:rPr>
          <w:color w:val="365F91" w:themeColor="accent1" w:themeShade="BF"/>
          <w:u w:val="single"/>
        </w:rPr>
      </w:pPr>
      <w:r w:rsidRPr="008E16BE">
        <w:rPr>
          <w:color w:val="365F91" w:themeColor="accent1" w:themeShade="BF"/>
          <w:u w:val="single"/>
        </w:rPr>
        <w:t>Decompression surgery</w:t>
      </w:r>
    </w:p>
    <w:p w14:paraId="2E765899" w14:textId="3A6A9E87" w:rsidR="008E16BE" w:rsidRPr="008E16BE" w:rsidRDefault="008E16BE" w:rsidP="008E16BE">
      <w:pPr>
        <w:ind w:left="284"/>
        <w:rPr>
          <w:color w:val="365F91" w:themeColor="accent1" w:themeShade="BF"/>
        </w:rPr>
      </w:pPr>
      <w:r w:rsidRPr="008E16BE">
        <w:rPr>
          <w:color w:val="365F91" w:themeColor="accent1" w:themeShade="BF"/>
        </w:rPr>
        <w:t>The aim of decompression is to alleviate pain caused by compression of a nerve. The procedure involves removal of a portion of bone over the nerve root and/or disc material under the nerve root to provide more space for the nerve.</w:t>
      </w:r>
    </w:p>
    <w:p w14:paraId="68DAAF1B" w14:textId="0AEB7017" w:rsidR="008E16BE" w:rsidRDefault="008E16BE" w:rsidP="008E16BE">
      <w:pPr>
        <w:ind w:left="284"/>
        <w:rPr>
          <w:color w:val="365F91" w:themeColor="accent1" w:themeShade="BF"/>
        </w:rPr>
      </w:pPr>
      <w:r w:rsidRPr="008E16BE">
        <w:rPr>
          <w:color w:val="365F91" w:themeColor="accent1" w:themeShade="BF"/>
        </w:rPr>
        <w:t xml:space="preserve">In a laminectomy, a 5–15-cm incision is made in the back, and the muscles are dissected off the lamina. The lamina </w:t>
      </w:r>
      <w:r>
        <w:rPr>
          <w:color w:val="365F91" w:themeColor="accent1" w:themeShade="BF"/>
        </w:rPr>
        <w:t>is then</w:t>
      </w:r>
      <w:r w:rsidRPr="008E16BE">
        <w:rPr>
          <w:color w:val="365F91" w:themeColor="accent1" w:themeShade="BF"/>
        </w:rPr>
        <w:t xml:space="preserve"> removed</w:t>
      </w:r>
      <w:r>
        <w:rPr>
          <w:color w:val="365F91" w:themeColor="accent1" w:themeShade="BF"/>
        </w:rPr>
        <w:t>,</w:t>
      </w:r>
      <w:r w:rsidRPr="008E16BE">
        <w:rPr>
          <w:color w:val="365F91" w:themeColor="accent1" w:themeShade="BF"/>
        </w:rPr>
        <w:t xml:space="preserve"> and the facet joints are trimmed to create more room for the nerve roots</w:t>
      </w:r>
      <w:r>
        <w:rPr>
          <w:color w:val="365F91" w:themeColor="accent1" w:themeShade="BF"/>
        </w:rPr>
        <w:t xml:space="preserve">.  </w:t>
      </w:r>
    </w:p>
    <w:p w14:paraId="3FF0C061" w14:textId="0DE3F535" w:rsidR="008E16BE" w:rsidRPr="008E16BE" w:rsidRDefault="008E16BE" w:rsidP="008E16BE">
      <w:pPr>
        <w:ind w:left="284"/>
        <w:rPr>
          <w:color w:val="365F91" w:themeColor="accent1" w:themeShade="BF"/>
        </w:rPr>
      </w:pPr>
      <w:r w:rsidRPr="008E16BE">
        <w:rPr>
          <w:color w:val="365F91" w:themeColor="accent1" w:themeShade="BF"/>
        </w:rPr>
        <w:t>For compression of a nerve by a disc, microdiscectomy may be considered to alleviate symptoms. This involves a small (approximately 3 cm) incision in the midline of the low back. The back muscles are moved to allow the surgeon access to the nerve (possibly with the removal of some facet joint). The nerve root is then moved to the side and the disc material is removed. Almost all of the joints, muscles and ligaments are left intact</w:t>
      </w:r>
      <w:r>
        <w:rPr>
          <w:color w:val="365F91" w:themeColor="accent1" w:themeShade="BF"/>
        </w:rPr>
        <w:t>.</w:t>
      </w:r>
    </w:p>
    <w:p w14:paraId="12111598" w14:textId="77777777" w:rsidR="008E16BE" w:rsidRPr="008E16BE" w:rsidRDefault="008E16BE" w:rsidP="008E16BE">
      <w:pPr>
        <w:ind w:left="284"/>
        <w:rPr>
          <w:color w:val="365F91" w:themeColor="accent1" w:themeShade="BF"/>
          <w:u w:val="single"/>
        </w:rPr>
      </w:pPr>
      <w:bookmarkStart w:id="6" w:name="Fusion_surgery"/>
      <w:bookmarkEnd w:id="6"/>
      <w:r w:rsidRPr="008E16BE">
        <w:rPr>
          <w:color w:val="365F91" w:themeColor="accent1" w:themeShade="BF"/>
          <w:u w:val="single"/>
        </w:rPr>
        <w:t>Fusion surgery</w:t>
      </w:r>
    </w:p>
    <w:p w14:paraId="2FCFE1B3" w14:textId="24675BE7" w:rsidR="008E16BE" w:rsidRDefault="008E16BE" w:rsidP="008E16BE">
      <w:pPr>
        <w:ind w:left="284"/>
        <w:rPr>
          <w:color w:val="365F91" w:themeColor="accent1" w:themeShade="BF"/>
        </w:rPr>
      </w:pPr>
      <w:r w:rsidRPr="008E16BE">
        <w:rPr>
          <w:color w:val="365F91" w:themeColor="accent1" w:themeShade="BF"/>
        </w:rPr>
        <w:t>The aim of fusion surgery is to use a bone graft to fuse the vertebrae superior and inferior to a disc. Bone grafts can be either autologous (harvested from the patient’s own pelvic bone) or an allograft (from a bone bank). Recently, bone morphogenetic protein products have also been used. There are a number of different methods of performing fusion surgery, including anterior or posterior lumbar intervertebral body fusion and posterolateral fusion. Instrumentation is used to facilitate the fusion by providing stability</w:t>
      </w:r>
      <w:r>
        <w:rPr>
          <w:color w:val="365F91" w:themeColor="accent1" w:themeShade="BF"/>
        </w:rPr>
        <w:t xml:space="preserve">. </w:t>
      </w:r>
      <w:r w:rsidRPr="008E16BE">
        <w:rPr>
          <w:color w:val="365F91" w:themeColor="accent1" w:themeShade="BF"/>
        </w:rPr>
        <w:t>There are three types of spinal instrumentation: pedicle screws, anterior interbody cages</w:t>
      </w:r>
      <w:r w:rsidR="00A85E0C">
        <w:rPr>
          <w:color w:val="365F91" w:themeColor="accent1" w:themeShade="BF"/>
        </w:rPr>
        <w:t>,</w:t>
      </w:r>
      <w:r w:rsidRPr="008E16BE">
        <w:rPr>
          <w:color w:val="365F91" w:themeColor="accent1" w:themeShade="BF"/>
        </w:rPr>
        <w:t xml:space="preserve"> and posterior lumbar cages</w:t>
      </w:r>
      <w:bookmarkStart w:id="7" w:name="_bookmark3"/>
      <w:bookmarkEnd w:id="7"/>
    </w:p>
    <w:p w14:paraId="20BF3057" w14:textId="347F9D9B" w:rsidR="008E16BE" w:rsidRDefault="008E16BE" w:rsidP="009F5C6F">
      <w:pPr>
        <w:ind w:left="284"/>
        <w:rPr>
          <w:color w:val="365F91" w:themeColor="accent1" w:themeShade="BF"/>
        </w:rPr>
      </w:pPr>
      <w:r w:rsidRPr="008E16BE">
        <w:rPr>
          <w:color w:val="365F91" w:themeColor="accent1" w:themeShade="BF"/>
        </w:rPr>
        <w:t>For spines with segmental instability or potential post-operative instability after decompression, fusion surgery may be used in addition to decompression.</w:t>
      </w:r>
      <w:r w:rsidR="009F5C6F">
        <w:rPr>
          <w:color w:val="365F91" w:themeColor="accent1" w:themeShade="BF"/>
        </w:rPr>
        <w:t xml:space="preserve"> I</w:t>
      </w:r>
      <w:r w:rsidR="009F5C6F" w:rsidRPr="008E16BE">
        <w:rPr>
          <w:color w:val="365F91" w:themeColor="accent1" w:themeShade="BF"/>
        </w:rPr>
        <w:t xml:space="preserve">t was noted in MSAC Application 1099 that in Australia, fusion surgery is only occasionally performed without prior decompression, and </w:t>
      </w:r>
      <w:r w:rsidR="009F5C6F">
        <w:rPr>
          <w:color w:val="365F91" w:themeColor="accent1" w:themeShade="BF"/>
        </w:rPr>
        <w:t xml:space="preserve">fusion surgery alone </w:t>
      </w:r>
      <w:r w:rsidR="009F5C6F" w:rsidRPr="008E16BE">
        <w:rPr>
          <w:color w:val="365F91" w:themeColor="accent1" w:themeShade="BF"/>
        </w:rPr>
        <w:t>was therefore excluded from the economic evaluation.</w:t>
      </w:r>
    </w:p>
    <w:p w14:paraId="5A45AC87" w14:textId="5D916109" w:rsidR="009F5C6F" w:rsidRPr="008E16BE" w:rsidRDefault="009F5C6F" w:rsidP="009F5C6F">
      <w:pPr>
        <w:ind w:left="284"/>
        <w:rPr>
          <w:color w:val="365F91" w:themeColor="accent1" w:themeShade="BF"/>
          <w:u w:val="single"/>
        </w:rPr>
      </w:pPr>
      <w:r>
        <w:rPr>
          <w:color w:val="365F91" w:themeColor="accent1" w:themeShade="BF"/>
          <w:u w:val="single"/>
        </w:rPr>
        <w:t xml:space="preserve">Proposed comparator </w:t>
      </w:r>
    </w:p>
    <w:p w14:paraId="05932E9A" w14:textId="777C14FA" w:rsidR="003D0F62" w:rsidRPr="00102112" w:rsidRDefault="003D0F62" w:rsidP="009F5C6F">
      <w:pPr>
        <w:ind w:left="284"/>
        <w:rPr>
          <w:color w:val="365F91" w:themeColor="accent1" w:themeShade="BF"/>
        </w:rPr>
      </w:pPr>
      <w:r>
        <w:rPr>
          <w:color w:val="365F91" w:themeColor="accent1" w:themeShade="BF"/>
        </w:rPr>
        <w:t xml:space="preserve">In Australia, </w:t>
      </w:r>
      <w:r w:rsidRPr="00EA3D2C">
        <w:rPr>
          <w:color w:val="365F91" w:themeColor="accent1" w:themeShade="BF"/>
        </w:rPr>
        <w:t xml:space="preserve">patients </w:t>
      </w:r>
      <w:r>
        <w:rPr>
          <w:color w:val="365F91" w:themeColor="accent1" w:themeShade="BF"/>
        </w:rPr>
        <w:t>with</w:t>
      </w:r>
      <w:r w:rsidRPr="008E16BE">
        <w:rPr>
          <w:color w:val="365F91" w:themeColor="accent1" w:themeShade="BF"/>
        </w:rPr>
        <w:t xml:space="preserve"> </w:t>
      </w:r>
      <w:r w:rsidRPr="00A317A3">
        <w:rPr>
          <w:color w:val="365F91" w:themeColor="accent1" w:themeShade="BF"/>
        </w:rPr>
        <w:t>moderate degenerative LSS</w:t>
      </w:r>
      <w:r>
        <w:rPr>
          <w:color w:val="365F91" w:themeColor="accent1" w:themeShade="BF"/>
        </w:rPr>
        <w:t xml:space="preserve"> who have failed conservative management </w:t>
      </w:r>
      <w:r w:rsidRPr="00EA3D2C">
        <w:rPr>
          <w:color w:val="365F91" w:themeColor="accent1" w:themeShade="BF"/>
        </w:rPr>
        <w:t xml:space="preserve">are most often treated with surgical decompression; however there appears to be increasing use of spinal fusion in addition to decompression. </w:t>
      </w:r>
      <w:r w:rsidR="009F5C6F">
        <w:rPr>
          <w:color w:val="365F91" w:themeColor="accent1" w:themeShade="BF"/>
        </w:rPr>
        <w:t xml:space="preserve">A recent Australian study by Machado (2017) reported that the proportion of LSS patients receiving fusion surgery is 19% compared to 81% for decompression (Machado 2017; Table 1). </w:t>
      </w:r>
      <w:r w:rsidRPr="00102112">
        <w:rPr>
          <w:color w:val="365F91" w:themeColor="accent1" w:themeShade="BF"/>
        </w:rPr>
        <w:t xml:space="preserve">On this basis, the proposed comparator for </w:t>
      </w:r>
      <w:r w:rsidR="00A40A38">
        <w:rPr>
          <w:color w:val="365F91" w:themeColor="accent1" w:themeShade="BF"/>
        </w:rPr>
        <w:t>IDS</w:t>
      </w:r>
      <w:r>
        <w:rPr>
          <w:color w:val="365F91" w:themeColor="accent1" w:themeShade="BF"/>
        </w:rPr>
        <w:t xml:space="preserve"> is </w:t>
      </w:r>
      <w:r w:rsidR="009F5C6F">
        <w:rPr>
          <w:color w:val="365F91" w:themeColor="accent1" w:themeShade="BF"/>
        </w:rPr>
        <w:t xml:space="preserve">a weighted comparator consisting of </w:t>
      </w:r>
      <w:r>
        <w:rPr>
          <w:color w:val="365F91" w:themeColor="accent1" w:themeShade="BF"/>
        </w:rPr>
        <w:t xml:space="preserve">decompression with or without fusion surgery. </w:t>
      </w:r>
      <w:r w:rsidR="009F5C6F">
        <w:rPr>
          <w:color w:val="365F91" w:themeColor="accent1" w:themeShade="BF"/>
        </w:rPr>
        <w:t>This is consistent with the approach taken in MSAC Application 1099.</w:t>
      </w:r>
    </w:p>
    <w:p w14:paraId="7A6F903A" w14:textId="77777777" w:rsidR="003D0F62" w:rsidRDefault="003D0F62" w:rsidP="003D0F62">
      <w:pPr>
        <w:pStyle w:val="Heading2"/>
      </w:pPr>
      <w:r w:rsidRPr="00154B00">
        <w:t xml:space="preserve">Does the </w:t>
      </w:r>
      <w:r w:rsidRPr="001B29A1">
        <w:t>medical</w:t>
      </w:r>
      <w:r w:rsidRPr="00154B00">
        <w:t xml:space="preserve"> service </w:t>
      </w:r>
      <w:r>
        <w:t>(</w:t>
      </w:r>
      <w:r w:rsidRPr="00154B00">
        <w:t>that has been nominated as the comparator</w:t>
      </w:r>
      <w:r>
        <w:t>)</w:t>
      </w:r>
      <w:r w:rsidRPr="00154B00">
        <w:t xml:space="preserve"> have an existing MBS item number</w:t>
      </w:r>
      <w:r>
        <w:t>(s)?</w:t>
      </w:r>
    </w:p>
    <w:p w14:paraId="24FCE973" w14:textId="77777777" w:rsidR="003D0F62" w:rsidRDefault="003D0F62" w:rsidP="003D0F62">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962EA">
        <w:rPr>
          <w:szCs w:val="20"/>
        </w:rPr>
      </w:r>
      <w:r w:rsidR="00A962EA">
        <w:rPr>
          <w:szCs w:val="20"/>
        </w:rPr>
        <w:fldChar w:fldCharType="separate"/>
      </w:r>
      <w:r>
        <w:rPr>
          <w:szCs w:val="20"/>
        </w:rPr>
        <w:fldChar w:fldCharType="end"/>
      </w:r>
      <w:r>
        <w:rPr>
          <w:szCs w:val="20"/>
        </w:rPr>
        <w:t xml:space="preserve"> Yes (please list all relevant MBS item numbers below)</w:t>
      </w:r>
    </w:p>
    <w:p w14:paraId="1594954E" w14:textId="77777777" w:rsidR="003D0F62" w:rsidRDefault="003D0F62" w:rsidP="003D0F62">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962EA">
        <w:rPr>
          <w:szCs w:val="20"/>
        </w:rPr>
      </w:r>
      <w:r w:rsidR="00A962EA">
        <w:rPr>
          <w:szCs w:val="20"/>
        </w:rPr>
        <w:fldChar w:fldCharType="separate"/>
      </w:r>
      <w:r w:rsidRPr="00753C44">
        <w:rPr>
          <w:szCs w:val="20"/>
        </w:rPr>
        <w:fldChar w:fldCharType="end"/>
      </w:r>
      <w:r>
        <w:rPr>
          <w:szCs w:val="20"/>
        </w:rPr>
        <w:t xml:space="preserve"> No  </w:t>
      </w:r>
    </w:p>
    <w:p w14:paraId="0030917B" w14:textId="3DECBE7F" w:rsidR="003D0F62" w:rsidRDefault="003D0F62" w:rsidP="003D0F62">
      <w:pPr>
        <w:ind w:left="284"/>
        <w:rPr>
          <w:color w:val="365F91" w:themeColor="accent1" w:themeShade="BF"/>
        </w:rPr>
      </w:pPr>
      <w:r w:rsidRPr="00251C90">
        <w:rPr>
          <w:color w:val="365F91" w:themeColor="accent1" w:themeShade="BF"/>
        </w:rPr>
        <w:t xml:space="preserve">The relevant MBS item numbers of </w:t>
      </w:r>
      <w:r>
        <w:rPr>
          <w:color w:val="365F91" w:themeColor="accent1" w:themeShade="BF"/>
        </w:rPr>
        <w:t xml:space="preserve">decompression </w:t>
      </w:r>
      <w:r w:rsidRPr="00251C90">
        <w:rPr>
          <w:color w:val="365F91" w:themeColor="accent1" w:themeShade="BF"/>
        </w:rPr>
        <w:t>are</w:t>
      </w:r>
      <w:r>
        <w:rPr>
          <w:color w:val="365F91" w:themeColor="accent1" w:themeShade="BF"/>
        </w:rPr>
        <w:t xml:space="preserve"> MBS items 51011 (one segment) and 51012 (two segments) b</w:t>
      </w:r>
      <w:r w:rsidRPr="00FD6C65">
        <w:rPr>
          <w:color w:val="365F91" w:themeColor="accent1" w:themeShade="BF"/>
        </w:rPr>
        <w:t>ased on its TGA-approved indication</w:t>
      </w:r>
      <w:r>
        <w:rPr>
          <w:color w:val="365F91" w:themeColor="accent1" w:themeShade="BF"/>
        </w:rPr>
        <w:t xml:space="preserve">. </w:t>
      </w:r>
      <w:r w:rsidRPr="00FD6C65">
        <w:rPr>
          <w:color w:val="365F91" w:themeColor="accent1" w:themeShade="BF"/>
        </w:rPr>
        <w:t xml:space="preserve">For patients who require posterolateral spinal fusion without instrumentation in combination with a decompression procedure, MBS items 51031 (one segment) and 51032 (two segments) may be selected. For posterolateral spinal fusion with instrumentation, an </w:t>
      </w:r>
      <w:r w:rsidRPr="00FD6C65">
        <w:rPr>
          <w:color w:val="365F91" w:themeColor="accent1" w:themeShade="BF"/>
        </w:rPr>
        <w:lastRenderedPageBreak/>
        <w:t>additional item can be selected from MBS items 51020 (simple fixation), 51021 (one segment) and 51022 (</w:t>
      </w:r>
      <w:proofErr w:type="gramStart"/>
      <w:r w:rsidRPr="00FD6C65">
        <w:rPr>
          <w:color w:val="365F91" w:themeColor="accent1" w:themeShade="BF"/>
        </w:rPr>
        <w:t>2</w:t>
      </w:r>
      <w:proofErr w:type="gramEnd"/>
      <w:r w:rsidRPr="00FD6C65">
        <w:rPr>
          <w:color w:val="365F91" w:themeColor="accent1" w:themeShade="BF"/>
        </w:rPr>
        <w:t xml:space="preserve"> segments)</w:t>
      </w:r>
      <w:r>
        <w:rPr>
          <w:color w:val="365F91" w:themeColor="accent1" w:themeShade="BF"/>
        </w:rPr>
        <w:t>, as described below.</w:t>
      </w:r>
    </w:p>
    <w:p w14:paraId="3E54E880" w14:textId="77777777" w:rsidR="00940C4B" w:rsidRDefault="00940C4B" w:rsidP="003D0F62">
      <w:pPr>
        <w:ind w:left="284"/>
        <w:rPr>
          <w:color w:val="365F91" w:themeColor="accent1" w:themeShade="BF"/>
        </w:rPr>
      </w:pPr>
    </w:p>
    <w:tbl>
      <w:tblPr>
        <w:tblStyle w:val="TableGrid"/>
        <w:tblW w:w="4845" w:type="pct"/>
        <w:tblInd w:w="279"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Caption w:val="Table"/>
        <w:tblDescription w:val="Table"/>
      </w:tblPr>
      <w:tblGrid>
        <w:gridCol w:w="8737"/>
      </w:tblGrid>
      <w:tr w:rsidR="003D0F62" w:rsidRPr="00FD6C65" w14:paraId="41A64BB6" w14:textId="77777777" w:rsidTr="000878C7">
        <w:trPr>
          <w:tblHeader/>
        </w:trPr>
        <w:tc>
          <w:tcPr>
            <w:tcW w:w="5000" w:type="pct"/>
          </w:tcPr>
          <w:p w14:paraId="6249BB60"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Decompression</w:t>
            </w:r>
          </w:p>
        </w:tc>
      </w:tr>
      <w:tr w:rsidR="003D0F62" w:rsidRPr="00FD6C65" w14:paraId="3AF3AD1B" w14:textId="77777777" w:rsidTr="009F5C6F">
        <w:tc>
          <w:tcPr>
            <w:tcW w:w="5000" w:type="pct"/>
          </w:tcPr>
          <w:p w14:paraId="23B35452"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 xml:space="preserve">51011 </w:t>
            </w:r>
          </w:p>
          <w:p w14:paraId="31B6810B"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Spinal decompression or exposure via partial or total laminectomy, partial vertebrectomy or posterior spinal release, one motion segment, not being a service associated with a service to which item 51012, 51013, 51014 or 51015 applies</w:t>
            </w:r>
          </w:p>
          <w:p w14:paraId="41813FC3"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Multiple Operation Rule</w:t>
            </w:r>
          </w:p>
          <w:p w14:paraId="16780198"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w:t>
            </w:r>
            <w:proofErr w:type="spellStart"/>
            <w:r w:rsidRPr="00FD6C65">
              <w:rPr>
                <w:color w:val="365F91" w:themeColor="accent1" w:themeShade="BF"/>
              </w:rPr>
              <w:t>Anaes</w:t>
            </w:r>
            <w:proofErr w:type="spellEnd"/>
            <w:r w:rsidRPr="00FD6C65">
              <w:rPr>
                <w:color w:val="365F91" w:themeColor="accent1" w:themeShade="BF"/>
              </w:rPr>
              <w:t>.) (Assist.)</w:t>
            </w:r>
          </w:p>
          <w:p w14:paraId="14E1F153"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Fee: $1,458.45 Benefit: 75% = $1,093.85</w:t>
            </w:r>
          </w:p>
        </w:tc>
      </w:tr>
      <w:tr w:rsidR="003D0F62" w:rsidRPr="00FD6C65" w14:paraId="63F7D0B5" w14:textId="77777777" w:rsidTr="009F5C6F">
        <w:tc>
          <w:tcPr>
            <w:tcW w:w="5000" w:type="pct"/>
          </w:tcPr>
          <w:p w14:paraId="3144C83D"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 xml:space="preserve">51012 </w:t>
            </w:r>
          </w:p>
          <w:p w14:paraId="36C2A76C"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Spinal decompression or exposure via partial or total laminectomy, partial vertebrectomy or posterior spinal release, 2 motion segments, not being a service associated with a service to which item 51011, 51013, 51014 or 51015 applies</w:t>
            </w:r>
          </w:p>
          <w:p w14:paraId="649DBD36"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Multiple Operation Rule</w:t>
            </w:r>
          </w:p>
          <w:p w14:paraId="1270BECD"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w:t>
            </w:r>
            <w:proofErr w:type="spellStart"/>
            <w:r w:rsidRPr="00FD6C65">
              <w:rPr>
                <w:color w:val="365F91" w:themeColor="accent1" w:themeShade="BF"/>
              </w:rPr>
              <w:t>Anaes</w:t>
            </w:r>
            <w:proofErr w:type="spellEnd"/>
            <w:r w:rsidRPr="00FD6C65">
              <w:rPr>
                <w:color w:val="365F91" w:themeColor="accent1" w:themeShade="BF"/>
              </w:rPr>
              <w:t>.) (Assist.)</w:t>
            </w:r>
          </w:p>
          <w:p w14:paraId="0A546D75"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Fee: $1,944.40 Benefit: 75% = $1,458.30</w:t>
            </w:r>
          </w:p>
        </w:tc>
      </w:tr>
      <w:tr w:rsidR="003D0F62" w:rsidRPr="00FD6C65" w14:paraId="0C3F812F" w14:textId="77777777" w:rsidTr="009F5C6F">
        <w:tc>
          <w:tcPr>
            <w:tcW w:w="5000" w:type="pct"/>
          </w:tcPr>
          <w:p w14:paraId="350E9A3A"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Spinal fusion</w:t>
            </w:r>
          </w:p>
        </w:tc>
      </w:tr>
      <w:tr w:rsidR="003D0F62" w:rsidRPr="00FD6C65" w14:paraId="72C7F435" w14:textId="77777777" w:rsidTr="009F5C6F">
        <w:tc>
          <w:tcPr>
            <w:tcW w:w="5000" w:type="pct"/>
          </w:tcPr>
          <w:p w14:paraId="7B4BA0F1"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 xml:space="preserve">51031 </w:t>
            </w:r>
          </w:p>
          <w:p w14:paraId="1F6A3896"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Spine, posterior and/or posterolateral bone graft to, one motion segment, not being a service associated with a service to which item 51032, 51033, 51034, 51035 or 51036 applies</w:t>
            </w:r>
          </w:p>
          <w:p w14:paraId="49098FDC"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Multiple Operation Rule</w:t>
            </w:r>
          </w:p>
          <w:p w14:paraId="0EE0BBB3"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w:t>
            </w:r>
            <w:proofErr w:type="spellStart"/>
            <w:r w:rsidRPr="00FD6C65">
              <w:rPr>
                <w:color w:val="365F91" w:themeColor="accent1" w:themeShade="BF"/>
              </w:rPr>
              <w:t>Anaes</w:t>
            </w:r>
            <w:proofErr w:type="spellEnd"/>
            <w:r w:rsidRPr="00FD6C65">
              <w:rPr>
                <w:color w:val="365F91" w:themeColor="accent1" w:themeShade="BF"/>
              </w:rPr>
              <w:t>.) (Assist.)</w:t>
            </w:r>
          </w:p>
          <w:p w14:paraId="5E8D6E29"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Fee: $956.50 Benefit: 75% = $717.40</w:t>
            </w:r>
          </w:p>
        </w:tc>
      </w:tr>
      <w:tr w:rsidR="003D0F62" w:rsidRPr="00FD6C65" w14:paraId="7A3A9518" w14:textId="77777777" w:rsidTr="009F5C6F">
        <w:tc>
          <w:tcPr>
            <w:tcW w:w="5000" w:type="pct"/>
          </w:tcPr>
          <w:p w14:paraId="7BF082DF"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 xml:space="preserve">51032 </w:t>
            </w:r>
          </w:p>
          <w:p w14:paraId="54D99B53"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Spine, posterior and/or posterolateral bone graft to, 2 motion segments, not being a service associated with a service to which item 51031, 51033, 51034, 51035 or 51036 applies</w:t>
            </w:r>
          </w:p>
          <w:p w14:paraId="3B2891CD"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Multiple Operation Rule</w:t>
            </w:r>
          </w:p>
          <w:p w14:paraId="1E6E265D"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w:t>
            </w:r>
            <w:proofErr w:type="spellStart"/>
            <w:r w:rsidRPr="00FD6C65">
              <w:rPr>
                <w:color w:val="365F91" w:themeColor="accent1" w:themeShade="BF"/>
              </w:rPr>
              <w:t>Anaes</w:t>
            </w:r>
            <w:proofErr w:type="spellEnd"/>
            <w:r w:rsidRPr="00FD6C65">
              <w:rPr>
                <w:color w:val="365F91" w:themeColor="accent1" w:themeShade="BF"/>
              </w:rPr>
              <w:t>.) (Assist.)</w:t>
            </w:r>
          </w:p>
          <w:p w14:paraId="02C27CCE"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Fee: $1,147.85 Benefit: 75% = $860.90</w:t>
            </w:r>
          </w:p>
        </w:tc>
      </w:tr>
      <w:tr w:rsidR="003D0F62" w:rsidRPr="00FD6C65" w14:paraId="46972023" w14:textId="77777777" w:rsidTr="009F5C6F">
        <w:tc>
          <w:tcPr>
            <w:tcW w:w="5000" w:type="pct"/>
          </w:tcPr>
          <w:p w14:paraId="3476A4A5"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Instrumentation</w:t>
            </w:r>
          </w:p>
        </w:tc>
      </w:tr>
      <w:tr w:rsidR="003D0F62" w:rsidRPr="00FD6C65" w14:paraId="6E7210E9" w14:textId="77777777" w:rsidTr="009F5C6F">
        <w:tc>
          <w:tcPr>
            <w:tcW w:w="5000" w:type="pct"/>
          </w:tcPr>
          <w:p w14:paraId="2EB8C285"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 xml:space="preserve">51020 </w:t>
            </w:r>
          </w:p>
          <w:p w14:paraId="010B4010"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Simple fixation of part of one vertebra (not motion segment) including pars interarticularis, spinous process or pedicle, or simple interspinous wiring between 2 adjacent vertebral levels, not being a service associated with:</w:t>
            </w:r>
          </w:p>
          <w:p w14:paraId="27A54DD3"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 xml:space="preserve">(a) </w:t>
            </w:r>
            <w:proofErr w:type="spellStart"/>
            <w:r w:rsidRPr="00FD6C65">
              <w:rPr>
                <w:color w:val="365F91" w:themeColor="accent1" w:themeShade="BF"/>
              </w:rPr>
              <w:t>interspinous</w:t>
            </w:r>
            <w:proofErr w:type="spellEnd"/>
            <w:r w:rsidRPr="00FD6C65">
              <w:rPr>
                <w:color w:val="365F91" w:themeColor="accent1" w:themeShade="BF"/>
              </w:rPr>
              <w:t xml:space="preserve"> dynamic </w:t>
            </w:r>
            <w:proofErr w:type="spellStart"/>
            <w:r w:rsidRPr="00FD6C65">
              <w:rPr>
                <w:color w:val="365F91" w:themeColor="accent1" w:themeShade="BF"/>
              </w:rPr>
              <w:t>stabilisation</w:t>
            </w:r>
            <w:proofErr w:type="spellEnd"/>
            <w:r w:rsidRPr="00FD6C65">
              <w:rPr>
                <w:color w:val="365F91" w:themeColor="accent1" w:themeShade="BF"/>
              </w:rPr>
              <w:t xml:space="preserve"> devices; or</w:t>
            </w:r>
          </w:p>
          <w:p w14:paraId="0BA77159"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(b) a service to which item 51021, 51022, 51023, 51024, 51025 or 51026 applies</w:t>
            </w:r>
          </w:p>
          <w:p w14:paraId="31B40C35"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Multiple Operation Rule</w:t>
            </w:r>
          </w:p>
          <w:p w14:paraId="6345172B"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w:t>
            </w:r>
            <w:proofErr w:type="spellStart"/>
            <w:r w:rsidRPr="00FD6C65">
              <w:rPr>
                <w:color w:val="365F91" w:themeColor="accent1" w:themeShade="BF"/>
              </w:rPr>
              <w:t>Anaes</w:t>
            </w:r>
            <w:proofErr w:type="spellEnd"/>
            <w:r w:rsidRPr="00FD6C65">
              <w:rPr>
                <w:color w:val="365F91" w:themeColor="accent1" w:themeShade="BF"/>
              </w:rPr>
              <w:t>.) (Assist.)</w:t>
            </w:r>
          </w:p>
          <w:p w14:paraId="6C96C0DF"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Fee: $777.70 Benefit: 75% = $583.30</w:t>
            </w:r>
          </w:p>
        </w:tc>
      </w:tr>
    </w:tbl>
    <w:p w14:paraId="1D073D38" w14:textId="77777777" w:rsidR="00940C4B" w:rsidRDefault="00940C4B">
      <w:r>
        <w:br w:type="page"/>
      </w:r>
    </w:p>
    <w:tbl>
      <w:tblPr>
        <w:tblStyle w:val="TableGrid"/>
        <w:tblW w:w="4845" w:type="pct"/>
        <w:tblInd w:w="279"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Caption w:val="Table"/>
        <w:tblDescription w:val="Table"/>
      </w:tblPr>
      <w:tblGrid>
        <w:gridCol w:w="8737"/>
      </w:tblGrid>
      <w:tr w:rsidR="003D0F62" w:rsidRPr="00FD6C65" w14:paraId="2163258E" w14:textId="77777777" w:rsidTr="000878C7">
        <w:trPr>
          <w:tblHeader/>
        </w:trPr>
        <w:tc>
          <w:tcPr>
            <w:tcW w:w="5000" w:type="pct"/>
          </w:tcPr>
          <w:p w14:paraId="28FFBC0C" w14:textId="252524F3" w:rsidR="003D0F62" w:rsidRPr="00FD6C65" w:rsidRDefault="003D0F62" w:rsidP="00ED7419">
            <w:pPr>
              <w:pStyle w:val="TableText0"/>
              <w:keepNext w:val="0"/>
              <w:keepLines w:val="0"/>
              <w:rPr>
                <w:color w:val="365F91" w:themeColor="accent1" w:themeShade="BF"/>
              </w:rPr>
            </w:pPr>
            <w:r w:rsidRPr="00FD6C65">
              <w:rPr>
                <w:color w:val="365F91" w:themeColor="accent1" w:themeShade="BF"/>
              </w:rPr>
              <w:lastRenderedPageBreak/>
              <w:t xml:space="preserve">51021 </w:t>
            </w:r>
          </w:p>
          <w:p w14:paraId="75DDE682"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Fixation of motion segment with vertebral body screw, pedicle screw or hook instrumentation including sublaminar tapes or wires, one motion segment, not being a service associated with a service to which item 51020, 51022, 51023, 51024, 51025 or 51026 applies</w:t>
            </w:r>
          </w:p>
          <w:p w14:paraId="5CE0F45F"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Multiple Operation Rule</w:t>
            </w:r>
          </w:p>
          <w:p w14:paraId="3D0BD720"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w:t>
            </w:r>
            <w:proofErr w:type="spellStart"/>
            <w:r w:rsidRPr="00FD6C65">
              <w:rPr>
                <w:color w:val="365F91" w:themeColor="accent1" w:themeShade="BF"/>
              </w:rPr>
              <w:t>Anaes</w:t>
            </w:r>
            <w:proofErr w:type="spellEnd"/>
            <w:r w:rsidRPr="00FD6C65">
              <w:rPr>
                <w:color w:val="365F91" w:themeColor="accent1" w:themeShade="BF"/>
              </w:rPr>
              <w:t>.) (Assist.)</w:t>
            </w:r>
          </w:p>
          <w:p w14:paraId="0A48AEB6"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Fee: $1,301.70 Benefit: 75% = $976.30</w:t>
            </w:r>
          </w:p>
        </w:tc>
      </w:tr>
      <w:tr w:rsidR="003D0F62" w:rsidRPr="00FD6C65" w14:paraId="7595E998" w14:textId="77777777" w:rsidTr="009F5C6F">
        <w:tc>
          <w:tcPr>
            <w:tcW w:w="5000" w:type="pct"/>
          </w:tcPr>
          <w:p w14:paraId="73A47D38"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 xml:space="preserve">51022 </w:t>
            </w:r>
          </w:p>
          <w:p w14:paraId="0864B5DF"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Fixation of motion segment with vertebral body screw, pedicle screw or hook instrumentation including sublaminar tapes or wires, 2 motion segments, not being a service associated with a service to which item 51020, 51021, 51023, 51024, 51025 or 51026 applies</w:t>
            </w:r>
          </w:p>
          <w:p w14:paraId="1AA1EE7A"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Multiple Operation Rule</w:t>
            </w:r>
          </w:p>
          <w:p w14:paraId="51467637"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w:t>
            </w:r>
            <w:proofErr w:type="spellStart"/>
            <w:r w:rsidRPr="00FD6C65">
              <w:rPr>
                <w:color w:val="365F91" w:themeColor="accent1" w:themeShade="BF"/>
              </w:rPr>
              <w:t>Anaes</w:t>
            </w:r>
            <w:proofErr w:type="spellEnd"/>
            <w:r w:rsidRPr="00FD6C65">
              <w:rPr>
                <w:color w:val="365F91" w:themeColor="accent1" w:themeShade="BF"/>
              </w:rPr>
              <w:t>.) (Assist.)</w:t>
            </w:r>
          </w:p>
          <w:p w14:paraId="17320927" w14:textId="77777777" w:rsidR="003D0F62" w:rsidRPr="00FD6C65" w:rsidRDefault="003D0F62" w:rsidP="00ED7419">
            <w:pPr>
              <w:pStyle w:val="TableText0"/>
              <w:keepNext w:val="0"/>
              <w:keepLines w:val="0"/>
              <w:rPr>
                <w:color w:val="365F91" w:themeColor="accent1" w:themeShade="BF"/>
              </w:rPr>
            </w:pPr>
            <w:r w:rsidRPr="00FD6C65">
              <w:rPr>
                <w:color w:val="365F91" w:themeColor="accent1" w:themeShade="BF"/>
              </w:rPr>
              <w:t>Fee: $1,619.20 Benefit: 75% = $1,214.40</w:t>
            </w:r>
          </w:p>
        </w:tc>
      </w:tr>
    </w:tbl>
    <w:p w14:paraId="1931ED18" w14:textId="77777777" w:rsidR="003D0F62" w:rsidRDefault="003D0F62" w:rsidP="003D0F62">
      <w:pPr>
        <w:pStyle w:val="Heading2"/>
      </w:pPr>
      <w:proofErr w:type="gramStart"/>
      <w:r w:rsidRPr="00154B00">
        <w:t xml:space="preserve">Define and </w:t>
      </w:r>
      <w:r w:rsidRPr="001B29A1">
        <w:t>summarise</w:t>
      </w:r>
      <w:r w:rsidRPr="00154B00">
        <w:t xml:space="preserve"> the current clinical management pathway</w:t>
      </w:r>
      <w:r>
        <w:t>/</w:t>
      </w:r>
      <w:r w:rsidRPr="00154B00">
        <w:t xml:space="preserve">s that patients may follow </w:t>
      </w:r>
      <w:r w:rsidRPr="00154B00">
        <w:rPr>
          <w:i/>
        </w:rPr>
        <w:t>after</w:t>
      </w:r>
      <w:r>
        <w:t xml:space="preserve"> they receive</w:t>
      </w:r>
      <w:r w:rsidRPr="00154B00">
        <w:t xml:space="preserve"> the medical service that has been nominated as the comparator (supplement this summary with an easy to follow flowchart </w:t>
      </w:r>
      <w:r>
        <w:t xml:space="preserve">[as an attachment to the Application Form] </w:t>
      </w:r>
      <w:r w:rsidRPr="00154B00">
        <w:t>depicting the current clinical management pathway</w:t>
      </w:r>
      <w:r>
        <w:t xml:space="preserve"> </w:t>
      </w:r>
      <w:r w:rsidRPr="00154B00">
        <w:t>that patients may follow from the point of receiving the comparator onwards</w:t>
      </w:r>
      <w:r>
        <w:t>,</w:t>
      </w:r>
      <w:r w:rsidRPr="00154B00">
        <w:t xml:space="preserve"> including health care resources</w:t>
      </w:r>
      <w:r>
        <w:t>):</w:t>
      </w:r>
      <w:proofErr w:type="gramEnd"/>
    </w:p>
    <w:p w14:paraId="089DAEFD" w14:textId="502B849A" w:rsidR="00312B9A" w:rsidRDefault="003D0F62" w:rsidP="00940C4B">
      <w:pPr>
        <w:ind w:left="426"/>
        <w:rPr>
          <w:color w:val="365F91" w:themeColor="accent1" w:themeShade="BF"/>
        </w:rPr>
      </w:pPr>
      <w:r>
        <w:rPr>
          <w:color w:val="365F91" w:themeColor="accent1" w:themeShade="BF"/>
        </w:rPr>
        <w:t>Following decompression surgery with or without fusion surgery, patients undergo a period of recovery and rehabilitation</w:t>
      </w:r>
      <w:r w:rsidRPr="0042012C">
        <w:rPr>
          <w:color w:val="365F91" w:themeColor="accent1" w:themeShade="BF"/>
        </w:rPr>
        <w:t xml:space="preserve">. </w:t>
      </w:r>
      <w:r w:rsidR="001C5FDC" w:rsidRPr="0042012C">
        <w:rPr>
          <w:color w:val="365F91" w:themeColor="accent1" w:themeShade="BF"/>
        </w:rPr>
        <w:t xml:space="preserve">This usually involves conservative management and other additional guided therapies depending on the patient’s recovery time. Some patients may undergo a revision, as is the case for current treatments for LSS, which will be explored in the ADAR. The clinical management pathway is summarised in </w:t>
      </w:r>
      <w:r w:rsidR="001C5FDC" w:rsidRPr="008F566C">
        <w:rPr>
          <w:color w:val="365F91" w:themeColor="accent1" w:themeShade="BF"/>
        </w:rPr>
        <w:t xml:space="preserve">Attachment </w:t>
      </w:r>
      <w:r w:rsidR="008F566C">
        <w:rPr>
          <w:color w:val="365F91" w:themeColor="accent1" w:themeShade="BF"/>
        </w:rPr>
        <w:t>A.</w:t>
      </w:r>
    </w:p>
    <w:p w14:paraId="5334982C" w14:textId="77777777" w:rsidR="003D0F62" w:rsidRPr="00154B00" w:rsidRDefault="003D0F62" w:rsidP="003D0F62">
      <w:pPr>
        <w:pStyle w:val="Heading2"/>
      </w:pPr>
      <w:r>
        <w:t xml:space="preserve">(a) </w:t>
      </w:r>
      <w:r w:rsidRPr="00154B00">
        <w:t xml:space="preserve">Will the proposed medical service be used in addition to, or instead of, the nominated </w:t>
      </w:r>
      <w:r w:rsidRPr="001B29A1">
        <w:t>comparator</w:t>
      </w:r>
      <w:r w:rsidRPr="00154B00">
        <w:t>(s)</w:t>
      </w:r>
      <w:r>
        <w:t>?</w:t>
      </w:r>
    </w:p>
    <w:p w14:paraId="23BEA1CF" w14:textId="77777777" w:rsidR="003D0F62" w:rsidRDefault="003D0F62" w:rsidP="003D0F62">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A962EA">
        <w:rPr>
          <w:szCs w:val="20"/>
        </w:rPr>
      </w:r>
      <w:r w:rsidR="00A962EA">
        <w:rPr>
          <w:szCs w:val="20"/>
        </w:rPr>
        <w:fldChar w:fldCharType="separate"/>
      </w:r>
      <w:r w:rsidRPr="00753C44">
        <w:rPr>
          <w:szCs w:val="20"/>
        </w:rPr>
        <w:fldChar w:fldCharType="end"/>
      </w:r>
      <w:r>
        <w:rPr>
          <w:szCs w:val="20"/>
        </w:rPr>
        <w:t xml:space="preserve"> In addition to (i.e. it is an add-on service) </w:t>
      </w:r>
    </w:p>
    <w:p w14:paraId="63524329" w14:textId="77777777" w:rsidR="003D0F62" w:rsidRDefault="003D0F62" w:rsidP="003D0F62">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962EA">
        <w:rPr>
          <w:szCs w:val="20"/>
        </w:rPr>
      </w:r>
      <w:r w:rsidR="00A962EA">
        <w:rPr>
          <w:szCs w:val="20"/>
        </w:rPr>
        <w:fldChar w:fldCharType="separate"/>
      </w:r>
      <w:r>
        <w:rPr>
          <w:szCs w:val="20"/>
        </w:rPr>
        <w:fldChar w:fldCharType="end"/>
      </w:r>
      <w:r>
        <w:rPr>
          <w:szCs w:val="20"/>
        </w:rPr>
        <w:t xml:space="preserve"> Instead of (i.e. it is a replacement or alternative)</w:t>
      </w:r>
    </w:p>
    <w:p w14:paraId="65E7683D" w14:textId="7C0F3EF5" w:rsidR="003D0F62" w:rsidRPr="00312B9A" w:rsidRDefault="003D0F62" w:rsidP="003D0F62">
      <w:pPr>
        <w:pStyle w:val="Heading2"/>
        <w:numPr>
          <w:ilvl w:val="0"/>
          <w:numId w:val="8"/>
        </w:numPr>
      </w:pPr>
      <w:r w:rsidRPr="00312B9A">
        <w:t>If instead of (i.e. alternative service), please outline the extent to which the current service/comparator is expected to be substituted:</w:t>
      </w:r>
    </w:p>
    <w:p w14:paraId="6FEF4140" w14:textId="4E9B311E" w:rsidR="00312B9A" w:rsidRPr="008F566C" w:rsidRDefault="00312B9A" w:rsidP="00940C4B">
      <w:pPr>
        <w:ind w:left="360"/>
        <w:rPr>
          <w:color w:val="365F91" w:themeColor="accent1" w:themeShade="BF"/>
        </w:rPr>
      </w:pPr>
      <w:r w:rsidRPr="003D0F62">
        <w:rPr>
          <w:color w:val="365F91" w:themeColor="accent1" w:themeShade="BF"/>
        </w:rPr>
        <w:t xml:space="preserve">In </w:t>
      </w:r>
      <w:r>
        <w:rPr>
          <w:color w:val="365F91" w:themeColor="accent1" w:themeShade="BF"/>
        </w:rPr>
        <w:t>MSAC Application 1099, it was estimated that approximately 30-35% of single level decompression procedures and 10-20% of multiple level decompressions would be candidates for non-fusion therapy.</w:t>
      </w:r>
    </w:p>
    <w:p w14:paraId="7996DF06" w14:textId="77777777" w:rsidR="003D0F62" w:rsidRPr="00154B00" w:rsidRDefault="003D0F62" w:rsidP="003D0F62">
      <w:pPr>
        <w:pStyle w:val="Heading2"/>
      </w:pPr>
      <w:r w:rsidRPr="00154B00">
        <w:t xml:space="preserve">Define and </w:t>
      </w:r>
      <w:r w:rsidRPr="004A0BF4">
        <w:t>summarise</w:t>
      </w:r>
      <w:r w:rsidRPr="00154B00">
        <w:t xml:space="preserve"> how current clinical management pathways (from the point of service delivery onwards) are expected to </w:t>
      </w:r>
      <w:r w:rsidRPr="003A2860">
        <w:t>change</w:t>
      </w:r>
      <w:r w:rsidRPr="00154B00">
        <w:t xml:space="preserve"> as a consequence of introducing the proposed medical service</w:t>
      </w:r>
      <w:r>
        <w:t>,</w:t>
      </w:r>
      <w:r w:rsidRPr="00154B00">
        <w:t xml:space="preserve"> including variation in health care resources (</w:t>
      </w:r>
      <w:r>
        <w:t xml:space="preserve">Refer to </w:t>
      </w:r>
      <w:r w:rsidRPr="00154B00">
        <w:t xml:space="preserve">Question </w:t>
      </w:r>
      <w:r>
        <w:t>39</w:t>
      </w:r>
      <w:r w:rsidRPr="00154B00">
        <w:t xml:space="preserve"> as baseline)</w:t>
      </w:r>
      <w:r>
        <w:t>:</w:t>
      </w:r>
    </w:p>
    <w:p w14:paraId="2BF6D47B" w14:textId="473E7E2E" w:rsidR="003D0F62" w:rsidRDefault="003D0F62" w:rsidP="00940C4B">
      <w:pPr>
        <w:ind w:left="426"/>
        <w:rPr>
          <w:color w:val="365F91" w:themeColor="accent1" w:themeShade="BF"/>
        </w:rPr>
      </w:pPr>
      <w:r>
        <w:rPr>
          <w:color w:val="365F91" w:themeColor="accent1" w:themeShade="BF"/>
        </w:rPr>
        <w:t>The change in how patients are currently managed will arise largely from a reduction in the length of hospital admission as well as fewer complications from surgery. Most patients will only require a day case hospitalisation following the delivery of the intervention, whereas this increases to several nights in patients undergoing decompression with or without fusion surgery. The reduction in complications is itself associated with decreased resource use, including hospitalisations.</w:t>
      </w:r>
    </w:p>
    <w:p w14:paraId="437B7CFB" w14:textId="085E12E8" w:rsidR="00312B9A" w:rsidRDefault="00312B9A" w:rsidP="00940C4B">
      <w:pPr>
        <w:ind w:left="426"/>
        <w:rPr>
          <w:color w:val="365F91" w:themeColor="accent1" w:themeShade="BF"/>
        </w:rPr>
      </w:pPr>
      <w:r>
        <w:rPr>
          <w:color w:val="365F91" w:themeColor="accent1" w:themeShade="BF"/>
        </w:rPr>
        <w:t xml:space="preserve">Some patients undergoing treatment with </w:t>
      </w:r>
      <w:r w:rsidR="00A40A38">
        <w:rPr>
          <w:color w:val="365F91" w:themeColor="accent1" w:themeShade="BF"/>
        </w:rPr>
        <w:t>IDS</w:t>
      </w:r>
      <w:r>
        <w:rPr>
          <w:color w:val="365F91" w:themeColor="accent1" w:themeShade="BF"/>
        </w:rPr>
        <w:t xml:space="preserve">s will require revision if treatment is unsuccessful or if there are complications. The rates of revisions and complications associated with </w:t>
      </w:r>
      <w:r w:rsidR="00A40A38">
        <w:rPr>
          <w:color w:val="365F91" w:themeColor="accent1" w:themeShade="BF"/>
        </w:rPr>
        <w:t>IDS</w:t>
      </w:r>
      <w:r>
        <w:rPr>
          <w:color w:val="365F91" w:themeColor="accent1" w:themeShade="BF"/>
        </w:rPr>
        <w:t xml:space="preserve">s and their comparators will be explored in the ADAR. </w:t>
      </w:r>
    </w:p>
    <w:p w14:paraId="73EEF1F1" w14:textId="77777777" w:rsidR="003D0F62" w:rsidRPr="00E50636" w:rsidRDefault="003D0F62" w:rsidP="003D0F62">
      <w:pPr>
        <w:ind w:left="284"/>
        <w:rPr>
          <w:color w:val="365F91" w:themeColor="accent1" w:themeShade="BF"/>
        </w:rPr>
      </w:pPr>
    </w:p>
    <w:p w14:paraId="30C48DC2" w14:textId="77777777" w:rsidR="003D0F62" w:rsidRDefault="003D0F62" w:rsidP="003D0F62">
      <w:pPr>
        <w:rPr>
          <w:b/>
          <w:i/>
          <w:szCs w:val="20"/>
          <w:u w:val="single"/>
        </w:rPr>
      </w:pPr>
      <w:r>
        <w:rPr>
          <w:b/>
          <w:i/>
          <w:szCs w:val="20"/>
          <w:u w:val="single"/>
        </w:rPr>
        <w:br w:type="page"/>
      </w:r>
    </w:p>
    <w:p w14:paraId="7F7F2038" w14:textId="77777777" w:rsidR="003D0F62" w:rsidRPr="00881F93" w:rsidRDefault="003D0F62" w:rsidP="003D0F62">
      <w:pPr>
        <w:pStyle w:val="Subtitle"/>
      </w:pPr>
      <w:r>
        <w:lastRenderedPageBreak/>
        <w:t xml:space="preserve">PART 6d – </w:t>
      </w:r>
      <w:r w:rsidRPr="00881F93">
        <w:t>INFORMATION ABOUT THE CLINICAL OUTCOME</w:t>
      </w:r>
    </w:p>
    <w:p w14:paraId="4B03EEE4" w14:textId="77777777" w:rsidR="003D0F62" w:rsidRPr="001B29A1" w:rsidRDefault="003D0F62" w:rsidP="003D0F62">
      <w:pPr>
        <w:pStyle w:val="Heading2"/>
      </w:pPr>
      <w:r w:rsidRPr="001B29A1">
        <w:t>Summarise the clinical claims for the proposed medical service against the appropriate comparator(s), in terms of consequences for health outcomes (comparative benefits and harms)</w:t>
      </w:r>
      <w:r>
        <w:t>:</w:t>
      </w:r>
    </w:p>
    <w:p w14:paraId="70F0860E" w14:textId="7849D764" w:rsidR="003D0F62" w:rsidRPr="00CB74EF" w:rsidRDefault="003D0F62" w:rsidP="00940C4B">
      <w:pPr>
        <w:ind w:left="426"/>
        <w:rPr>
          <w:color w:val="365F91" w:themeColor="accent1" w:themeShade="BF"/>
        </w:rPr>
      </w:pPr>
      <w:r>
        <w:rPr>
          <w:color w:val="365F91" w:themeColor="accent1" w:themeShade="BF"/>
        </w:rPr>
        <w:t xml:space="preserve">The main clinical claim in the submission will be that </w:t>
      </w:r>
      <w:r w:rsidR="00A40A38">
        <w:rPr>
          <w:color w:val="365F91" w:themeColor="accent1" w:themeShade="BF"/>
        </w:rPr>
        <w:t>IDS</w:t>
      </w:r>
      <w:r>
        <w:rPr>
          <w:color w:val="365F91" w:themeColor="accent1" w:themeShade="BF"/>
        </w:rPr>
        <w:t xml:space="preserve"> is non-inferior to decompression with or without fusion surgery, in terms of clinical efficacy and safety. </w:t>
      </w:r>
    </w:p>
    <w:p w14:paraId="5653B022" w14:textId="77777777" w:rsidR="003D0F62" w:rsidRPr="00154B00" w:rsidRDefault="003D0F62" w:rsidP="003D0F62">
      <w:pPr>
        <w:pStyle w:val="Heading2"/>
      </w:pPr>
      <w:r w:rsidRPr="00154B00">
        <w:t xml:space="preserve">Please advise if the </w:t>
      </w:r>
      <w:r w:rsidRPr="00092580">
        <w:t>overall</w:t>
      </w:r>
      <w:r>
        <w:t xml:space="preserve"> </w:t>
      </w:r>
      <w:r w:rsidRPr="00154B00">
        <w:t>clinical claim is for:</w:t>
      </w:r>
    </w:p>
    <w:p w14:paraId="6398FBAA" w14:textId="77777777" w:rsidR="003D0F62" w:rsidRPr="001B29A1" w:rsidRDefault="003D0F62" w:rsidP="003D0F62">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A962EA">
        <w:rPr>
          <w:szCs w:val="20"/>
        </w:rPr>
      </w:r>
      <w:r w:rsidR="00A962EA">
        <w:rPr>
          <w:szCs w:val="20"/>
        </w:rPr>
        <w:fldChar w:fldCharType="separate"/>
      </w:r>
      <w:r w:rsidRPr="001B29A1">
        <w:rPr>
          <w:szCs w:val="20"/>
        </w:rPr>
        <w:fldChar w:fldCharType="end"/>
      </w:r>
      <w:r w:rsidRPr="001B29A1">
        <w:rPr>
          <w:szCs w:val="20"/>
        </w:rPr>
        <w:t xml:space="preserve"> Superiority</w:t>
      </w:r>
      <w:r w:rsidRPr="001B29A1">
        <w:rPr>
          <w:szCs w:val="20"/>
        </w:rPr>
        <w:tab/>
      </w:r>
    </w:p>
    <w:p w14:paraId="7EFB9780" w14:textId="77777777" w:rsidR="003D0F62" w:rsidRPr="001B29A1" w:rsidRDefault="003D0F62" w:rsidP="003D0F62">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962EA">
        <w:rPr>
          <w:szCs w:val="20"/>
        </w:rPr>
      </w:r>
      <w:r w:rsidR="00A962EA">
        <w:rPr>
          <w:szCs w:val="20"/>
        </w:rPr>
        <w:fldChar w:fldCharType="separate"/>
      </w:r>
      <w:r>
        <w:rPr>
          <w:szCs w:val="20"/>
        </w:rPr>
        <w:fldChar w:fldCharType="end"/>
      </w:r>
      <w:r w:rsidRPr="001B29A1">
        <w:rPr>
          <w:szCs w:val="20"/>
        </w:rPr>
        <w:t xml:space="preserve"> Non-inferiority</w:t>
      </w:r>
      <w:r w:rsidRPr="001B29A1">
        <w:rPr>
          <w:szCs w:val="20"/>
        </w:rPr>
        <w:tab/>
      </w:r>
    </w:p>
    <w:p w14:paraId="14EFF52D" w14:textId="77777777" w:rsidR="003D0F62" w:rsidRPr="00154B00" w:rsidRDefault="003D0F62" w:rsidP="003D0F62">
      <w:pPr>
        <w:pStyle w:val="Heading2"/>
      </w:pPr>
      <w:r>
        <w:t xml:space="preserve">Below, list </w:t>
      </w:r>
      <w:r w:rsidRPr="00B25CFD">
        <w:t xml:space="preserve">the </w:t>
      </w:r>
      <w:r w:rsidRPr="00092580">
        <w:t>key</w:t>
      </w:r>
      <w:r w:rsidRPr="00B25CFD">
        <w:t xml:space="preserve"> health outcomes </w:t>
      </w:r>
      <w:r>
        <w:t xml:space="preserve">(major and minor – prioritising major key health outcomes first) </w:t>
      </w:r>
      <w:r w:rsidRPr="00B25CFD">
        <w:t>that will ne</w:t>
      </w:r>
      <w:r>
        <w:t xml:space="preserve">ed to be specifically measured </w:t>
      </w:r>
      <w:r w:rsidRPr="00B25CFD">
        <w:t>in assessing the clinical claim of the proposed medica</w:t>
      </w:r>
      <w:r>
        <w:t>l service versus the comparator:</w:t>
      </w:r>
    </w:p>
    <w:p w14:paraId="549D7392" w14:textId="77777777" w:rsidR="003D0F62" w:rsidRDefault="003D0F62" w:rsidP="009F5C6F">
      <w:pPr>
        <w:pBdr>
          <w:top w:val="single" w:sz="4" w:space="1" w:color="365F91" w:themeColor="accent1" w:themeShade="BF"/>
          <w:left w:val="single" w:sz="4" w:space="0" w:color="365F91" w:themeColor="accent1" w:themeShade="BF"/>
          <w:bottom w:val="single" w:sz="4" w:space="1" w:color="365F91" w:themeColor="accent1" w:themeShade="BF"/>
          <w:right w:val="single" w:sz="4" w:space="4" w:color="365F91" w:themeColor="accent1" w:themeShade="BF"/>
        </w:pBdr>
        <w:rPr>
          <w:b/>
          <w:color w:val="365F91" w:themeColor="accent1" w:themeShade="BF"/>
          <w:szCs w:val="20"/>
        </w:rPr>
      </w:pPr>
      <w:r w:rsidRPr="009D1287">
        <w:rPr>
          <w:b/>
          <w:color w:val="365F91" w:themeColor="accent1" w:themeShade="BF"/>
          <w:szCs w:val="20"/>
        </w:rPr>
        <w:t xml:space="preserve">Clinical Effectiveness Outcomes: </w:t>
      </w:r>
    </w:p>
    <w:p w14:paraId="37679908" w14:textId="77777777" w:rsidR="003D0F62" w:rsidRPr="00C71D4D" w:rsidRDefault="003D0F62" w:rsidP="009F5C6F">
      <w:pPr>
        <w:pBdr>
          <w:top w:val="single" w:sz="4" w:space="1" w:color="365F91" w:themeColor="accent1" w:themeShade="BF"/>
          <w:left w:val="single" w:sz="4" w:space="0" w:color="365F91" w:themeColor="accent1" w:themeShade="BF"/>
          <w:bottom w:val="single" w:sz="4" w:space="1" w:color="365F91" w:themeColor="accent1" w:themeShade="BF"/>
          <w:right w:val="single" w:sz="4" w:space="4" w:color="365F91" w:themeColor="accent1" w:themeShade="BF"/>
        </w:pBdr>
        <w:rPr>
          <w:color w:val="365F91" w:themeColor="accent1" w:themeShade="BF"/>
          <w:szCs w:val="20"/>
          <w:u w:val="single"/>
        </w:rPr>
      </w:pPr>
      <w:r w:rsidRPr="00C71D4D">
        <w:rPr>
          <w:color w:val="365F91" w:themeColor="accent1" w:themeShade="BF"/>
          <w:szCs w:val="20"/>
          <w:u w:val="single"/>
        </w:rPr>
        <w:t>Primary outcome</w:t>
      </w:r>
    </w:p>
    <w:p w14:paraId="1C669E73" w14:textId="77777777" w:rsidR="003D0F62" w:rsidRDefault="003D0F62" w:rsidP="009F5C6F">
      <w:pPr>
        <w:pBdr>
          <w:top w:val="single" w:sz="4" w:space="1" w:color="365F91" w:themeColor="accent1" w:themeShade="BF"/>
          <w:left w:val="single" w:sz="4" w:space="0" w:color="365F91" w:themeColor="accent1" w:themeShade="BF"/>
          <w:bottom w:val="single" w:sz="4" w:space="1" w:color="365F91" w:themeColor="accent1" w:themeShade="BF"/>
          <w:right w:val="single" w:sz="4" w:space="4" w:color="365F91" w:themeColor="accent1" w:themeShade="BF"/>
        </w:pBdr>
        <w:rPr>
          <w:color w:val="365F91" w:themeColor="accent1" w:themeShade="BF"/>
          <w:szCs w:val="20"/>
        </w:rPr>
      </w:pPr>
      <w:r>
        <w:rPr>
          <w:color w:val="365F91" w:themeColor="accent1" w:themeShade="BF"/>
          <w:szCs w:val="20"/>
        </w:rPr>
        <w:t>Patient assessed leg and/or back pain</w:t>
      </w:r>
    </w:p>
    <w:p w14:paraId="27D973C0" w14:textId="77777777" w:rsidR="003D0F62" w:rsidRDefault="003D0F62" w:rsidP="009F5C6F">
      <w:pPr>
        <w:pBdr>
          <w:top w:val="single" w:sz="4" w:space="1" w:color="365F91" w:themeColor="accent1" w:themeShade="BF"/>
          <w:left w:val="single" w:sz="4" w:space="0" w:color="365F91" w:themeColor="accent1" w:themeShade="BF"/>
          <w:bottom w:val="single" w:sz="4" w:space="1" w:color="365F91" w:themeColor="accent1" w:themeShade="BF"/>
          <w:right w:val="single" w:sz="4" w:space="4" w:color="365F91" w:themeColor="accent1" w:themeShade="BF"/>
        </w:pBdr>
        <w:rPr>
          <w:color w:val="365F91" w:themeColor="accent1" w:themeShade="BF"/>
          <w:szCs w:val="20"/>
        </w:rPr>
      </w:pPr>
      <w:r>
        <w:rPr>
          <w:color w:val="365F91" w:themeColor="accent1" w:themeShade="BF"/>
          <w:szCs w:val="20"/>
        </w:rPr>
        <w:t>Patient assessed QoL</w:t>
      </w:r>
    </w:p>
    <w:p w14:paraId="5C3A5BA6" w14:textId="77777777" w:rsidR="003D0F62" w:rsidRDefault="003D0F62" w:rsidP="009F5C6F">
      <w:pPr>
        <w:pBdr>
          <w:top w:val="single" w:sz="4" w:space="1" w:color="365F91" w:themeColor="accent1" w:themeShade="BF"/>
          <w:left w:val="single" w:sz="4" w:space="0" w:color="365F91" w:themeColor="accent1" w:themeShade="BF"/>
          <w:bottom w:val="single" w:sz="4" w:space="1" w:color="365F91" w:themeColor="accent1" w:themeShade="BF"/>
          <w:right w:val="single" w:sz="4" w:space="4" w:color="365F91" w:themeColor="accent1" w:themeShade="BF"/>
        </w:pBdr>
        <w:rPr>
          <w:color w:val="365F91" w:themeColor="accent1" w:themeShade="BF"/>
          <w:szCs w:val="20"/>
        </w:rPr>
      </w:pPr>
      <w:r>
        <w:rPr>
          <w:color w:val="365F91" w:themeColor="accent1" w:themeShade="BF"/>
          <w:szCs w:val="20"/>
        </w:rPr>
        <w:t>O</w:t>
      </w:r>
      <w:r w:rsidRPr="00C71D4D">
        <w:rPr>
          <w:color w:val="365F91" w:themeColor="accent1" w:themeShade="BF"/>
          <w:szCs w:val="20"/>
        </w:rPr>
        <w:t>bserver assessed functional status</w:t>
      </w:r>
    </w:p>
    <w:p w14:paraId="45DAD369" w14:textId="77777777" w:rsidR="003D0F62" w:rsidRPr="00C71D4D" w:rsidRDefault="003D0F62" w:rsidP="009F5C6F">
      <w:pPr>
        <w:pBdr>
          <w:top w:val="single" w:sz="4" w:space="1" w:color="365F91" w:themeColor="accent1" w:themeShade="BF"/>
          <w:left w:val="single" w:sz="4" w:space="0" w:color="365F91" w:themeColor="accent1" w:themeShade="BF"/>
          <w:bottom w:val="single" w:sz="4" w:space="1" w:color="365F91" w:themeColor="accent1" w:themeShade="BF"/>
          <w:right w:val="single" w:sz="4" w:space="4" w:color="365F91" w:themeColor="accent1" w:themeShade="BF"/>
        </w:pBdr>
        <w:rPr>
          <w:color w:val="365F91" w:themeColor="accent1" w:themeShade="BF"/>
          <w:szCs w:val="20"/>
          <w:u w:val="single"/>
        </w:rPr>
      </w:pPr>
      <w:r w:rsidRPr="00C71D4D">
        <w:rPr>
          <w:color w:val="365F91" w:themeColor="accent1" w:themeShade="BF"/>
          <w:szCs w:val="20"/>
          <w:u w:val="single"/>
        </w:rPr>
        <w:t>Secondary outcome</w:t>
      </w:r>
    </w:p>
    <w:p w14:paraId="76ED3064" w14:textId="77777777" w:rsidR="003D0F62" w:rsidRDefault="003D0F62" w:rsidP="009F5C6F">
      <w:pPr>
        <w:pBdr>
          <w:top w:val="single" w:sz="4" w:space="1" w:color="365F91" w:themeColor="accent1" w:themeShade="BF"/>
          <w:left w:val="single" w:sz="4" w:space="0" w:color="365F91" w:themeColor="accent1" w:themeShade="BF"/>
          <w:bottom w:val="single" w:sz="4" w:space="1" w:color="365F91" w:themeColor="accent1" w:themeShade="BF"/>
          <w:right w:val="single" w:sz="4" w:space="4" w:color="365F91" w:themeColor="accent1" w:themeShade="BF"/>
        </w:pBdr>
        <w:rPr>
          <w:color w:val="365F91" w:themeColor="accent1" w:themeShade="BF"/>
          <w:szCs w:val="20"/>
        </w:rPr>
      </w:pPr>
      <w:r>
        <w:rPr>
          <w:color w:val="365F91" w:themeColor="accent1" w:themeShade="BF"/>
          <w:szCs w:val="20"/>
        </w:rPr>
        <w:t>O</w:t>
      </w:r>
      <w:r w:rsidRPr="00C71D4D">
        <w:rPr>
          <w:color w:val="365F91" w:themeColor="accent1" w:themeShade="BF"/>
          <w:szCs w:val="20"/>
        </w:rPr>
        <w:t xml:space="preserve">bserver assessed patient pain and </w:t>
      </w:r>
      <w:r>
        <w:rPr>
          <w:color w:val="365F91" w:themeColor="accent1" w:themeShade="BF"/>
          <w:szCs w:val="20"/>
        </w:rPr>
        <w:t>QoL</w:t>
      </w:r>
    </w:p>
    <w:p w14:paraId="046676F3" w14:textId="77777777" w:rsidR="003D0F62" w:rsidRDefault="003D0F62" w:rsidP="009F5C6F">
      <w:pPr>
        <w:pBdr>
          <w:top w:val="single" w:sz="4" w:space="1" w:color="365F91" w:themeColor="accent1" w:themeShade="BF"/>
          <w:left w:val="single" w:sz="4" w:space="0" w:color="365F91" w:themeColor="accent1" w:themeShade="BF"/>
          <w:bottom w:val="single" w:sz="4" w:space="1" w:color="365F91" w:themeColor="accent1" w:themeShade="BF"/>
          <w:right w:val="single" w:sz="4" w:space="4" w:color="365F91" w:themeColor="accent1" w:themeShade="BF"/>
        </w:pBdr>
        <w:rPr>
          <w:color w:val="365F91" w:themeColor="accent1" w:themeShade="BF"/>
          <w:szCs w:val="20"/>
        </w:rPr>
      </w:pPr>
      <w:r>
        <w:rPr>
          <w:color w:val="365F91" w:themeColor="accent1" w:themeShade="BF"/>
          <w:szCs w:val="20"/>
        </w:rPr>
        <w:t>P</w:t>
      </w:r>
      <w:r w:rsidRPr="00C71D4D">
        <w:rPr>
          <w:color w:val="365F91" w:themeColor="accent1" w:themeShade="BF"/>
          <w:szCs w:val="20"/>
        </w:rPr>
        <w:t>atient assessed functional status</w:t>
      </w:r>
    </w:p>
    <w:p w14:paraId="69EDFD40" w14:textId="77777777" w:rsidR="003D0F62" w:rsidRDefault="003D0F62" w:rsidP="009F5C6F">
      <w:pPr>
        <w:pBdr>
          <w:top w:val="single" w:sz="4" w:space="1" w:color="365F91" w:themeColor="accent1" w:themeShade="BF"/>
          <w:left w:val="single" w:sz="4" w:space="0" w:color="365F91" w:themeColor="accent1" w:themeShade="BF"/>
          <w:bottom w:val="single" w:sz="4" w:space="1" w:color="365F91" w:themeColor="accent1" w:themeShade="BF"/>
          <w:right w:val="single" w:sz="4" w:space="4" w:color="365F91" w:themeColor="accent1" w:themeShade="BF"/>
        </w:pBdr>
        <w:rPr>
          <w:color w:val="365F91" w:themeColor="accent1" w:themeShade="BF"/>
          <w:szCs w:val="20"/>
        </w:rPr>
      </w:pPr>
      <w:r>
        <w:rPr>
          <w:color w:val="365F91" w:themeColor="accent1" w:themeShade="BF"/>
          <w:szCs w:val="20"/>
        </w:rPr>
        <w:t>A</w:t>
      </w:r>
      <w:r w:rsidRPr="00C71D4D">
        <w:rPr>
          <w:color w:val="365F91" w:themeColor="accent1" w:themeShade="BF"/>
          <w:szCs w:val="20"/>
        </w:rPr>
        <w:t>nalgesic usage</w:t>
      </w:r>
    </w:p>
    <w:p w14:paraId="6A196A32" w14:textId="77777777" w:rsidR="003D0F62" w:rsidRDefault="003D0F62" w:rsidP="009F5C6F">
      <w:pPr>
        <w:pBdr>
          <w:top w:val="single" w:sz="4" w:space="1" w:color="365F91" w:themeColor="accent1" w:themeShade="BF"/>
          <w:left w:val="single" w:sz="4" w:space="0" w:color="365F91" w:themeColor="accent1" w:themeShade="BF"/>
          <w:bottom w:val="single" w:sz="4" w:space="1" w:color="365F91" w:themeColor="accent1" w:themeShade="BF"/>
          <w:right w:val="single" w:sz="4" w:space="4" w:color="365F91" w:themeColor="accent1" w:themeShade="BF"/>
        </w:pBdr>
        <w:rPr>
          <w:color w:val="365F91" w:themeColor="accent1" w:themeShade="BF"/>
          <w:szCs w:val="20"/>
        </w:rPr>
      </w:pPr>
      <w:r>
        <w:rPr>
          <w:color w:val="365F91" w:themeColor="accent1" w:themeShade="BF"/>
          <w:szCs w:val="20"/>
        </w:rPr>
        <w:t>H</w:t>
      </w:r>
      <w:r w:rsidRPr="00C71D4D">
        <w:rPr>
          <w:color w:val="365F91" w:themeColor="accent1" w:themeShade="BF"/>
          <w:szCs w:val="20"/>
        </w:rPr>
        <w:t>ospital length-of-stay</w:t>
      </w:r>
    </w:p>
    <w:p w14:paraId="6C0BFA38" w14:textId="77777777" w:rsidR="003D0F62" w:rsidRPr="00312B9A" w:rsidRDefault="003D0F62" w:rsidP="009F5C6F">
      <w:pPr>
        <w:pBdr>
          <w:top w:val="single" w:sz="4" w:space="1" w:color="365F91" w:themeColor="accent1" w:themeShade="BF"/>
          <w:left w:val="single" w:sz="4" w:space="0" w:color="365F91" w:themeColor="accent1" w:themeShade="BF"/>
          <w:bottom w:val="single" w:sz="4" w:space="1" w:color="365F91" w:themeColor="accent1" w:themeShade="BF"/>
          <w:right w:val="single" w:sz="4" w:space="4" w:color="365F91" w:themeColor="accent1" w:themeShade="BF"/>
        </w:pBdr>
        <w:rPr>
          <w:color w:val="365F91" w:themeColor="accent1" w:themeShade="BF"/>
          <w:szCs w:val="20"/>
          <w:u w:val="single"/>
        </w:rPr>
      </w:pPr>
      <w:r w:rsidRPr="00312B9A">
        <w:rPr>
          <w:color w:val="365F91" w:themeColor="accent1" w:themeShade="BF"/>
          <w:szCs w:val="20"/>
          <w:u w:val="single"/>
        </w:rPr>
        <w:t>Safety Outcomes:</w:t>
      </w:r>
    </w:p>
    <w:p w14:paraId="228B326D" w14:textId="77777777" w:rsidR="003D0F62" w:rsidRDefault="003D0F62" w:rsidP="009F5C6F">
      <w:pPr>
        <w:pBdr>
          <w:top w:val="single" w:sz="4" w:space="1" w:color="365F91" w:themeColor="accent1" w:themeShade="BF"/>
          <w:left w:val="single" w:sz="4" w:space="0" w:color="365F91" w:themeColor="accent1" w:themeShade="BF"/>
          <w:bottom w:val="single" w:sz="4" w:space="1" w:color="365F91" w:themeColor="accent1" w:themeShade="BF"/>
          <w:right w:val="single" w:sz="4" w:space="4" w:color="365F91" w:themeColor="accent1" w:themeShade="BF"/>
        </w:pBdr>
        <w:rPr>
          <w:color w:val="365F91" w:themeColor="accent1" w:themeShade="BF"/>
          <w:szCs w:val="20"/>
        </w:rPr>
      </w:pPr>
      <w:r>
        <w:rPr>
          <w:color w:val="365F91" w:themeColor="accent1" w:themeShade="BF"/>
          <w:szCs w:val="20"/>
        </w:rPr>
        <w:t>R</w:t>
      </w:r>
      <w:r w:rsidRPr="00C71D4D">
        <w:rPr>
          <w:color w:val="365F91" w:themeColor="accent1" w:themeShade="BF"/>
          <w:szCs w:val="20"/>
        </w:rPr>
        <w:t>ate of reoperation</w:t>
      </w:r>
    </w:p>
    <w:p w14:paraId="511A51A5" w14:textId="1FF7BDC0" w:rsidR="003D0F62" w:rsidRDefault="003D0F62" w:rsidP="009F5C6F">
      <w:pPr>
        <w:pBdr>
          <w:top w:val="single" w:sz="4" w:space="1" w:color="365F91" w:themeColor="accent1" w:themeShade="BF"/>
          <w:left w:val="single" w:sz="4" w:space="0" w:color="365F91" w:themeColor="accent1" w:themeShade="BF"/>
          <w:bottom w:val="single" w:sz="4" w:space="1" w:color="365F91" w:themeColor="accent1" w:themeShade="BF"/>
          <w:right w:val="single" w:sz="4" w:space="4" w:color="365F91" w:themeColor="accent1" w:themeShade="BF"/>
        </w:pBdr>
        <w:rPr>
          <w:color w:val="365F91" w:themeColor="accent1" w:themeShade="BF"/>
          <w:szCs w:val="20"/>
        </w:rPr>
      </w:pPr>
      <w:r>
        <w:rPr>
          <w:color w:val="365F91" w:themeColor="accent1" w:themeShade="BF"/>
          <w:szCs w:val="20"/>
        </w:rPr>
        <w:t>D</w:t>
      </w:r>
      <w:r w:rsidRPr="00C71D4D">
        <w:rPr>
          <w:color w:val="365F91" w:themeColor="accent1" w:themeShade="BF"/>
          <w:szCs w:val="20"/>
        </w:rPr>
        <w:t>evice removal</w:t>
      </w:r>
    </w:p>
    <w:p w14:paraId="7E373CF9" w14:textId="7D9961BB" w:rsidR="00312B9A" w:rsidRPr="009D1287" w:rsidRDefault="00312B9A" w:rsidP="009F5C6F">
      <w:pPr>
        <w:pBdr>
          <w:top w:val="single" w:sz="4" w:space="1" w:color="365F91" w:themeColor="accent1" w:themeShade="BF"/>
          <w:left w:val="single" w:sz="4" w:space="0" w:color="365F91" w:themeColor="accent1" w:themeShade="BF"/>
          <w:bottom w:val="single" w:sz="4" w:space="1" w:color="365F91" w:themeColor="accent1" w:themeShade="BF"/>
          <w:right w:val="single" w:sz="4" w:space="4" w:color="365F91" w:themeColor="accent1" w:themeShade="BF"/>
        </w:pBdr>
        <w:rPr>
          <w:color w:val="365F91" w:themeColor="accent1" w:themeShade="BF"/>
          <w:szCs w:val="20"/>
        </w:rPr>
      </w:pPr>
      <w:r>
        <w:rPr>
          <w:color w:val="365F91" w:themeColor="accent1" w:themeShade="BF"/>
          <w:szCs w:val="20"/>
        </w:rPr>
        <w:t>Rate of complications</w:t>
      </w:r>
    </w:p>
    <w:p w14:paraId="59BCF634" w14:textId="77777777" w:rsidR="008F566C" w:rsidRPr="00C776B1" w:rsidRDefault="003D0F62" w:rsidP="008F566C">
      <w:pPr>
        <w:pStyle w:val="Heading1"/>
      </w:pPr>
      <w:r>
        <w:rPr>
          <w:b/>
          <w:sz w:val="32"/>
        </w:rPr>
        <w:br w:type="page"/>
      </w:r>
      <w:r w:rsidR="008F566C">
        <w:lastRenderedPageBreak/>
        <w:t xml:space="preserve">PART 7 – </w:t>
      </w:r>
      <w:r w:rsidR="008F566C" w:rsidRPr="00C776B1">
        <w:t>INFORMATION ABOUT ESTIMATED UTILISATION</w:t>
      </w:r>
    </w:p>
    <w:p w14:paraId="413E002F" w14:textId="77777777" w:rsidR="008F566C" w:rsidRDefault="008F566C" w:rsidP="008F566C">
      <w:pPr>
        <w:pStyle w:val="Heading2"/>
      </w:pPr>
      <w:r w:rsidRPr="00092580">
        <w:t xml:space="preserve">Estimate the prevalence and/or incidence of </w:t>
      </w:r>
      <w:r>
        <w:t>the proposed population</w:t>
      </w:r>
    </w:p>
    <w:p w14:paraId="0299D602" w14:textId="77777777" w:rsidR="008F566C" w:rsidRDefault="008F566C" w:rsidP="008F566C">
      <w:pPr>
        <w:ind w:left="284"/>
        <w:rPr>
          <w:color w:val="365F91" w:themeColor="accent1" w:themeShade="BF"/>
        </w:rPr>
      </w:pPr>
      <w:r>
        <w:rPr>
          <w:color w:val="365F91" w:themeColor="accent1" w:themeShade="BF"/>
        </w:rPr>
        <w:t xml:space="preserve">The AIHW reports that the prevalence of self-reported back problems was 15.7% in Australia in the year 2017-18 (AIHW, Back Problems, 2020). As shown in the table below, 8.6% (N=15,545) of back problem hospitalisations were associated with a diagnosis of spinal stenosis; however it is possible that a proportion of patients with NIC due to LSS would be captured under other diagnostic categories, such as “low back pain” or “other”. It is also not known what proportion of these patients would meet the proposed eligibility criteria, limiting use of IDSs to patients with moderate LSS not responsive to conservative treatment (for at least 6 months).  </w:t>
      </w:r>
    </w:p>
    <w:p w14:paraId="62B3B06A" w14:textId="77777777" w:rsidR="008F566C" w:rsidRPr="00A04A19" w:rsidRDefault="008F566C" w:rsidP="008F566C">
      <w:pPr>
        <w:pStyle w:val="Tabletext"/>
        <w:ind w:firstLine="284"/>
        <w:rPr>
          <w:b/>
          <w:bCs/>
          <w:color w:val="365F91" w:themeColor="accent1" w:themeShade="BF"/>
        </w:rPr>
      </w:pPr>
      <w:r w:rsidRPr="00A04A19">
        <w:rPr>
          <w:b/>
          <w:bCs/>
          <w:color w:val="365F91" w:themeColor="accent1" w:themeShade="BF"/>
        </w:rPr>
        <w:t xml:space="preserve">Table </w:t>
      </w:r>
      <w:r w:rsidRPr="00A04A19">
        <w:rPr>
          <w:b/>
          <w:bCs/>
          <w:color w:val="365F91" w:themeColor="accent1" w:themeShade="BF"/>
        </w:rPr>
        <w:fldChar w:fldCharType="begin"/>
      </w:r>
      <w:r w:rsidRPr="00A04A19">
        <w:rPr>
          <w:b/>
          <w:bCs/>
          <w:color w:val="365F91" w:themeColor="accent1" w:themeShade="BF"/>
        </w:rPr>
        <w:instrText xml:space="preserve"> SEQ Table \* ARABIC </w:instrText>
      </w:r>
      <w:r w:rsidRPr="00A04A19">
        <w:rPr>
          <w:b/>
          <w:bCs/>
          <w:color w:val="365F91" w:themeColor="accent1" w:themeShade="BF"/>
        </w:rPr>
        <w:fldChar w:fldCharType="separate"/>
      </w:r>
      <w:r w:rsidRPr="00A04A19">
        <w:rPr>
          <w:b/>
          <w:bCs/>
          <w:color w:val="365F91" w:themeColor="accent1" w:themeShade="BF"/>
        </w:rPr>
        <w:t>1</w:t>
      </w:r>
      <w:r w:rsidRPr="00A04A19">
        <w:rPr>
          <w:b/>
          <w:bCs/>
          <w:color w:val="365F91" w:themeColor="accent1" w:themeShade="BF"/>
        </w:rPr>
        <w:fldChar w:fldCharType="end"/>
      </w:r>
      <w:r w:rsidRPr="00A04A19">
        <w:rPr>
          <w:b/>
          <w:bCs/>
          <w:color w:val="365F91" w:themeColor="accent1" w:themeShade="BF"/>
        </w:rPr>
        <w:t>: AIHW</w:t>
      </w:r>
      <w:r>
        <w:rPr>
          <w:b/>
          <w:bCs/>
          <w:color w:val="365F91" w:themeColor="accent1" w:themeShade="BF"/>
        </w:rPr>
        <w:t xml:space="preserve"> prevalence of self-reported back problems 2017-18 </w:t>
      </w:r>
    </w:p>
    <w:tbl>
      <w:tblPr>
        <w:tblW w:w="4845" w:type="pct"/>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093"/>
        <w:gridCol w:w="1293"/>
        <w:gridCol w:w="1351"/>
      </w:tblGrid>
      <w:tr w:rsidR="008F566C" w:rsidRPr="002D7B39" w14:paraId="41EFB3B1" w14:textId="77777777" w:rsidTr="008F566C">
        <w:trPr>
          <w:trHeight w:val="405"/>
        </w:trPr>
        <w:tc>
          <w:tcPr>
            <w:tcW w:w="3487" w:type="pct"/>
            <w:shd w:val="clear" w:color="000000" w:fill="FFFFFF"/>
            <w:noWrap/>
            <w:vAlign w:val="center"/>
            <w:hideMark/>
          </w:tcPr>
          <w:p w14:paraId="2283BA5D" w14:textId="77777777" w:rsidR="008F566C" w:rsidRPr="00D041EF" w:rsidRDefault="008F566C" w:rsidP="008F566C">
            <w:pPr>
              <w:pStyle w:val="Tabletext"/>
              <w:rPr>
                <w:b/>
                <w:bCs/>
                <w:color w:val="365F91" w:themeColor="accent1" w:themeShade="BF"/>
              </w:rPr>
            </w:pPr>
            <w:r w:rsidRPr="00D041EF">
              <w:rPr>
                <w:b/>
                <w:bCs/>
                <w:color w:val="365F91" w:themeColor="accent1" w:themeShade="BF"/>
              </w:rPr>
              <w:t>Diagnoses of back problems</w:t>
            </w:r>
          </w:p>
        </w:tc>
        <w:tc>
          <w:tcPr>
            <w:tcW w:w="740" w:type="pct"/>
            <w:shd w:val="clear" w:color="000000" w:fill="FFFFFF"/>
            <w:vAlign w:val="center"/>
            <w:hideMark/>
          </w:tcPr>
          <w:p w14:paraId="329142D3" w14:textId="77777777" w:rsidR="008F566C" w:rsidRPr="00D041EF" w:rsidRDefault="008F566C" w:rsidP="008F566C">
            <w:pPr>
              <w:pStyle w:val="Tabletext"/>
              <w:rPr>
                <w:b/>
                <w:bCs/>
                <w:color w:val="365F91" w:themeColor="accent1" w:themeShade="BF"/>
              </w:rPr>
            </w:pPr>
            <w:r w:rsidRPr="00D041EF">
              <w:rPr>
                <w:b/>
                <w:bCs/>
                <w:color w:val="365F91" w:themeColor="accent1" w:themeShade="BF"/>
              </w:rPr>
              <w:t>Number</w:t>
            </w:r>
          </w:p>
        </w:tc>
        <w:tc>
          <w:tcPr>
            <w:tcW w:w="773" w:type="pct"/>
            <w:shd w:val="clear" w:color="000000" w:fill="FFFFFF"/>
            <w:vAlign w:val="center"/>
            <w:hideMark/>
          </w:tcPr>
          <w:p w14:paraId="09BD659B" w14:textId="77777777" w:rsidR="008F566C" w:rsidRPr="00D041EF" w:rsidRDefault="008F566C" w:rsidP="008F566C">
            <w:pPr>
              <w:pStyle w:val="Tabletext"/>
              <w:rPr>
                <w:b/>
                <w:bCs/>
                <w:color w:val="365F91" w:themeColor="accent1" w:themeShade="BF"/>
              </w:rPr>
            </w:pPr>
            <w:r w:rsidRPr="00D041EF">
              <w:rPr>
                <w:b/>
                <w:bCs/>
                <w:color w:val="365F91" w:themeColor="accent1" w:themeShade="BF"/>
              </w:rPr>
              <w:t>Per cent</w:t>
            </w:r>
          </w:p>
        </w:tc>
      </w:tr>
      <w:tr w:rsidR="008F566C" w:rsidRPr="002D7B39" w14:paraId="2CC287BF" w14:textId="77777777" w:rsidTr="008F566C">
        <w:trPr>
          <w:trHeight w:val="327"/>
        </w:trPr>
        <w:tc>
          <w:tcPr>
            <w:tcW w:w="3487" w:type="pct"/>
            <w:shd w:val="clear" w:color="000000" w:fill="FFFFFF"/>
            <w:noWrap/>
            <w:vAlign w:val="bottom"/>
            <w:hideMark/>
          </w:tcPr>
          <w:p w14:paraId="23CD529D" w14:textId="77777777" w:rsidR="008F566C" w:rsidRPr="002D7B39" w:rsidRDefault="008F566C" w:rsidP="008F566C">
            <w:pPr>
              <w:pStyle w:val="Tabletext"/>
              <w:rPr>
                <w:color w:val="365F91" w:themeColor="accent1" w:themeShade="BF"/>
              </w:rPr>
            </w:pPr>
            <w:r w:rsidRPr="002D7B39">
              <w:rPr>
                <w:color w:val="365F91" w:themeColor="accent1" w:themeShade="BF"/>
              </w:rPr>
              <w:t>Other specified intervertebral disc displacement</w:t>
            </w:r>
          </w:p>
        </w:tc>
        <w:tc>
          <w:tcPr>
            <w:tcW w:w="740" w:type="pct"/>
            <w:shd w:val="clear" w:color="000000" w:fill="FFFFFF"/>
            <w:noWrap/>
            <w:vAlign w:val="bottom"/>
            <w:hideMark/>
          </w:tcPr>
          <w:p w14:paraId="16E70530" w14:textId="77777777" w:rsidR="008F566C" w:rsidRPr="002D7B39" w:rsidRDefault="008F566C" w:rsidP="008F566C">
            <w:pPr>
              <w:pStyle w:val="Tabletext"/>
              <w:rPr>
                <w:color w:val="365F91" w:themeColor="accent1" w:themeShade="BF"/>
              </w:rPr>
            </w:pPr>
            <w:r w:rsidRPr="002D7B39">
              <w:rPr>
                <w:color w:val="365F91" w:themeColor="accent1" w:themeShade="BF"/>
              </w:rPr>
              <w:t>6,366</w:t>
            </w:r>
          </w:p>
        </w:tc>
        <w:tc>
          <w:tcPr>
            <w:tcW w:w="773" w:type="pct"/>
            <w:shd w:val="clear" w:color="000000" w:fill="FFFFFF"/>
            <w:noWrap/>
            <w:vAlign w:val="bottom"/>
            <w:hideMark/>
          </w:tcPr>
          <w:p w14:paraId="37BEC619" w14:textId="77777777" w:rsidR="008F566C" w:rsidRPr="002D7B39" w:rsidRDefault="008F566C" w:rsidP="008F566C">
            <w:pPr>
              <w:pStyle w:val="Tabletext"/>
              <w:rPr>
                <w:color w:val="365F91" w:themeColor="accent1" w:themeShade="BF"/>
              </w:rPr>
            </w:pPr>
            <w:r w:rsidRPr="002D7B39">
              <w:rPr>
                <w:color w:val="365F91" w:themeColor="accent1" w:themeShade="BF"/>
              </w:rPr>
              <w:t>3.5</w:t>
            </w:r>
          </w:p>
        </w:tc>
      </w:tr>
      <w:tr w:rsidR="008F566C" w:rsidRPr="002D7B39" w14:paraId="2BD6AA6E" w14:textId="77777777" w:rsidTr="008F566C">
        <w:trPr>
          <w:trHeight w:val="327"/>
        </w:trPr>
        <w:tc>
          <w:tcPr>
            <w:tcW w:w="3487" w:type="pct"/>
            <w:shd w:val="clear" w:color="000000" w:fill="FFFFFF"/>
            <w:noWrap/>
            <w:vAlign w:val="bottom"/>
            <w:hideMark/>
          </w:tcPr>
          <w:p w14:paraId="3DDE7BFC" w14:textId="77777777" w:rsidR="008F566C" w:rsidRPr="002D7B39" w:rsidRDefault="008F566C" w:rsidP="008F566C">
            <w:pPr>
              <w:pStyle w:val="Tabletext"/>
              <w:rPr>
                <w:color w:val="365F91" w:themeColor="accent1" w:themeShade="BF"/>
              </w:rPr>
            </w:pPr>
            <w:r w:rsidRPr="002D7B39">
              <w:rPr>
                <w:color w:val="365F91" w:themeColor="accent1" w:themeShade="BF"/>
              </w:rPr>
              <w:t>Neck pain (cervicalgia)</w:t>
            </w:r>
          </w:p>
        </w:tc>
        <w:tc>
          <w:tcPr>
            <w:tcW w:w="740" w:type="pct"/>
            <w:shd w:val="clear" w:color="000000" w:fill="FFFFFF"/>
            <w:noWrap/>
            <w:vAlign w:val="bottom"/>
            <w:hideMark/>
          </w:tcPr>
          <w:p w14:paraId="1B4744F8" w14:textId="77777777" w:rsidR="008F566C" w:rsidRPr="002D7B39" w:rsidRDefault="008F566C" w:rsidP="008F566C">
            <w:pPr>
              <w:pStyle w:val="Tabletext"/>
              <w:rPr>
                <w:color w:val="365F91" w:themeColor="accent1" w:themeShade="BF"/>
              </w:rPr>
            </w:pPr>
            <w:r w:rsidRPr="002D7B39">
              <w:rPr>
                <w:color w:val="365F91" w:themeColor="accent1" w:themeShade="BF"/>
              </w:rPr>
              <w:t>10,568</w:t>
            </w:r>
          </w:p>
        </w:tc>
        <w:tc>
          <w:tcPr>
            <w:tcW w:w="773" w:type="pct"/>
            <w:shd w:val="clear" w:color="000000" w:fill="FFFFFF"/>
            <w:noWrap/>
            <w:vAlign w:val="bottom"/>
            <w:hideMark/>
          </w:tcPr>
          <w:p w14:paraId="182DB071" w14:textId="77777777" w:rsidR="008F566C" w:rsidRPr="002D7B39" w:rsidRDefault="008F566C" w:rsidP="008F566C">
            <w:pPr>
              <w:pStyle w:val="Tabletext"/>
              <w:rPr>
                <w:color w:val="365F91" w:themeColor="accent1" w:themeShade="BF"/>
              </w:rPr>
            </w:pPr>
            <w:r w:rsidRPr="002D7B39">
              <w:rPr>
                <w:color w:val="365F91" w:themeColor="accent1" w:themeShade="BF"/>
              </w:rPr>
              <w:t>5.8</w:t>
            </w:r>
          </w:p>
        </w:tc>
      </w:tr>
      <w:tr w:rsidR="008F566C" w:rsidRPr="002D7B39" w14:paraId="3E429E9F" w14:textId="77777777" w:rsidTr="008F566C">
        <w:trPr>
          <w:trHeight w:val="327"/>
        </w:trPr>
        <w:tc>
          <w:tcPr>
            <w:tcW w:w="3487" w:type="pct"/>
            <w:shd w:val="clear" w:color="000000" w:fill="FFFFFF"/>
            <w:noWrap/>
            <w:vAlign w:val="bottom"/>
            <w:hideMark/>
          </w:tcPr>
          <w:p w14:paraId="65550D75" w14:textId="77777777" w:rsidR="008F566C" w:rsidRPr="002D7B39" w:rsidRDefault="008F566C" w:rsidP="008F566C">
            <w:pPr>
              <w:pStyle w:val="Tabletext"/>
              <w:rPr>
                <w:color w:val="365F91" w:themeColor="accent1" w:themeShade="BF"/>
              </w:rPr>
            </w:pPr>
            <w:r w:rsidRPr="002D7B39">
              <w:rPr>
                <w:color w:val="365F91" w:themeColor="accent1" w:themeShade="BF"/>
              </w:rPr>
              <w:t>Spinal stenosis</w:t>
            </w:r>
          </w:p>
        </w:tc>
        <w:tc>
          <w:tcPr>
            <w:tcW w:w="740" w:type="pct"/>
            <w:shd w:val="clear" w:color="000000" w:fill="FFFFFF"/>
            <w:noWrap/>
            <w:vAlign w:val="bottom"/>
            <w:hideMark/>
          </w:tcPr>
          <w:p w14:paraId="0AF236FF" w14:textId="77777777" w:rsidR="008F566C" w:rsidRPr="002D7B39" w:rsidRDefault="008F566C" w:rsidP="008F566C">
            <w:pPr>
              <w:pStyle w:val="Tabletext"/>
              <w:rPr>
                <w:color w:val="365F91" w:themeColor="accent1" w:themeShade="BF"/>
              </w:rPr>
            </w:pPr>
            <w:r w:rsidRPr="002D7B39">
              <w:rPr>
                <w:color w:val="365F91" w:themeColor="accent1" w:themeShade="BF"/>
              </w:rPr>
              <w:t>15,545</w:t>
            </w:r>
          </w:p>
        </w:tc>
        <w:tc>
          <w:tcPr>
            <w:tcW w:w="773" w:type="pct"/>
            <w:shd w:val="clear" w:color="000000" w:fill="FFFFFF"/>
            <w:noWrap/>
            <w:vAlign w:val="bottom"/>
            <w:hideMark/>
          </w:tcPr>
          <w:p w14:paraId="093480EC" w14:textId="77777777" w:rsidR="008F566C" w:rsidRPr="002D7B39" w:rsidRDefault="008F566C" w:rsidP="008F566C">
            <w:pPr>
              <w:pStyle w:val="Tabletext"/>
              <w:rPr>
                <w:color w:val="365F91" w:themeColor="accent1" w:themeShade="BF"/>
              </w:rPr>
            </w:pPr>
            <w:r w:rsidRPr="002D7B39">
              <w:rPr>
                <w:color w:val="365F91" w:themeColor="accent1" w:themeShade="BF"/>
              </w:rPr>
              <w:t>8.6</w:t>
            </w:r>
          </w:p>
        </w:tc>
      </w:tr>
      <w:tr w:rsidR="008F566C" w:rsidRPr="002D7B39" w14:paraId="31502CD6" w14:textId="77777777" w:rsidTr="008F566C">
        <w:trPr>
          <w:trHeight w:val="327"/>
        </w:trPr>
        <w:tc>
          <w:tcPr>
            <w:tcW w:w="3487" w:type="pct"/>
            <w:shd w:val="clear" w:color="000000" w:fill="FFFFFF"/>
            <w:noWrap/>
            <w:vAlign w:val="bottom"/>
            <w:hideMark/>
          </w:tcPr>
          <w:p w14:paraId="1CCC1F24" w14:textId="77777777" w:rsidR="008F566C" w:rsidRPr="002D7B39" w:rsidRDefault="008F566C" w:rsidP="008F566C">
            <w:pPr>
              <w:pStyle w:val="Tabletext"/>
              <w:rPr>
                <w:color w:val="365F91" w:themeColor="accent1" w:themeShade="BF"/>
              </w:rPr>
            </w:pPr>
            <w:r w:rsidRPr="002D7B39">
              <w:rPr>
                <w:color w:val="365F91" w:themeColor="accent1" w:themeShade="BF"/>
              </w:rPr>
              <w:t>Lumbar and other intervertebral disc disorders with radiculopathy</w:t>
            </w:r>
          </w:p>
        </w:tc>
        <w:tc>
          <w:tcPr>
            <w:tcW w:w="740" w:type="pct"/>
            <w:shd w:val="clear" w:color="000000" w:fill="FFFFFF"/>
            <w:noWrap/>
            <w:vAlign w:val="bottom"/>
            <w:hideMark/>
          </w:tcPr>
          <w:p w14:paraId="5DD378B3" w14:textId="77777777" w:rsidR="008F566C" w:rsidRPr="002D7B39" w:rsidRDefault="008F566C" w:rsidP="008F566C">
            <w:pPr>
              <w:pStyle w:val="Tabletext"/>
              <w:rPr>
                <w:color w:val="365F91" w:themeColor="accent1" w:themeShade="BF"/>
              </w:rPr>
            </w:pPr>
            <w:r w:rsidRPr="002D7B39">
              <w:rPr>
                <w:color w:val="365F91" w:themeColor="accent1" w:themeShade="BF"/>
              </w:rPr>
              <w:t>17,190</w:t>
            </w:r>
          </w:p>
        </w:tc>
        <w:tc>
          <w:tcPr>
            <w:tcW w:w="773" w:type="pct"/>
            <w:shd w:val="clear" w:color="000000" w:fill="FFFFFF"/>
            <w:noWrap/>
            <w:vAlign w:val="bottom"/>
            <w:hideMark/>
          </w:tcPr>
          <w:p w14:paraId="14CA55F4" w14:textId="77777777" w:rsidR="008F566C" w:rsidRPr="002D7B39" w:rsidRDefault="008F566C" w:rsidP="008F566C">
            <w:pPr>
              <w:pStyle w:val="Tabletext"/>
              <w:rPr>
                <w:color w:val="365F91" w:themeColor="accent1" w:themeShade="BF"/>
              </w:rPr>
            </w:pPr>
            <w:r w:rsidRPr="002D7B39">
              <w:rPr>
                <w:color w:val="365F91" w:themeColor="accent1" w:themeShade="BF"/>
              </w:rPr>
              <w:t>9.5</w:t>
            </w:r>
          </w:p>
        </w:tc>
      </w:tr>
      <w:tr w:rsidR="008F566C" w:rsidRPr="002D7B39" w14:paraId="4F285532" w14:textId="77777777" w:rsidTr="008F566C">
        <w:trPr>
          <w:trHeight w:val="327"/>
        </w:trPr>
        <w:tc>
          <w:tcPr>
            <w:tcW w:w="3487" w:type="pct"/>
            <w:shd w:val="clear" w:color="000000" w:fill="FFFFFF"/>
            <w:noWrap/>
            <w:vAlign w:val="bottom"/>
            <w:hideMark/>
          </w:tcPr>
          <w:p w14:paraId="6BD4D43F" w14:textId="77777777" w:rsidR="008F566C" w:rsidRPr="002D7B39" w:rsidRDefault="008F566C" w:rsidP="008F566C">
            <w:pPr>
              <w:pStyle w:val="Tabletext"/>
              <w:rPr>
                <w:color w:val="365F91" w:themeColor="accent1" w:themeShade="BF"/>
              </w:rPr>
            </w:pPr>
            <w:r w:rsidRPr="002D7B39">
              <w:rPr>
                <w:color w:val="365F91" w:themeColor="accent1" w:themeShade="BF"/>
              </w:rPr>
              <w:t>Low back pain</w:t>
            </w:r>
          </w:p>
        </w:tc>
        <w:tc>
          <w:tcPr>
            <w:tcW w:w="740" w:type="pct"/>
            <w:shd w:val="clear" w:color="000000" w:fill="FFFFFF"/>
            <w:noWrap/>
            <w:vAlign w:val="bottom"/>
            <w:hideMark/>
          </w:tcPr>
          <w:p w14:paraId="5EDF722A" w14:textId="77777777" w:rsidR="008F566C" w:rsidRPr="002D7B39" w:rsidRDefault="008F566C" w:rsidP="008F566C">
            <w:pPr>
              <w:pStyle w:val="Tabletext"/>
              <w:rPr>
                <w:color w:val="365F91" w:themeColor="accent1" w:themeShade="BF"/>
              </w:rPr>
            </w:pPr>
            <w:r w:rsidRPr="002D7B39">
              <w:rPr>
                <w:color w:val="365F91" w:themeColor="accent1" w:themeShade="BF"/>
              </w:rPr>
              <w:t>48,819</w:t>
            </w:r>
          </w:p>
        </w:tc>
        <w:tc>
          <w:tcPr>
            <w:tcW w:w="773" w:type="pct"/>
            <w:shd w:val="clear" w:color="000000" w:fill="FFFFFF"/>
            <w:noWrap/>
            <w:vAlign w:val="bottom"/>
            <w:hideMark/>
          </w:tcPr>
          <w:p w14:paraId="3D2BAA12" w14:textId="77777777" w:rsidR="008F566C" w:rsidRPr="002D7B39" w:rsidRDefault="008F566C" w:rsidP="008F566C">
            <w:pPr>
              <w:pStyle w:val="Tabletext"/>
              <w:rPr>
                <w:color w:val="365F91" w:themeColor="accent1" w:themeShade="BF"/>
              </w:rPr>
            </w:pPr>
            <w:r w:rsidRPr="002D7B39">
              <w:rPr>
                <w:color w:val="365F91" w:themeColor="accent1" w:themeShade="BF"/>
              </w:rPr>
              <w:t>27.0</w:t>
            </w:r>
          </w:p>
        </w:tc>
      </w:tr>
      <w:tr w:rsidR="008F566C" w:rsidRPr="002D7B39" w14:paraId="6791E177" w14:textId="77777777" w:rsidTr="008F566C">
        <w:trPr>
          <w:trHeight w:val="327"/>
        </w:trPr>
        <w:tc>
          <w:tcPr>
            <w:tcW w:w="3487" w:type="pct"/>
            <w:shd w:val="clear" w:color="000000" w:fill="FFFFFF"/>
            <w:noWrap/>
            <w:vAlign w:val="bottom"/>
            <w:hideMark/>
          </w:tcPr>
          <w:p w14:paraId="59594524" w14:textId="77777777" w:rsidR="008F566C" w:rsidRPr="002D7B39" w:rsidRDefault="008F566C" w:rsidP="008F566C">
            <w:pPr>
              <w:pStyle w:val="Tabletext"/>
              <w:rPr>
                <w:color w:val="365F91" w:themeColor="accent1" w:themeShade="BF"/>
              </w:rPr>
            </w:pPr>
            <w:r w:rsidRPr="002D7B39">
              <w:rPr>
                <w:color w:val="365F91" w:themeColor="accent1" w:themeShade="BF"/>
              </w:rPr>
              <w:t>Other</w:t>
            </w:r>
          </w:p>
        </w:tc>
        <w:tc>
          <w:tcPr>
            <w:tcW w:w="740" w:type="pct"/>
            <w:shd w:val="clear" w:color="000000" w:fill="FFFFFF"/>
            <w:noWrap/>
            <w:vAlign w:val="bottom"/>
            <w:hideMark/>
          </w:tcPr>
          <w:p w14:paraId="50BE5815" w14:textId="77777777" w:rsidR="008F566C" w:rsidRPr="002D7B39" w:rsidRDefault="008F566C" w:rsidP="008F566C">
            <w:pPr>
              <w:pStyle w:val="Tabletext"/>
              <w:rPr>
                <w:color w:val="365F91" w:themeColor="accent1" w:themeShade="BF"/>
              </w:rPr>
            </w:pPr>
            <w:r w:rsidRPr="002D7B39">
              <w:rPr>
                <w:color w:val="365F91" w:themeColor="accent1" w:themeShade="BF"/>
              </w:rPr>
              <w:t>82,330</w:t>
            </w:r>
          </w:p>
        </w:tc>
        <w:tc>
          <w:tcPr>
            <w:tcW w:w="773" w:type="pct"/>
            <w:shd w:val="clear" w:color="000000" w:fill="FFFFFF"/>
            <w:noWrap/>
            <w:vAlign w:val="bottom"/>
            <w:hideMark/>
          </w:tcPr>
          <w:p w14:paraId="31460DF3" w14:textId="77777777" w:rsidR="008F566C" w:rsidRPr="002D7B39" w:rsidRDefault="008F566C" w:rsidP="008F566C">
            <w:pPr>
              <w:pStyle w:val="Tabletext"/>
              <w:rPr>
                <w:color w:val="365F91" w:themeColor="accent1" w:themeShade="BF"/>
              </w:rPr>
            </w:pPr>
            <w:r w:rsidRPr="002D7B39">
              <w:rPr>
                <w:color w:val="365F91" w:themeColor="accent1" w:themeShade="BF"/>
              </w:rPr>
              <w:t>45.5</w:t>
            </w:r>
          </w:p>
        </w:tc>
      </w:tr>
      <w:tr w:rsidR="008F566C" w:rsidRPr="002D7B39" w14:paraId="6044971B" w14:textId="77777777" w:rsidTr="008F566C">
        <w:trPr>
          <w:trHeight w:val="327"/>
        </w:trPr>
        <w:tc>
          <w:tcPr>
            <w:tcW w:w="3487" w:type="pct"/>
            <w:shd w:val="clear" w:color="000000" w:fill="FFFFFF"/>
            <w:noWrap/>
            <w:vAlign w:val="bottom"/>
            <w:hideMark/>
          </w:tcPr>
          <w:p w14:paraId="6283894A" w14:textId="77777777" w:rsidR="008F566C" w:rsidRPr="002D7B39" w:rsidRDefault="008F566C" w:rsidP="008F566C">
            <w:pPr>
              <w:pStyle w:val="Tabletext"/>
              <w:rPr>
                <w:color w:val="365F91" w:themeColor="accent1" w:themeShade="BF"/>
              </w:rPr>
            </w:pPr>
            <w:r w:rsidRPr="002D7B39">
              <w:rPr>
                <w:color w:val="365F91" w:themeColor="accent1" w:themeShade="BF"/>
              </w:rPr>
              <w:t>Total</w:t>
            </w:r>
          </w:p>
        </w:tc>
        <w:tc>
          <w:tcPr>
            <w:tcW w:w="740" w:type="pct"/>
            <w:shd w:val="clear" w:color="000000" w:fill="FFFFFF"/>
            <w:noWrap/>
            <w:vAlign w:val="bottom"/>
            <w:hideMark/>
          </w:tcPr>
          <w:p w14:paraId="6B36CDC6" w14:textId="77777777" w:rsidR="008F566C" w:rsidRPr="002D7B39" w:rsidRDefault="008F566C" w:rsidP="008F566C">
            <w:pPr>
              <w:pStyle w:val="Tabletext"/>
              <w:rPr>
                <w:color w:val="365F91" w:themeColor="accent1" w:themeShade="BF"/>
              </w:rPr>
            </w:pPr>
            <w:r w:rsidRPr="002D7B39">
              <w:rPr>
                <w:color w:val="365F91" w:themeColor="accent1" w:themeShade="BF"/>
              </w:rPr>
              <w:t>180,818</w:t>
            </w:r>
          </w:p>
        </w:tc>
        <w:tc>
          <w:tcPr>
            <w:tcW w:w="773" w:type="pct"/>
            <w:shd w:val="clear" w:color="000000" w:fill="FFFFFF"/>
            <w:noWrap/>
            <w:vAlign w:val="bottom"/>
            <w:hideMark/>
          </w:tcPr>
          <w:p w14:paraId="3081025E" w14:textId="77777777" w:rsidR="008F566C" w:rsidRPr="002D7B39" w:rsidRDefault="008F566C" w:rsidP="008F566C">
            <w:pPr>
              <w:pStyle w:val="Tabletext"/>
              <w:rPr>
                <w:color w:val="365F91" w:themeColor="accent1" w:themeShade="BF"/>
              </w:rPr>
            </w:pPr>
            <w:r w:rsidRPr="002D7B39">
              <w:rPr>
                <w:color w:val="365F91" w:themeColor="accent1" w:themeShade="BF"/>
              </w:rPr>
              <w:t>100.0</w:t>
            </w:r>
          </w:p>
        </w:tc>
      </w:tr>
    </w:tbl>
    <w:p w14:paraId="4265C12C" w14:textId="3B12E584" w:rsidR="008F566C" w:rsidRDefault="008F566C" w:rsidP="008F566C">
      <w:pPr>
        <w:ind w:left="284"/>
        <w:rPr>
          <w:color w:val="365F91" w:themeColor="accent1" w:themeShade="BF"/>
        </w:rPr>
      </w:pPr>
      <w:r w:rsidRPr="004D3734">
        <w:rPr>
          <w:color w:val="365F91" w:themeColor="accent1" w:themeShade="BF"/>
        </w:rPr>
        <w:t xml:space="preserve">The table below </w:t>
      </w:r>
      <w:r>
        <w:rPr>
          <w:color w:val="365F91" w:themeColor="accent1" w:themeShade="BF"/>
        </w:rPr>
        <w:t xml:space="preserve">presents the number of patients in private hospitals undergoing spinal decompression for one motion segment (MBS item 51011) or two segments (MBS item 51012) between January 2018 and December 2019. As noted above, the comparator consists of decompression alone, or decompression with spinal surgery. As such the utilisation of IDSs is likely to be a fraction of the total services for decompression. Note that due to changes to the MBS items for spinal surgery in 2018, information on the utilisation of these services prior to 2018 is unavailable. Data for MBS items 40303 (laminectomy for recurrent disc lesion or spinal stenosis) and 40306 (laminectomy for spinal stenosis involving &gt; 1 level) are available; however, it should be noted that the item descriptors are slightly different and do not reflect exactly the same range of procedures as the current MBS items. </w:t>
      </w:r>
    </w:p>
    <w:p w14:paraId="54B09112" w14:textId="77777777" w:rsidR="008F566C" w:rsidRDefault="008F566C" w:rsidP="008F566C">
      <w:pPr>
        <w:ind w:left="284"/>
        <w:rPr>
          <w:color w:val="365F91" w:themeColor="accent1" w:themeShade="BF"/>
        </w:rPr>
      </w:pPr>
      <w:r w:rsidRPr="00FB0967">
        <w:rPr>
          <w:color w:val="365F91" w:themeColor="accent1" w:themeShade="BF"/>
        </w:rPr>
        <w:t xml:space="preserve">Australian Refined Diagnosis Related Group (AR-DRG) round </w:t>
      </w:r>
      <w:r>
        <w:rPr>
          <w:color w:val="365F91" w:themeColor="accent1" w:themeShade="BF"/>
        </w:rPr>
        <w:t>21</w:t>
      </w:r>
      <w:r w:rsidRPr="00FB0967">
        <w:rPr>
          <w:color w:val="365F91" w:themeColor="accent1" w:themeShade="BF"/>
        </w:rPr>
        <w:t xml:space="preserve"> cost estimates suggest that the split between private and public patients for </w:t>
      </w:r>
      <w:r>
        <w:rPr>
          <w:color w:val="365F91" w:themeColor="accent1" w:themeShade="BF"/>
        </w:rPr>
        <w:t>minor,</w:t>
      </w:r>
      <w:r w:rsidRPr="00FB0967">
        <w:rPr>
          <w:color w:val="365F91" w:themeColor="accent1" w:themeShade="BF"/>
        </w:rPr>
        <w:t xml:space="preserve"> </w:t>
      </w:r>
      <w:r>
        <w:rPr>
          <w:color w:val="365F91" w:themeColor="accent1" w:themeShade="BF"/>
        </w:rPr>
        <w:t xml:space="preserve">intermediate and major spinal procedures (B03A, B03B, B03C) </w:t>
      </w:r>
      <w:r w:rsidRPr="00FB0967">
        <w:rPr>
          <w:color w:val="365F91" w:themeColor="accent1" w:themeShade="BF"/>
        </w:rPr>
        <w:t xml:space="preserve">is </w:t>
      </w:r>
      <w:r>
        <w:rPr>
          <w:color w:val="365F91" w:themeColor="accent1" w:themeShade="BF"/>
        </w:rPr>
        <w:t>65</w:t>
      </w:r>
      <w:r w:rsidRPr="00FB0967">
        <w:rPr>
          <w:color w:val="365F91" w:themeColor="accent1" w:themeShade="BF"/>
        </w:rPr>
        <w:t xml:space="preserve"> per cent to </w:t>
      </w:r>
      <w:r>
        <w:rPr>
          <w:color w:val="365F91" w:themeColor="accent1" w:themeShade="BF"/>
        </w:rPr>
        <w:t>35</w:t>
      </w:r>
      <w:r w:rsidRPr="00FB0967">
        <w:rPr>
          <w:color w:val="365F91" w:themeColor="accent1" w:themeShade="BF"/>
        </w:rPr>
        <w:t xml:space="preserve"> per cent. Therefore, decompression or fusion with/without decompression appears to be responsible for an estimated 4,837 public hospital separations. This indicates that a total of </w:t>
      </w:r>
      <w:r>
        <w:rPr>
          <w:color w:val="365F91" w:themeColor="accent1" w:themeShade="BF"/>
        </w:rPr>
        <w:t>21,820 decompression procedures for 1 level and 9,982 decompression procedures for two levels</w:t>
      </w:r>
      <w:r w:rsidRPr="00FB0967">
        <w:rPr>
          <w:color w:val="365F91" w:themeColor="accent1" w:themeShade="BF"/>
        </w:rPr>
        <w:t xml:space="preserve"> are predicted across private and public hospitals.</w:t>
      </w:r>
    </w:p>
    <w:p w14:paraId="14BA4273" w14:textId="77777777" w:rsidR="008F566C" w:rsidRPr="00A04A19" w:rsidRDefault="008F566C" w:rsidP="008F566C">
      <w:pPr>
        <w:pStyle w:val="Tabletext"/>
        <w:ind w:firstLine="284"/>
        <w:rPr>
          <w:b/>
          <w:bCs/>
          <w:color w:val="365F91" w:themeColor="accent1" w:themeShade="BF"/>
        </w:rPr>
      </w:pPr>
      <w:r w:rsidRPr="00A04A19">
        <w:rPr>
          <w:b/>
          <w:bCs/>
          <w:color w:val="365F91" w:themeColor="accent1" w:themeShade="BF"/>
        </w:rPr>
        <w:lastRenderedPageBreak/>
        <w:t xml:space="preserve">Table </w:t>
      </w:r>
      <w:r w:rsidRPr="00A04A19">
        <w:rPr>
          <w:b/>
          <w:bCs/>
          <w:color w:val="365F91" w:themeColor="accent1" w:themeShade="BF"/>
        </w:rPr>
        <w:fldChar w:fldCharType="begin"/>
      </w:r>
      <w:r w:rsidRPr="00A04A19">
        <w:rPr>
          <w:b/>
          <w:bCs/>
          <w:color w:val="365F91" w:themeColor="accent1" w:themeShade="BF"/>
        </w:rPr>
        <w:instrText xml:space="preserve"> SEQ Table \* ARABIC </w:instrText>
      </w:r>
      <w:r w:rsidRPr="00A04A19">
        <w:rPr>
          <w:b/>
          <w:bCs/>
          <w:color w:val="365F91" w:themeColor="accent1" w:themeShade="BF"/>
        </w:rPr>
        <w:fldChar w:fldCharType="separate"/>
      </w:r>
      <w:r>
        <w:rPr>
          <w:b/>
          <w:bCs/>
          <w:noProof/>
          <w:color w:val="365F91" w:themeColor="accent1" w:themeShade="BF"/>
        </w:rPr>
        <w:t>2</w:t>
      </w:r>
      <w:r w:rsidRPr="00A04A19">
        <w:rPr>
          <w:b/>
          <w:bCs/>
          <w:color w:val="365F91" w:themeColor="accent1" w:themeShade="BF"/>
        </w:rPr>
        <w:fldChar w:fldCharType="end"/>
      </w:r>
      <w:r w:rsidRPr="00A04A19">
        <w:rPr>
          <w:b/>
          <w:bCs/>
          <w:color w:val="365F91" w:themeColor="accent1" w:themeShade="BF"/>
        </w:rPr>
        <w:t xml:space="preserve">: </w:t>
      </w:r>
      <w:r>
        <w:rPr>
          <w:b/>
          <w:bCs/>
          <w:color w:val="365F91" w:themeColor="accent1" w:themeShade="BF"/>
        </w:rPr>
        <w:t xml:space="preserve">Medicare utilisation of items for spinal decompression </w:t>
      </w:r>
    </w:p>
    <w:tbl>
      <w:tblPr>
        <w:tblW w:w="4848" w:type="pct"/>
        <w:tblInd w:w="274" w:type="dxa"/>
        <w:tblLook w:val="04A0" w:firstRow="1" w:lastRow="0" w:firstColumn="1" w:lastColumn="0" w:noHBand="0" w:noVBand="1"/>
      </w:tblPr>
      <w:tblGrid>
        <w:gridCol w:w="3118"/>
        <w:gridCol w:w="1871"/>
        <w:gridCol w:w="1871"/>
        <w:gridCol w:w="1872"/>
      </w:tblGrid>
      <w:tr w:rsidR="008F566C" w:rsidRPr="008B1DBA" w14:paraId="371BAF4D" w14:textId="77777777" w:rsidTr="008F566C">
        <w:trPr>
          <w:trHeight w:val="276"/>
        </w:trPr>
        <w:tc>
          <w:tcPr>
            <w:tcW w:w="1785" w:type="pct"/>
            <w:tcBorders>
              <w:top w:val="single" w:sz="4" w:space="0" w:color="C1C1C1"/>
              <w:left w:val="single" w:sz="8" w:space="0" w:color="C1C1C1"/>
              <w:bottom w:val="single" w:sz="4" w:space="0" w:color="C1C1C1"/>
              <w:right w:val="single" w:sz="4" w:space="0" w:color="C1C1C1"/>
            </w:tcBorders>
            <w:shd w:val="clear" w:color="auto" w:fill="auto"/>
          </w:tcPr>
          <w:p w14:paraId="4893E043" w14:textId="77777777" w:rsidR="008F566C" w:rsidRPr="00D041EF" w:rsidRDefault="008F566C" w:rsidP="008F566C">
            <w:pPr>
              <w:pStyle w:val="Tabletext"/>
              <w:rPr>
                <w:b/>
                <w:bCs/>
                <w:color w:val="365F91" w:themeColor="accent1" w:themeShade="BF"/>
              </w:rPr>
            </w:pPr>
            <w:r w:rsidRPr="00D041EF">
              <w:rPr>
                <w:b/>
                <w:bCs/>
                <w:color w:val="365F91" w:themeColor="accent1" w:themeShade="BF"/>
              </w:rPr>
              <w:t>Year</w:t>
            </w:r>
          </w:p>
        </w:tc>
        <w:tc>
          <w:tcPr>
            <w:tcW w:w="1071" w:type="pct"/>
            <w:tcBorders>
              <w:top w:val="single" w:sz="4" w:space="0" w:color="C1C1C1"/>
              <w:left w:val="nil"/>
              <w:bottom w:val="single" w:sz="4" w:space="0" w:color="C1C1C1"/>
              <w:right w:val="single" w:sz="8" w:space="0" w:color="C1C1C1"/>
            </w:tcBorders>
            <w:shd w:val="clear" w:color="auto" w:fill="auto"/>
          </w:tcPr>
          <w:p w14:paraId="6C0F43CD" w14:textId="77777777" w:rsidR="008F566C" w:rsidRPr="00D041EF" w:rsidRDefault="008F566C" w:rsidP="008F566C">
            <w:pPr>
              <w:pStyle w:val="Tabletext"/>
              <w:rPr>
                <w:b/>
                <w:bCs/>
                <w:color w:val="365F91" w:themeColor="accent1" w:themeShade="BF"/>
              </w:rPr>
            </w:pPr>
            <w:r w:rsidRPr="00D041EF">
              <w:rPr>
                <w:b/>
                <w:bCs/>
                <w:color w:val="365F91" w:themeColor="accent1" w:themeShade="BF"/>
              </w:rPr>
              <w:t>MBS item 40303</w:t>
            </w:r>
          </w:p>
        </w:tc>
        <w:tc>
          <w:tcPr>
            <w:tcW w:w="1071" w:type="pct"/>
            <w:tcBorders>
              <w:top w:val="single" w:sz="4" w:space="0" w:color="C1C1C1"/>
              <w:left w:val="single" w:sz="4" w:space="0" w:color="C1C1C1"/>
              <w:bottom w:val="single" w:sz="4" w:space="0" w:color="C1C1C1"/>
              <w:right w:val="single" w:sz="8" w:space="0" w:color="C1C1C1"/>
            </w:tcBorders>
            <w:shd w:val="clear" w:color="auto" w:fill="auto"/>
          </w:tcPr>
          <w:p w14:paraId="20A90B08" w14:textId="77777777" w:rsidR="008F566C" w:rsidRDefault="008F566C" w:rsidP="008F566C">
            <w:pPr>
              <w:pStyle w:val="Tabletext"/>
              <w:rPr>
                <w:b/>
                <w:bCs/>
                <w:color w:val="365F91" w:themeColor="accent1" w:themeShade="BF"/>
              </w:rPr>
            </w:pPr>
            <w:r w:rsidRPr="00D041EF">
              <w:rPr>
                <w:b/>
                <w:bCs/>
                <w:color w:val="365F91" w:themeColor="accent1" w:themeShade="BF"/>
              </w:rPr>
              <w:t>MBS item 40306</w:t>
            </w:r>
          </w:p>
          <w:p w14:paraId="1018F99E" w14:textId="77777777" w:rsidR="008F566C" w:rsidRPr="00D041EF" w:rsidRDefault="008F566C" w:rsidP="008F566C">
            <w:pPr>
              <w:pStyle w:val="Tabletext"/>
              <w:rPr>
                <w:b/>
                <w:bCs/>
                <w:color w:val="365F91" w:themeColor="accent1" w:themeShade="BF"/>
              </w:rPr>
            </w:pPr>
            <w:r>
              <w:rPr>
                <w:b/>
                <w:bCs/>
                <w:color w:val="365F91" w:themeColor="accent1" w:themeShade="BF"/>
              </w:rPr>
              <w:t>(&gt;1 level)</w:t>
            </w:r>
          </w:p>
        </w:tc>
        <w:tc>
          <w:tcPr>
            <w:tcW w:w="1072" w:type="pct"/>
            <w:tcBorders>
              <w:top w:val="single" w:sz="4" w:space="0" w:color="C1C1C1"/>
              <w:left w:val="single" w:sz="4" w:space="0" w:color="C1C1C1"/>
              <w:bottom w:val="single" w:sz="4" w:space="0" w:color="C1C1C1"/>
              <w:right w:val="single" w:sz="8" w:space="0" w:color="C1C1C1"/>
            </w:tcBorders>
            <w:shd w:val="clear" w:color="auto" w:fill="auto"/>
          </w:tcPr>
          <w:p w14:paraId="292CCF5B" w14:textId="77777777" w:rsidR="008F566C" w:rsidRPr="00D041EF" w:rsidRDefault="008F566C" w:rsidP="008F566C">
            <w:pPr>
              <w:pStyle w:val="Tabletext"/>
              <w:rPr>
                <w:b/>
                <w:bCs/>
                <w:color w:val="365F91" w:themeColor="accent1" w:themeShade="BF"/>
              </w:rPr>
            </w:pPr>
            <w:r w:rsidRPr="00D041EF">
              <w:rPr>
                <w:b/>
                <w:bCs/>
                <w:color w:val="365F91" w:themeColor="accent1" w:themeShade="BF"/>
              </w:rPr>
              <w:t>Total</w:t>
            </w:r>
          </w:p>
        </w:tc>
      </w:tr>
      <w:tr w:rsidR="008F566C" w:rsidRPr="008B1DBA" w14:paraId="684C9DAE" w14:textId="77777777" w:rsidTr="008F566C">
        <w:trPr>
          <w:trHeight w:val="276"/>
        </w:trPr>
        <w:tc>
          <w:tcPr>
            <w:tcW w:w="1785" w:type="pct"/>
            <w:tcBorders>
              <w:top w:val="single" w:sz="4" w:space="0" w:color="C1C1C1"/>
              <w:left w:val="single" w:sz="8" w:space="0" w:color="C1C1C1"/>
              <w:bottom w:val="single" w:sz="4" w:space="0" w:color="C1C1C1"/>
              <w:right w:val="single" w:sz="4" w:space="0" w:color="C1C1C1"/>
            </w:tcBorders>
            <w:shd w:val="clear" w:color="auto" w:fill="auto"/>
          </w:tcPr>
          <w:p w14:paraId="3C20DD43" w14:textId="77777777" w:rsidR="008F566C" w:rsidRPr="008B1DBA" w:rsidRDefault="008F566C" w:rsidP="008F566C">
            <w:pPr>
              <w:pStyle w:val="Tabletext"/>
              <w:rPr>
                <w:color w:val="365F91" w:themeColor="accent1" w:themeShade="BF"/>
              </w:rPr>
            </w:pPr>
            <w:r w:rsidRPr="00066630">
              <w:rPr>
                <w:color w:val="365F91" w:themeColor="accent1" w:themeShade="BF"/>
              </w:rPr>
              <w:t>2010</w:t>
            </w:r>
          </w:p>
        </w:tc>
        <w:tc>
          <w:tcPr>
            <w:tcW w:w="1071" w:type="pct"/>
            <w:tcBorders>
              <w:top w:val="nil"/>
              <w:left w:val="nil"/>
              <w:bottom w:val="single" w:sz="4" w:space="0" w:color="C1C1C1"/>
              <w:right w:val="single" w:sz="8" w:space="0" w:color="C1C1C1"/>
            </w:tcBorders>
            <w:shd w:val="clear" w:color="auto" w:fill="auto"/>
          </w:tcPr>
          <w:p w14:paraId="53D52755" w14:textId="77777777" w:rsidR="008F566C" w:rsidRDefault="008F566C" w:rsidP="008F566C">
            <w:pPr>
              <w:pStyle w:val="Tabletext"/>
              <w:rPr>
                <w:color w:val="365F91" w:themeColor="accent1" w:themeShade="BF"/>
              </w:rPr>
            </w:pPr>
            <w:r w:rsidRPr="00066630">
              <w:rPr>
                <w:color w:val="365F91" w:themeColor="accent1" w:themeShade="BF"/>
              </w:rPr>
              <w:t>3,904</w:t>
            </w:r>
          </w:p>
        </w:tc>
        <w:tc>
          <w:tcPr>
            <w:tcW w:w="1071" w:type="pct"/>
            <w:tcBorders>
              <w:top w:val="nil"/>
              <w:left w:val="single" w:sz="4" w:space="0" w:color="C1C1C1"/>
              <w:bottom w:val="single" w:sz="4" w:space="0" w:color="C1C1C1"/>
              <w:right w:val="single" w:sz="8" w:space="0" w:color="C1C1C1"/>
            </w:tcBorders>
            <w:shd w:val="clear" w:color="auto" w:fill="auto"/>
          </w:tcPr>
          <w:p w14:paraId="3352D979" w14:textId="77777777" w:rsidR="008F566C" w:rsidRDefault="008F566C" w:rsidP="008F566C">
            <w:pPr>
              <w:pStyle w:val="Tabletext"/>
              <w:rPr>
                <w:color w:val="365F91" w:themeColor="accent1" w:themeShade="BF"/>
              </w:rPr>
            </w:pPr>
            <w:r w:rsidRPr="00066630">
              <w:rPr>
                <w:color w:val="365F91" w:themeColor="accent1" w:themeShade="BF"/>
              </w:rPr>
              <w:t>6,589</w:t>
            </w:r>
          </w:p>
        </w:tc>
        <w:tc>
          <w:tcPr>
            <w:tcW w:w="1072" w:type="pct"/>
            <w:tcBorders>
              <w:top w:val="nil"/>
              <w:left w:val="single" w:sz="4" w:space="0" w:color="C1C1C1"/>
              <w:bottom w:val="single" w:sz="4" w:space="0" w:color="C1C1C1"/>
              <w:right w:val="single" w:sz="8" w:space="0" w:color="C1C1C1"/>
            </w:tcBorders>
            <w:shd w:val="clear" w:color="auto" w:fill="auto"/>
          </w:tcPr>
          <w:p w14:paraId="0C6DB886" w14:textId="77777777" w:rsidR="008F566C" w:rsidRPr="008B1DBA" w:rsidRDefault="008F566C" w:rsidP="008F566C">
            <w:pPr>
              <w:pStyle w:val="Tabletext"/>
              <w:rPr>
                <w:color w:val="365F91" w:themeColor="accent1" w:themeShade="BF"/>
              </w:rPr>
            </w:pPr>
            <w:r w:rsidRPr="00066630">
              <w:rPr>
                <w:color w:val="365F91" w:themeColor="accent1" w:themeShade="BF"/>
              </w:rPr>
              <w:t>10,493</w:t>
            </w:r>
          </w:p>
        </w:tc>
      </w:tr>
      <w:tr w:rsidR="008F566C" w:rsidRPr="008B1DBA" w14:paraId="5FEAFA1F" w14:textId="77777777" w:rsidTr="008F566C">
        <w:trPr>
          <w:trHeight w:val="276"/>
        </w:trPr>
        <w:tc>
          <w:tcPr>
            <w:tcW w:w="1785" w:type="pct"/>
            <w:tcBorders>
              <w:top w:val="single" w:sz="4" w:space="0" w:color="C1C1C1"/>
              <w:left w:val="single" w:sz="8" w:space="0" w:color="C1C1C1"/>
              <w:bottom w:val="single" w:sz="4" w:space="0" w:color="C1C1C1"/>
              <w:right w:val="single" w:sz="4" w:space="0" w:color="C1C1C1"/>
            </w:tcBorders>
            <w:shd w:val="clear" w:color="auto" w:fill="auto"/>
          </w:tcPr>
          <w:p w14:paraId="5E4A1478" w14:textId="77777777" w:rsidR="008F566C" w:rsidRPr="008B1DBA" w:rsidRDefault="008F566C" w:rsidP="008F566C">
            <w:pPr>
              <w:pStyle w:val="Tabletext"/>
              <w:rPr>
                <w:color w:val="365F91" w:themeColor="accent1" w:themeShade="BF"/>
              </w:rPr>
            </w:pPr>
            <w:r w:rsidRPr="00066630">
              <w:rPr>
                <w:color w:val="365F91" w:themeColor="accent1" w:themeShade="BF"/>
              </w:rPr>
              <w:t>2011</w:t>
            </w:r>
          </w:p>
        </w:tc>
        <w:tc>
          <w:tcPr>
            <w:tcW w:w="1071" w:type="pct"/>
            <w:tcBorders>
              <w:top w:val="nil"/>
              <w:left w:val="nil"/>
              <w:bottom w:val="single" w:sz="4" w:space="0" w:color="C1C1C1"/>
              <w:right w:val="single" w:sz="8" w:space="0" w:color="C1C1C1"/>
            </w:tcBorders>
            <w:shd w:val="clear" w:color="auto" w:fill="auto"/>
          </w:tcPr>
          <w:p w14:paraId="5B002DE3" w14:textId="77777777" w:rsidR="008F566C" w:rsidRDefault="008F566C" w:rsidP="008F566C">
            <w:pPr>
              <w:pStyle w:val="Tabletext"/>
              <w:rPr>
                <w:color w:val="365F91" w:themeColor="accent1" w:themeShade="BF"/>
              </w:rPr>
            </w:pPr>
            <w:r w:rsidRPr="00066630">
              <w:rPr>
                <w:color w:val="365F91" w:themeColor="accent1" w:themeShade="BF"/>
              </w:rPr>
              <w:t>4,430</w:t>
            </w:r>
          </w:p>
        </w:tc>
        <w:tc>
          <w:tcPr>
            <w:tcW w:w="1071" w:type="pct"/>
            <w:tcBorders>
              <w:top w:val="nil"/>
              <w:left w:val="single" w:sz="4" w:space="0" w:color="C1C1C1"/>
              <w:bottom w:val="single" w:sz="4" w:space="0" w:color="C1C1C1"/>
              <w:right w:val="single" w:sz="8" w:space="0" w:color="C1C1C1"/>
            </w:tcBorders>
            <w:shd w:val="clear" w:color="auto" w:fill="auto"/>
          </w:tcPr>
          <w:p w14:paraId="30ED45B1" w14:textId="77777777" w:rsidR="008F566C" w:rsidRDefault="008F566C" w:rsidP="008F566C">
            <w:pPr>
              <w:pStyle w:val="Tabletext"/>
              <w:rPr>
                <w:color w:val="365F91" w:themeColor="accent1" w:themeShade="BF"/>
              </w:rPr>
            </w:pPr>
            <w:r w:rsidRPr="00066630">
              <w:rPr>
                <w:color w:val="365F91" w:themeColor="accent1" w:themeShade="BF"/>
              </w:rPr>
              <w:t>6,823</w:t>
            </w:r>
          </w:p>
        </w:tc>
        <w:tc>
          <w:tcPr>
            <w:tcW w:w="1072" w:type="pct"/>
            <w:tcBorders>
              <w:top w:val="nil"/>
              <w:left w:val="single" w:sz="4" w:space="0" w:color="C1C1C1"/>
              <w:bottom w:val="single" w:sz="4" w:space="0" w:color="C1C1C1"/>
              <w:right w:val="single" w:sz="8" w:space="0" w:color="C1C1C1"/>
            </w:tcBorders>
            <w:shd w:val="clear" w:color="auto" w:fill="auto"/>
          </w:tcPr>
          <w:p w14:paraId="1997642E" w14:textId="77777777" w:rsidR="008F566C" w:rsidRPr="008B1DBA" w:rsidRDefault="008F566C" w:rsidP="008F566C">
            <w:pPr>
              <w:pStyle w:val="Tabletext"/>
              <w:rPr>
                <w:color w:val="365F91" w:themeColor="accent1" w:themeShade="BF"/>
              </w:rPr>
            </w:pPr>
            <w:r w:rsidRPr="00066630">
              <w:rPr>
                <w:color w:val="365F91" w:themeColor="accent1" w:themeShade="BF"/>
              </w:rPr>
              <w:t>11,253</w:t>
            </w:r>
          </w:p>
        </w:tc>
      </w:tr>
      <w:tr w:rsidR="008F566C" w:rsidRPr="008B1DBA" w14:paraId="02387A0B" w14:textId="77777777" w:rsidTr="008F566C">
        <w:trPr>
          <w:trHeight w:val="276"/>
        </w:trPr>
        <w:tc>
          <w:tcPr>
            <w:tcW w:w="1785" w:type="pct"/>
            <w:tcBorders>
              <w:top w:val="single" w:sz="4" w:space="0" w:color="C1C1C1"/>
              <w:left w:val="single" w:sz="8" w:space="0" w:color="C1C1C1"/>
              <w:bottom w:val="single" w:sz="4" w:space="0" w:color="C1C1C1"/>
              <w:right w:val="single" w:sz="4" w:space="0" w:color="C1C1C1"/>
            </w:tcBorders>
            <w:shd w:val="clear" w:color="auto" w:fill="auto"/>
          </w:tcPr>
          <w:p w14:paraId="548A670E" w14:textId="77777777" w:rsidR="008F566C" w:rsidRPr="008B1DBA" w:rsidRDefault="008F566C" w:rsidP="008F566C">
            <w:pPr>
              <w:pStyle w:val="Tabletext"/>
              <w:rPr>
                <w:color w:val="365F91" w:themeColor="accent1" w:themeShade="BF"/>
              </w:rPr>
            </w:pPr>
            <w:r w:rsidRPr="00066630">
              <w:rPr>
                <w:color w:val="365F91" w:themeColor="accent1" w:themeShade="BF"/>
              </w:rPr>
              <w:t>2012</w:t>
            </w:r>
          </w:p>
        </w:tc>
        <w:tc>
          <w:tcPr>
            <w:tcW w:w="1071" w:type="pct"/>
            <w:tcBorders>
              <w:top w:val="nil"/>
              <w:left w:val="nil"/>
              <w:bottom w:val="single" w:sz="4" w:space="0" w:color="C1C1C1"/>
              <w:right w:val="single" w:sz="8" w:space="0" w:color="C1C1C1"/>
            </w:tcBorders>
            <w:shd w:val="clear" w:color="auto" w:fill="auto"/>
          </w:tcPr>
          <w:p w14:paraId="5CA05E39" w14:textId="77777777" w:rsidR="008F566C" w:rsidRDefault="008F566C" w:rsidP="008F566C">
            <w:pPr>
              <w:pStyle w:val="Tabletext"/>
              <w:rPr>
                <w:color w:val="365F91" w:themeColor="accent1" w:themeShade="BF"/>
              </w:rPr>
            </w:pPr>
            <w:r w:rsidRPr="00066630">
              <w:rPr>
                <w:color w:val="365F91" w:themeColor="accent1" w:themeShade="BF"/>
              </w:rPr>
              <w:t>5,036</w:t>
            </w:r>
          </w:p>
        </w:tc>
        <w:tc>
          <w:tcPr>
            <w:tcW w:w="1071" w:type="pct"/>
            <w:tcBorders>
              <w:top w:val="nil"/>
              <w:left w:val="single" w:sz="4" w:space="0" w:color="C1C1C1"/>
              <w:bottom w:val="single" w:sz="4" w:space="0" w:color="C1C1C1"/>
              <w:right w:val="single" w:sz="8" w:space="0" w:color="C1C1C1"/>
            </w:tcBorders>
            <w:shd w:val="clear" w:color="auto" w:fill="auto"/>
          </w:tcPr>
          <w:p w14:paraId="0F4B9E41" w14:textId="77777777" w:rsidR="008F566C" w:rsidRDefault="008F566C" w:rsidP="008F566C">
            <w:pPr>
              <w:pStyle w:val="Tabletext"/>
              <w:rPr>
                <w:color w:val="365F91" w:themeColor="accent1" w:themeShade="BF"/>
              </w:rPr>
            </w:pPr>
            <w:r w:rsidRPr="00066630">
              <w:rPr>
                <w:color w:val="365F91" w:themeColor="accent1" w:themeShade="BF"/>
              </w:rPr>
              <w:t>7,199</w:t>
            </w:r>
          </w:p>
        </w:tc>
        <w:tc>
          <w:tcPr>
            <w:tcW w:w="1072" w:type="pct"/>
            <w:tcBorders>
              <w:top w:val="nil"/>
              <w:left w:val="single" w:sz="4" w:space="0" w:color="C1C1C1"/>
              <w:bottom w:val="single" w:sz="4" w:space="0" w:color="C1C1C1"/>
              <w:right w:val="single" w:sz="8" w:space="0" w:color="C1C1C1"/>
            </w:tcBorders>
            <w:shd w:val="clear" w:color="auto" w:fill="auto"/>
          </w:tcPr>
          <w:p w14:paraId="6302EC84" w14:textId="77777777" w:rsidR="008F566C" w:rsidRPr="008B1DBA" w:rsidRDefault="008F566C" w:rsidP="008F566C">
            <w:pPr>
              <w:pStyle w:val="Tabletext"/>
              <w:rPr>
                <w:color w:val="365F91" w:themeColor="accent1" w:themeShade="BF"/>
              </w:rPr>
            </w:pPr>
            <w:r w:rsidRPr="00066630">
              <w:rPr>
                <w:color w:val="365F91" w:themeColor="accent1" w:themeShade="BF"/>
              </w:rPr>
              <w:t>12,235</w:t>
            </w:r>
          </w:p>
        </w:tc>
      </w:tr>
      <w:tr w:rsidR="008F566C" w:rsidRPr="008B1DBA" w14:paraId="786F6219" w14:textId="77777777" w:rsidTr="008F566C">
        <w:trPr>
          <w:trHeight w:val="276"/>
        </w:trPr>
        <w:tc>
          <w:tcPr>
            <w:tcW w:w="1785" w:type="pct"/>
            <w:tcBorders>
              <w:top w:val="single" w:sz="4" w:space="0" w:color="C1C1C1"/>
              <w:left w:val="single" w:sz="8" w:space="0" w:color="C1C1C1"/>
              <w:bottom w:val="single" w:sz="4" w:space="0" w:color="C1C1C1"/>
              <w:right w:val="single" w:sz="4" w:space="0" w:color="C1C1C1"/>
            </w:tcBorders>
            <w:shd w:val="clear" w:color="auto" w:fill="auto"/>
          </w:tcPr>
          <w:p w14:paraId="4BAEB5A9" w14:textId="77777777" w:rsidR="008F566C" w:rsidRPr="008B1DBA" w:rsidRDefault="008F566C" w:rsidP="008F566C">
            <w:pPr>
              <w:pStyle w:val="Tabletext"/>
              <w:rPr>
                <w:color w:val="365F91" w:themeColor="accent1" w:themeShade="BF"/>
              </w:rPr>
            </w:pPr>
            <w:r w:rsidRPr="00066630">
              <w:rPr>
                <w:color w:val="365F91" w:themeColor="accent1" w:themeShade="BF"/>
              </w:rPr>
              <w:t>2013</w:t>
            </w:r>
          </w:p>
        </w:tc>
        <w:tc>
          <w:tcPr>
            <w:tcW w:w="1071" w:type="pct"/>
            <w:tcBorders>
              <w:top w:val="nil"/>
              <w:left w:val="nil"/>
              <w:bottom w:val="single" w:sz="4" w:space="0" w:color="C1C1C1"/>
              <w:right w:val="single" w:sz="8" w:space="0" w:color="C1C1C1"/>
            </w:tcBorders>
            <w:shd w:val="clear" w:color="auto" w:fill="auto"/>
          </w:tcPr>
          <w:p w14:paraId="087C010C" w14:textId="77777777" w:rsidR="008F566C" w:rsidRDefault="008F566C" w:rsidP="008F566C">
            <w:pPr>
              <w:pStyle w:val="Tabletext"/>
              <w:rPr>
                <w:color w:val="365F91" w:themeColor="accent1" w:themeShade="BF"/>
              </w:rPr>
            </w:pPr>
            <w:r w:rsidRPr="00066630">
              <w:rPr>
                <w:color w:val="365F91" w:themeColor="accent1" w:themeShade="BF"/>
              </w:rPr>
              <w:t>5,527</w:t>
            </w:r>
          </w:p>
        </w:tc>
        <w:tc>
          <w:tcPr>
            <w:tcW w:w="1071" w:type="pct"/>
            <w:tcBorders>
              <w:top w:val="nil"/>
              <w:left w:val="single" w:sz="4" w:space="0" w:color="C1C1C1"/>
              <w:bottom w:val="single" w:sz="4" w:space="0" w:color="C1C1C1"/>
              <w:right w:val="single" w:sz="8" w:space="0" w:color="C1C1C1"/>
            </w:tcBorders>
            <w:shd w:val="clear" w:color="auto" w:fill="auto"/>
          </w:tcPr>
          <w:p w14:paraId="1840DC03" w14:textId="77777777" w:rsidR="008F566C" w:rsidRDefault="008F566C" w:rsidP="008F566C">
            <w:pPr>
              <w:pStyle w:val="Tabletext"/>
              <w:rPr>
                <w:color w:val="365F91" w:themeColor="accent1" w:themeShade="BF"/>
              </w:rPr>
            </w:pPr>
            <w:r w:rsidRPr="00066630">
              <w:rPr>
                <w:color w:val="365F91" w:themeColor="accent1" w:themeShade="BF"/>
              </w:rPr>
              <w:t>7,686</w:t>
            </w:r>
          </w:p>
        </w:tc>
        <w:tc>
          <w:tcPr>
            <w:tcW w:w="1072" w:type="pct"/>
            <w:tcBorders>
              <w:top w:val="nil"/>
              <w:left w:val="single" w:sz="4" w:space="0" w:color="C1C1C1"/>
              <w:bottom w:val="single" w:sz="4" w:space="0" w:color="C1C1C1"/>
              <w:right w:val="single" w:sz="8" w:space="0" w:color="C1C1C1"/>
            </w:tcBorders>
            <w:shd w:val="clear" w:color="auto" w:fill="auto"/>
          </w:tcPr>
          <w:p w14:paraId="0B4530D7" w14:textId="77777777" w:rsidR="008F566C" w:rsidRPr="008B1DBA" w:rsidRDefault="008F566C" w:rsidP="008F566C">
            <w:pPr>
              <w:pStyle w:val="Tabletext"/>
              <w:rPr>
                <w:color w:val="365F91" w:themeColor="accent1" w:themeShade="BF"/>
              </w:rPr>
            </w:pPr>
            <w:r w:rsidRPr="00066630">
              <w:rPr>
                <w:color w:val="365F91" w:themeColor="accent1" w:themeShade="BF"/>
              </w:rPr>
              <w:t>13,213</w:t>
            </w:r>
          </w:p>
        </w:tc>
      </w:tr>
      <w:tr w:rsidR="008F566C" w:rsidRPr="008B1DBA" w14:paraId="56083702" w14:textId="77777777" w:rsidTr="008F566C">
        <w:trPr>
          <w:trHeight w:val="276"/>
        </w:trPr>
        <w:tc>
          <w:tcPr>
            <w:tcW w:w="1785" w:type="pct"/>
            <w:tcBorders>
              <w:top w:val="single" w:sz="4" w:space="0" w:color="C1C1C1"/>
              <w:left w:val="single" w:sz="8" w:space="0" w:color="C1C1C1"/>
              <w:bottom w:val="single" w:sz="4" w:space="0" w:color="C1C1C1"/>
              <w:right w:val="single" w:sz="4" w:space="0" w:color="C1C1C1"/>
            </w:tcBorders>
            <w:shd w:val="clear" w:color="auto" w:fill="auto"/>
          </w:tcPr>
          <w:p w14:paraId="6413498C" w14:textId="77777777" w:rsidR="008F566C" w:rsidRPr="008B1DBA" w:rsidRDefault="008F566C" w:rsidP="008F566C">
            <w:pPr>
              <w:pStyle w:val="Tabletext"/>
              <w:rPr>
                <w:color w:val="365F91" w:themeColor="accent1" w:themeShade="BF"/>
              </w:rPr>
            </w:pPr>
            <w:r w:rsidRPr="00066630">
              <w:rPr>
                <w:color w:val="365F91" w:themeColor="accent1" w:themeShade="BF"/>
              </w:rPr>
              <w:t>2014</w:t>
            </w:r>
          </w:p>
        </w:tc>
        <w:tc>
          <w:tcPr>
            <w:tcW w:w="1071" w:type="pct"/>
            <w:tcBorders>
              <w:top w:val="nil"/>
              <w:left w:val="nil"/>
              <w:bottom w:val="single" w:sz="4" w:space="0" w:color="C1C1C1"/>
              <w:right w:val="single" w:sz="8" w:space="0" w:color="C1C1C1"/>
            </w:tcBorders>
            <w:shd w:val="clear" w:color="auto" w:fill="auto"/>
          </w:tcPr>
          <w:p w14:paraId="52F9726D" w14:textId="77777777" w:rsidR="008F566C" w:rsidRDefault="008F566C" w:rsidP="008F566C">
            <w:pPr>
              <w:pStyle w:val="Tabletext"/>
              <w:rPr>
                <w:color w:val="365F91" w:themeColor="accent1" w:themeShade="BF"/>
              </w:rPr>
            </w:pPr>
            <w:r w:rsidRPr="00066630">
              <w:rPr>
                <w:color w:val="365F91" w:themeColor="accent1" w:themeShade="BF"/>
              </w:rPr>
              <w:t>5,989</w:t>
            </w:r>
          </w:p>
        </w:tc>
        <w:tc>
          <w:tcPr>
            <w:tcW w:w="1071" w:type="pct"/>
            <w:tcBorders>
              <w:top w:val="nil"/>
              <w:left w:val="single" w:sz="4" w:space="0" w:color="C1C1C1"/>
              <w:bottom w:val="single" w:sz="4" w:space="0" w:color="C1C1C1"/>
              <w:right w:val="single" w:sz="8" w:space="0" w:color="C1C1C1"/>
            </w:tcBorders>
            <w:shd w:val="clear" w:color="auto" w:fill="auto"/>
          </w:tcPr>
          <w:p w14:paraId="46A78F06" w14:textId="77777777" w:rsidR="008F566C" w:rsidRDefault="008F566C" w:rsidP="008F566C">
            <w:pPr>
              <w:pStyle w:val="Tabletext"/>
              <w:rPr>
                <w:color w:val="365F91" w:themeColor="accent1" w:themeShade="BF"/>
              </w:rPr>
            </w:pPr>
            <w:r w:rsidRPr="00066630">
              <w:rPr>
                <w:color w:val="365F91" w:themeColor="accent1" w:themeShade="BF"/>
              </w:rPr>
              <w:t>8,235</w:t>
            </w:r>
          </w:p>
        </w:tc>
        <w:tc>
          <w:tcPr>
            <w:tcW w:w="1072" w:type="pct"/>
            <w:tcBorders>
              <w:top w:val="nil"/>
              <w:left w:val="single" w:sz="4" w:space="0" w:color="C1C1C1"/>
              <w:bottom w:val="single" w:sz="4" w:space="0" w:color="C1C1C1"/>
              <w:right w:val="single" w:sz="8" w:space="0" w:color="C1C1C1"/>
            </w:tcBorders>
            <w:shd w:val="clear" w:color="auto" w:fill="auto"/>
          </w:tcPr>
          <w:p w14:paraId="2526A156" w14:textId="77777777" w:rsidR="008F566C" w:rsidRPr="008B1DBA" w:rsidRDefault="008F566C" w:rsidP="008F566C">
            <w:pPr>
              <w:pStyle w:val="Tabletext"/>
              <w:rPr>
                <w:color w:val="365F91" w:themeColor="accent1" w:themeShade="BF"/>
              </w:rPr>
            </w:pPr>
            <w:r w:rsidRPr="00066630">
              <w:rPr>
                <w:color w:val="365F91" w:themeColor="accent1" w:themeShade="BF"/>
              </w:rPr>
              <w:t>14,224</w:t>
            </w:r>
          </w:p>
        </w:tc>
      </w:tr>
      <w:tr w:rsidR="008F566C" w:rsidRPr="008B1DBA" w14:paraId="44866F48" w14:textId="77777777" w:rsidTr="008F566C">
        <w:trPr>
          <w:trHeight w:val="276"/>
        </w:trPr>
        <w:tc>
          <w:tcPr>
            <w:tcW w:w="1785" w:type="pct"/>
            <w:tcBorders>
              <w:top w:val="single" w:sz="4" w:space="0" w:color="C1C1C1"/>
              <w:left w:val="single" w:sz="8" w:space="0" w:color="C1C1C1"/>
              <w:bottom w:val="single" w:sz="4" w:space="0" w:color="C1C1C1"/>
              <w:right w:val="single" w:sz="4" w:space="0" w:color="C1C1C1"/>
            </w:tcBorders>
            <w:shd w:val="clear" w:color="auto" w:fill="auto"/>
          </w:tcPr>
          <w:p w14:paraId="14332E9B" w14:textId="77777777" w:rsidR="008F566C" w:rsidRPr="008B1DBA" w:rsidRDefault="008F566C" w:rsidP="008F566C">
            <w:pPr>
              <w:pStyle w:val="Tabletext"/>
              <w:rPr>
                <w:color w:val="365F91" w:themeColor="accent1" w:themeShade="BF"/>
              </w:rPr>
            </w:pPr>
            <w:r w:rsidRPr="00066630">
              <w:rPr>
                <w:color w:val="365F91" w:themeColor="accent1" w:themeShade="BF"/>
              </w:rPr>
              <w:t>2015</w:t>
            </w:r>
          </w:p>
        </w:tc>
        <w:tc>
          <w:tcPr>
            <w:tcW w:w="1071" w:type="pct"/>
            <w:tcBorders>
              <w:top w:val="nil"/>
              <w:left w:val="nil"/>
              <w:bottom w:val="single" w:sz="4" w:space="0" w:color="C1C1C1"/>
              <w:right w:val="single" w:sz="8" w:space="0" w:color="C1C1C1"/>
            </w:tcBorders>
            <w:shd w:val="clear" w:color="auto" w:fill="auto"/>
          </w:tcPr>
          <w:p w14:paraId="0A8FB2D9" w14:textId="77777777" w:rsidR="008F566C" w:rsidRDefault="008F566C" w:rsidP="008F566C">
            <w:pPr>
              <w:pStyle w:val="Tabletext"/>
              <w:rPr>
                <w:color w:val="365F91" w:themeColor="accent1" w:themeShade="BF"/>
              </w:rPr>
            </w:pPr>
            <w:r w:rsidRPr="00066630">
              <w:rPr>
                <w:color w:val="365F91" w:themeColor="accent1" w:themeShade="BF"/>
              </w:rPr>
              <w:t>6,054</w:t>
            </w:r>
          </w:p>
        </w:tc>
        <w:tc>
          <w:tcPr>
            <w:tcW w:w="1071" w:type="pct"/>
            <w:tcBorders>
              <w:top w:val="nil"/>
              <w:left w:val="single" w:sz="4" w:space="0" w:color="C1C1C1"/>
              <w:bottom w:val="single" w:sz="4" w:space="0" w:color="C1C1C1"/>
              <w:right w:val="single" w:sz="8" w:space="0" w:color="C1C1C1"/>
            </w:tcBorders>
            <w:shd w:val="clear" w:color="auto" w:fill="auto"/>
          </w:tcPr>
          <w:p w14:paraId="45CCEDB2" w14:textId="77777777" w:rsidR="008F566C" w:rsidRDefault="008F566C" w:rsidP="008F566C">
            <w:pPr>
              <w:pStyle w:val="Tabletext"/>
              <w:rPr>
                <w:color w:val="365F91" w:themeColor="accent1" w:themeShade="BF"/>
              </w:rPr>
            </w:pPr>
            <w:r w:rsidRPr="00066630">
              <w:rPr>
                <w:color w:val="365F91" w:themeColor="accent1" w:themeShade="BF"/>
              </w:rPr>
              <w:t>8,319</w:t>
            </w:r>
          </w:p>
        </w:tc>
        <w:tc>
          <w:tcPr>
            <w:tcW w:w="1072" w:type="pct"/>
            <w:tcBorders>
              <w:top w:val="nil"/>
              <w:left w:val="single" w:sz="4" w:space="0" w:color="C1C1C1"/>
              <w:bottom w:val="single" w:sz="4" w:space="0" w:color="C1C1C1"/>
              <w:right w:val="single" w:sz="8" w:space="0" w:color="C1C1C1"/>
            </w:tcBorders>
            <w:shd w:val="clear" w:color="auto" w:fill="auto"/>
          </w:tcPr>
          <w:p w14:paraId="61C7AEB6" w14:textId="77777777" w:rsidR="008F566C" w:rsidRPr="008B1DBA" w:rsidRDefault="008F566C" w:rsidP="008F566C">
            <w:pPr>
              <w:pStyle w:val="Tabletext"/>
              <w:rPr>
                <w:color w:val="365F91" w:themeColor="accent1" w:themeShade="BF"/>
              </w:rPr>
            </w:pPr>
            <w:r w:rsidRPr="00066630">
              <w:rPr>
                <w:color w:val="365F91" w:themeColor="accent1" w:themeShade="BF"/>
              </w:rPr>
              <w:t>14,373</w:t>
            </w:r>
          </w:p>
        </w:tc>
      </w:tr>
      <w:tr w:rsidR="008F566C" w:rsidRPr="008B1DBA" w14:paraId="1BAA3517" w14:textId="77777777" w:rsidTr="008F566C">
        <w:trPr>
          <w:trHeight w:val="276"/>
        </w:trPr>
        <w:tc>
          <w:tcPr>
            <w:tcW w:w="1785" w:type="pct"/>
            <w:tcBorders>
              <w:top w:val="single" w:sz="4" w:space="0" w:color="C1C1C1"/>
              <w:left w:val="single" w:sz="8" w:space="0" w:color="C1C1C1"/>
              <w:bottom w:val="single" w:sz="4" w:space="0" w:color="C1C1C1"/>
              <w:right w:val="single" w:sz="4" w:space="0" w:color="C1C1C1"/>
            </w:tcBorders>
            <w:shd w:val="clear" w:color="auto" w:fill="auto"/>
          </w:tcPr>
          <w:p w14:paraId="7467FDF6" w14:textId="77777777" w:rsidR="008F566C" w:rsidRPr="008B1DBA" w:rsidRDefault="008F566C" w:rsidP="008F566C">
            <w:pPr>
              <w:pStyle w:val="Tabletext"/>
              <w:rPr>
                <w:color w:val="365F91" w:themeColor="accent1" w:themeShade="BF"/>
              </w:rPr>
            </w:pPr>
            <w:r w:rsidRPr="00066630">
              <w:rPr>
                <w:color w:val="365F91" w:themeColor="accent1" w:themeShade="BF"/>
              </w:rPr>
              <w:t>2016</w:t>
            </w:r>
          </w:p>
        </w:tc>
        <w:tc>
          <w:tcPr>
            <w:tcW w:w="1071" w:type="pct"/>
            <w:tcBorders>
              <w:top w:val="nil"/>
              <w:left w:val="nil"/>
              <w:bottom w:val="single" w:sz="4" w:space="0" w:color="C1C1C1"/>
              <w:right w:val="single" w:sz="8" w:space="0" w:color="C1C1C1"/>
            </w:tcBorders>
            <w:shd w:val="clear" w:color="auto" w:fill="auto"/>
          </w:tcPr>
          <w:p w14:paraId="5486BA48" w14:textId="77777777" w:rsidR="008F566C" w:rsidRDefault="008F566C" w:rsidP="008F566C">
            <w:pPr>
              <w:pStyle w:val="Tabletext"/>
              <w:rPr>
                <w:color w:val="365F91" w:themeColor="accent1" w:themeShade="BF"/>
              </w:rPr>
            </w:pPr>
            <w:r w:rsidRPr="00066630">
              <w:rPr>
                <w:color w:val="365F91" w:themeColor="accent1" w:themeShade="BF"/>
              </w:rPr>
              <w:t>6,121</w:t>
            </w:r>
          </w:p>
        </w:tc>
        <w:tc>
          <w:tcPr>
            <w:tcW w:w="1071" w:type="pct"/>
            <w:tcBorders>
              <w:top w:val="nil"/>
              <w:left w:val="single" w:sz="4" w:space="0" w:color="C1C1C1"/>
              <w:bottom w:val="single" w:sz="4" w:space="0" w:color="C1C1C1"/>
              <w:right w:val="single" w:sz="8" w:space="0" w:color="C1C1C1"/>
            </w:tcBorders>
            <w:shd w:val="clear" w:color="auto" w:fill="auto"/>
          </w:tcPr>
          <w:p w14:paraId="4FA535FF" w14:textId="77777777" w:rsidR="008F566C" w:rsidRDefault="008F566C" w:rsidP="008F566C">
            <w:pPr>
              <w:pStyle w:val="Tabletext"/>
              <w:rPr>
                <w:color w:val="365F91" w:themeColor="accent1" w:themeShade="BF"/>
              </w:rPr>
            </w:pPr>
            <w:r w:rsidRPr="00066630">
              <w:rPr>
                <w:color w:val="365F91" w:themeColor="accent1" w:themeShade="BF"/>
              </w:rPr>
              <w:t>7,882</w:t>
            </w:r>
          </w:p>
        </w:tc>
        <w:tc>
          <w:tcPr>
            <w:tcW w:w="1072" w:type="pct"/>
            <w:tcBorders>
              <w:top w:val="nil"/>
              <w:left w:val="single" w:sz="4" w:space="0" w:color="C1C1C1"/>
              <w:bottom w:val="single" w:sz="4" w:space="0" w:color="C1C1C1"/>
              <w:right w:val="single" w:sz="8" w:space="0" w:color="C1C1C1"/>
            </w:tcBorders>
            <w:shd w:val="clear" w:color="auto" w:fill="auto"/>
          </w:tcPr>
          <w:p w14:paraId="10154950" w14:textId="77777777" w:rsidR="008F566C" w:rsidRPr="008B1DBA" w:rsidRDefault="008F566C" w:rsidP="008F566C">
            <w:pPr>
              <w:pStyle w:val="Tabletext"/>
              <w:rPr>
                <w:color w:val="365F91" w:themeColor="accent1" w:themeShade="BF"/>
              </w:rPr>
            </w:pPr>
            <w:r w:rsidRPr="00066630">
              <w:rPr>
                <w:color w:val="365F91" w:themeColor="accent1" w:themeShade="BF"/>
              </w:rPr>
              <w:t>14,003</w:t>
            </w:r>
          </w:p>
        </w:tc>
      </w:tr>
      <w:tr w:rsidR="008F566C" w:rsidRPr="008B1DBA" w14:paraId="22EDB637" w14:textId="77777777" w:rsidTr="008F566C">
        <w:trPr>
          <w:trHeight w:val="276"/>
        </w:trPr>
        <w:tc>
          <w:tcPr>
            <w:tcW w:w="1785" w:type="pct"/>
            <w:tcBorders>
              <w:top w:val="single" w:sz="4" w:space="0" w:color="C1C1C1"/>
              <w:left w:val="single" w:sz="8" w:space="0" w:color="C1C1C1"/>
              <w:bottom w:val="single" w:sz="4" w:space="0" w:color="C1C1C1"/>
              <w:right w:val="single" w:sz="4" w:space="0" w:color="C1C1C1"/>
            </w:tcBorders>
            <w:shd w:val="clear" w:color="auto" w:fill="auto"/>
          </w:tcPr>
          <w:p w14:paraId="6BC38194" w14:textId="77777777" w:rsidR="008F566C" w:rsidRPr="008B1DBA" w:rsidRDefault="008F566C" w:rsidP="008F566C">
            <w:pPr>
              <w:pStyle w:val="Tabletext"/>
              <w:rPr>
                <w:color w:val="365F91" w:themeColor="accent1" w:themeShade="BF"/>
              </w:rPr>
            </w:pPr>
            <w:r w:rsidRPr="00066630">
              <w:rPr>
                <w:color w:val="365F91" w:themeColor="accent1" w:themeShade="BF"/>
              </w:rPr>
              <w:t>2017</w:t>
            </w:r>
          </w:p>
        </w:tc>
        <w:tc>
          <w:tcPr>
            <w:tcW w:w="1071" w:type="pct"/>
            <w:tcBorders>
              <w:top w:val="nil"/>
              <w:left w:val="nil"/>
              <w:bottom w:val="single" w:sz="4" w:space="0" w:color="C1C1C1"/>
              <w:right w:val="single" w:sz="8" w:space="0" w:color="C1C1C1"/>
            </w:tcBorders>
            <w:shd w:val="clear" w:color="auto" w:fill="auto"/>
          </w:tcPr>
          <w:p w14:paraId="464EFCE2" w14:textId="77777777" w:rsidR="008F566C" w:rsidRDefault="008F566C" w:rsidP="008F566C">
            <w:pPr>
              <w:pStyle w:val="Tabletext"/>
              <w:rPr>
                <w:color w:val="365F91" w:themeColor="accent1" w:themeShade="BF"/>
              </w:rPr>
            </w:pPr>
            <w:r w:rsidRPr="00066630">
              <w:rPr>
                <w:color w:val="365F91" w:themeColor="accent1" w:themeShade="BF"/>
              </w:rPr>
              <w:t>6,418</w:t>
            </w:r>
          </w:p>
        </w:tc>
        <w:tc>
          <w:tcPr>
            <w:tcW w:w="1071" w:type="pct"/>
            <w:tcBorders>
              <w:top w:val="nil"/>
              <w:left w:val="single" w:sz="4" w:space="0" w:color="C1C1C1"/>
              <w:bottom w:val="single" w:sz="4" w:space="0" w:color="C1C1C1"/>
              <w:right w:val="single" w:sz="8" w:space="0" w:color="C1C1C1"/>
            </w:tcBorders>
            <w:shd w:val="clear" w:color="auto" w:fill="auto"/>
          </w:tcPr>
          <w:p w14:paraId="5F483627" w14:textId="77777777" w:rsidR="008F566C" w:rsidRDefault="008F566C" w:rsidP="008F566C">
            <w:pPr>
              <w:pStyle w:val="Tabletext"/>
              <w:rPr>
                <w:color w:val="365F91" w:themeColor="accent1" w:themeShade="BF"/>
              </w:rPr>
            </w:pPr>
            <w:r w:rsidRPr="00066630">
              <w:rPr>
                <w:color w:val="365F91" w:themeColor="accent1" w:themeShade="BF"/>
              </w:rPr>
              <w:t>8,373</w:t>
            </w:r>
          </w:p>
        </w:tc>
        <w:tc>
          <w:tcPr>
            <w:tcW w:w="1072" w:type="pct"/>
            <w:tcBorders>
              <w:top w:val="nil"/>
              <w:left w:val="single" w:sz="4" w:space="0" w:color="C1C1C1"/>
              <w:bottom w:val="single" w:sz="4" w:space="0" w:color="C1C1C1"/>
              <w:right w:val="single" w:sz="8" w:space="0" w:color="C1C1C1"/>
            </w:tcBorders>
            <w:shd w:val="clear" w:color="auto" w:fill="auto"/>
          </w:tcPr>
          <w:p w14:paraId="70525E04" w14:textId="77777777" w:rsidR="008F566C" w:rsidRPr="008B1DBA" w:rsidRDefault="008F566C" w:rsidP="008F566C">
            <w:pPr>
              <w:pStyle w:val="Tabletext"/>
              <w:rPr>
                <w:color w:val="365F91" w:themeColor="accent1" w:themeShade="BF"/>
              </w:rPr>
            </w:pPr>
            <w:r w:rsidRPr="00066630">
              <w:rPr>
                <w:color w:val="365F91" w:themeColor="accent1" w:themeShade="BF"/>
              </w:rPr>
              <w:t>14,791</w:t>
            </w:r>
          </w:p>
        </w:tc>
      </w:tr>
      <w:tr w:rsidR="008F566C" w:rsidRPr="008B1DBA" w14:paraId="1CB1ACB2" w14:textId="77777777" w:rsidTr="008F566C">
        <w:trPr>
          <w:trHeight w:val="276"/>
        </w:trPr>
        <w:tc>
          <w:tcPr>
            <w:tcW w:w="1785" w:type="pct"/>
            <w:tcBorders>
              <w:top w:val="single" w:sz="4" w:space="0" w:color="C1C1C1"/>
              <w:left w:val="single" w:sz="8" w:space="0" w:color="C1C1C1"/>
              <w:bottom w:val="single" w:sz="4" w:space="0" w:color="C1C1C1"/>
              <w:right w:val="single" w:sz="4" w:space="0" w:color="C1C1C1"/>
            </w:tcBorders>
            <w:shd w:val="clear" w:color="auto" w:fill="auto"/>
          </w:tcPr>
          <w:p w14:paraId="14743213" w14:textId="77777777" w:rsidR="008F566C" w:rsidRPr="008B1DBA" w:rsidRDefault="008F566C" w:rsidP="008F566C">
            <w:pPr>
              <w:pStyle w:val="Tabletext"/>
              <w:rPr>
                <w:color w:val="365F91" w:themeColor="accent1" w:themeShade="BF"/>
              </w:rPr>
            </w:pPr>
            <w:r w:rsidRPr="00066630">
              <w:rPr>
                <w:color w:val="365F91" w:themeColor="accent1" w:themeShade="BF"/>
              </w:rPr>
              <w:t>2018</w:t>
            </w:r>
          </w:p>
        </w:tc>
        <w:tc>
          <w:tcPr>
            <w:tcW w:w="1071" w:type="pct"/>
            <w:tcBorders>
              <w:top w:val="nil"/>
              <w:left w:val="nil"/>
              <w:bottom w:val="single" w:sz="4" w:space="0" w:color="C1C1C1"/>
              <w:right w:val="single" w:sz="8" w:space="0" w:color="C1C1C1"/>
            </w:tcBorders>
            <w:shd w:val="clear" w:color="auto" w:fill="auto"/>
          </w:tcPr>
          <w:p w14:paraId="48B1D16D" w14:textId="77777777" w:rsidR="008F566C" w:rsidRDefault="008F566C" w:rsidP="008F566C">
            <w:pPr>
              <w:pStyle w:val="Tabletext"/>
              <w:rPr>
                <w:color w:val="365F91" w:themeColor="accent1" w:themeShade="BF"/>
              </w:rPr>
            </w:pPr>
            <w:r w:rsidRPr="00066630">
              <w:rPr>
                <w:color w:val="365F91" w:themeColor="accent1" w:themeShade="BF"/>
              </w:rPr>
              <w:t>5,709</w:t>
            </w:r>
          </w:p>
        </w:tc>
        <w:tc>
          <w:tcPr>
            <w:tcW w:w="1071" w:type="pct"/>
            <w:tcBorders>
              <w:top w:val="nil"/>
              <w:left w:val="single" w:sz="4" w:space="0" w:color="C1C1C1"/>
              <w:bottom w:val="single" w:sz="4" w:space="0" w:color="C1C1C1"/>
              <w:right w:val="single" w:sz="8" w:space="0" w:color="C1C1C1"/>
            </w:tcBorders>
            <w:shd w:val="clear" w:color="auto" w:fill="auto"/>
          </w:tcPr>
          <w:p w14:paraId="68BC2A39" w14:textId="77777777" w:rsidR="008F566C" w:rsidRDefault="008F566C" w:rsidP="008F566C">
            <w:pPr>
              <w:pStyle w:val="Tabletext"/>
              <w:rPr>
                <w:color w:val="365F91" w:themeColor="accent1" w:themeShade="BF"/>
              </w:rPr>
            </w:pPr>
            <w:r w:rsidRPr="00066630">
              <w:rPr>
                <w:color w:val="365F91" w:themeColor="accent1" w:themeShade="BF"/>
              </w:rPr>
              <w:t>7,300</w:t>
            </w:r>
          </w:p>
        </w:tc>
        <w:tc>
          <w:tcPr>
            <w:tcW w:w="1072" w:type="pct"/>
            <w:tcBorders>
              <w:top w:val="nil"/>
              <w:left w:val="single" w:sz="4" w:space="0" w:color="C1C1C1"/>
              <w:bottom w:val="single" w:sz="4" w:space="0" w:color="C1C1C1"/>
              <w:right w:val="single" w:sz="8" w:space="0" w:color="C1C1C1"/>
            </w:tcBorders>
            <w:shd w:val="clear" w:color="auto" w:fill="auto"/>
          </w:tcPr>
          <w:p w14:paraId="15ACAE91" w14:textId="77777777" w:rsidR="008F566C" w:rsidRPr="008B1DBA" w:rsidRDefault="008F566C" w:rsidP="008F566C">
            <w:pPr>
              <w:pStyle w:val="Tabletext"/>
              <w:rPr>
                <w:color w:val="365F91" w:themeColor="accent1" w:themeShade="BF"/>
              </w:rPr>
            </w:pPr>
            <w:r w:rsidRPr="00066630">
              <w:rPr>
                <w:color w:val="365F91" w:themeColor="accent1" w:themeShade="BF"/>
              </w:rPr>
              <w:t>13,009</w:t>
            </w:r>
          </w:p>
        </w:tc>
      </w:tr>
      <w:tr w:rsidR="008F566C" w:rsidRPr="008B1DBA" w14:paraId="45A5AED7" w14:textId="77777777" w:rsidTr="008F566C">
        <w:trPr>
          <w:trHeight w:val="276"/>
        </w:trPr>
        <w:tc>
          <w:tcPr>
            <w:tcW w:w="1785" w:type="pct"/>
            <w:tcBorders>
              <w:top w:val="single" w:sz="4" w:space="0" w:color="C1C1C1"/>
              <w:left w:val="single" w:sz="8" w:space="0" w:color="C1C1C1"/>
              <w:bottom w:val="single" w:sz="4" w:space="0" w:color="C1C1C1"/>
              <w:right w:val="single" w:sz="4" w:space="0" w:color="C1C1C1"/>
            </w:tcBorders>
            <w:shd w:val="clear" w:color="auto" w:fill="auto"/>
          </w:tcPr>
          <w:p w14:paraId="673AEF18" w14:textId="77777777" w:rsidR="008F566C" w:rsidRPr="008B1DBA" w:rsidRDefault="008F566C" w:rsidP="008F566C">
            <w:pPr>
              <w:pStyle w:val="Tabletext"/>
              <w:rPr>
                <w:color w:val="365F91" w:themeColor="accent1" w:themeShade="BF"/>
              </w:rPr>
            </w:pPr>
          </w:p>
        </w:tc>
        <w:tc>
          <w:tcPr>
            <w:tcW w:w="1071" w:type="pct"/>
            <w:tcBorders>
              <w:top w:val="nil"/>
              <w:left w:val="nil"/>
              <w:bottom w:val="single" w:sz="4" w:space="0" w:color="C1C1C1"/>
              <w:right w:val="single" w:sz="8" w:space="0" w:color="C1C1C1"/>
            </w:tcBorders>
            <w:shd w:val="clear" w:color="auto" w:fill="auto"/>
          </w:tcPr>
          <w:p w14:paraId="5AF36207" w14:textId="77777777" w:rsidR="008F566C" w:rsidRDefault="008F566C" w:rsidP="008F566C">
            <w:pPr>
              <w:pStyle w:val="Tabletext"/>
              <w:rPr>
                <w:b/>
                <w:bCs/>
                <w:color w:val="365F91" w:themeColor="accent1" w:themeShade="BF"/>
              </w:rPr>
            </w:pPr>
            <w:r w:rsidRPr="00A04A19">
              <w:rPr>
                <w:b/>
                <w:bCs/>
                <w:color w:val="365F91" w:themeColor="accent1" w:themeShade="BF"/>
              </w:rPr>
              <w:t xml:space="preserve">MBS item 51011 </w:t>
            </w:r>
          </w:p>
          <w:p w14:paraId="46049F7A" w14:textId="77777777" w:rsidR="008F566C" w:rsidRPr="00A04A19" w:rsidRDefault="008F566C" w:rsidP="008F566C">
            <w:pPr>
              <w:pStyle w:val="Tabletext"/>
              <w:rPr>
                <w:b/>
                <w:bCs/>
                <w:color w:val="365F91" w:themeColor="accent1" w:themeShade="BF"/>
              </w:rPr>
            </w:pPr>
            <w:r w:rsidRPr="00A04A19">
              <w:rPr>
                <w:b/>
                <w:bCs/>
                <w:color w:val="365F91" w:themeColor="accent1" w:themeShade="BF"/>
              </w:rPr>
              <w:t>(</w:t>
            </w:r>
            <w:r>
              <w:rPr>
                <w:b/>
                <w:bCs/>
                <w:color w:val="365F91" w:themeColor="accent1" w:themeShade="BF"/>
              </w:rPr>
              <w:t>1</w:t>
            </w:r>
            <w:r w:rsidRPr="00A04A19">
              <w:rPr>
                <w:b/>
                <w:bCs/>
                <w:color w:val="365F91" w:themeColor="accent1" w:themeShade="BF"/>
              </w:rPr>
              <w:t xml:space="preserve"> level)</w:t>
            </w:r>
          </w:p>
        </w:tc>
        <w:tc>
          <w:tcPr>
            <w:tcW w:w="1071" w:type="pct"/>
            <w:tcBorders>
              <w:top w:val="nil"/>
              <w:left w:val="single" w:sz="4" w:space="0" w:color="C1C1C1"/>
              <w:bottom w:val="single" w:sz="4" w:space="0" w:color="C1C1C1"/>
              <w:right w:val="single" w:sz="8" w:space="0" w:color="C1C1C1"/>
            </w:tcBorders>
            <w:shd w:val="clear" w:color="auto" w:fill="auto"/>
          </w:tcPr>
          <w:p w14:paraId="3A66EB9B" w14:textId="77777777" w:rsidR="008F566C" w:rsidRDefault="008F566C" w:rsidP="008F566C">
            <w:pPr>
              <w:pStyle w:val="Tabletext"/>
              <w:rPr>
                <w:b/>
                <w:bCs/>
                <w:color w:val="365F91" w:themeColor="accent1" w:themeShade="BF"/>
              </w:rPr>
            </w:pPr>
            <w:r w:rsidRPr="00A04A19">
              <w:rPr>
                <w:b/>
                <w:bCs/>
                <w:color w:val="365F91" w:themeColor="accent1" w:themeShade="BF"/>
              </w:rPr>
              <w:t xml:space="preserve">MBS item 51012 </w:t>
            </w:r>
          </w:p>
          <w:p w14:paraId="19695C72" w14:textId="77777777" w:rsidR="008F566C" w:rsidRPr="00A04A19" w:rsidRDefault="008F566C" w:rsidP="008F566C">
            <w:pPr>
              <w:pStyle w:val="Tabletext"/>
              <w:rPr>
                <w:b/>
                <w:bCs/>
                <w:color w:val="365F91" w:themeColor="accent1" w:themeShade="BF"/>
              </w:rPr>
            </w:pPr>
            <w:r w:rsidRPr="00A04A19">
              <w:rPr>
                <w:b/>
                <w:bCs/>
                <w:color w:val="365F91" w:themeColor="accent1" w:themeShade="BF"/>
              </w:rPr>
              <w:t>(</w:t>
            </w:r>
            <w:r>
              <w:rPr>
                <w:b/>
                <w:bCs/>
                <w:color w:val="365F91" w:themeColor="accent1" w:themeShade="BF"/>
              </w:rPr>
              <w:t>2</w:t>
            </w:r>
            <w:r w:rsidRPr="00A04A19">
              <w:rPr>
                <w:b/>
                <w:bCs/>
                <w:color w:val="365F91" w:themeColor="accent1" w:themeShade="BF"/>
              </w:rPr>
              <w:t xml:space="preserve"> levels)</w:t>
            </w:r>
          </w:p>
        </w:tc>
        <w:tc>
          <w:tcPr>
            <w:tcW w:w="1072" w:type="pct"/>
            <w:tcBorders>
              <w:top w:val="nil"/>
              <w:left w:val="single" w:sz="4" w:space="0" w:color="C1C1C1"/>
              <w:bottom w:val="single" w:sz="4" w:space="0" w:color="C1C1C1"/>
              <w:right w:val="single" w:sz="8" w:space="0" w:color="C1C1C1"/>
            </w:tcBorders>
            <w:shd w:val="clear" w:color="auto" w:fill="auto"/>
          </w:tcPr>
          <w:p w14:paraId="7A0C51A9" w14:textId="77777777" w:rsidR="008F566C" w:rsidRPr="008B1DBA" w:rsidRDefault="008F566C" w:rsidP="008F566C">
            <w:pPr>
              <w:pStyle w:val="Tabletext"/>
              <w:rPr>
                <w:color w:val="365F91" w:themeColor="accent1" w:themeShade="BF"/>
              </w:rPr>
            </w:pPr>
          </w:p>
        </w:tc>
      </w:tr>
      <w:tr w:rsidR="008F566C" w:rsidRPr="008B1DBA" w14:paraId="5AFE2399" w14:textId="77777777" w:rsidTr="008F566C">
        <w:trPr>
          <w:trHeight w:val="276"/>
        </w:trPr>
        <w:tc>
          <w:tcPr>
            <w:tcW w:w="1785" w:type="pct"/>
            <w:tcBorders>
              <w:top w:val="single" w:sz="4" w:space="0" w:color="C1C1C1"/>
              <w:left w:val="single" w:sz="8" w:space="0" w:color="C1C1C1"/>
              <w:bottom w:val="single" w:sz="4" w:space="0" w:color="C1C1C1"/>
              <w:right w:val="single" w:sz="4" w:space="0" w:color="C1C1C1"/>
            </w:tcBorders>
            <w:shd w:val="clear" w:color="auto" w:fill="auto"/>
            <w:hideMark/>
          </w:tcPr>
          <w:p w14:paraId="00313E0F" w14:textId="77777777" w:rsidR="008F566C" w:rsidRPr="008B1DBA" w:rsidRDefault="008F566C" w:rsidP="008F566C">
            <w:pPr>
              <w:pStyle w:val="Tabletext"/>
              <w:rPr>
                <w:color w:val="365F91" w:themeColor="accent1" w:themeShade="BF"/>
              </w:rPr>
            </w:pPr>
            <w:r w:rsidRPr="008B1DBA">
              <w:rPr>
                <w:color w:val="365F91" w:themeColor="accent1" w:themeShade="BF"/>
              </w:rPr>
              <w:t>2018</w:t>
            </w:r>
          </w:p>
        </w:tc>
        <w:tc>
          <w:tcPr>
            <w:tcW w:w="1071" w:type="pct"/>
            <w:tcBorders>
              <w:top w:val="nil"/>
              <w:left w:val="nil"/>
              <w:bottom w:val="single" w:sz="4" w:space="0" w:color="C1C1C1"/>
              <w:right w:val="single" w:sz="8" w:space="0" w:color="C1C1C1"/>
            </w:tcBorders>
            <w:shd w:val="clear" w:color="auto" w:fill="auto"/>
            <w:hideMark/>
          </w:tcPr>
          <w:p w14:paraId="7C2671A7" w14:textId="77777777" w:rsidR="008F566C" w:rsidRPr="008B1DBA" w:rsidRDefault="008F566C" w:rsidP="008F566C">
            <w:pPr>
              <w:pStyle w:val="Tabletext"/>
              <w:rPr>
                <w:color w:val="365F91" w:themeColor="accent1" w:themeShade="BF"/>
              </w:rPr>
            </w:pPr>
            <w:r>
              <w:rPr>
                <w:color w:val="365F91" w:themeColor="accent1" w:themeShade="BF"/>
              </w:rPr>
              <w:t>1,560</w:t>
            </w:r>
          </w:p>
        </w:tc>
        <w:tc>
          <w:tcPr>
            <w:tcW w:w="1071" w:type="pct"/>
            <w:tcBorders>
              <w:top w:val="nil"/>
              <w:left w:val="single" w:sz="4" w:space="0" w:color="C1C1C1"/>
              <w:bottom w:val="single" w:sz="4" w:space="0" w:color="C1C1C1"/>
              <w:right w:val="single" w:sz="8" w:space="0" w:color="C1C1C1"/>
            </w:tcBorders>
            <w:shd w:val="clear" w:color="auto" w:fill="auto"/>
            <w:hideMark/>
          </w:tcPr>
          <w:p w14:paraId="69E31A50" w14:textId="77777777" w:rsidR="008F566C" w:rsidRPr="008B1DBA" w:rsidRDefault="008F566C" w:rsidP="008F566C">
            <w:pPr>
              <w:pStyle w:val="Tabletext"/>
              <w:rPr>
                <w:color w:val="365F91" w:themeColor="accent1" w:themeShade="BF"/>
              </w:rPr>
            </w:pPr>
            <w:r>
              <w:rPr>
                <w:color w:val="365F91" w:themeColor="accent1" w:themeShade="BF"/>
              </w:rPr>
              <w:t>660</w:t>
            </w:r>
          </w:p>
        </w:tc>
        <w:tc>
          <w:tcPr>
            <w:tcW w:w="1072" w:type="pct"/>
            <w:tcBorders>
              <w:top w:val="nil"/>
              <w:left w:val="single" w:sz="4" w:space="0" w:color="C1C1C1"/>
              <w:bottom w:val="single" w:sz="4" w:space="0" w:color="C1C1C1"/>
              <w:right w:val="single" w:sz="8" w:space="0" w:color="C1C1C1"/>
            </w:tcBorders>
            <w:shd w:val="clear" w:color="auto" w:fill="auto"/>
            <w:hideMark/>
          </w:tcPr>
          <w:p w14:paraId="48756706" w14:textId="77777777" w:rsidR="008F566C" w:rsidRPr="008B1DBA" w:rsidRDefault="008F566C" w:rsidP="008F566C">
            <w:pPr>
              <w:pStyle w:val="Tabletext"/>
              <w:rPr>
                <w:color w:val="365F91" w:themeColor="accent1" w:themeShade="BF"/>
              </w:rPr>
            </w:pPr>
            <w:r w:rsidRPr="008B1DBA">
              <w:rPr>
                <w:color w:val="365F91" w:themeColor="accent1" w:themeShade="BF"/>
              </w:rPr>
              <w:t>2,</w:t>
            </w:r>
            <w:r>
              <w:rPr>
                <w:color w:val="365F91" w:themeColor="accent1" w:themeShade="BF"/>
              </w:rPr>
              <w:t>220</w:t>
            </w:r>
          </w:p>
        </w:tc>
      </w:tr>
      <w:tr w:rsidR="008F566C" w:rsidRPr="008B1DBA" w14:paraId="451E74C4" w14:textId="77777777" w:rsidTr="008F566C">
        <w:trPr>
          <w:trHeight w:val="276"/>
        </w:trPr>
        <w:tc>
          <w:tcPr>
            <w:tcW w:w="1785" w:type="pct"/>
            <w:tcBorders>
              <w:top w:val="single" w:sz="4" w:space="0" w:color="C1C1C1"/>
              <w:left w:val="single" w:sz="8" w:space="0" w:color="C1C1C1"/>
              <w:bottom w:val="single" w:sz="4" w:space="0" w:color="C1C1C1"/>
              <w:right w:val="single" w:sz="4" w:space="0" w:color="C1C1C1"/>
            </w:tcBorders>
            <w:shd w:val="clear" w:color="auto" w:fill="auto"/>
            <w:hideMark/>
          </w:tcPr>
          <w:p w14:paraId="62A89D4A" w14:textId="77777777" w:rsidR="008F566C" w:rsidRPr="008B1DBA" w:rsidRDefault="008F566C" w:rsidP="008F566C">
            <w:pPr>
              <w:pStyle w:val="Tabletext"/>
              <w:rPr>
                <w:color w:val="365F91" w:themeColor="accent1" w:themeShade="BF"/>
              </w:rPr>
            </w:pPr>
            <w:r w:rsidRPr="008B1DBA">
              <w:rPr>
                <w:color w:val="365F91" w:themeColor="accent1" w:themeShade="BF"/>
              </w:rPr>
              <w:t>2019</w:t>
            </w:r>
          </w:p>
        </w:tc>
        <w:tc>
          <w:tcPr>
            <w:tcW w:w="1071" w:type="pct"/>
            <w:tcBorders>
              <w:top w:val="nil"/>
              <w:left w:val="nil"/>
              <w:bottom w:val="single" w:sz="4" w:space="0" w:color="C1C1C1"/>
              <w:right w:val="single" w:sz="8" w:space="0" w:color="C1C1C1"/>
            </w:tcBorders>
            <w:shd w:val="clear" w:color="auto" w:fill="auto"/>
            <w:hideMark/>
          </w:tcPr>
          <w:p w14:paraId="79A7119F" w14:textId="77777777" w:rsidR="008F566C" w:rsidRPr="008B1DBA" w:rsidRDefault="008F566C" w:rsidP="008F566C">
            <w:pPr>
              <w:pStyle w:val="Tabletext"/>
              <w:rPr>
                <w:color w:val="365F91" w:themeColor="accent1" w:themeShade="BF"/>
              </w:rPr>
            </w:pPr>
            <w:r w:rsidRPr="008B1DBA">
              <w:rPr>
                <w:color w:val="365F91" w:themeColor="accent1" w:themeShade="BF"/>
              </w:rPr>
              <w:t>1</w:t>
            </w:r>
            <w:r>
              <w:rPr>
                <w:color w:val="365F91" w:themeColor="accent1" w:themeShade="BF"/>
              </w:rPr>
              <w:t>4,183</w:t>
            </w:r>
          </w:p>
        </w:tc>
        <w:tc>
          <w:tcPr>
            <w:tcW w:w="1071" w:type="pct"/>
            <w:tcBorders>
              <w:top w:val="nil"/>
              <w:left w:val="single" w:sz="4" w:space="0" w:color="C1C1C1"/>
              <w:bottom w:val="single" w:sz="4" w:space="0" w:color="C1C1C1"/>
              <w:right w:val="single" w:sz="8" w:space="0" w:color="C1C1C1"/>
            </w:tcBorders>
            <w:shd w:val="clear" w:color="auto" w:fill="auto"/>
            <w:hideMark/>
          </w:tcPr>
          <w:p w14:paraId="195BF6A0" w14:textId="77777777" w:rsidR="008F566C" w:rsidRPr="008B1DBA" w:rsidRDefault="008F566C" w:rsidP="008F566C">
            <w:pPr>
              <w:pStyle w:val="Tabletext"/>
              <w:rPr>
                <w:color w:val="365F91" w:themeColor="accent1" w:themeShade="BF"/>
              </w:rPr>
            </w:pPr>
            <w:r>
              <w:rPr>
                <w:color w:val="365F91" w:themeColor="accent1" w:themeShade="BF"/>
              </w:rPr>
              <w:t>6,488</w:t>
            </w:r>
          </w:p>
        </w:tc>
        <w:tc>
          <w:tcPr>
            <w:tcW w:w="1072" w:type="pct"/>
            <w:tcBorders>
              <w:top w:val="nil"/>
              <w:left w:val="single" w:sz="4" w:space="0" w:color="C1C1C1"/>
              <w:bottom w:val="single" w:sz="4" w:space="0" w:color="C1C1C1"/>
              <w:right w:val="single" w:sz="8" w:space="0" w:color="C1C1C1"/>
            </w:tcBorders>
            <w:shd w:val="clear" w:color="auto" w:fill="auto"/>
            <w:hideMark/>
          </w:tcPr>
          <w:p w14:paraId="78112752" w14:textId="77777777" w:rsidR="008F566C" w:rsidRPr="008B1DBA" w:rsidRDefault="008F566C" w:rsidP="008F566C">
            <w:pPr>
              <w:pStyle w:val="Tabletext"/>
              <w:rPr>
                <w:color w:val="365F91" w:themeColor="accent1" w:themeShade="BF"/>
              </w:rPr>
            </w:pPr>
            <w:r w:rsidRPr="008B1DBA">
              <w:rPr>
                <w:color w:val="365F91" w:themeColor="accent1" w:themeShade="BF"/>
              </w:rPr>
              <w:t>2</w:t>
            </w:r>
            <w:r>
              <w:rPr>
                <w:color w:val="365F91" w:themeColor="accent1" w:themeShade="BF"/>
              </w:rPr>
              <w:t>0,671</w:t>
            </w:r>
          </w:p>
        </w:tc>
      </w:tr>
    </w:tbl>
    <w:p w14:paraId="3C726655" w14:textId="77777777" w:rsidR="008F566C" w:rsidRPr="002D7B39" w:rsidRDefault="008F566C" w:rsidP="008F566C">
      <w:pPr>
        <w:ind w:left="284"/>
        <w:rPr>
          <w:color w:val="365F91" w:themeColor="accent1" w:themeShade="BF"/>
        </w:rPr>
      </w:pPr>
    </w:p>
    <w:p w14:paraId="0BCCB0A3" w14:textId="77777777" w:rsidR="008F566C" w:rsidRPr="00154B00" w:rsidRDefault="008F566C" w:rsidP="008F566C">
      <w:pPr>
        <w:pStyle w:val="Heading2"/>
      </w:pPr>
      <w:r w:rsidRPr="00154B00">
        <w:t xml:space="preserve">Estimate the </w:t>
      </w:r>
      <w:r w:rsidRPr="00AE1188">
        <w:t>number</w:t>
      </w:r>
      <w:r w:rsidRPr="00154B00">
        <w:t xml:space="preserve"> of times the proposed medical service</w:t>
      </w:r>
      <w:r>
        <w:t>(s)</w:t>
      </w:r>
      <w:r w:rsidRPr="00154B00">
        <w:t xml:space="preserve"> would be </w:t>
      </w:r>
      <w:r>
        <w:t>delivered to a patient per year:</w:t>
      </w:r>
    </w:p>
    <w:p w14:paraId="46A103F4" w14:textId="77777777" w:rsidR="008F566C" w:rsidRPr="00BF1195" w:rsidRDefault="008F566C" w:rsidP="008F566C">
      <w:pPr>
        <w:ind w:left="284"/>
        <w:rPr>
          <w:color w:val="365F91" w:themeColor="accent1" w:themeShade="BF"/>
        </w:rPr>
      </w:pPr>
      <w:r>
        <w:rPr>
          <w:color w:val="365F91" w:themeColor="accent1" w:themeShade="BF"/>
        </w:rPr>
        <w:t xml:space="preserve">Patients are likely to require one medical service per lifetime; however, in instances where patients experience complications additional services for revision or removal of the device may be required. </w:t>
      </w:r>
    </w:p>
    <w:p w14:paraId="2A217DF6" w14:textId="77777777" w:rsidR="008F566C" w:rsidRPr="00154B00" w:rsidRDefault="008F566C" w:rsidP="008F566C">
      <w:pPr>
        <w:pStyle w:val="Heading2"/>
      </w:pPr>
      <w:r w:rsidRPr="00154B00">
        <w:t>How many years would the proposed medical service</w:t>
      </w:r>
      <w:r>
        <w:t>(s)</w:t>
      </w:r>
      <w:r w:rsidRPr="00154B00">
        <w:t xml:space="preserve"> be required for the patient?</w:t>
      </w:r>
    </w:p>
    <w:p w14:paraId="61EA036F" w14:textId="77777777" w:rsidR="008F566C" w:rsidRPr="00BF1195" w:rsidRDefault="008F566C" w:rsidP="008F566C">
      <w:pPr>
        <w:ind w:left="284"/>
        <w:rPr>
          <w:color w:val="365F91" w:themeColor="accent1" w:themeShade="BF"/>
        </w:rPr>
      </w:pPr>
      <w:r>
        <w:rPr>
          <w:color w:val="365F91" w:themeColor="accent1" w:themeShade="BF"/>
        </w:rPr>
        <w:t xml:space="preserve">As above, IDSs are a lifetime procedure in the majority of patients. </w:t>
      </w:r>
    </w:p>
    <w:p w14:paraId="69929496" w14:textId="77777777" w:rsidR="008F566C" w:rsidRPr="00066630" w:rsidRDefault="008F566C" w:rsidP="008F566C">
      <w:pPr>
        <w:pStyle w:val="Heading2"/>
      </w:pPr>
      <w:r w:rsidRPr="00154B00">
        <w:t>Estimate the projected number of patients who will utilise the proposed medical ser</w:t>
      </w:r>
      <w:r>
        <w:t>vice(s) for the first full year:</w:t>
      </w:r>
    </w:p>
    <w:p w14:paraId="375B2179" w14:textId="77777777" w:rsidR="008F566C" w:rsidRDefault="008F566C" w:rsidP="008F566C">
      <w:pPr>
        <w:ind w:left="284"/>
        <w:rPr>
          <w:color w:val="365F91" w:themeColor="accent1" w:themeShade="BF"/>
        </w:rPr>
      </w:pPr>
      <w:r>
        <w:rPr>
          <w:color w:val="365F91" w:themeColor="accent1" w:themeShade="BF"/>
        </w:rPr>
        <w:t xml:space="preserve">The data on utilisation of MBS items 40303 (laminectomy for recurrent disc lesion or spinal stenosis) and 40306 (laminectomy for spinal stenosis involving &gt; 1 level) indicate that from 2010 to 2017 these items were growing at a rate of 7% per year and 3% per year respectively. </w:t>
      </w:r>
    </w:p>
    <w:p w14:paraId="3E1FF6C6" w14:textId="77777777" w:rsidR="008F566C" w:rsidRDefault="008F566C" w:rsidP="008F566C">
      <w:pPr>
        <w:ind w:left="284"/>
        <w:rPr>
          <w:color w:val="365F91" w:themeColor="accent1" w:themeShade="BF"/>
        </w:rPr>
      </w:pPr>
      <w:r>
        <w:rPr>
          <w:color w:val="365F91" w:themeColor="accent1" w:themeShade="BF"/>
        </w:rPr>
        <w:t xml:space="preserve">Utilisation data of MBS items 51011 (one level) and 51012 (two levels) shows that there were a </w:t>
      </w:r>
      <w:r w:rsidRPr="00FB0967">
        <w:rPr>
          <w:color w:val="365F91" w:themeColor="accent1" w:themeShade="BF"/>
        </w:rPr>
        <w:t xml:space="preserve">total of </w:t>
      </w:r>
      <w:r>
        <w:rPr>
          <w:color w:val="365F91" w:themeColor="accent1" w:themeShade="BF"/>
        </w:rPr>
        <w:t>14,183 decompression procedures for one level and 9,982 decompression procedures for two levels</w:t>
      </w:r>
      <w:r w:rsidRPr="00FB0967">
        <w:rPr>
          <w:color w:val="365F91" w:themeColor="accent1" w:themeShade="BF"/>
        </w:rPr>
        <w:t xml:space="preserve"> </w:t>
      </w:r>
      <w:r>
        <w:rPr>
          <w:color w:val="365F91" w:themeColor="accent1" w:themeShade="BF"/>
        </w:rPr>
        <w:t>in 2019. If the growth rates for MBS items 40303 and 40306 are applied to the MBS items 51011 and 51012 the projected utilisation of these items in 2023 are 17,551 and 7,190, respectively.</w:t>
      </w:r>
    </w:p>
    <w:p w14:paraId="6B4ADF45" w14:textId="77777777" w:rsidR="008F566C" w:rsidRDefault="008F566C" w:rsidP="008F566C">
      <w:pPr>
        <w:ind w:left="284"/>
        <w:rPr>
          <w:color w:val="365F91" w:themeColor="accent1" w:themeShade="BF"/>
        </w:rPr>
      </w:pPr>
      <w:r w:rsidRPr="003D0F62">
        <w:rPr>
          <w:color w:val="365F91" w:themeColor="accent1" w:themeShade="BF"/>
        </w:rPr>
        <w:t xml:space="preserve">In </w:t>
      </w:r>
      <w:r>
        <w:rPr>
          <w:color w:val="365F91" w:themeColor="accent1" w:themeShade="BF"/>
        </w:rPr>
        <w:t xml:space="preserve">MSAC Application 1099, it was estimated that approximately 30-35% of single level decompression procedures and 10-20% of multiple level decompressions would be candidates for non-fusion therapy. Applying this to the projected number of patients receiving one and two-level laminectomies gives an estimated total of </w:t>
      </w:r>
      <w:r w:rsidRPr="00521317">
        <w:rPr>
          <w:color w:val="365F91" w:themeColor="accent1" w:themeShade="BF"/>
        </w:rPr>
        <w:t>6</w:t>
      </w:r>
      <w:r>
        <w:rPr>
          <w:color w:val="365F91" w:themeColor="accent1" w:themeShade="BF"/>
        </w:rPr>
        <w:t>,</w:t>
      </w:r>
      <w:r w:rsidRPr="00521317">
        <w:rPr>
          <w:color w:val="365F91" w:themeColor="accent1" w:themeShade="BF"/>
        </w:rPr>
        <w:t>397-8</w:t>
      </w:r>
      <w:r>
        <w:rPr>
          <w:color w:val="365F91" w:themeColor="accent1" w:themeShade="BF"/>
        </w:rPr>
        <w:t>,</w:t>
      </w:r>
      <w:r w:rsidRPr="00521317">
        <w:rPr>
          <w:color w:val="365F91" w:themeColor="accent1" w:themeShade="BF"/>
        </w:rPr>
        <w:t>083</w:t>
      </w:r>
      <w:r>
        <w:rPr>
          <w:color w:val="365F91" w:themeColor="accent1" w:themeShade="BF"/>
        </w:rPr>
        <w:t xml:space="preserve"> candidates. Assuming an uptake of 5% in the first year of listing gives an estimated utilisation of </w:t>
      </w:r>
      <w:r w:rsidRPr="00D913E6">
        <w:rPr>
          <w:color w:val="365F91" w:themeColor="accent1" w:themeShade="BF"/>
        </w:rPr>
        <w:t>320-404</w:t>
      </w:r>
      <w:r>
        <w:rPr>
          <w:color w:val="365F91" w:themeColor="accent1" w:themeShade="BF"/>
        </w:rPr>
        <w:t xml:space="preserve"> patients. </w:t>
      </w:r>
    </w:p>
    <w:p w14:paraId="32645600" w14:textId="77777777" w:rsidR="008F566C" w:rsidRPr="00A04A19" w:rsidRDefault="008F566C" w:rsidP="008F566C">
      <w:pPr>
        <w:pStyle w:val="Tabletext"/>
        <w:ind w:firstLine="284"/>
        <w:rPr>
          <w:b/>
          <w:bCs/>
          <w:color w:val="365F91" w:themeColor="accent1" w:themeShade="BF"/>
        </w:rPr>
      </w:pPr>
      <w:r w:rsidRPr="00A04A19">
        <w:rPr>
          <w:b/>
          <w:bCs/>
          <w:color w:val="365F91" w:themeColor="accent1" w:themeShade="BF"/>
        </w:rPr>
        <w:lastRenderedPageBreak/>
        <w:t xml:space="preserve">Table </w:t>
      </w:r>
      <w:r w:rsidRPr="00A04A19">
        <w:rPr>
          <w:b/>
          <w:bCs/>
          <w:color w:val="365F91" w:themeColor="accent1" w:themeShade="BF"/>
        </w:rPr>
        <w:fldChar w:fldCharType="begin"/>
      </w:r>
      <w:r w:rsidRPr="00A04A19">
        <w:rPr>
          <w:b/>
          <w:bCs/>
          <w:color w:val="365F91" w:themeColor="accent1" w:themeShade="BF"/>
        </w:rPr>
        <w:instrText xml:space="preserve"> SEQ Table \* ARABIC </w:instrText>
      </w:r>
      <w:r w:rsidRPr="00A04A19">
        <w:rPr>
          <w:b/>
          <w:bCs/>
          <w:color w:val="365F91" w:themeColor="accent1" w:themeShade="BF"/>
        </w:rPr>
        <w:fldChar w:fldCharType="separate"/>
      </w:r>
      <w:r>
        <w:rPr>
          <w:b/>
          <w:bCs/>
          <w:noProof/>
          <w:color w:val="365F91" w:themeColor="accent1" w:themeShade="BF"/>
        </w:rPr>
        <w:t>3</w:t>
      </w:r>
      <w:r w:rsidRPr="00A04A19">
        <w:rPr>
          <w:b/>
          <w:bCs/>
          <w:color w:val="365F91" w:themeColor="accent1" w:themeShade="BF"/>
        </w:rPr>
        <w:fldChar w:fldCharType="end"/>
      </w:r>
      <w:r w:rsidRPr="00A04A19">
        <w:rPr>
          <w:b/>
          <w:bCs/>
          <w:color w:val="365F91" w:themeColor="accent1" w:themeShade="BF"/>
        </w:rPr>
        <w:t>: Estimated utilisation of proposed IDS items</w:t>
      </w:r>
    </w:p>
    <w:tbl>
      <w:tblPr>
        <w:tblW w:w="4848" w:type="pct"/>
        <w:tblInd w:w="274" w:type="dxa"/>
        <w:tblLook w:val="04A0" w:firstRow="1" w:lastRow="0" w:firstColumn="1" w:lastColumn="0" w:noHBand="0" w:noVBand="1"/>
      </w:tblPr>
      <w:tblGrid>
        <w:gridCol w:w="3118"/>
        <w:gridCol w:w="1871"/>
        <w:gridCol w:w="1871"/>
        <w:gridCol w:w="1872"/>
      </w:tblGrid>
      <w:tr w:rsidR="008F566C" w:rsidRPr="008B1DBA" w14:paraId="6332DFC2" w14:textId="77777777" w:rsidTr="008F566C">
        <w:trPr>
          <w:trHeight w:val="276"/>
        </w:trPr>
        <w:tc>
          <w:tcPr>
            <w:tcW w:w="1785" w:type="pct"/>
            <w:tcBorders>
              <w:top w:val="single" w:sz="4" w:space="0" w:color="C1C1C1"/>
              <w:left w:val="single" w:sz="8" w:space="0" w:color="C1C1C1"/>
              <w:bottom w:val="single" w:sz="4" w:space="0" w:color="C1C1C1"/>
              <w:right w:val="single" w:sz="4" w:space="0" w:color="C1C1C1"/>
            </w:tcBorders>
            <w:shd w:val="clear" w:color="auto" w:fill="auto"/>
          </w:tcPr>
          <w:p w14:paraId="4E440242" w14:textId="77777777" w:rsidR="008F566C" w:rsidRPr="00D041EF" w:rsidRDefault="008F566C" w:rsidP="008F566C">
            <w:pPr>
              <w:pStyle w:val="Tabletext"/>
              <w:rPr>
                <w:b/>
                <w:bCs/>
                <w:color w:val="365F91" w:themeColor="accent1" w:themeShade="BF"/>
              </w:rPr>
            </w:pPr>
            <w:r w:rsidRPr="00D041EF">
              <w:rPr>
                <w:b/>
                <w:bCs/>
                <w:color w:val="365F91" w:themeColor="accent1" w:themeShade="BF"/>
              </w:rPr>
              <w:t>Year</w:t>
            </w:r>
          </w:p>
        </w:tc>
        <w:tc>
          <w:tcPr>
            <w:tcW w:w="1071" w:type="pct"/>
            <w:tcBorders>
              <w:top w:val="single" w:sz="4" w:space="0" w:color="C1C1C1"/>
              <w:left w:val="nil"/>
              <w:bottom w:val="single" w:sz="4" w:space="0" w:color="C1C1C1"/>
              <w:right w:val="single" w:sz="8" w:space="0" w:color="C1C1C1"/>
            </w:tcBorders>
            <w:shd w:val="clear" w:color="auto" w:fill="auto"/>
          </w:tcPr>
          <w:p w14:paraId="22178A06" w14:textId="77777777" w:rsidR="008F566C" w:rsidRPr="00D041EF" w:rsidRDefault="008F566C" w:rsidP="008F566C">
            <w:pPr>
              <w:pStyle w:val="Tabletext"/>
              <w:rPr>
                <w:b/>
                <w:bCs/>
                <w:color w:val="365F91" w:themeColor="accent1" w:themeShade="BF"/>
              </w:rPr>
            </w:pPr>
            <w:r w:rsidRPr="00D041EF">
              <w:rPr>
                <w:b/>
                <w:bCs/>
                <w:color w:val="365F91" w:themeColor="accent1" w:themeShade="BF"/>
              </w:rPr>
              <w:t>MBS item 51011 (one level)</w:t>
            </w:r>
          </w:p>
          <w:p w14:paraId="7C16DF2B" w14:textId="77777777" w:rsidR="008F566C" w:rsidRPr="00D041EF" w:rsidRDefault="008F566C" w:rsidP="008F566C">
            <w:pPr>
              <w:pStyle w:val="Tabletext"/>
              <w:rPr>
                <w:b/>
                <w:bCs/>
                <w:color w:val="365F91" w:themeColor="accent1" w:themeShade="BF"/>
              </w:rPr>
            </w:pPr>
            <w:r w:rsidRPr="00D041EF">
              <w:rPr>
                <w:b/>
                <w:bCs/>
                <w:color w:val="365F91" w:themeColor="accent1" w:themeShade="BF"/>
              </w:rPr>
              <w:t>7% growth rate</w:t>
            </w:r>
          </w:p>
        </w:tc>
        <w:tc>
          <w:tcPr>
            <w:tcW w:w="1071" w:type="pct"/>
            <w:tcBorders>
              <w:top w:val="single" w:sz="4" w:space="0" w:color="C1C1C1"/>
              <w:left w:val="single" w:sz="4" w:space="0" w:color="C1C1C1"/>
              <w:bottom w:val="single" w:sz="4" w:space="0" w:color="C1C1C1"/>
              <w:right w:val="single" w:sz="8" w:space="0" w:color="C1C1C1"/>
            </w:tcBorders>
            <w:shd w:val="clear" w:color="auto" w:fill="auto"/>
          </w:tcPr>
          <w:p w14:paraId="147C7068" w14:textId="77777777" w:rsidR="008F566C" w:rsidRPr="00D041EF" w:rsidRDefault="008F566C" w:rsidP="008F566C">
            <w:pPr>
              <w:pStyle w:val="Tabletext"/>
              <w:rPr>
                <w:b/>
                <w:bCs/>
                <w:color w:val="365F91" w:themeColor="accent1" w:themeShade="BF"/>
              </w:rPr>
            </w:pPr>
            <w:r w:rsidRPr="00D041EF">
              <w:rPr>
                <w:b/>
                <w:bCs/>
                <w:color w:val="365F91" w:themeColor="accent1" w:themeShade="BF"/>
              </w:rPr>
              <w:t>MBS item 51012 (two levels)</w:t>
            </w:r>
          </w:p>
          <w:p w14:paraId="04F0FBF5" w14:textId="77777777" w:rsidR="008F566C" w:rsidRPr="00D041EF" w:rsidRDefault="008F566C" w:rsidP="008F566C">
            <w:pPr>
              <w:pStyle w:val="Tabletext"/>
              <w:rPr>
                <w:b/>
                <w:bCs/>
                <w:color w:val="365F91" w:themeColor="accent1" w:themeShade="BF"/>
              </w:rPr>
            </w:pPr>
            <w:r w:rsidRPr="00D041EF">
              <w:rPr>
                <w:b/>
                <w:bCs/>
                <w:color w:val="365F91" w:themeColor="accent1" w:themeShade="BF"/>
              </w:rPr>
              <w:t>3% growth rate</w:t>
            </w:r>
          </w:p>
        </w:tc>
        <w:tc>
          <w:tcPr>
            <w:tcW w:w="1072" w:type="pct"/>
            <w:tcBorders>
              <w:top w:val="single" w:sz="4" w:space="0" w:color="C1C1C1"/>
              <w:left w:val="single" w:sz="4" w:space="0" w:color="C1C1C1"/>
              <w:bottom w:val="single" w:sz="4" w:space="0" w:color="C1C1C1"/>
              <w:right w:val="single" w:sz="8" w:space="0" w:color="C1C1C1"/>
            </w:tcBorders>
            <w:shd w:val="clear" w:color="auto" w:fill="auto"/>
          </w:tcPr>
          <w:p w14:paraId="2BFEA5FF" w14:textId="77777777" w:rsidR="008F566C" w:rsidRPr="00D041EF" w:rsidRDefault="008F566C" w:rsidP="008F566C">
            <w:pPr>
              <w:pStyle w:val="Tabletext"/>
              <w:rPr>
                <w:b/>
                <w:bCs/>
                <w:color w:val="365F91" w:themeColor="accent1" w:themeShade="BF"/>
              </w:rPr>
            </w:pPr>
            <w:r w:rsidRPr="00D041EF">
              <w:rPr>
                <w:b/>
                <w:bCs/>
                <w:color w:val="365F91" w:themeColor="accent1" w:themeShade="BF"/>
              </w:rPr>
              <w:t>Total</w:t>
            </w:r>
          </w:p>
        </w:tc>
      </w:tr>
      <w:tr w:rsidR="008F566C" w:rsidRPr="008B1DBA" w14:paraId="5FD44F0D" w14:textId="77777777" w:rsidTr="008F566C">
        <w:trPr>
          <w:trHeight w:val="276"/>
        </w:trPr>
        <w:tc>
          <w:tcPr>
            <w:tcW w:w="1785" w:type="pct"/>
            <w:tcBorders>
              <w:top w:val="single" w:sz="4" w:space="0" w:color="C1C1C1"/>
              <w:left w:val="single" w:sz="4" w:space="0" w:color="C1C1C1"/>
              <w:bottom w:val="single" w:sz="4" w:space="0" w:color="C1C1C1"/>
              <w:right w:val="single" w:sz="4" w:space="0" w:color="C1C1C1"/>
            </w:tcBorders>
            <w:shd w:val="clear" w:color="auto" w:fill="auto"/>
            <w:hideMark/>
          </w:tcPr>
          <w:p w14:paraId="31BEF131" w14:textId="77777777" w:rsidR="008F566C" w:rsidRPr="008B1DBA" w:rsidRDefault="008F566C" w:rsidP="008F566C">
            <w:pPr>
              <w:pStyle w:val="Tabletext"/>
              <w:rPr>
                <w:color w:val="365F91" w:themeColor="accent1" w:themeShade="BF"/>
              </w:rPr>
            </w:pPr>
            <w:r w:rsidRPr="008B1DBA">
              <w:rPr>
                <w:color w:val="365F91" w:themeColor="accent1" w:themeShade="BF"/>
              </w:rPr>
              <w:t>2019</w:t>
            </w:r>
          </w:p>
        </w:tc>
        <w:tc>
          <w:tcPr>
            <w:tcW w:w="1071" w:type="pct"/>
            <w:tcBorders>
              <w:top w:val="single" w:sz="4" w:space="0" w:color="C1C1C1"/>
              <w:left w:val="single" w:sz="4" w:space="0" w:color="C1C1C1"/>
              <w:bottom w:val="single" w:sz="4" w:space="0" w:color="C1C1C1"/>
              <w:right w:val="single" w:sz="4" w:space="0" w:color="C1C1C1"/>
            </w:tcBorders>
            <w:shd w:val="clear" w:color="auto" w:fill="auto"/>
            <w:hideMark/>
          </w:tcPr>
          <w:p w14:paraId="0537A4DE" w14:textId="77777777" w:rsidR="008F566C" w:rsidRPr="008B1DBA" w:rsidRDefault="008F566C" w:rsidP="008F566C">
            <w:pPr>
              <w:pStyle w:val="Tabletext"/>
              <w:rPr>
                <w:color w:val="365F91" w:themeColor="accent1" w:themeShade="BF"/>
              </w:rPr>
            </w:pPr>
            <w:r w:rsidRPr="008B1DBA">
              <w:rPr>
                <w:color w:val="365F91" w:themeColor="accent1" w:themeShade="BF"/>
              </w:rPr>
              <w:t>1</w:t>
            </w:r>
            <w:r>
              <w:rPr>
                <w:color w:val="365F91" w:themeColor="accent1" w:themeShade="BF"/>
              </w:rPr>
              <w:t>4,183</w:t>
            </w:r>
          </w:p>
        </w:tc>
        <w:tc>
          <w:tcPr>
            <w:tcW w:w="1071" w:type="pct"/>
            <w:tcBorders>
              <w:top w:val="single" w:sz="4" w:space="0" w:color="C1C1C1"/>
              <w:left w:val="single" w:sz="4" w:space="0" w:color="C1C1C1"/>
              <w:bottom w:val="single" w:sz="4" w:space="0" w:color="C1C1C1"/>
              <w:right w:val="single" w:sz="4" w:space="0" w:color="C1C1C1"/>
            </w:tcBorders>
            <w:shd w:val="clear" w:color="auto" w:fill="auto"/>
            <w:hideMark/>
          </w:tcPr>
          <w:p w14:paraId="42BC97BD" w14:textId="77777777" w:rsidR="008F566C" w:rsidRPr="008B1DBA" w:rsidRDefault="008F566C" w:rsidP="008F566C">
            <w:pPr>
              <w:pStyle w:val="Tabletext"/>
              <w:rPr>
                <w:color w:val="365F91" w:themeColor="accent1" w:themeShade="BF"/>
              </w:rPr>
            </w:pPr>
            <w:r>
              <w:rPr>
                <w:color w:val="365F91" w:themeColor="accent1" w:themeShade="BF"/>
              </w:rPr>
              <w:t>6,488</w:t>
            </w:r>
          </w:p>
        </w:tc>
        <w:tc>
          <w:tcPr>
            <w:tcW w:w="1072" w:type="pct"/>
            <w:tcBorders>
              <w:top w:val="single" w:sz="4" w:space="0" w:color="C1C1C1"/>
              <w:left w:val="single" w:sz="4" w:space="0" w:color="C1C1C1"/>
              <w:bottom w:val="single" w:sz="4" w:space="0" w:color="C1C1C1"/>
              <w:right w:val="single" w:sz="4" w:space="0" w:color="C1C1C1"/>
            </w:tcBorders>
            <w:shd w:val="clear" w:color="auto" w:fill="auto"/>
            <w:hideMark/>
          </w:tcPr>
          <w:p w14:paraId="58160540" w14:textId="77777777" w:rsidR="008F566C" w:rsidRPr="008B1DBA" w:rsidRDefault="008F566C" w:rsidP="008F566C">
            <w:pPr>
              <w:pStyle w:val="Tabletext"/>
              <w:rPr>
                <w:color w:val="365F91" w:themeColor="accent1" w:themeShade="BF"/>
              </w:rPr>
            </w:pPr>
            <w:r w:rsidRPr="008B1DBA">
              <w:rPr>
                <w:color w:val="365F91" w:themeColor="accent1" w:themeShade="BF"/>
              </w:rPr>
              <w:t>2</w:t>
            </w:r>
            <w:r>
              <w:rPr>
                <w:color w:val="365F91" w:themeColor="accent1" w:themeShade="BF"/>
              </w:rPr>
              <w:t>0,671</w:t>
            </w:r>
          </w:p>
        </w:tc>
      </w:tr>
      <w:tr w:rsidR="008F566C" w:rsidRPr="008B1DBA" w14:paraId="01B012E6" w14:textId="77777777" w:rsidTr="008F566C">
        <w:trPr>
          <w:trHeight w:val="276"/>
        </w:trPr>
        <w:tc>
          <w:tcPr>
            <w:tcW w:w="1785" w:type="pct"/>
            <w:tcBorders>
              <w:top w:val="single" w:sz="4" w:space="0" w:color="C1C1C1"/>
              <w:left w:val="single" w:sz="4" w:space="0" w:color="C1C1C1"/>
              <w:bottom w:val="single" w:sz="4" w:space="0" w:color="C1C1C1"/>
              <w:right w:val="single" w:sz="4" w:space="0" w:color="C1C1C1"/>
            </w:tcBorders>
            <w:shd w:val="clear" w:color="auto" w:fill="auto"/>
          </w:tcPr>
          <w:p w14:paraId="6EE987A7" w14:textId="77777777" w:rsidR="008F566C" w:rsidRPr="007F443B" w:rsidRDefault="008F566C" w:rsidP="008F566C">
            <w:pPr>
              <w:pStyle w:val="Tabletext"/>
              <w:rPr>
                <w:i/>
                <w:iCs/>
                <w:color w:val="365F91" w:themeColor="accent1" w:themeShade="BF"/>
              </w:rPr>
            </w:pPr>
            <w:r w:rsidRPr="007F443B">
              <w:rPr>
                <w:i/>
                <w:iCs/>
                <w:color w:val="365F91" w:themeColor="accent1" w:themeShade="BF"/>
              </w:rPr>
              <w:t>2020 (projected)</w:t>
            </w:r>
          </w:p>
        </w:tc>
        <w:tc>
          <w:tcPr>
            <w:tcW w:w="1071" w:type="pct"/>
            <w:tcBorders>
              <w:top w:val="single" w:sz="4" w:space="0" w:color="C1C1C1"/>
              <w:left w:val="single" w:sz="4" w:space="0" w:color="C1C1C1"/>
              <w:bottom w:val="single" w:sz="4" w:space="0" w:color="C1C1C1"/>
              <w:right w:val="single" w:sz="4" w:space="0" w:color="C1C1C1"/>
            </w:tcBorders>
            <w:shd w:val="clear" w:color="auto" w:fill="auto"/>
          </w:tcPr>
          <w:p w14:paraId="1005FB05" w14:textId="77777777" w:rsidR="008F566C" w:rsidRPr="007F443B" w:rsidRDefault="008F566C" w:rsidP="008F566C">
            <w:pPr>
              <w:pStyle w:val="Tabletext"/>
              <w:rPr>
                <w:i/>
                <w:iCs/>
                <w:color w:val="365F91" w:themeColor="accent1" w:themeShade="BF"/>
              </w:rPr>
            </w:pPr>
            <w:r w:rsidRPr="00521317">
              <w:rPr>
                <w:i/>
                <w:iCs/>
                <w:color w:val="365F91" w:themeColor="accent1" w:themeShade="BF"/>
              </w:rPr>
              <w:t>14183</w:t>
            </w:r>
          </w:p>
        </w:tc>
        <w:tc>
          <w:tcPr>
            <w:tcW w:w="1071" w:type="pct"/>
            <w:tcBorders>
              <w:top w:val="single" w:sz="4" w:space="0" w:color="C1C1C1"/>
              <w:left w:val="single" w:sz="4" w:space="0" w:color="C1C1C1"/>
              <w:bottom w:val="single" w:sz="4" w:space="0" w:color="C1C1C1"/>
              <w:right w:val="single" w:sz="4" w:space="0" w:color="C1C1C1"/>
            </w:tcBorders>
            <w:shd w:val="clear" w:color="auto" w:fill="auto"/>
          </w:tcPr>
          <w:p w14:paraId="507BB147" w14:textId="77777777" w:rsidR="008F566C" w:rsidRPr="007F443B" w:rsidRDefault="008F566C" w:rsidP="008F566C">
            <w:pPr>
              <w:pStyle w:val="Tabletext"/>
              <w:rPr>
                <w:i/>
                <w:iCs/>
                <w:color w:val="365F91" w:themeColor="accent1" w:themeShade="BF"/>
              </w:rPr>
            </w:pPr>
            <w:r w:rsidRPr="00521317">
              <w:rPr>
                <w:i/>
                <w:iCs/>
                <w:color w:val="365F91" w:themeColor="accent1" w:themeShade="BF"/>
              </w:rPr>
              <w:t>6488</w:t>
            </w:r>
          </w:p>
        </w:tc>
        <w:tc>
          <w:tcPr>
            <w:tcW w:w="1072" w:type="pct"/>
            <w:tcBorders>
              <w:top w:val="single" w:sz="4" w:space="0" w:color="C1C1C1"/>
              <w:left w:val="single" w:sz="4" w:space="0" w:color="C1C1C1"/>
              <w:bottom w:val="single" w:sz="4" w:space="0" w:color="C1C1C1"/>
              <w:right w:val="single" w:sz="4" w:space="0" w:color="C1C1C1"/>
            </w:tcBorders>
            <w:shd w:val="clear" w:color="auto" w:fill="auto"/>
          </w:tcPr>
          <w:p w14:paraId="344CCF0E" w14:textId="77777777" w:rsidR="008F566C" w:rsidRPr="007F443B" w:rsidRDefault="008F566C" w:rsidP="008F566C">
            <w:pPr>
              <w:pStyle w:val="Tabletext"/>
              <w:rPr>
                <w:i/>
                <w:iCs/>
                <w:color w:val="365F91" w:themeColor="accent1" w:themeShade="BF"/>
              </w:rPr>
            </w:pPr>
            <w:r w:rsidRPr="00521317">
              <w:rPr>
                <w:i/>
                <w:iCs/>
                <w:color w:val="365F91" w:themeColor="accent1" w:themeShade="BF"/>
              </w:rPr>
              <w:t>20671</w:t>
            </w:r>
          </w:p>
        </w:tc>
      </w:tr>
      <w:tr w:rsidR="008F566C" w:rsidRPr="008B1DBA" w14:paraId="2659B79D" w14:textId="77777777" w:rsidTr="008F566C">
        <w:trPr>
          <w:trHeight w:val="276"/>
        </w:trPr>
        <w:tc>
          <w:tcPr>
            <w:tcW w:w="1785" w:type="pct"/>
            <w:tcBorders>
              <w:top w:val="single" w:sz="4" w:space="0" w:color="C1C1C1"/>
              <w:left w:val="single" w:sz="4" w:space="0" w:color="C1C1C1"/>
              <w:bottom w:val="single" w:sz="4" w:space="0" w:color="C1C1C1"/>
              <w:right w:val="single" w:sz="4" w:space="0" w:color="C1C1C1"/>
            </w:tcBorders>
            <w:shd w:val="clear" w:color="auto" w:fill="auto"/>
          </w:tcPr>
          <w:p w14:paraId="5AD1A79E" w14:textId="77777777" w:rsidR="008F566C" w:rsidRPr="007F443B" w:rsidRDefault="008F566C" w:rsidP="008F566C">
            <w:pPr>
              <w:pStyle w:val="Tabletext"/>
              <w:rPr>
                <w:i/>
                <w:iCs/>
                <w:color w:val="365F91" w:themeColor="accent1" w:themeShade="BF"/>
              </w:rPr>
            </w:pPr>
            <w:r w:rsidRPr="007F443B">
              <w:rPr>
                <w:i/>
                <w:iCs/>
                <w:color w:val="365F91" w:themeColor="accent1" w:themeShade="BF"/>
              </w:rPr>
              <w:t>2021 (projected)</w:t>
            </w:r>
          </w:p>
        </w:tc>
        <w:tc>
          <w:tcPr>
            <w:tcW w:w="1071" w:type="pct"/>
            <w:tcBorders>
              <w:top w:val="single" w:sz="4" w:space="0" w:color="C1C1C1"/>
              <w:left w:val="single" w:sz="4" w:space="0" w:color="C1C1C1"/>
              <w:bottom w:val="single" w:sz="4" w:space="0" w:color="C1C1C1"/>
              <w:right w:val="single" w:sz="4" w:space="0" w:color="C1C1C1"/>
            </w:tcBorders>
            <w:shd w:val="clear" w:color="auto" w:fill="auto"/>
          </w:tcPr>
          <w:p w14:paraId="38183CBB" w14:textId="77777777" w:rsidR="008F566C" w:rsidRPr="007F443B" w:rsidRDefault="008F566C" w:rsidP="008F566C">
            <w:pPr>
              <w:pStyle w:val="Tabletext"/>
              <w:rPr>
                <w:i/>
                <w:iCs/>
                <w:color w:val="365F91" w:themeColor="accent1" w:themeShade="BF"/>
              </w:rPr>
            </w:pPr>
            <w:r w:rsidRPr="00521317">
              <w:rPr>
                <w:i/>
                <w:iCs/>
                <w:color w:val="365F91" w:themeColor="accent1" w:themeShade="BF"/>
              </w:rPr>
              <w:t>15227</w:t>
            </w:r>
          </w:p>
        </w:tc>
        <w:tc>
          <w:tcPr>
            <w:tcW w:w="1071" w:type="pct"/>
            <w:tcBorders>
              <w:top w:val="single" w:sz="4" w:space="0" w:color="C1C1C1"/>
              <w:left w:val="single" w:sz="4" w:space="0" w:color="C1C1C1"/>
              <w:bottom w:val="single" w:sz="4" w:space="0" w:color="C1C1C1"/>
              <w:right w:val="single" w:sz="4" w:space="0" w:color="C1C1C1"/>
            </w:tcBorders>
            <w:shd w:val="clear" w:color="auto" w:fill="auto"/>
          </w:tcPr>
          <w:p w14:paraId="14DEA4BB" w14:textId="77777777" w:rsidR="008F566C" w:rsidRPr="007F443B" w:rsidRDefault="008F566C" w:rsidP="008F566C">
            <w:pPr>
              <w:pStyle w:val="Tabletext"/>
              <w:rPr>
                <w:i/>
                <w:iCs/>
                <w:color w:val="365F91" w:themeColor="accent1" w:themeShade="BF"/>
              </w:rPr>
            </w:pPr>
            <w:r w:rsidRPr="00521317">
              <w:rPr>
                <w:i/>
                <w:iCs/>
                <w:color w:val="365F91" w:themeColor="accent1" w:themeShade="BF"/>
              </w:rPr>
              <w:t>6714</w:t>
            </w:r>
          </w:p>
        </w:tc>
        <w:tc>
          <w:tcPr>
            <w:tcW w:w="1072" w:type="pct"/>
            <w:tcBorders>
              <w:top w:val="single" w:sz="4" w:space="0" w:color="C1C1C1"/>
              <w:left w:val="single" w:sz="4" w:space="0" w:color="C1C1C1"/>
              <w:bottom w:val="single" w:sz="4" w:space="0" w:color="C1C1C1"/>
              <w:right w:val="single" w:sz="4" w:space="0" w:color="C1C1C1"/>
            </w:tcBorders>
            <w:shd w:val="clear" w:color="auto" w:fill="auto"/>
          </w:tcPr>
          <w:p w14:paraId="3C6268C2" w14:textId="77777777" w:rsidR="008F566C" w:rsidRPr="007F443B" w:rsidRDefault="008F566C" w:rsidP="008F566C">
            <w:pPr>
              <w:pStyle w:val="Tabletext"/>
              <w:rPr>
                <w:i/>
                <w:iCs/>
                <w:color w:val="365F91" w:themeColor="accent1" w:themeShade="BF"/>
              </w:rPr>
            </w:pPr>
            <w:r w:rsidRPr="00521317">
              <w:rPr>
                <w:i/>
                <w:iCs/>
                <w:color w:val="365F91" w:themeColor="accent1" w:themeShade="BF"/>
              </w:rPr>
              <w:t>21710</w:t>
            </w:r>
          </w:p>
        </w:tc>
      </w:tr>
      <w:tr w:rsidR="008F566C" w:rsidRPr="008B1DBA" w14:paraId="5074DFE0" w14:textId="77777777" w:rsidTr="008F566C">
        <w:trPr>
          <w:trHeight w:val="276"/>
        </w:trPr>
        <w:tc>
          <w:tcPr>
            <w:tcW w:w="1785" w:type="pct"/>
            <w:tcBorders>
              <w:top w:val="single" w:sz="4" w:space="0" w:color="C1C1C1"/>
              <w:left w:val="single" w:sz="4" w:space="0" w:color="C1C1C1"/>
              <w:bottom w:val="single" w:sz="4" w:space="0" w:color="C1C1C1"/>
              <w:right w:val="single" w:sz="4" w:space="0" w:color="C1C1C1"/>
            </w:tcBorders>
            <w:shd w:val="clear" w:color="auto" w:fill="auto"/>
          </w:tcPr>
          <w:p w14:paraId="5AE5D368" w14:textId="77777777" w:rsidR="008F566C" w:rsidRPr="007F443B" w:rsidRDefault="008F566C" w:rsidP="008F566C">
            <w:pPr>
              <w:pStyle w:val="Tabletext"/>
              <w:rPr>
                <w:i/>
                <w:iCs/>
                <w:color w:val="365F91" w:themeColor="accent1" w:themeShade="BF"/>
              </w:rPr>
            </w:pPr>
            <w:r w:rsidRPr="007F443B">
              <w:rPr>
                <w:i/>
                <w:iCs/>
                <w:color w:val="365F91" w:themeColor="accent1" w:themeShade="BF"/>
              </w:rPr>
              <w:t>2022 (projected)</w:t>
            </w:r>
          </w:p>
        </w:tc>
        <w:tc>
          <w:tcPr>
            <w:tcW w:w="1071" w:type="pct"/>
            <w:tcBorders>
              <w:top w:val="single" w:sz="4" w:space="0" w:color="C1C1C1"/>
              <w:left w:val="single" w:sz="4" w:space="0" w:color="C1C1C1"/>
              <w:bottom w:val="single" w:sz="4" w:space="0" w:color="C1C1C1"/>
              <w:right w:val="single" w:sz="4" w:space="0" w:color="C1C1C1"/>
            </w:tcBorders>
            <w:shd w:val="clear" w:color="auto" w:fill="auto"/>
          </w:tcPr>
          <w:p w14:paraId="3DEC20A9" w14:textId="77777777" w:rsidR="008F566C" w:rsidRPr="007F443B" w:rsidRDefault="008F566C" w:rsidP="008F566C">
            <w:pPr>
              <w:pStyle w:val="Tabletext"/>
              <w:rPr>
                <w:i/>
                <w:iCs/>
                <w:color w:val="365F91" w:themeColor="accent1" w:themeShade="BF"/>
              </w:rPr>
            </w:pPr>
            <w:r w:rsidRPr="00521317">
              <w:rPr>
                <w:i/>
                <w:iCs/>
                <w:color w:val="365F91" w:themeColor="accent1" w:themeShade="BF"/>
              </w:rPr>
              <w:t>16347</w:t>
            </w:r>
          </w:p>
        </w:tc>
        <w:tc>
          <w:tcPr>
            <w:tcW w:w="1071" w:type="pct"/>
            <w:tcBorders>
              <w:top w:val="single" w:sz="4" w:space="0" w:color="C1C1C1"/>
              <w:left w:val="single" w:sz="4" w:space="0" w:color="C1C1C1"/>
              <w:bottom w:val="single" w:sz="4" w:space="0" w:color="C1C1C1"/>
              <w:right w:val="single" w:sz="4" w:space="0" w:color="C1C1C1"/>
            </w:tcBorders>
            <w:shd w:val="clear" w:color="auto" w:fill="auto"/>
          </w:tcPr>
          <w:p w14:paraId="26ADD21B" w14:textId="77777777" w:rsidR="008F566C" w:rsidRPr="007F443B" w:rsidRDefault="008F566C" w:rsidP="008F566C">
            <w:pPr>
              <w:pStyle w:val="Tabletext"/>
              <w:rPr>
                <w:i/>
                <w:iCs/>
                <w:color w:val="365F91" w:themeColor="accent1" w:themeShade="BF"/>
              </w:rPr>
            </w:pPr>
            <w:r w:rsidRPr="00521317">
              <w:rPr>
                <w:i/>
                <w:iCs/>
                <w:color w:val="365F91" w:themeColor="accent1" w:themeShade="BF"/>
              </w:rPr>
              <w:t>6948</w:t>
            </w:r>
          </w:p>
        </w:tc>
        <w:tc>
          <w:tcPr>
            <w:tcW w:w="1072" w:type="pct"/>
            <w:tcBorders>
              <w:top w:val="single" w:sz="4" w:space="0" w:color="C1C1C1"/>
              <w:left w:val="single" w:sz="4" w:space="0" w:color="C1C1C1"/>
              <w:bottom w:val="single" w:sz="4" w:space="0" w:color="C1C1C1"/>
              <w:right w:val="single" w:sz="4" w:space="0" w:color="C1C1C1"/>
            </w:tcBorders>
            <w:shd w:val="clear" w:color="auto" w:fill="auto"/>
          </w:tcPr>
          <w:p w14:paraId="7562200F" w14:textId="77777777" w:rsidR="008F566C" w:rsidRPr="007F443B" w:rsidRDefault="008F566C" w:rsidP="008F566C">
            <w:pPr>
              <w:pStyle w:val="Tabletext"/>
              <w:rPr>
                <w:i/>
                <w:iCs/>
                <w:color w:val="365F91" w:themeColor="accent1" w:themeShade="BF"/>
              </w:rPr>
            </w:pPr>
            <w:r w:rsidRPr="00521317">
              <w:rPr>
                <w:i/>
                <w:iCs/>
                <w:color w:val="365F91" w:themeColor="accent1" w:themeShade="BF"/>
              </w:rPr>
              <w:t>22801</w:t>
            </w:r>
          </w:p>
        </w:tc>
      </w:tr>
      <w:tr w:rsidR="008F566C" w:rsidRPr="008B1DBA" w14:paraId="7EC41E10" w14:textId="77777777" w:rsidTr="008F566C">
        <w:trPr>
          <w:trHeight w:val="276"/>
        </w:trPr>
        <w:tc>
          <w:tcPr>
            <w:tcW w:w="1785" w:type="pct"/>
            <w:tcBorders>
              <w:top w:val="single" w:sz="4" w:space="0" w:color="C1C1C1"/>
              <w:left w:val="single" w:sz="4" w:space="0" w:color="C1C1C1"/>
              <w:bottom w:val="single" w:sz="4" w:space="0" w:color="C1C1C1"/>
              <w:right w:val="single" w:sz="4" w:space="0" w:color="C1C1C1"/>
            </w:tcBorders>
            <w:shd w:val="clear" w:color="auto" w:fill="auto"/>
          </w:tcPr>
          <w:p w14:paraId="2EBD7B1A" w14:textId="77777777" w:rsidR="008F566C" w:rsidRPr="007F443B" w:rsidRDefault="008F566C" w:rsidP="008F566C">
            <w:pPr>
              <w:pStyle w:val="Tabletext"/>
              <w:rPr>
                <w:i/>
                <w:iCs/>
                <w:color w:val="365F91" w:themeColor="accent1" w:themeShade="BF"/>
              </w:rPr>
            </w:pPr>
            <w:r w:rsidRPr="007F443B">
              <w:rPr>
                <w:i/>
                <w:iCs/>
                <w:color w:val="365F91" w:themeColor="accent1" w:themeShade="BF"/>
              </w:rPr>
              <w:t>2023 (projected)</w:t>
            </w:r>
          </w:p>
        </w:tc>
        <w:tc>
          <w:tcPr>
            <w:tcW w:w="1071" w:type="pct"/>
            <w:tcBorders>
              <w:top w:val="single" w:sz="4" w:space="0" w:color="C1C1C1"/>
              <w:left w:val="single" w:sz="4" w:space="0" w:color="C1C1C1"/>
              <w:bottom w:val="single" w:sz="4" w:space="0" w:color="C1C1C1"/>
              <w:right w:val="single" w:sz="4" w:space="0" w:color="C1C1C1"/>
            </w:tcBorders>
            <w:shd w:val="clear" w:color="auto" w:fill="auto"/>
          </w:tcPr>
          <w:p w14:paraId="36286F69" w14:textId="77777777" w:rsidR="008F566C" w:rsidRPr="007F443B" w:rsidRDefault="008F566C" w:rsidP="008F566C">
            <w:pPr>
              <w:pStyle w:val="Tabletext"/>
              <w:rPr>
                <w:i/>
                <w:iCs/>
                <w:color w:val="365F91" w:themeColor="accent1" w:themeShade="BF"/>
              </w:rPr>
            </w:pPr>
            <w:r w:rsidRPr="00521317">
              <w:rPr>
                <w:i/>
                <w:iCs/>
                <w:color w:val="365F91" w:themeColor="accent1" w:themeShade="BF"/>
              </w:rPr>
              <w:t>17551</w:t>
            </w:r>
          </w:p>
        </w:tc>
        <w:tc>
          <w:tcPr>
            <w:tcW w:w="1071" w:type="pct"/>
            <w:tcBorders>
              <w:top w:val="single" w:sz="4" w:space="0" w:color="C1C1C1"/>
              <w:left w:val="single" w:sz="4" w:space="0" w:color="C1C1C1"/>
              <w:bottom w:val="single" w:sz="4" w:space="0" w:color="C1C1C1"/>
              <w:right w:val="single" w:sz="4" w:space="0" w:color="C1C1C1"/>
            </w:tcBorders>
            <w:shd w:val="clear" w:color="auto" w:fill="auto"/>
          </w:tcPr>
          <w:p w14:paraId="4846D640" w14:textId="77777777" w:rsidR="008F566C" w:rsidRPr="007F443B" w:rsidRDefault="008F566C" w:rsidP="008F566C">
            <w:pPr>
              <w:pStyle w:val="Tabletext"/>
              <w:rPr>
                <w:i/>
                <w:iCs/>
                <w:color w:val="365F91" w:themeColor="accent1" w:themeShade="BF"/>
              </w:rPr>
            </w:pPr>
            <w:r w:rsidRPr="00521317">
              <w:rPr>
                <w:i/>
                <w:iCs/>
                <w:color w:val="365F91" w:themeColor="accent1" w:themeShade="BF"/>
              </w:rPr>
              <w:t>7190</w:t>
            </w:r>
          </w:p>
        </w:tc>
        <w:tc>
          <w:tcPr>
            <w:tcW w:w="1072" w:type="pct"/>
            <w:tcBorders>
              <w:top w:val="single" w:sz="4" w:space="0" w:color="C1C1C1"/>
              <w:left w:val="single" w:sz="4" w:space="0" w:color="C1C1C1"/>
              <w:bottom w:val="single" w:sz="4" w:space="0" w:color="C1C1C1"/>
              <w:right w:val="single" w:sz="4" w:space="0" w:color="C1C1C1"/>
            </w:tcBorders>
            <w:shd w:val="clear" w:color="auto" w:fill="auto"/>
          </w:tcPr>
          <w:p w14:paraId="60963D8C" w14:textId="77777777" w:rsidR="008F566C" w:rsidRPr="007F443B" w:rsidRDefault="008F566C" w:rsidP="008F566C">
            <w:pPr>
              <w:pStyle w:val="Tabletext"/>
              <w:rPr>
                <w:i/>
                <w:iCs/>
                <w:color w:val="365F91" w:themeColor="accent1" w:themeShade="BF"/>
              </w:rPr>
            </w:pPr>
            <w:r w:rsidRPr="00521317">
              <w:rPr>
                <w:i/>
                <w:iCs/>
                <w:color w:val="365F91" w:themeColor="accent1" w:themeShade="BF"/>
              </w:rPr>
              <w:t>23948</w:t>
            </w:r>
          </w:p>
        </w:tc>
      </w:tr>
      <w:tr w:rsidR="008F566C" w:rsidRPr="008B1DBA" w14:paraId="3CF68F86" w14:textId="77777777" w:rsidTr="008F566C">
        <w:trPr>
          <w:trHeight w:val="276"/>
        </w:trPr>
        <w:tc>
          <w:tcPr>
            <w:tcW w:w="1785" w:type="pct"/>
            <w:tcBorders>
              <w:top w:val="single" w:sz="4" w:space="0" w:color="C1C1C1"/>
              <w:left w:val="single" w:sz="4" w:space="0" w:color="C1C1C1"/>
              <w:bottom w:val="single" w:sz="4" w:space="0" w:color="C1C1C1"/>
              <w:right w:val="single" w:sz="4" w:space="0" w:color="C1C1C1"/>
            </w:tcBorders>
            <w:shd w:val="clear" w:color="auto" w:fill="auto"/>
          </w:tcPr>
          <w:p w14:paraId="44C255D5" w14:textId="77777777" w:rsidR="008F566C" w:rsidRPr="007F443B" w:rsidRDefault="008F566C" w:rsidP="008F566C">
            <w:pPr>
              <w:pStyle w:val="Tabletext"/>
              <w:rPr>
                <w:i/>
                <w:iCs/>
                <w:color w:val="365F91" w:themeColor="accent1" w:themeShade="BF"/>
              </w:rPr>
            </w:pPr>
            <w:r>
              <w:rPr>
                <w:i/>
                <w:iCs/>
                <w:color w:val="365F91" w:themeColor="accent1" w:themeShade="BF"/>
              </w:rPr>
              <w:t>Candidates for non-fusion therapy</w:t>
            </w:r>
          </w:p>
        </w:tc>
        <w:tc>
          <w:tcPr>
            <w:tcW w:w="1071" w:type="pct"/>
            <w:tcBorders>
              <w:top w:val="single" w:sz="4" w:space="0" w:color="C1C1C1"/>
              <w:left w:val="single" w:sz="4" w:space="0" w:color="C1C1C1"/>
              <w:bottom w:val="single" w:sz="4" w:space="0" w:color="C1C1C1"/>
              <w:right w:val="single" w:sz="4" w:space="0" w:color="C1C1C1"/>
            </w:tcBorders>
            <w:shd w:val="clear" w:color="auto" w:fill="auto"/>
          </w:tcPr>
          <w:p w14:paraId="6E639655" w14:textId="77777777" w:rsidR="008F566C" w:rsidRPr="00521317" w:rsidRDefault="008F566C" w:rsidP="008F566C">
            <w:pPr>
              <w:pStyle w:val="Tabletext"/>
              <w:rPr>
                <w:i/>
                <w:iCs/>
                <w:color w:val="365F91" w:themeColor="accent1" w:themeShade="BF"/>
              </w:rPr>
            </w:pPr>
            <w:r>
              <w:rPr>
                <w:i/>
                <w:iCs/>
                <w:color w:val="365F91" w:themeColor="accent1" w:themeShade="BF"/>
              </w:rPr>
              <w:t>30-35%</w:t>
            </w:r>
          </w:p>
        </w:tc>
        <w:tc>
          <w:tcPr>
            <w:tcW w:w="1071" w:type="pct"/>
            <w:tcBorders>
              <w:top w:val="single" w:sz="4" w:space="0" w:color="C1C1C1"/>
              <w:left w:val="single" w:sz="4" w:space="0" w:color="C1C1C1"/>
              <w:bottom w:val="single" w:sz="4" w:space="0" w:color="C1C1C1"/>
              <w:right w:val="single" w:sz="4" w:space="0" w:color="C1C1C1"/>
            </w:tcBorders>
            <w:shd w:val="clear" w:color="auto" w:fill="auto"/>
          </w:tcPr>
          <w:p w14:paraId="7D8B1F6E" w14:textId="77777777" w:rsidR="008F566C" w:rsidRPr="00521317" w:rsidRDefault="008F566C" w:rsidP="008F566C">
            <w:pPr>
              <w:pStyle w:val="Tabletext"/>
              <w:rPr>
                <w:i/>
                <w:iCs/>
                <w:color w:val="365F91" w:themeColor="accent1" w:themeShade="BF"/>
              </w:rPr>
            </w:pPr>
            <w:r>
              <w:rPr>
                <w:i/>
                <w:iCs/>
                <w:color w:val="365F91" w:themeColor="accent1" w:themeShade="BF"/>
              </w:rPr>
              <w:t>10-20%</w:t>
            </w:r>
          </w:p>
        </w:tc>
        <w:tc>
          <w:tcPr>
            <w:tcW w:w="1072" w:type="pct"/>
            <w:tcBorders>
              <w:top w:val="single" w:sz="4" w:space="0" w:color="C1C1C1"/>
              <w:left w:val="single" w:sz="4" w:space="0" w:color="C1C1C1"/>
              <w:bottom w:val="single" w:sz="4" w:space="0" w:color="C1C1C1"/>
              <w:right w:val="single" w:sz="4" w:space="0" w:color="C1C1C1"/>
            </w:tcBorders>
            <w:shd w:val="clear" w:color="auto" w:fill="auto"/>
          </w:tcPr>
          <w:p w14:paraId="5D41B62C" w14:textId="77777777" w:rsidR="008F566C" w:rsidRPr="00521317" w:rsidRDefault="008F566C" w:rsidP="008F566C">
            <w:pPr>
              <w:pStyle w:val="Tabletext"/>
              <w:rPr>
                <w:i/>
                <w:iCs/>
                <w:color w:val="365F91" w:themeColor="accent1" w:themeShade="BF"/>
              </w:rPr>
            </w:pPr>
            <w:r>
              <w:rPr>
                <w:i/>
                <w:iCs/>
                <w:color w:val="365F91" w:themeColor="accent1" w:themeShade="BF"/>
              </w:rPr>
              <w:t>-</w:t>
            </w:r>
          </w:p>
        </w:tc>
      </w:tr>
      <w:tr w:rsidR="008F566C" w:rsidRPr="008B1DBA" w14:paraId="120F03B9" w14:textId="77777777" w:rsidTr="008F566C">
        <w:trPr>
          <w:trHeight w:val="276"/>
        </w:trPr>
        <w:tc>
          <w:tcPr>
            <w:tcW w:w="1785" w:type="pct"/>
            <w:tcBorders>
              <w:top w:val="single" w:sz="4" w:space="0" w:color="C1C1C1"/>
              <w:left w:val="single" w:sz="4" w:space="0" w:color="C1C1C1"/>
              <w:bottom w:val="single" w:sz="4" w:space="0" w:color="C1C1C1"/>
              <w:right w:val="single" w:sz="4" w:space="0" w:color="C1C1C1"/>
            </w:tcBorders>
            <w:shd w:val="clear" w:color="auto" w:fill="auto"/>
          </w:tcPr>
          <w:p w14:paraId="59ECE3D7" w14:textId="77777777" w:rsidR="008F566C" w:rsidRDefault="008F566C" w:rsidP="008F566C">
            <w:pPr>
              <w:pStyle w:val="Tabletext"/>
              <w:rPr>
                <w:i/>
                <w:iCs/>
                <w:color w:val="365F91" w:themeColor="accent1" w:themeShade="BF"/>
              </w:rPr>
            </w:pPr>
            <w:r>
              <w:rPr>
                <w:i/>
                <w:iCs/>
                <w:color w:val="365F91" w:themeColor="accent1" w:themeShade="BF"/>
              </w:rPr>
              <w:t>Estimated number of candidates</w:t>
            </w:r>
          </w:p>
        </w:tc>
        <w:tc>
          <w:tcPr>
            <w:tcW w:w="1071" w:type="pct"/>
            <w:tcBorders>
              <w:top w:val="single" w:sz="4" w:space="0" w:color="C1C1C1"/>
              <w:left w:val="single" w:sz="4" w:space="0" w:color="C1C1C1"/>
              <w:bottom w:val="single" w:sz="4" w:space="0" w:color="C1C1C1"/>
              <w:right w:val="single" w:sz="4" w:space="0" w:color="C1C1C1"/>
            </w:tcBorders>
            <w:shd w:val="clear" w:color="auto" w:fill="auto"/>
          </w:tcPr>
          <w:p w14:paraId="6FED98FA" w14:textId="77777777" w:rsidR="008F566C" w:rsidRDefault="008F566C" w:rsidP="008F566C">
            <w:pPr>
              <w:pStyle w:val="Tabletext"/>
              <w:rPr>
                <w:i/>
                <w:iCs/>
                <w:color w:val="365F91" w:themeColor="accent1" w:themeShade="BF"/>
              </w:rPr>
            </w:pPr>
            <w:r>
              <w:rPr>
                <w:i/>
                <w:iCs/>
                <w:color w:val="365F91" w:themeColor="accent1" w:themeShade="BF"/>
              </w:rPr>
              <w:t>5653-6595</w:t>
            </w:r>
          </w:p>
        </w:tc>
        <w:tc>
          <w:tcPr>
            <w:tcW w:w="1071" w:type="pct"/>
            <w:tcBorders>
              <w:top w:val="single" w:sz="4" w:space="0" w:color="C1C1C1"/>
              <w:left w:val="single" w:sz="4" w:space="0" w:color="C1C1C1"/>
              <w:bottom w:val="single" w:sz="4" w:space="0" w:color="C1C1C1"/>
              <w:right w:val="single" w:sz="4" w:space="0" w:color="C1C1C1"/>
            </w:tcBorders>
            <w:shd w:val="clear" w:color="auto" w:fill="auto"/>
          </w:tcPr>
          <w:p w14:paraId="0912A1EA" w14:textId="77777777" w:rsidR="008F566C" w:rsidRDefault="008F566C" w:rsidP="008F566C">
            <w:pPr>
              <w:pStyle w:val="Tabletext"/>
              <w:rPr>
                <w:i/>
                <w:iCs/>
                <w:color w:val="365F91" w:themeColor="accent1" w:themeShade="BF"/>
              </w:rPr>
            </w:pPr>
            <w:r>
              <w:rPr>
                <w:i/>
                <w:iCs/>
                <w:color w:val="365F91" w:themeColor="accent1" w:themeShade="BF"/>
              </w:rPr>
              <w:t>744-1488</w:t>
            </w:r>
          </w:p>
        </w:tc>
        <w:tc>
          <w:tcPr>
            <w:tcW w:w="1072" w:type="pct"/>
            <w:tcBorders>
              <w:top w:val="single" w:sz="4" w:space="0" w:color="C1C1C1"/>
              <w:left w:val="single" w:sz="4" w:space="0" w:color="C1C1C1"/>
              <w:bottom w:val="single" w:sz="4" w:space="0" w:color="C1C1C1"/>
              <w:right w:val="single" w:sz="4" w:space="0" w:color="C1C1C1"/>
            </w:tcBorders>
            <w:shd w:val="clear" w:color="auto" w:fill="auto"/>
          </w:tcPr>
          <w:p w14:paraId="2ADA417C" w14:textId="77777777" w:rsidR="008F566C" w:rsidRDefault="008F566C" w:rsidP="008F566C">
            <w:pPr>
              <w:pStyle w:val="Tabletext"/>
              <w:rPr>
                <w:i/>
                <w:iCs/>
                <w:color w:val="365F91" w:themeColor="accent1" w:themeShade="BF"/>
              </w:rPr>
            </w:pPr>
            <w:r>
              <w:rPr>
                <w:i/>
                <w:iCs/>
                <w:color w:val="365F91" w:themeColor="accent1" w:themeShade="BF"/>
              </w:rPr>
              <w:t>6397-8083</w:t>
            </w:r>
          </w:p>
        </w:tc>
      </w:tr>
      <w:tr w:rsidR="008F566C" w:rsidRPr="008B1DBA" w14:paraId="05C70D4E" w14:textId="77777777" w:rsidTr="008F566C">
        <w:trPr>
          <w:trHeight w:val="276"/>
        </w:trPr>
        <w:tc>
          <w:tcPr>
            <w:tcW w:w="1785" w:type="pct"/>
            <w:tcBorders>
              <w:top w:val="single" w:sz="4" w:space="0" w:color="C1C1C1"/>
              <w:left w:val="single" w:sz="4" w:space="0" w:color="C1C1C1"/>
              <w:bottom w:val="single" w:sz="4" w:space="0" w:color="C1C1C1"/>
              <w:right w:val="single" w:sz="4" w:space="0" w:color="C1C1C1"/>
            </w:tcBorders>
            <w:shd w:val="clear" w:color="auto" w:fill="auto"/>
          </w:tcPr>
          <w:p w14:paraId="650E833B" w14:textId="77777777" w:rsidR="008F566C" w:rsidRPr="00A04A19" w:rsidRDefault="008F566C" w:rsidP="008F566C">
            <w:pPr>
              <w:pStyle w:val="Tabletext"/>
              <w:rPr>
                <w:i/>
                <w:iCs/>
                <w:color w:val="365F91" w:themeColor="accent1" w:themeShade="BF"/>
              </w:rPr>
            </w:pPr>
            <w:r w:rsidRPr="00A04A19">
              <w:rPr>
                <w:i/>
                <w:iCs/>
                <w:color w:val="365F91" w:themeColor="accent1" w:themeShade="BF"/>
              </w:rPr>
              <w:t>Uptake</w:t>
            </w:r>
          </w:p>
        </w:tc>
        <w:tc>
          <w:tcPr>
            <w:tcW w:w="1071" w:type="pct"/>
            <w:tcBorders>
              <w:top w:val="single" w:sz="4" w:space="0" w:color="C1C1C1"/>
              <w:left w:val="single" w:sz="4" w:space="0" w:color="C1C1C1"/>
              <w:bottom w:val="single" w:sz="4" w:space="0" w:color="C1C1C1"/>
              <w:right w:val="single" w:sz="4" w:space="0" w:color="C1C1C1"/>
            </w:tcBorders>
            <w:shd w:val="clear" w:color="auto" w:fill="auto"/>
          </w:tcPr>
          <w:p w14:paraId="78CD6305" w14:textId="77777777" w:rsidR="008F566C" w:rsidRPr="00A04A19" w:rsidRDefault="008F566C" w:rsidP="008F566C">
            <w:pPr>
              <w:pStyle w:val="Tabletext"/>
              <w:rPr>
                <w:i/>
                <w:iCs/>
                <w:color w:val="365F91" w:themeColor="accent1" w:themeShade="BF"/>
              </w:rPr>
            </w:pPr>
            <w:r w:rsidRPr="00A04A19">
              <w:rPr>
                <w:i/>
                <w:iCs/>
                <w:color w:val="365F91" w:themeColor="accent1" w:themeShade="BF"/>
              </w:rPr>
              <w:t>5%</w:t>
            </w:r>
          </w:p>
        </w:tc>
        <w:tc>
          <w:tcPr>
            <w:tcW w:w="1071" w:type="pct"/>
            <w:tcBorders>
              <w:top w:val="single" w:sz="4" w:space="0" w:color="C1C1C1"/>
              <w:left w:val="single" w:sz="4" w:space="0" w:color="C1C1C1"/>
              <w:bottom w:val="single" w:sz="4" w:space="0" w:color="C1C1C1"/>
              <w:right w:val="single" w:sz="4" w:space="0" w:color="C1C1C1"/>
            </w:tcBorders>
            <w:shd w:val="clear" w:color="auto" w:fill="auto"/>
          </w:tcPr>
          <w:p w14:paraId="7A5CA8EE" w14:textId="77777777" w:rsidR="008F566C" w:rsidRPr="00A04A19" w:rsidRDefault="008F566C" w:rsidP="008F566C">
            <w:pPr>
              <w:pStyle w:val="Tabletext"/>
              <w:rPr>
                <w:i/>
                <w:iCs/>
                <w:color w:val="365F91" w:themeColor="accent1" w:themeShade="BF"/>
              </w:rPr>
            </w:pPr>
            <w:r w:rsidRPr="00A04A19">
              <w:rPr>
                <w:i/>
                <w:iCs/>
                <w:color w:val="365F91" w:themeColor="accent1" w:themeShade="BF"/>
              </w:rPr>
              <w:t>5%</w:t>
            </w:r>
          </w:p>
        </w:tc>
        <w:tc>
          <w:tcPr>
            <w:tcW w:w="1072" w:type="pct"/>
            <w:tcBorders>
              <w:top w:val="single" w:sz="4" w:space="0" w:color="C1C1C1"/>
              <w:left w:val="single" w:sz="4" w:space="0" w:color="C1C1C1"/>
              <w:bottom w:val="single" w:sz="4" w:space="0" w:color="C1C1C1"/>
              <w:right w:val="single" w:sz="4" w:space="0" w:color="C1C1C1"/>
            </w:tcBorders>
            <w:shd w:val="clear" w:color="auto" w:fill="auto"/>
          </w:tcPr>
          <w:p w14:paraId="4FC9A4E0" w14:textId="77777777" w:rsidR="008F566C" w:rsidRPr="00A04A19" w:rsidRDefault="008F566C" w:rsidP="008F566C">
            <w:pPr>
              <w:pStyle w:val="Tabletext"/>
              <w:rPr>
                <w:i/>
                <w:iCs/>
                <w:color w:val="365F91" w:themeColor="accent1" w:themeShade="BF"/>
              </w:rPr>
            </w:pPr>
            <w:r w:rsidRPr="00A04A19">
              <w:rPr>
                <w:i/>
                <w:iCs/>
                <w:color w:val="365F91" w:themeColor="accent1" w:themeShade="BF"/>
              </w:rPr>
              <w:t>-</w:t>
            </w:r>
          </w:p>
        </w:tc>
      </w:tr>
      <w:tr w:rsidR="008F566C" w:rsidRPr="008B1DBA" w14:paraId="737DC155" w14:textId="77777777" w:rsidTr="008F566C">
        <w:trPr>
          <w:trHeight w:val="276"/>
        </w:trPr>
        <w:tc>
          <w:tcPr>
            <w:tcW w:w="1785" w:type="pct"/>
            <w:tcBorders>
              <w:top w:val="single" w:sz="4" w:space="0" w:color="C1C1C1"/>
              <w:left w:val="single" w:sz="4" w:space="0" w:color="C1C1C1"/>
              <w:bottom w:val="single" w:sz="4" w:space="0" w:color="C1C1C1"/>
              <w:right w:val="single" w:sz="4" w:space="0" w:color="C1C1C1"/>
            </w:tcBorders>
            <w:shd w:val="clear" w:color="auto" w:fill="auto"/>
          </w:tcPr>
          <w:p w14:paraId="40561A57" w14:textId="77777777" w:rsidR="008F566C" w:rsidRPr="00A04A19" w:rsidRDefault="008F566C" w:rsidP="008F566C">
            <w:pPr>
              <w:pStyle w:val="Tabletext"/>
              <w:rPr>
                <w:i/>
                <w:iCs/>
                <w:color w:val="365F91" w:themeColor="accent1" w:themeShade="BF"/>
              </w:rPr>
            </w:pPr>
            <w:r w:rsidRPr="00A04A19">
              <w:rPr>
                <w:i/>
                <w:iCs/>
                <w:color w:val="365F91" w:themeColor="accent1" w:themeShade="BF"/>
              </w:rPr>
              <w:t>Estimated utilisation</w:t>
            </w:r>
            <w:r>
              <w:rPr>
                <w:i/>
                <w:iCs/>
                <w:color w:val="365F91" w:themeColor="accent1" w:themeShade="BF"/>
              </w:rPr>
              <w:t xml:space="preserve"> of proposed IDS items</w:t>
            </w:r>
          </w:p>
        </w:tc>
        <w:tc>
          <w:tcPr>
            <w:tcW w:w="1071" w:type="pct"/>
            <w:tcBorders>
              <w:top w:val="single" w:sz="4" w:space="0" w:color="C1C1C1"/>
              <w:left w:val="single" w:sz="4" w:space="0" w:color="C1C1C1"/>
              <w:bottom w:val="single" w:sz="4" w:space="0" w:color="C1C1C1"/>
              <w:right w:val="single" w:sz="4" w:space="0" w:color="C1C1C1"/>
            </w:tcBorders>
            <w:shd w:val="clear" w:color="auto" w:fill="auto"/>
          </w:tcPr>
          <w:p w14:paraId="423D4D81" w14:textId="77777777" w:rsidR="008F566C" w:rsidRPr="00A04A19" w:rsidRDefault="008F566C" w:rsidP="008F566C">
            <w:pPr>
              <w:pStyle w:val="Tabletext"/>
              <w:rPr>
                <w:i/>
                <w:iCs/>
                <w:color w:val="365F91" w:themeColor="accent1" w:themeShade="BF"/>
              </w:rPr>
            </w:pPr>
            <w:r w:rsidRPr="00A04A19">
              <w:rPr>
                <w:i/>
                <w:iCs/>
                <w:color w:val="365F91" w:themeColor="accent1" w:themeShade="BF"/>
              </w:rPr>
              <w:t>283-329</w:t>
            </w:r>
          </w:p>
        </w:tc>
        <w:tc>
          <w:tcPr>
            <w:tcW w:w="1071" w:type="pct"/>
            <w:tcBorders>
              <w:top w:val="single" w:sz="4" w:space="0" w:color="C1C1C1"/>
              <w:left w:val="single" w:sz="4" w:space="0" w:color="C1C1C1"/>
              <w:bottom w:val="single" w:sz="4" w:space="0" w:color="C1C1C1"/>
              <w:right w:val="single" w:sz="4" w:space="0" w:color="C1C1C1"/>
            </w:tcBorders>
            <w:shd w:val="clear" w:color="auto" w:fill="auto"/>
          </w:tcPr>
          <w:p w14:paraId="44D315CB" w14:textId="77777777" w:rsidR="008F566C" w:rsidRPr="00A04A19" w:rsidRDefault="008F566C" w:rsidP="008F566C">
            <w:pPr>
              <w:pStyle w:val="Tabletext"/>
              <w:rPr>
                <w:i/>
                <w:iCs/>
                <w:color w:val="365F91" w:themeColor="accent1" w:themeShade="BF"/>
              </w:rPr>
            </w:pPr>
            <w:r w:rsidRPr="00A04A19">
              <w:rPr>
                <w:i/>
                <w:iCs/>
                <w:color w:val="365F91" w:themeColor="accent1" w:themeShade="BF"/>
              </w:rPr>
              <w:t>37-74</w:t>
            </w:r>
          </w:p>
        </w:tc>
        <w:tc>
          <w:tcPr>
            <w:tcW w:w="1072" w:type="pct"/>
            <w:tcBorders>
              <w:top w:val="single" w:sz="4" w:space="0" w:color="C1C1C1"/>
              <w:left w:val="single" w:sz="4" w:space="0" w:color="C1C1C1"/>
              <w:bottom w:val="single" w:sz="4" w:space="0" w:color="C1C1C1"/>
              <w:right w:val="single" w:sz="4" w:space="0" w:color="C1C1C1"/>
            </w:tcBorders>
            <w:shd w:val="clear" w:color="auto" w:fill="auto"/>
          </w:tcPr>
          <w:p w14:paraId="70F7F4F8" w14:textId="77777777" w:rsidR="008F566C" w:rsidRPr="00A04A19" w:rsidRDefault="008F566C" w:rsidP="008F566C">
            <w:pPr>
              <w:pStyle w:val="Tabletext"/>
              <w:rPr>
                <w:i/>
                <w:iCs/>
                <w:color w:val="365F91" w:themeColor="accent1" w:themeShade="BF"/>
              </w:rPr>
            </w:pPr>
            <w:r w:rsidRPr="00A04A19">
              <w:rPr>
                <w:i/>
                <w:iCs/>
                <w:color w:val="365F91" w:themeColor="accent1" w:themeShade="BF"/>
              </w:rPr>
              <w:t>320-404</w:t>
            </w:r>
          </w:p>
        </w:tc>
      </w:tr>
    </w:tbl>
    <w:p w14:paraId="3A6EC1CE" w14:textId="77777777" w:rsidR="008F566C" w:rsidRPr="003D0F62" w:rsidRDefault="008F566C" w:rsidP="008F566C">
      <w:pPr>
        <w:rPr>
          <w:color w:val="365F91" w:themeColor="accent1" w:themeShade="BF"/>
        </w:rPr>
      </w:pPr>
    </w:p>
    <w:p w14:paraId="460DD347" w14:textId="77777777" w:rsidR="008F566C" w:rsidRDefault="008F566C" w:rsidP="008F566C">
      <w:pPr>
        <w:pStyle w:val="Heading2"/>
      </w:pPr>
      <w:r>
        <w:t>Estimate the anticipated upt</w:t>
      </w:r>
      <w:r w:rsidRPr="00154B00">
        <w:t>ake of the proposed medical service over the next three years factoring in any constraints in the health system in meeting the needs of the proposed population (suc</w:t>
      </w:r>
      <w:r>
        <w:t>h as supply and demand factors)</w:t>
      </w:r>
      <w:r w:rsidRPr="00154B00">
        <w:t xml:space="preserve"> as well as provide </w:t>
      </w:r>
      <w:r>
        <w:t xml:space="preserve"> </w:t>
      </w:r>
      <w:r w:rsidRPr="00154B00">
        <w:t>commentary on risk of ‘leakage’ to populations not targeted by the service</w:t>
      </w:r>
      <w:r>
        <w:t>:</w:t>
      </w:r>
    </w:p>
    <w:p w14:paraId="1B6F23A9" w14:textId="77777777" w:rsidR="008F566C" w:rsidRDefault="008F566C" w:rsidP="008F566C">
      <w:pPr>
        <w:ind w:left="284"/>
        <w:rPr>
          <w:color w:val="365F91" w:themeColor="accent1" w:themeShade="BF"/>
        </w:rPr>
      </w:pPr>
      <w:r>
        <w:rPr>
          <w:color w:val="365F91" w:themeColor="accent1" w:themeShade="BF"/>
        </w:rPr>
        <w:t xml:space="preserve">It is assumed that the growth rates of 7% for MBS item 51011 and 3% for MBS item 51012 will continue into the second and third year of listing. The proportion of eligible candidates is expected to remain constant. The uptake of IDSs, however, is expected to increase from 5% in the first year of listing to 15% in the final year due to increased familiarity with the service among neurosurgeons. It is unlikely that the devices will be used in populations not requested in the proposed listing, as there is no evidence for efficacy nor a clinical need in other groups. </w:t>
      </w:r>
    </w:p>
    <w:p w14:paraId="11B7CE35" w14:textId="77777777" w:rsidR="008F566C" w:rsidRPr="00A04A19" w:rsidRDefault="008F566C" w:rsidP="008F566C">
      <w:pPr>
        <w:pStyle w:val="Tabletext"/>
        <w:ind w:firstLine="284"/>
        <w:rPr>
          <w:b/>
          <w:bCs/>
          <w:color w:val="365F91" w:themeColor="accent1" w:themeShade="BF"/>
        </w:rPr>
      </w:pPr>
      <w:r w:rsidRPr="00A04A19">
        <w:rPr>
          <w:b/>
          <w:bCs/>
          <w:color w:val="365F91" w:themeColor="accent1" w:themeShade="BF"/>
        </w:rPr>
        <w:t xml:space="preserve">Table </w:t>
      </w:r>
      <w:r w:rsidRPr="00A04A19">
        <w:rPr>
          <w:b/>
          <w:bCs/>
          <w:color w:val="365F91" w:themeColor="accent1" w:themeShade="BF"/>
        </w:rPr>
        <w:fldChar w:fldCharType="begin"/>
      </w:r>
      <w:r w:rsidRPr="00A04A19">
        <w:rPr>
          <w:b/>
          <w:bCs/>
          <w:color w:val="365F91" w:themeColor="accent1" w:themeShade="BF"/>
        </w:rPr>
        <w:instrText xml:space="preserve"> SEQ Table \* ARABIC </w:instrText>
      </w:r>
      <w:r w:rsidRPr="00A04A19">
        <w:rPr>
          <w:b/>
          <w:bCs/>
          <w:color w:val="365F91" w:themeColor="accent1" w:themeShade="BF"/>
        </w:rPr>
        <w:fldChar w:fldCharType="separate"/>
      </w:r>
      <w:r>
        <w:rPr>
          <w:b/>
          <w:bCs/>
          <w:noProof/>
          <w:color w:val="365F91" w:themeColor="accent1" w:themeShade="BF"/>
        </w:rPr>
        <w:t>3</w:t>
      </w:r>
      <w:r w:rsidRPr="00A04A19">
        <w:rPr>
          <w:b/>
          <w:bCs/>
          <w:color w:val="365F91" w:themeColor="accent1" w:themeShade="BF"/>
        </w:rPr>
        <w:fldChar w:fldCharType="end"/>
      </w:r>
      <w:r w:rsidRPr="00A04A19">
        <w:rPr>
          <w:b/>
          <w:bCs/>
          <w:color w:val="365F91" w:themeColor="accent1" w:themeShade="BF"/>
        </w:rPr>
        <w:t>: Estimated</w:t>
      </w:r>
      <w:r>
        <w:rPr>
          <w:b/>
          <w:bCs/>
          <w:color w:val="365F91" w:themeColor="accent1" w:themeShade="BF"/>
        </w:rPr>
        <w:t xml:space="preserve"> uptake </w:t>
      </w:r>
      <w:r w:rsidRPr="00A04A19">
        <w:rPr>
          <w:b/>
          <w:bCs/>
          <w:color w:val="365F91" w:themeColor="accent1" w:themeShade="BF"/>
        </w:rPr>
        <w:t>of proposed IDS items</w:t>
      </w:r>
      <w:r>
        <w:rPr>
          <w:b/>
          <w:bCs/>
          <w:color w:val="365F91" w:themeColor="accent1" w:themeShade="BF"/>
        </w:rPr>
        <w:t xml:space="preserve"> in the first three years of listing</w:t>
      </w:r>
    </w:p>
    <w:tbl>
      <w:tblPr>
        <w:tblStyle w:val="TableGrid"/>
        <w:tblW w:w="4845" w:type="pct"/>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Table"/>
        <w:tblDescription w:val="Table"/>
      </w:tblPr>
      <w:tblGrid>
        <w:gridCol w:w="2782"/>
        <w:gridCol w:w="1985"/>
        <w:gridCol w:w="1983"/>
        <w:gridCol w:w="1987"/>
      </w:tblGrid>
      <w:tr w:rsidR="008F566C" w:rsidRPr="004D3734" w14:paraId="078D7A23" w14:textId="77777777" w:rsidTr="000878C7">
        <w:trPr>
          <w:tblHeader/>
        </w:trPr>
        <w:tc>
          <w:tcPr>
            <w:tcW w:w="1592" w:type="pct"/>
          </w:tcPr>
          <w:p w14:paraId="536E897D" w14:textId="77777777" w:rsidR="008F566C" w:rsidRPr="004D3734" w:rsidRDefault="008F566C" w:rsidP="008F566C">
            <w:pPr>
              <w:pStyle w:val="Tabletext"/>
              <w:rPr>
                <w:color w:val="365F91" w:themeColor="accent1" w:themeShade="BF"/>
              </w:rPr>
            </w:pPr>
          </w:p>
        </w:tc>
        <w:tc>
          <w:tcPr>
            <w:tcW w:w="1136" w:type="pct"/>
          </w:tcPr>
          <w:p w14:paraId="529D7021" w14:textId="77777777" w:rsidR="008F566C" w:rsidRPr="00D041EF" w:rsidRDefault="008F566C" w:rsidP="008F566C">
            <w:pPr>
              <w:pStyle w:val="Tabletext"/>
              <w:rPr>
                <w:b/>
                <w:bCs/>
                <w:color w:val="365F91" w:themeColor="accent1" w:themeShade="BF"/>
              </w:rPr>
            </w:pPr>
            <w:r w:rsidRPr="00D041EF">
              <w:rPr>
                <w:b/>
                <w:bCs/>
                <w:color w:val="365F91" w:themeColor="accent1" w:themeShade="BF"/>
              </w:rPr>
              <w:t>2023</w:t>
            </w:r>
          </w:p>
        </w:tc>
        <w:tc>
          <w:tcPr>
            <w:tcW w:w="1135" w:type="pct"/>
          </w:tcPr>
          <w:p w14:paraId="7CE37528" w14:textId="77777777" w:rsidR="008F566C" w:rsidRPr="00D041EF" w:rsidRDefault="008F566C" w:rsidP="008F566C">
            <w:pPr>
              <w:pStyle w:val="Tabletext"/>
              <w:jc w:val="right"/>
              <w:rPr>
                <w:b/>
                <w:bCs/>
                <w:color w:val="365F91" w:themeColor="accent1" w:themeShade="BF"/>
              </w:rPr>
            </w:pPr>
            <w:r w:rsidRPr="00D041EF">
              <w:rPr>
                <w:b/>
                <w:bCs/>
                <w:color w:val="365F91" w:themeColor="accent1" w:themeShade="BF"/>
              </w:rPr>
              <w:t>2024</w:t>
            </w:r>
          </w:p>
        </w:tc>
        <w:tc>
          <w:tcPr>
            <w:tcW w:w="1137" w:type="pct"/>
          </w:tcPr>
          <w:p w14:paraId="3D127133" w14:textId="77777777" w:rsidR="008F566C" w:rsidRPr="00D041EF" w:rsidRDefault="008F566C" w:rsidP="008F566C">
            <w:pPr>
              <w:pStyle w:val="Tabletext"/>
              <w:jc w:val="right"/>
              <w:rPr>
                <w:b/>
                <w:bCs/>
                <w:color w:val="365F91" w:themeColor="accent1" w:themeShade="BF"/>
              </w:rPr>
            </w:pPr>
            <w:r w:rsidRPr="00D041EF">
              <w:rPr>
                <w:b/>
                <w:bCs/>
                <w:color w:val="365F91" w:themeColor="accent1" w:themeShade="BF"/>
              </w:rPr>
              <w:t>2025</w:t>
            </w:r>
          </w:p>
        </w:tc>
      </w:tr>
      <w:tr w:rsidR="008F566C" w:rsidRPr="004D3734" w14:paraId="59C2FD8C" w14:textId="77777777" w:rsidTr="008F566C">
        <w:tc>
          <w:tcPr>
            <w:tcW w:w="1592" w:type="pct"/>
          </w:tcPr>
          <w:p w14:paraId="59934490" w14:textId="77777777" w:rsidR="008F566C" w:rsidRPr="00A04A19" w:rsidRDefault="008F566C" w:rsidP="008F566C">
            <w:pPr>
              <w:pStyle w:val="Tabletext"/>
              <w:rPr>
                <w:color w:val="365F91" w:themeColor="accent1" w:themeShade="BF"/>
              </w:rPr>
            </w:pPr>
            <w:r w:rsidRPr="00A04A19">
              <w:rPr>
                <w:color w:val="365F91" w:themeColor="accent1" w:themeShade="BF"/>
              </w:rPr>
              <w:t>Estimated number of candidates</w:t>
            </w:r>
          </w:p>
        </w:tc>
        <w:tc>
          <w:tcPr>
            <w:tcW w:w="1136" w:type="pct"/>
          </w:tcPr>
          <w:p w14:paraId="01BA3CD5" w14:textId="77777777" w:rsidR="008F566C" w:rsidRPr="00A04A19" w:rsidRDefault="008F566C" w:rsidP="008F566C">
            <w:pPr>
              <w:pStyle w:val="Tabletext"/>
              <w:rPr>
                <w:color w:val="365F91" w:themeColor="accent1" w:themeShade="BF"/>
              </w:rPr>
            </w:pPr>
            <w:r w:rsidRPr="00A04A19">
              <w:rPr>
                <w:color w:val="365F91" w:themeColor="accent1" w:themeShade="BF"/>
              </w:rPr>
              <w:t>6397-8083</w:t>
            </w:r>
          </w:p>
        </w:tc>
        <w:tc>
          <w:tcPr>
            <w:tcW w:w="1135" w:type="pct"/>
          </w:tcPr>
          <w:p w14:paraId="60BC55CC" w14:textId="77777777" w:rsidR="008F566C" w:rsidRPr="00A04A19" w:rsidRDefault="008F566C" w:rsidP="008F566C">
            <w:pPr>
              <w:pStyle w:val="Tabletext"/>
              <w:jc w:val="right"/>
              <w:rPr>
                <w:color w:val="365F91" w:themeColor="accent1" w:themeShade="BF"/>
              </w:rPr>
            </w:pPr>
            <w:r w:rsidRPr="00A04A19">
              <w:rPr>
                <w:color w:val="365F91" w:themeColor="accent1" w:themeShade="BF"/>
              </w:rPr>
              <w:t>6867-8678</w:t>
            </w:r>
          </w:p>
        </w:tc>
        <w:tc>
          <w:tcPr>
            <w:tcW w:w="1137" w:type="pct"/>
          </w:tcPr>
          <w:p w14:paraId="34346993" w14:textId="77777777" w:rsidR="008F566C" w:rsidRPr="00A04A19" w:rsidRDefault="008F566C" w:rsidP="008F566C">
            <w:pPr>
              <w:pStyle w:val="Tabletext"/>
              <w:jc w:val="right"/>
              <w:rPr>
                <w:color w:val="365F91" w:themeColor="accent1" w:themeShade="BF"/>
              </w:rPr>
            </w:pPr>
            <w:r w:rsidRPr="00A04A19">
              <w:rPr>
                <w:color w:val="365F91" w:themeColor="accent1" w:themeShade="BF"/>
              </w:rPr>
              <w:t>7373-9316</w:t>
            </w:r>
          </w:p>
        </w:tc>
      </w:tr>
      <w:tr w:rsidR="008F566C" w:rsidRPr="004D3734" w14:paraId="5D4BF342" w14:textId="77777777" w:rsidTr="008F566C">
        <w:tc>
          <w:tcPr>
            <w:tcW w:w="1592" w:type="pct"/>
          </w:tcPr>
          <w:p w14:paraId="2885D933" w14:textId="77777777" w:rsidR="008F566C" w:rsidRPr="00A04A19" w:rsidRDefault="008F566C" w:rsidP="008F566C">
            <w:pPr>
              <w:pStyle w:val="Tabletext"/>
              <w:rPr>
                <w:color w:val="365F91" w:themeColor="accent1" w:themeShade="BF"/>
              </w:rPr>
            </w:pPr>
            <w:r w:rsidRPr="00A04A19">
              <w:rPr>
                <w:color w:val="365F91" w:themeColor="accent1" w:themeShade="BF"/>
              </w:rPr>
              <w:t>Uptake rate</w:t>
            </w:r>
          </w:p>
        </w:tc>
        <w:tc>
          <w:tcPr>
            <w:tcW w:w="1136" w:type="pct"/>
          </w:tcPr>
          <w:p w14:paraId="31EA3E3D" w14:textId="77777777" w:rsidR="008F566C" w:rsidRPr="00A04A19" w:rsidRDefault="008F566C" w:rsidP="008F566C">
            <w:pPr>
              <w:pStyle w:val="Tabletext"/>
              <w:rPr>
                <w:color w:val="365F91" w:themeColor="accent1" w:themeShade="BF"/>
              </w:rPr>
            </w:pPr>
            <w:r w:rsidRPr="00A04A19">
              <w:rPr>
                <w:color w:val="365F91" w:themeColor="accent1" w:themeShade="BF"/>
              </w:rPr>
              <w:t>5%</w:t>
            </w:r>
          </w:p>
        </w:tc>
        <w:tc>
          <w:tcPr>
            <w:tcW w:w="1135" w:type="pct"/>
          </w:tcPr>
          <w:p w14:paraId="0262734B" w14:textId="77777777" w:rsidR="008F566C" w:rsidRPr="00A04A19" w:rsidRDefault="008F566C" w:rsidP="008F566C">
            <w:pPr>
              <w:pStyle w:val="Tabletext"/>
              <w:jc w:val="right"/>
              <w:rPr>
                <w:color w:val="365F91" w:themeColor="accent1" w:themeShade="BF"/>
              </w:rPr>
            </w:pPr>
            <w:r w:rsidRPr="00A04A19">
              <w:rPr>
                <w:color w:val="365F91" w:themeColor="accent1" w:themeShade="BF"/>
              </w:rPr>
              <w:t>10%</w:t>
            </w:r>
          </w:p>
        </w:tc>
        <w:tc>
          <w:tcPr>
            <w:tcW w:w="1137" w:type="pct"/>
          </w:tcPr>
          <w:p w14:paraId="15EDC284" w14:textId="77777777" w:rsidR="008F566C" w:rsidRPr="00A04A19" w:rsidRDefault="008F566C" w:rsidP="008F566C">
            <w:pPr>
              <w:pStyle w:val="Tabletext"/>
              <w:jc w:val="right"/>
              <w:rPr>
                <w:color w:val="365F91" w:themeColor="accent1" w:themeShade="BF"/>
              </w:rPr>
            </w:pPr>
            <w:r w:rsidRPr="00A04A19">
              <w:rPr>
                <w:color w:val="365F91" w:themeColor="accent1" w:themeShade="BF"/>
              </w:rPr>
              <w:t>15%</w:t>
            </w:r>
          </w:p>
        </w:tc>
      </w:tr>
      <w:tr w:rsidR="008F566C" w:rsidRPr="004D3734" w14:paraId="03016595" w14:textId="77777777" w:rsidTr="008F566C">
        <w:tc>
          <w:tcPr>
            <w:tcW w:w="1592" w:type="pct"/>
          </w:tcPr>
          <w:p w14:paraId="45C00963" w14:textId="77777777" w:rsidR="008F566C" w:rsidRPr="00A04A19" w:rsidRDefault="008F566C" w:rsidP="008F566C">
            <w:pPr>
              <w:pStyle w:val="Tabletext"/>
              <w:rPr>
                <w:color w:val="365F91" w:themeColor="accent1" w:themeShade="BF"/>
                <w:lang w:val="de-DE"/>
              </w:rPr>
            </w:pPr>
            <w:r w:rsidRPr="00A04A19">
              <w:rPr>
                <w:color w:val="365F91" w:themeColor="accent1" w:themeShade="BF"/>
              </w:rPr>
              <w:t>Estimated utilisation</w:t>
            </w:r>
          </w:p>
        </w:tc>
        <w:tc>
          <w:tcPr>
            <w:tcW w:w="1136" w:type="pct"/>
          </w:tcPr>
          <w:p w14:paraId="7334EFB5" w14:textId="77777777" w:rsidR="008F566C" w:rsidRPr="00A04A19" w:rsidRDefault="008F566C" w:rsidP="008F566C">
            <w:pPr>
              <w:pStyle w:val="Tabletext"/>
              <w:rPr>
                <w:color w:val="365F91" w:themeColor="accent1" w:themeShade="BF"/>
                <w:lang w:val="de-DE"/>
              </w:rPr>
            </w:pPr>
            <w:r w:rsidRPr="00A04A19">
              <w:rPr>
                <w:i/>
                <w:iCs/>
                <w:color w:val="365F91" w:themeColor="accent1" w:themeShade="BF"/>
              </w:rPr>
              <w:t>320-404</w:t>
            </w:r>
          </w:p>
        </w:tc>
        <w:tc>
          <w:tcPr>
            <w:tcW w:w="1135" w:type="pct"/>
          </w:tcPr>
          <w:p w14:paraId="50DCDD4D" w14:textId="77777777" w:rsidR="008F566C" w:rsidRPr="00A04A19" w:rsidRDefault="008F566C" w:rsidP="008F566C">
            <w:pPr>
              <w:pStyle w:val="Tabletext"/>
              <w:jc w:val="right"/>
              <w:rPr>
                <w:color w:val="365F91" w:themeColor="accent1" w:themeShade="BF"/>
              </w:rPr>
            </w:pPr>
            <w:r w:rsidRPr="00A04A19">
              <w:rPr>
                <w:color w:val="365F91" w:themeColor="accent1" w:themeShade="BF"/>
                <w:lang w:val="de-DE"/>
              </w:rPr>
              <w:t>343-434</w:t>
            </w:r>
          </w:p>
        </w:tc>
        <w:tc>
          <w:tcPr>
            <w:tcW w:w="1137" w:type="pct"/>
          </w:tcPr>
          <w:p w14:paraId="4422B833" w14:textId="77777777" w:rsidR="008F566C" w:rsidRPr="00A04A19" w:rsidRDefault="008F566C" w:rsidP="008F566C">
            <w:pPr>
              <w:pStyle w:val="Tabletext"/>
              <w:jc w:val="right"/>
              <w:rPr>
                <w:color w:val="365F91" w:themeColor="accent1" w:themeShade="BF"/>
              </w:rPr>
            </w:pPr>
            <w:r w:rsidRPr="00A04A19">
              <w:rPr>
                <w:color w:val="365F91" w:themeColor="accent1" w:themeShade="BF"/>
                <w:lang w:val="de-DE"/>
              </w:rPr>
              <w:t>369-466</w:t>
            </w:r>
          </w:p>
        </w:tc>
      </w:tr>
    </w:tbl>
    <w:p w14:paraId="67A2AB91" w14:textId="77777777" w:rsidR="008F566C" w:rsidRDefault="008F566C" w:rsidP="008F566C">
      <w:pPr>
        <w:rPr>
          <w:b/>
          <w:sz w:val="32"/>
          <w:szCs w:val="32"/>
        </w:rPr>
      </w:pPr>
      <w:r>
        <w:rPr>
          <w:b/>
          <w:sz w:val="32"/>
          <w:szCs w:val="32"/>
        </w:rPr>
        <w:br w:type="page"/>
      </w:r>
    </w:p>
    <w:p w14:paraId="669CBA7C" w14:textId="77777777" w:rsidR="008F566C" w:rsidRPr="00C776B1" w:rsidRDefault="008F566C" w:rsidP="008F566C">
      <w:pPr>
        <w:pStyle w:val="Heading1"/>
      </w:pPr>
      <w:r>
        <w:lastRenderedPageBreak/>
        <w:t>PART 8 – COST</w:t>
      </w:r>
      <w:r w:rsidRPr="00C776B1">
        <w:t xml:space="preserve"> INFORMATION</w:t>
      </w:r>
    </w:p>
    <w:p w14:paraId="25AB0B9A" w14:textId="77777777" w:rsidR="008F566C" w:rsidRPr="00AE1188" w:rsidRDefault="008F566C" w:rsidP="008F566C">
      <w:pPr>
        <w:pStyle w:val="Heading2"/>
      </w:pPr>
      <w:r w:rsidRPr="00AE1188">
        <w:t>Indicate the likely cost of providing the proposed medical service. Where possible, please pro</w:t>
      </w:r>
      <w:r>
        <w:t>vide overall cost and breakdown:</w:t>
      </w:r>
    </w:p>
    <w:p w14:paraId="2DE8E3A5" w14:textId="77777777" w:rsidR="008F566C" w:rsidRPr="00A04A19" w:rsidRDefault="008F566C" w:rsidP="008F566C">
      <w:pPr>
        <w:ind w:left="284"/>
        <w:rPr>
          <w:color w:val="365F91" w:themeColor="accent1" w:themeShade="BF"/>
        </w:rPr>
      </w:pPr>
      <w:r w:rsidRPr="0004259C">
        <w:rPr>
          <w:color w:val="365F91" w:themeColor="accent1" w:themeShade="BF"/>
        </w:rPr>
        <w:t xml:space="preserve">In MSAC Application 1099, the best estimate of the unit cost of inserting a non-fusion interspinous device was the MBS item 48678 (SPINE, simple internal fixation of, involving 1 or more </w:t>
      </w:r>
      <w:proofErr w:type="spellStart"/>
      <w:r w:rsidRPr="0004259C">
        <w:rPr>
          <w:color w:val="365F91" w:themeColor="accent1" w:themeShade="BF"/>
        </w:rPr>
        <w:t>facetal</w:t>
      </w:r>
      <w:proofErr w:type="spellEnd"/>
      <w:r w:rsidRPr="0004259C">
        <w:rPr>
          <w:color w:val="365F91" w:themeColor="accent1" w:themeShade="BF"/>
        </w:rPr>
        <w:t xml:space="preserve"> screw, wire loop or similar, being a service associated with a service to which items 48642 to 48675 apply (</w:t>
      </w:r>
      <w:proofErr w:type="spellStart"/>
      <w:r w:rsidRPr="0004259C">
        <w:rPr>
          <w:color w:val="365F91" w:themeColor="accent1" w:themeShade="BF"/>
        </w:rPr>
        <w:t>Anaes</w:t>
      </w:r>
      <w:proofErr w:type="spellEnd"/>
      <w:r w:rsidRPr="0004259C">
        <w:rPr>
          <w:color w:val="365F91" w:themeColor="accent1" w:themeShade="BF"/>
        </w:rPr>
        <w:t>.) (Assist.)). Based on the Medicare Benefits Schedule (MBS) Review Taskforce’s recommendations in response to the Spinal Surgery Clinical Committee Report, MBS item 48678 has been removed; however</w:t>
      </w:r>
      <w:r>
        <w:rPr>
          <w:color w:val="365F91" w:themeColor="accent1" w:themeShade="BF"/>
        </w:rPr>
        <w:t xml:space="preserve"> </w:t>
      </w:r>
      <w:r w:rsidRPr="0004259C">
        <w:rPr>
          <w:color w:val="365F91" w:themeColor="accent1" w:themeShade="BF"/>
        </w:rPr>
        <w:t xml:space="preserve">it </w:t>
      </w:r>
      <w:r>
        <w:rPr>
          <w:color w:val="365F91" w:themeColor="accent1" w:themeShade="BF"/>
        </w:rPr>
        <w:t>can be</w:t>
      </w:r>
      <w:r w:rsidRPr="0004259C">
        <w:rPr>
          <w:color w:val="365F91" w:themeColor="accent1" w:themeShade="BF"/>
        </w:rPr>
        <w:t xml:space="preserve"> assumed that MBS item 51020 (simple fixation of part of one vertebra (not motion segment) including pars interarticularis, spinous process or pedicle, or simple interspinous wiring between 2 adjacent vertebral levels) is analogous to MBS item 48678. For patients requiring </w:t>
      </w:r>
      <w:r w:rsidRPr="00A04A19">
        <w:rPr>
          <w:color w:val="365F91" w:themeColor="accent1" w:themeShade="BF"/>
        </w:rPr>
        <w:t xml:space="preserve">IDSs at two levels, it is assumed that this fee will be multiplied by 1.5 (using the MBS multiple item rule). </w:t>
      </w:r>
      <w:r w:rsidRPr="00A04A19">
        <w:rPr>
          <w:b/>
          <w:bCs/>
          <w:color w:val="365F91" w:themeColor="accent1" w:themeShade="BF"/>
        </w:rPr>
        <w:t>Thus, the expected fees for implantation are $789.35 and $1,184.03 for one level and two levels respectively</w:t>
      </w:r>
      <w:r w:rsidRPr="00A04A19">
        <w:rPr>
          <w:color w:val="365F91" w:themeColor="accent1" w:themeShade="BF"/>
        </w:rPr>
        <w:t xml:space="preserve">. Note that this is an estimate and a full fee justification </w:t>
      </w:r>
      <w:proofErr w:type="gramStart"/>
      <w:r w:rsidRPr="00A04A19">
        <w:rPr>
          <w:color w:val="365F91" w:themeColor="accent1" w:themeShade="BF"/>
        </w:rPr>
        <w:t>will be presented</w:t>
      </w:r>
      <w:proofErr w:type="gramEnd"/>
      <w:r w:rsidRPr="00A04A19">
        <w:rPr>
          <w:color w:val="365F91" w:themeColor="accent1" w:themeShade="BF"/>
        </w:rPr>
        <w:t xml:space="preserve"> in the final ADAR. The total amount requested is less the proposed fee for </w:t>
      </w:r>
      <w:proofErr w:type="spellStart"/>
      <w:r w:rsidRPr="00A04A19">
        <w:rPr>
          <w:color w:val="365F91" w:themeColor="accent1" w:themeShade="BF"/>
        </w:rPr>
        <w:t>Coflex</w:t>
      </w:r>
      <w:proofErr w:type="spellEnd"/>
      <w:r w:rsidRPr="00A04A19">
        <w:rPr>
          <w:color w:val="365F91" w:themeColor="accent1" w:themeShade="BF"/>
        </w:rPr>
        <w:t xml:space="preserve"> in MSAC Application 1422; however, the lower amount is justified by the reduced complexity of the procedure (</w:t>
      </w:r>
      <w:proofErr w:type="spellStart"/>
      <w:r w:rsidRPr="00A04A19">
        <w:rPr>
          <w:color w:val="365F91" w:themeColor="accent1" w:themeShade="BF"/>
        </w:rPr>
        <w:t>Coflex</w:t>
      </w:r>
      <w:proofErr w:type="spellEnd"/>
      <w:r w:rsidRPr="00A04A19">
        <w:rPr>
          <w:color w:val="365F91" w:themeColor="accent1" w:themeShade="BF"/>
        </w:rPr>
        <w:t xml:space="preserve"> requires adjunctive decompression). </w:t>
      </w:r>
    </w:p>
    <w:p w14:paraId="5A71FC78" w14:textId="77777777" w:rsidR="008F566C" w:rsidRPr="0004259C" w:rsidRDefault="008F566C" w:rsidP="008F566C">
      <w:pPr>
        <w:ind w:left="284"/>
        <w:rPr>
          <w:color w:val="365F91" w:themeColor="accent1" w:themeShade="BF"/>
        </w:rPr>
      </w:pPr>
      <w:r w:rsidRPr="00A04A19">
        <w:rPr>
          <w:color w:val="365F91" w:themeColor="accent1" w:themeShade="BF"/>
        </w:rPr>
        <w:t>As per the calculations provided in MSAC Application 1099, it is assumed that the number of levels treated would be the same for the comparator treatment of fusion surgery (i.e. 69% at one level,</w:t>
      </w:r>
      <w:r w:rsidRPr="0004259C">
        <w:rPr>
          <w:color w:val="365F91" w:themeColor="accent1" w:themeShade="BF"/>
        </w:rPr>
        <w:t xml:space="preserve"> 31% at two levels)</w:t>
      </w:r>
      <w:r>
        <w:rPr>
          <w:color w:val="365F91" w:themeColor="accent1" w:themeShade="BF"/>
        </w:rPr>
        <w:t>.</w:t>
      </w:r>
    </w:p>
    <w:p w14:paraId="61EF6507" w14:textId="77777777" w:rsidR="008F566C" w:rsidRDefault="008F566C" w:rsidP="008F566C">
      <w:pPr>
        <w:ind w:left="284"/>
        <w:rPr>
          <w:color w:val="365F91" w:themeColor="accent1" w:themeShade="BF"/>
        </w:rPr>
      </w:pPr>
      <w:bookmarkStart w:id="8" w:name="_bookmark45"/>
      <w:bookmarkEnd w:id="8"/>
      <w:r w:rsidRPr="0004259C">
        <w:rPr>
          <w:color w:val="365F91" w:themeColor="accent1" w:themeShade="BF"/>
        </w:rPr>
        <w:t xml:space="preserve">Based on these assumptions, </w:t>
      </w:r>
      <w:r w:rsidRPr="0004259C">
        <w:rPr>
          <w:color w:val="365F91" w:themeColor="accent1" w:themeShade="BF"/>
        </w:rPr>
        <w:fldChar w:fldCharType="begin"/>
      </w:r>
      <w:r w:rsidRPr="0004259C">
        <w:rPr>
          <w:color w:val="365F91" w:themeColor="accent1" w:themeShade="BF"/>
        </w:rPr>
        <w:instrText xml:space="preserve"> REF _Ref44596882 \h </w:instrText>
      </w:r>
      <w:r>
        <w:rPr>
          <w:color w:val="365F91" w:themeColor="accent1" w:themeShade="BF"/>
        </w:rPr>
        <w:instrText xml:space="preserve"> \* MERGEFORMAT </w:instrText>
      </w:r>
      <w:r w:rsidRPr="0004259C">
        <w:rPr>
          <w:color w:val="365F91" w:themeColor="accent1" w:themeShade="BF"/>
        </w:rPr>
      </w:r>
      <w:r w:rsidRPr="0004259C">
        <w:rPr>
          <w:color w:val="365F91" w:themeColor="accent1" w:themeShade="BF"/>
        </w:rPr>
        <w:fldChar w:fldCharType="separate"/>
      </w:r>
      <w:r>
        <w:rPr>
          <w:color w:val="365F91" w:themeColor="accent1" w:themeShade="BF"/>
        </w:rPr>
        <w:t>the</w:t>
      </w:r>
      <w:r w:rsidRPr="0004259C">
        <w:rPr>
          <w:color w:val="365F91" w:themeColor="accent1" w:themeShade="BF"/>
        </w:rPr>
        <w:fldChar w:fldCharType="end"/>
      </w:r>
      <w:r>
        <w:rPr>
          <w:color w:val="365F91" w:themeColor="accent1" w:themeShade="BF"/>
        </w:rPr>
        <w:t xml:space="preserve"> table below</w:t>
      </w:r>
      <w:r w:rsidRPr="0004259C">
        <w:rPr>
          <w:color w:val="365F91" w:themeColor="accent1" w:themeShade="BF"/>
        </w:rPr>
        <w:t xml:space="preserve"> shows the estimated cost-components </w:t>
      </w:r>
      <w:r>
        <w:rPr>
          <w:color w:val="365F91" w:themeColor="accent1" w:themeShade="BF"/>
        </w:rPr>
        <w:t xml:space="preserve">associated with inserting IDSs. Note that additional cost associated with IDS insertion include the cost of the prosthesis itself, and the cost of a day hospital stay. </w:t>
      </w:r>
      <w:r w:rsidRPr="00B52C75">
        <w:rPr>
          <w:color w:val="365F91" w:themeColor="accent1" w:themeShade="BF"/>
        </w:rPr>
        <w:t xml:space="preserve">In contrast to decompression and fusion surgery, which require an in-hospital stay of up to several nights, </w:t>
      </w:r>
      <w:r>
        <w:rPr>
          <w:color w:val="365F91" w:themeColor="accent1" w:themeShade="BF"/>
        </w:rPr>
        <w:t>IDS</w:t>
      </w:r>
      <w:r w:rsidRPr="00B52C75">
        <w:rPr>
          <w:color w:val="365F91" w:themeColor="accent1" w:themeShade="BF"/>
        </w:rPr>
        <w:t xml:space="preserve"> placement in Australia would typically be performed as a same-day inpatient admission.</w:t>
      </w:r>
    </w:p>
    <w:p w14:paraId="3803AACA" w14:textId="77777777" w:rsidR="008F566C" w:rsidRPr="00A04A19" w:rsidRDefault="008F566C" w:rsidP="008F566C">
      <w:pPr>
        <w:pStyle w:val="Tabletext"/>
        <w:ind w:firstLine="284"/>
        <w:rPr>
          <w:b/>
          <w:bCs/>
          <w:color w:val="365F91" w:themeColor="accent1" w:themeShade="BF"/>
        </w:rPr>
      </w:pPr>
      <w:r w:rsidRPr="00A04A19">
        <w:rPr>
          <w:b/>
          <w:bCs/>
          <w:color w:val="365F91" w:themeColor="accent1" w:themeShade="BF"/>
        </w:rPr>
        <w:t xml:space="preserve">Table </w:t>
      </w:r>
      <w:r w:rsidRPr="00A04A19">
        <w:rPr>
          <w:b/>
          <w:bCs/>
          <w:color w:val="365F91" w:themeColor="accent1" w:themeShade="BF"/>
        </w:rPr>
        <w:fldChar w:fldCharType="begin"/>
      </w:r>
      <w:r w:rsidRPr="00A04A19">
        <w:rPr>
          <w:b/>
          <w:bCs/>
          <w:color w:val="365F91" w:themeColor="accent1" w:themeShade="BF"/>
        </w:rPr>
        <w:instrText xml:space="preserve"> SEQ Table \* ARABIC </w:instrText>
      </w:r>
      <w:r w:rsidRPr="00A04A19">
        <w:rPr>
          <w:b/>
          <w:bCs/>
          <w:color w:val="365F91" w:themeColor="accent1" w:themeShade="BF"/>
        </w:rPr>
        <w:fldChar w:fldCharType="separate"/>
      </w:r>
      <w:r>
        <w:rPr>
          <w:b/>
          <w:bCs/>
          <w:noProof/>
          <w:color w:val="365F91" w:themeColor="accent1" w:themeShade="BF"/>
        </w:rPr>
        <w:t>3</w:t>
      </w:r>
      <w:r w:rsidRPr="00A04A19">
        <w:rPr>
          <w:b/>
          <w:bCs/>
          <w:color w:val="365F91" w:themeColor="accent1" w:themeShade="BF"/>
        </w:rPr>
        <w:fldChar w:fldCharType="end"/>
      </w:r>
      <w:r w:rsidRPr="00A04A19">
        <w:rPr>
          <w:b/>
          <w:bCs/>
          <w:color w:val="365F91" w:themeColor="accent1" w:themeShade="BF"/>
        </w:rPr>
        <w:t>: Estimated</w:t>
      </w:r>
      <w:r>
        <w:rPr>
          <w:b/>
          <w:bCs/>
          <w:color w:val="365F91" w:themeColor="accent1" w:themeShade="BF"/>
        </w:rPr>
        <w:t xml:space="preserve"> procedure cost for proposed MBS items for IDS</w:t>
      </w:r>
    </w:p>
    <w:tbl>
      <w:tblPr>
        <w:tblW w:w="484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373"/>
        <w:gridCol w:w="1559"/>
        <w:gridCol w:w="1555"/>
        <w:gridCol w:w="1557"/>
      </w:tblGrid>
      <w:tr w:rsidR="008F566C" w:rsidRPr="00AD113B" w14:paraId="4F253846" w14:textId="77777777" w:rsidTr="008F566C">
        <w:tc>
          <w:tcPr>
            <w:tcW w:w="15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FBBDAC6" w14:textId="77777777" w:rsidR="008F566C" w:rsidRPr="008A7BEA" w:rsidRDefault="008F566C" w:rsidP="008F566C">
            <w:pPr>
              <w:pStyle w:val="Tabletext"/>
              <w:rPr>
                <w:color w:val="365F91" w:themeColor="accent1" w:themeShade="BF"/>
              </w:rPr>
            </w:pPr>
            <w:r w:rsidRPr="008A7BEA">
              <w:rPr>
                <w:color w:val="365F91" w:themeColor="accent1" w:themeShade="BF"/>
              </w:rPr>
              <w:t>Procedure component</w:t>
            </w:r>
          </w:p>
        </w:tc>
        <w:tc>
          <w:tcPr>
            <w:tcW w:w="1678"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64C4E480" w14:textId="77777777" w:rsidR="008F566C" w:rsidRPr="008A7BEA" w:rsidRDefault="008F566C" w:rsidP="008F566C">
            <w:pPr>
              <w:pStyle w:val="Tabletext"/>
              <w:rPr>
                <w:color w:val="365F91" w:themeColor="accent1" w:themeShade="BF"/>
              </w:rPr>
            </w:pPr>
            <w:r w:rsidRPr="008A7BEA">
              <w:rPr>
                <w:color w:val="365F91" w:themeColor="accent1" w:themeShade="BF"/>
              </w:rPr>
              <w:t>1 level</w:t>
            </w:r>
          </w:p>
        </w:tc>
        <w:tc>
          <w:tcPr>
            <w:tcW w:w="178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07EE507" w14:textId="77777777" w:rsidR="008F566C" w:rsidRPr="008A7BEA" w:rsidRDefault="008F566C" w:rsidP="008F566C">
            <w:pPr>
              <w:pStyle w:val="Tabletext"/>
              <w:rPr>
                <w:color w:val="365F91" w:themeColor="accent1" w:themeShade="BF"/>
              </w:rPr>
            </w:pPr>
            <w:r w:rsidRPr="008A7BEA">
              <w:rPr>
                <w:color w:val="365F91" w:themeColor="accent1" w:themeShade="BF"/>
              </w:rPr>
              <w:t>2 levels</w:t>
            </w:r>
          </w:p>
        </w:tc>
      </w:tr>
      <w:tr w:rsidR="008F566C" w:rsidRPr="00AD113B" w14:paraId="68BDFA6F" w14:textId="77777777" w:rsidTr="008F566C">
        <w:tc>
          <w:tcPr>
            <w:tcW w:w="15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61ECC3A6" w14:textId="77777777" w:rsidR="008F566C" w:rsidRPr="008A7BEA" w:rsidRDefault="008F566C" w:rsidP="008F566C">
            <w:pPr>
              <w:pStyle w:val="Tabletext"/>
              <w:rPr>
                <w:color w:val="365F91" w:themeColor="accent1" w:themeShade="BF"/>
              </w:rPr>
            </w:pPr>
            <w:r w:rsidRPr="008A7BEA">
              <w:rPr>
                <w:color w:val="365F91" w:themeColor="accent1" w:themeShade="BF"/>
              </w:rPr>
              <w:t> </w:t>
            </w:r>
          </w:p>
        </w:tc>
        <w:tc>
          <w:tcPr>
            <w:tcW w:w="7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531A9890" w14:textId="77777777" w:rsidR="008F566C" w:rsidRPr="008A7BEA" w:rsidRDefault="008F566C" w:rsidP="008F566C">
            <w:pPr>
              <w:pStyle w:val="Tabletext"/>
              <w:rPr>
                <w:color w:val="365F91" w:themeColor="accent1" w:themeShade="BF"/>
              </w:rPr>
            </w:pPr>
            <w:r w:rsidRPr="008A7BEA">
              <w:rPr>
                <w:color w:val="365F91" w:themeColor="accent1" w:themeShade="BF"/>
              </w:rPr>
              <w:t>MBS item</w:t>
            </w:r>
          </w:p>
        </w:tc>
        <w:tc>
          <w:tcPr>
            <w:tcW w:w="8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3E5B9D4F" w14:textId="77777777" w:rsidR="008F566C" w:rsidRPr="008A7BEA" w:rsidRDefault="008F566C" w:rsidP="008F566C">
            <w:pPr>
              <w:pStyle w:val="Tabletext"/>
              <w:rPr>
                <w:color w:val="365F91" w:themeColor="accent1" w:themeShade="BF"/>
              </w:rPr>
            </w:pPr>
            <w:r w:rsidRPr="008A7BEA">
              <w:rPr>
                <w:color w:val="365F91" w:themeColor="accent1" w:themeShade="BF"/>
              </w:rPr>
              <w:t>Cost</w:t>
            </w:r>
          </w:p>
        </w:tc>
        <w:tc>
          <w:tcPr>
            <w:tcW w:w="8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5BAEC719" w14:textId="77777777" w:rsidR="008F566C" w:rsidRPr="008A7BEA" w:rsidRDefault="008F566C" w:rsidP="008F566C">
            <w:pPr>
              <w:pStyle w:val="Tabletext"/>
              <w:rPr>
                <w:color w:val="365F91" w:themeColor="accent1" w:themeShade="BF"/>
              </w:rPr>
            </w:pPr>
            <w:r w:rsidRPr="008A7BEA">
              <w:rPr>
                <w:color w:val="365F91" w:themeColor="accent1" w:themeShade="BF"/>
              </w:rPr>
              <w:t>MBS item</w:t>
            </w:r>
          </w:p>
        </w:tc>
        <w:tc>
          <w:tcPr>
            <w:tcW w:w="8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5B18FD65" w14:textId="77777777" w:rsidR="008F566C" w:rsidRPr="008A7BEA" w:rsidRDefault="008F566C" w:rsidP="008F566C">
            <w:pPr>
              <w:pStyle w:val="Tabletext"/>
              <w:rPr>
                <w:color w:val="365F91" w:themeColor="accent1" w:themeShade="BF"/>
              </w:rPr>
            </w:pPr>
            <w:r w:rsidRPr="008A7BEA">
              <w:rPr>
                <w:color w:val="365F91" w:themeColor="accent1" w:themeShade="BF"/>
              </w:rPr>
              <w:t>Cost</w:t>
            </w:r>
          </w:p>
        </w:tc>
      </w:tr>
      <w:tr w:rsidR="008F566C" w:rsidRPr="00AD113B" w14:paraId="790122AD" w14:textId="77777777" w:rsidTr="008F566C">
        <w:tc>
          <w:tcPr>
            <w:tcW w:w="15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5B3D5FFF" w14:textId="77777777" w:rsidR="008F566C" w:rsidRPr="008A7BEA" w:rsidRDefault="008F566C" w:rsidP="008F566C">
            <w:pPr>
              <w:pStyle w:val="Tabletext"/>
              <w:rPr>
                <w:color w:val="365F91" w:themeColor="accent1" w:themeShade="BF"/>
              </w:rPr>
            </w:pPr>
            <w:r w:rsidRPr="008A7BEA">
              <w:rPr>
                <w:color w:val="365F91" w:themeColor="accent1" w:themeShade="BF"/>
              </w:rPr>
              <w:t>Anaesthesia</w:t>
            </w:r>
          </w:p>
        </w:tc>
        <w:tc>
          <w:tcPr>
            <w:tcW w:w="1678"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5C989426" w14:textId="77777777" w:rsidR="008F566C" w:rsidRPr="008A7BEA" w:rsidRDefault="008F566C" w:rsidP="008F566C">
            <w:pPr>
              <w:pStyle w:val="Tabletext"/>
              <w:rPr>
                <w:color w:val="365F91" w:themeColor="accent1" w:themeShade="BF"/>
              </w:rPr>
            </w:pPr>
            <w:r w:rsidRPr="008A7BEA">
              <w:rPr>
                <w:color w:val="365F91" w:themeColor="accent1" w:themeShade="BF"/>
              </w:rPr>
              <w:t> </w:t>
            </w:r>
          </w:p>
        </w:tc>
        <w:tc>
          <w:tcPr>
            <w:tcW w:w="178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64785FD4" w14:textId="77777777" w:rsidR="008F566C" w:rsidRPr="008A7BEA" w:rsidRDefault="008F566C" w:rsidP="008F566C">
            <w:pPr>
              <w:pStyle w:val="Tabletext"/>
              <w:rPr>
                <w:color w:val="365F91" w:themeColor="accent1" w:themeShade="BF"/>
              </w:rPr>
            </w:pPr>
            <w:r w:rsidRPr="008A7BEA">
              <w:rPr>
                <w:color w:val="365F91" w:themeColor="accent1" w:themeShade="BF"/>
              </w:rPr>
              <w:t> </w:t>
            </w:r>
          </w:p>
        </w:tc>
      </w:tr>
      <w:tr w:rsidR="008F566C" w:rsidRPr="00AD113B" w14:paraId="53BD5FB3" w14:textId="77777777" w:rsidTr="008F566C">
        <w:tc>
          <w:tcPr>
            <w:tcW w:w="15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3B9C3ECF" w14:textId="77777777" w:rsidR="008F566C" w:rsidRPr="008A7BEA" w:rsidRDefault="008F566C" w:rsidP="008F566C">
            <w:pPr>
              <w:pStyle w:val="Tabletext"/>
              <w:rPr>
                <w:color w:val="365F91" w:themeColor="accent1" w:themeShade="BF"/>
              </w:rPr>
            </w:pPr>
            <w:r w:rsidRPr="008A7BEA">
              <w:rPr>
                <w:color w:val="365F91" w:themeColor="accent1" w:themeShade="BF"/>
              </w:rPr>
              <w:t xml:space="preserve">Anaesthesia initiation </w:t>
            </w:r>
          </w:p>
        </w:tc>
        <w:tc>
          <w:tcPr>
            <w:tcW w:w="7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4225DB1" w14:textId="77777777" w:rsidR="008F566C" w:rsidRPr="008A7BEA" w:rsidRDefault="008F566C" w:rsidP="008F566C">
            <w:pPr>
              <w:pStyle w:val="Tabletext"/>
              <w:rPr>
                <w:color w:val="365F91" w:themeColor="accent1" w:themeShade="BF"/>
              </w:rPr>
            </w:pPr>
            <w:r w:rsidRPr="008A7BEA">
              <w:rPr>
                <w:color w:val="365F91" w:themeColor="accent1" w:themeShade="BF"/>
              </w:rPr>
              <w:t>20670</w:t>
            </w:r>
          </w:p>
        </w:tc>
        <w:tc>
          <w:tcPr>
            <w:tcW w:w="8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65714EFA" w14:textId="77777777" w:rsidR="008F566C" w:rsidRPr="008A7BEA" w:rsidRDefault="008F566C" w:rsidP="008F566C">
            <w:pPr>
              <w:pStyle w:val="Tabletext"/>
              <w:rPr>
                <w:color w:val="365F91" w:themeColor="accent1" w:themeShade="BF"/>
              </w:rPr>
            </w:pPr>
            <w:r w:rsidRPr="008A7BEA">
              <w:rPr>
                <w:color w:val="365F91" w:themeColor="accent1" w:themeShade="BF"/>
              </w:rPr>
              <w:t>$163</w:t>
            </w:r>
          </w:p>
        </w:tc>
        <w:tc>
          <w:tcPr>
            <w:tcW w:w="8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46EFBA71" w14:textId="77777777" w:rsidR="008F566C" w:rsidRPr="008A7BEA" w:rsidRDefault="008F566C" w:rsidP="008F566C">
            <w:pPr>
              <w:pStyle w:val="Tabletext"/>
              <w:rPr>
                <w:color w:val="365F91" w:themeColor="accent1" w:themeShade="BF"/>
              </w:rPr>
            </w:pPr>
            <w:r w:rsidRPr="008A7BEA">
              <w:rPr>
                <w:color w:val="365F91" w:themeColor="accent1" w:themeShade="BF"/>
              </w:rPr>
              <w:t>20670</w:t>
            </w:r>
          </w:p>
        </w:tc>
        <w:tc>
          <w:tcPr>
            <w:tcW w:w="8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5D050EC" w14:textId="77777777" w:rsidR="008F566C" w:rsidRPr="008A7BEA" w:rsidRDefault="008F566C" w:rsidP="008F566C">
            <w:pPr>
              <w:pStyle w:val="Tabletext"/>
              <w:rPr>
                <w:color w:val="365F91" w:themeColor="accent1" w:themeShade="BF"/>
              </w:rPr>
            </w:pPr>
            <w:r w:rsidRPr="008A7BEA">
              <w:rPr>
                <w:color w:val="365F91" w:themeColor="accent1" w:themeShade="BF"/>
              </w:rPr>
              <w:t>$163</w:t>
            </w:r>
          </w:p>
        </w:tc>
      </w:tr>
      <w:tr w:rsidR="008F566C" w:rsidRPr="00AD113B" w14:paraId="0F556A40" w14:textId="77777777" w:rsidTr="008F566C">
        <w:tc>
          <w:tcPr>
            <w:tcW w:w="15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30D3A82" w14:textId="77777777" w:rsidR="008F566C" w:rsidRPr="008A7BEA" w:rsidRDefault="008F566C" w:rsidP="008F566C">
            <w:pPr>
              <w:pStyle w:val="Tabletext"/>
              <w:rPr>
                <w:color w:val="365F91" w:themeColor="accent1" w:themeShade="BF"/>
              </w:rPr>
            </w:pPr>
            <w:r w:rsidRPr="008A7BEA">
              <w:rPr>
                <w:color w:val="365F91" w:themeColor="accent1" w:themeShade="BF"/>
              </w:rPr>
              <w:t xml:space="preserve">Time units 46 minutes-1 hour </w:t>
            </w:r>
          </w:p>
        </w:tc>
        <w:tc>
          <w:tcPr>
            <w:tcW w:w="7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4D8A56F5" w14:textId="77777777" w:rsidR="008F566C" w:rsidRPr="008A7BEA" w:rsidRDefault="008F566C" w:rsidP="008F566C">
            <w:pPr>
              <w:pStyle w:val="Tabletext"/>
              <w:rPr>
                <w:color w:val="365F91" w:themeColor="accent1" w:themeShade="BF"/>
              </w:rPr>
            </w:pPr>
            <w:r w:rsidRPr="008A7BEA">
              <w:rPr>
                <w:color w:val="365F91" w:themeColor="accent1" w:themeShade="BF"/>
              </w:rPr>
              <w:t>23045</w:t>
            </w:r>
          </w:p>
        </w:tc>
        <w:tc>
          <w:tcPr>
            <w:tcW w:w="8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4F36C4A7" w14:textId="77777777" w:rsidR="008F566C" w:rsidRPr="008A7BEA" w:rsidRDefault="008F566C" w:rsidP="008F566C">
            <w:pPr>
              <w:pStyle w:val="Tabletext"/>
              <w:rPr>
                <w:color w:val="365F91" w:themeColor="accent1" w:themeShade="BF"/>
              </w:rPr>
            </w:pPr>
            <w:r w:rsidRPr="008A7BEA">
              <w:rPr>
                <w:color w:val="365F91" w:themeColor="accent1" w:themeShade="BF"/>
              </w:rPr>
              <w:t>$82</w:t>
            </w:r>
          </w:p>
        </w:tc>
        <w:tc>
          <w:tcPr>
            <w:tcW w:w="8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32317BC" w14:textId="77777777" w:rsidR="008F566C" w:rsidRPr="008A7BEA" w:rsidRDefault="008F566C" w:rsidP="008F566C">
            <w:pPr>
              <w:pStyle w:val="Tabletext"/>
              <w:rPr>
                <w:color w:val="365F91" w:themeColor="accent1" w:themeShade="BF"/>
              </w:rPr>
            </w:pPr>
            <w:r w:rsidRPr="008A7BEA">
              <w:rPr>
                <w:color w:val="365F91" w:themeColor="accent1" w:themeShade="BF"/>
              </w:rPr>
              <w:t>23045</w:t>
            </w:r>
          </w:p>
        </w:tc>
        <w:tc>
          <w:tcPr>
            <w:tcW w:w="8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4522B56" w14:textId="77777777" w:rsidR="008F566C" w:rsidRPr="008A7BEA" w:rsidRDefault="008F566C" w:rsidP="008F566C">
            <w:pPr>
              <w:pStyle w:val="Tabletext"/>
              <w:rPr>
                <w:color w:val="365F91" w:themeColor="accent1" w:themeShade="BF"/>
              </w:rPr>
            </w:pPr>
            <w:r w:rsidRPr="008A7BEA">
              <w:rPr>
                <w:color w:val="365F91" w:themeColor="accent1" w:themeShade="BF"/>
              </w:rPr>
              <w:t>$82</w:t>
            </w:r>
          </w:p>
        </w:tc>
      </w:tr>
      <w:tr w:rsidR="008F566C" w:rsidRPr="00AD113B" w14:paraId="0083DC91" w14:textId="77777777" w:rsidTr="008F566C">
        <w:tc>
          <w:tcPr>
            <w:tcW w:w="15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5AD9C1EF" w14:textId="77777777" w:rsidR="008F566C" w:rsidRPr="008A7BEA" w:rsidRDefault="008F566C" w:rsidP="008F566C">
            <w:pPr>
              <w:pStyle w:val="Tabletext"/>
              <w:rPr>
                <w:color w:val="365F91" w:themeColor="accent1" w:themeShade="BF"/>
              </w:rPr>
            </w:pPr>
            <w:r w:rsidRPr="008A7BEA">
              <w:rPr>
                <w:color w:val="365F91" w:themeColor="accent1" w:themeShade="BF"/>
              </w:rPr>
              <w:t>Age modifier (over 70 years) (27%)</w:t>
            </w:r>
          </w:p>
        </w:tc>
        <w:tc>
          <w:tcPr>
            <w:tcW w:w="7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6EF1DFDD" w14:textId="77777777" w:rsidR="008F566C" w:rsidRPr="008A7BEA" w:rsidRDefault="008F566C" w:rsidP="008F566C">
            <w:pPr>
              <w:pStyle w:val="Tabletext"/>
              <w:rPr>
                <w:color w:val="365F91" w:themeColor="accent1" w:themeShade="BF"/>
              </w:rPr>
            </w:pPr>
            <w:r w:rsidRPr="008A7BEA">
              <w:rPr>
                <w:color w:val="365F91" w:themeColor="accent1" w:themeShade="BF"/>
              </w:rPr>
              <w:t>25014</w:t>
            </w:r>
          </w:p>
        </w:tc>
        <w:tc>
          <w:tcPr>
            <w:tcW w:w="8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50260CA8" w14:textId="77777777" w:rsidR="008F566C" w:rsidRPr="008A7BEA" w:rsidRDefault="008F566C" w:rsidP="008F566C">
            <w:pPr>
              <w:pStyle w:val="Tabletext"/>
              <w:rPr>
                <w:color w:val="365F91" w:themeColor="accent1" w:themeShade="BF"/>
              </w:rPr>
            </w:pPr>
            <w:r w:rsidRPr="008A7BEA">
              <w:rPr>
                <w:color w:val="365F91" w:themeColor="accent1" w:themeShade="BF"/>
              </w:rPr>
              <w:t>$6</w:t>
            </w:r>
            <w:r>
              <w:rPr>
                <w:color w:val="365F91" w:themeColor="accent1" w:themeShade="BF"/>
              </w:rPr>
              <w:t xml:space="preserve"> (</w:t>
            </w:r>
            <w:r w:rsidRPr="008A7BEA">
              <w:rPr>
                <w:color w:val="365F91" w:themeColor="accent1" w:themeShade="BF"/>
              </w:rPr>
              <w:t>$17.15</w:t>
            </w:r>
            <w:r>
              <w:rPr>
                <w:color w:val="365F91" w:themeColor="accent1" w:themeShade="BF"/>
              </w:rPr>
              <w:t xml:space="preserve"> </w:t>
            </w:r>
            <w:r w:rsidRPr="008A7BEA">
              <w:rPr>
                <w:color w:val="365F91" w:themeColor="accent1" w:themeShade="BF"/>
              </w:rPr>
              <w:t>x</w:t>
            </w:r>
            <w:r>
              <w:rPr>
                <w:color w:val="365F91" w:themeColor="accent1" w:themeShade="BF"/>
              </w:rPr>
              <w:t xml:space="preserve"> </w:t>
            </w:r>
            <w:r w:rsidRPr="008A7BEA">
              <w:rPr>
                <w:color w:val="365F91" w:themeColor="accent1" w:themeShade="BF"/>
              </w:rPr>
              <w:t>27%)</w:t>
            </w:r>
          </w:p>
        </w:tc>
        <w:tc>
          <w:tcPr>
            <w:tcW w:w="8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5EC06E1C" w14:textId="77777777" w:rsidR="008F566C" w:rsidRPr="008A7BEA" w:rsidRDefault="008F566C" w:rsidP="008F566C">
            <w:pPr>
              <w:pStyle w:val="Tabletext"/>
              <w:rPr>
                <w:color w:val="365F91" w:themeColor="accent1" w:themeShade="BF"/>
              </w:rPr>
            </w:pPr>
            <w:r w:rsidRPr="008A7BEA">
              <w:rPr>
                <w:color w:val="365F91" w:themeColor="accent1" w:themeShade="BF"/>
              </w:rPr>
              <w:t>25014</w:t>
            </w:r>
          </w:p>
        </w:tc>
        <w:tc>
          <w:tcPr>
            <w:tcW w:w="8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174D034A" w14:textId="77777777" w:rsidR="008F566C" w:rsidRPr="008A7BEA" w:rsidRDefault="008F566C" w:rsidP="008F566C">
            <w:pPr>
              <w:pStyle w:val="Tabletext"/>
              <w:rPr>
                <w:color w:val="365F91" w:themeColor="accent1" w:themeShade="BF"/>
              </w:rPr>
            </w:pPr>
            <w:r w:rsidRPr="008A7BEA">
              <w:rPr>
                <w:color w:val="365F91" w:themeColor="accent1" w:themeShade="BF"/>
              </w:rPr>
              <w:t>$</w:t>
            </w:r>
            <w:r>
              <w:rPr>
                <w:color w:val="365F91" w:themeColor="accent1" w:themeShade="BF"/>
              </w:rPr>
              <w:t>6 (</w:t>
            </w:r>
            <w:r w:rsidRPr="008A7BEA">
              <w:rPr>
                <w:color w:val="365F91" w:themeColor="accent1" w:themeShade="BF"/>
              </w:rPr>
              <w:t>$17.15</w:t>
            </w:r>
            <w:r>
              <w:rPr>
                <w:color w:val="365F91" w:themeColor="accent1" w:themeShade="BF"/>
              </w:rPr>
              <w:t xml:space="preserve"> </w:t>
            </w:r>
            <w:r w:rsidRPr="008A7BEA">
              <w:rPr>
                <w:color w:val="365F91" w:themeColor="accent1" w:themeShade="BF"/>
              </w:rPr>
              <w:t>x</w:t>
            </w:r>
            <w:r>
              <w:rPr>
                <w:color w:val="365F91" w:themeColor="accent1" w:themeShade="BF"/>
              </w:rPr>
              <w:t xml:space="preserve"> </w:t>
            </w:r>
            <w:r w:rsidRPr="008A7BEA">
              <w:rPr>
                <w:color w:val="365F91" w:themeColor="accent1" w:themeShade="BF"/>
              </w:rPr>
              <w:t>27%)</w:t>
            </w:r>
          </w:p>
        </w:tc>
      </w:tr>
      <w:tr w:rsidR="008F566C" w:rsidRPr="00002118" w14:paraId="6EAD437A" w14:textId="77777777" w:rsidTr="008F566C">
        <w:tc>
          <w:tcPr>
            <w:tcW w:w="15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5DB1605E" w14:textId="77777777" w:rsidR="008F566C" w:rsidRPr="008A7BEA" w:rsidRDefault="008F566C" w:rsidP="008F566C">
            <w:pPr>
              <w:pStyle w:val="Tabletext"/>
              <w:rPr>
                <w:color w:val="365F91" w:themeColor="accent1" w:themeShade="BF"/>
              </w:rPr>
            </w:pPr>
            <w:r w:rsidRPr="008A7BEA">
              <w:rPr>
                <w:color w:val="365F91" w:themeColor="accent1" w:themeShade="BF"/>
              </w:rPr>
              <w:t>Total</w:t>
            </w:r>
          </w:p>
        </w:tc>
        <w:tc>
          <w:tcPr>
            <w:tcW w:w="1678"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8CAF11B" w14:textId="77777777" w:rsidR="008F566C" w:rsidRPr="008A7BEA" w:rsidRDefault="008F566C" w:rsidP="008F566C">
            <w:pPr>
              <w:pStyle w:val="Tabletext"/>
              <w:rPr>
                <w:b/>
                <w:bCs/>
                <w:color w:val="365F91" w:themeColor="accent1" w:themeShade="BF"/>
              </w:rPr>
            </w:pPr>
            <w:r w:rsidRPr="008A7BEA">
              <w:rPr>
                <w:b/>
                <w:bCs/>
                <w:color w:val="365F91" w:themeColor="accent1" w:themeShade="BF"/>
              </w:rPr>
              <w:t>$250</w:t>
            </w:r>
          </w:p>
        </w:tc>
        <w:tc>
          <w:tcPr>
            <w:tcW w:w="178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1C9080E3" w14:textId="77777777" w:rsidR="008F566C" w:rsidRPr="008A7BEA" w:rsidRDefault="008F566C" w:rsidP="008F566C">
            <w:pPr>
              <w:pStyle w:val="Tabletext"/>
              <w:rPr>
                <w:b/>
                <w:bCs/>
                <w:color w:val="365F91" w:themeColor="accent1" w:themeShade="BF"/>
              </w:rPr>
            </w:pPr>
            <w:r w:rsidRPr="008A7BEA">
              <w:rPr>
                <w:b/>
                <w:bCs/>
                <w:color w:val="365F91" w:themeColor="accent1" w:themeShade="BF"/>
              </w:rPr>
              <w:t>$357</w:t>
            </w:r>
          </w:p>
        </w:tc>
      </w:tr>
      <w:tr w:rsidR="008F566C" w:rsidRPr="00AD113B" w14:paraId="664D1942" w14:textId="77777777" w:rsidTr="008F566C">
        <w:tc>
          <w:tcPr>
            <w:tcW w:w="5000"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802964F" w14:textId="77777777" w:rsidR="008F566C" w:rsidRPr="008A7BEA" w:rsidRDefault="008F566C" w:rsidP="008F566C">
            <w:pPr>
              <w:pStyle w:val="Tabletext"/>
              <w:rPr>
                <w:color w:val="365F91" w:themeColor="accent1" w:themeShade="BF"/>
              </w:rPr>
            </w:pPr>
            <w:r w:rsidRPr="008A7BEA">
              <w:rPr>
                <w:color w:val="365F91" w:themeColor="accent1" w:themeShade="BF"/>
              </w:rPr>
              <w:t>Surgery a</w:t>
            </w:r>
          </w:p>
        </w:tc>
      </w:tr>
      <w:tr w:rsidR="008F566C" w:rsidRPr="00AD113B" w14:paraId="79D987DA" w14:textId="77777777" w:rsidTr="008F566C">
        <w:tc>
          <w:tcPr>
            <w:tcW w:w="15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36CEDA89" w14:textId="77777777" w:rsidR="008F566C" w:rsidRPr="008A7BEA" w:rsidRDefault="008F566C" w:rsidP="008F566C">
            <w:pPr>
              <w:pStyle w:val="Tabletext"/>
              <w:rPr>
                <w:color w:val="365F91" w:themeColor="accent1" w:themeShade="BF"/>
              </w:rPr>
            </w:pPr>
            <w:r>
              <w:rPr>
                <w:color w:val="365F91" w:themeColor="accent1" w:themeShade="BF"/>
              </w:rPr>
              <w:t xml:space="preserve">Proposed item </w:t>
            </w:r>
          </w:p>
        </w:tc>
        <w:tc>
          <w:tcPr>
            <w:tcW w:w="7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38A28047" w14:textId="77777777" w:rsidR="008F566C" w:rsidRPr="008A7BEA" w:rsidRDefault="008F566C" w:rsidP="008F566C">
            <w:pPr>
              <w:pStyle w:val="Tabletext"/>
              <w:rPr>
                <w:color w:val="365F91" w:themeColor="accent1" w:themeShade="BF"/>
              </w:rPr>
            </w:pPr>
            <w:r>
              <w:rPr>
                <w:color w:val="365F91" w:themeColor="accent1" w:themeShade="BF"/>
              </w:rPr>
              <w:t>one level</w:t>
            </w:r>
          </w:p>
        </w:tc>
        <w:tc>
          <w:tcPr>
            <w:tcW w:w="8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4D1FFAB6" w14:textId="77777777" w:rsidR="008F566C" w:rsidRPr="008A7BEA" w:rsidRDefault="008F566C" w:rsidP="008F566C">
            <w:pPr>
              <w:pStyle w:val="Tabletext"/>
              <w:rPr>
                <w:color w:val="365F91" w:themeColor="accent1" w:themeShade="BF"/>
              </w:rPr>
            </w:pPr>
            <w:r w:rsidRPr="008A7BEA">
              <w:rPr>
                <w:color w:val="365F91" w:themeColor="accent1" w:themeShade="BF"/>
              </w:rPr>
              <w:t>$789</w:t>
            </w:r>
          </w:p>
        </w:tc>
        <w:tc>
          <w:tcPr>
            <w:tcW w:w="8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5EE1E691" w14:textId="77777777" w:rsidR="008F566C" w:rsidRPr="008A7BEA" w:rsidRDefault="008F566C" w:rsidP="008F566C">
            <w:pPr>
              <w:pStyle w:val="Tabletext"/>
              <w:rPr>
                <w:color w:val="365F91" w:themeColor="accent1" w:themeShade="BF"/>
              </w:rPr>
            </w:pPr>
            <w:r>
              <w:rPr>
                <w:color w:val="365F91" w:themeColor="accent1" w:themeShade="BF"/>
              </w:rPr>
              <w:t>two levels</w:t>
            </w:r>
          </w:p>
        </w:tc>
        <w:tc>
          <w:tcPr>
            <w:tcW w:w="8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1B572956" w14:textId="77777777" w:rsidR="008F566C" w:rsidRPr="008A7BEA" w:rsidRDefault="008F566C" w:rsidP="008F566C">
            <w:pPr>
              <w:pStyle w:val="Tabletext"/>
              <w:rPr>
                <w:color w:val="365F91" w:themeColor="accent1" w:themeShade="BF"/>
              </w:rPr>
            </w:pPr>
            <w:r w:rsidRPr="008A7BEA">
              <w:rPr>
                <w:color w:val="365F91" w:themeColor="accent1" w:themeShade="BF"/>
              </w:rPr>
              <w:t>$1,184</w:t>
            </w:r>
          </w:p>
        </w:tc>
      </w:tr>
      <w:tr w:rsidR="008F566C" w:rsidRPr="00AD113B" w14:paraId="104F363D" w14:textId="77777777" w:rsidTr="008F566C">
        <w:tc>
          <w:tcPr>
            <w:tcW w:w="15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93DBE91" w14:textId="77777777" w:rsidR="008F566C" w:rsidRPr="008A7BEA" w:rsidRDefault="008F566C" w:rsidP="008F566C">
            <w:pPr>
              <w:pStyle w:val="Tabletext"/>
              <w:rPr>
                <w:color w:val="365F91" w:themeColor="accent1" w:themeShade="BF"/>
              </w:rPr>
            </w:pPr>
            <w:r w:rsidRPr="008A7BEA">
              <w:rPr>
                <w:color w:val="365F91" w:themeColor="accent1" w:themeShade="BF"/>
              </w:rPr>
              <w:t>Assistant 20% of surgery</w:t>
            </w:r>
          </w:p>
        </w:tc>
        <w:tc>
          <w:tcPr>
            <w:tcW w:w="7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40C48AA1" w14:textId="77777777" w:rsidR="008F566C" w:rsidRPr="008A7BEA" w:rsidRDefault="008F566C" w:rsidP="008F566C">
            <w:pPr>
              <w:pStyle w:val="Tabletext"/>
              <w:rPr>
                <w:color w:val="365F91" w:themeColor="accent1" w:themeShade="BF"/>
              </w:rPr>
            </w:pPr>
            <w:r w:rsidRPr="008A7BEA">
              <w:rPr>
                <w:color w:val="365F91" w:themeColor="accent1" w:themeShade="BF"/>
              </w:rPr>
              <w:t>51303</w:t>
            </w:r>
          </w:p>
        </w:tc>
        <w:tc>
          <w:tcPr>
            <w:tcW w:w="8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4F07270B" w14:textId="77777777" w:rsidR="008F566C" w:rsidRPr="008A7BEA" w:rsidRDefault="008F566C" w:rsidP="008F566C">
            <w:pPr>
              <w:pStyle w:val="Tabletext"/>
              <w:rPr>
                <w:color w:val="365F91" w:themeColor="accent1" w:themeShade="BF"/>
              </w:rPr>
            </w:pPr>
            <w:r w:rsidRPr="008A7BEA">
              <w:rPr>
                <w:color w:val="365F91" w:themeColor="accent1" w:themeShade="BF"/>
              </w:rPr>
              <w:t>$158</w:t>
            </w:r>
          </w:p>
        </w:tc>
        <w:tc>
          <w:tcPr>
            <w:tcW w:w="8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6071A1B1" w14:textId="77777777" w:rsidR="008F566C" w:rsidRPr="008A7BEA" w:rsidRDefault="008F566C" w:rsidP="008F566C">
            <w:pPr>
              <w:pStyle w:val="Tabletext"/>
              <w:rPr>
                <w:color w:val="365F91" w:themeColor="accent1" w:themeShade="BF"/>
              </w:rPr>
            </w:pPr>
            <w:r w:rsidRPr="008A7BEA">
              <w:rPr>
                <w:color w:val="365F91" w:themeColor="accent1" w:themeShade="BF"/>
              </w:rPr>
              <w:t>51303</w:t>
            </w:r>
          </w:p>
        </w:tc>
        <w:tc>
          <w:tcPr>
            <w:tcW w:w="8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254F532" w14:textId="77777777" w:rsidR="008F566C" w:rsidRPr="008A7BEA" w:rsidRDefault="008F566C" w:rsidP="008F566C">
            <w:pPr>
              <w:pStyle w:val="Tabletext"/>
              <w:rPr>
                <w:color w:val="365F91" w:themeColor="accent1" w:themeShade="BF"/>
              </w:rPr>
            </w:pPr>
            <w:r w:rsidRPr="008A7BEA">
              <w:rPr>
                <w:color w:val="365F91" w:themeColor="accent1" w:themeShade="BF"/>
              </w:rPr>
              <w:t>$237</w:t>
            </w:r>
          </w:p>
        </w:tc>
      </w:tr>
      <w:tr w:rsidR="008F566C" w:rsidRPr="00AD113B" w14:paraId="22AE87F5" w14:textId="77777777" w:rsidTr="008F566C">
        <w:tc>
          <w:tcPr>
            <w:tcW w:w="15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49E0890B" w14:textId="77777777" w:rsidR="008F566C" w:rsidRPr="008A7BEA" w:rsidRDefault="008F566C" w:rsidP="008F566C">
            <w:pPr>
              <w:pStyle w:val="Tabletext"/>
              <w:rPr>
                <w:color w:val="365F91" w:themeColor="accent1" w:themeShade="BF"/>
              </w:rPr>
            </w:pPr>
            <w:r w:rsidRPr="008A7BEA">
              <w:rPr>
                <w:color w:val="365F91" w:themeColor="accent1" w:themeShade="BF"/>
              </w:rPr>
              <w:t>Imaging</w:t>
            </w:r>
            <w:r>
              <w:rPr>
                <w:color w:val="365F91" w:themeColor="accent1" w:themeShade="BF"/>
              </w:rPr>
              <w:t xml:space="preserve"> (fluoroscopy)</w:t>
            </w:r>
          </w:p>
        </w:tc>
        <w:tc>
          <w:tcPr>
            <w:tcW w:w="7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45F65565" w14:textId="77777777" w:rsidR="008F566C" w:rsidRPr="008A7BEA" w:rsidRDefault="008F566C" w:rsidP="008F566C">
            <w:pPr>
              <w:pStyle w:val="Tabletext"/>
              <w:rPr>
                <w:color w:val="365F91" w:themeColor="accent1" w:themeShade="BF"/>
              </w:rPr>
            </w:pPr>
            <w:r w:rsidRPr="008A7BEA">
              <w:rPr>
                <w:color w:val="365F91" w:themeColor="accent1" w:themeShade="BF"/>
              </w:rPr>
              <w:t>60506</w:t>
            </w:r>
          </w:p>
        </w:tc>
        <w:tc>
          <w:tcPr>
            <w:tcW w:w="8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1636DAD6" w14:textId="77777777" w:rsidR="008F566C" w:rsidRPr="008A7BEA" w:rsidRDefault="008F566C" w:rsidP="008F566C">
            <w:pPr>
              <w:pStyle w:val="Tabletext"/>
              <w:rPr>
                <w:color w:val="365F91" w:themeColor="accent1" w:themeShade="BF"/>
              </w:rPr>
            </w:pPr>
            <w:r w:rsidRPr="008A7BEA">
              <w:rPr>
                <w:color w:val="365F91" w:themeColor="accent1" w:themeShade="BF"/>
              </w:rPr>
              <w:t>$65</w:t>
            </w:r>
          </w:p>
        </w:tc>
        <w:tc>
          <w:tcPr>
            <w:tcW w:w="8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517600BC" w14:textId="77777777" w:rsidR="008F566C" w:rsidRPr="008A7BEA" w:rsidRDefault="008F566C" w:rsidP="008F566C">
            <w:pPr>
              <w:pStyle w:val="Tabletext"/>
              <w:rPr>
                <w:color w:val="365F91" w:themeColor="accent1" w:themeShade="BF"/>
              </w:rPr>
            </w:pPr>
            <w:r w:rsidRPr="008A7BEA">
              <w:rPr>
                <w:color w:val="365F91" w:themeColor="accent1" w:themeShade="BF"/>
              </w:rPr>
              <w:t>60509</w:t>
            </w:r>
          </w:p>
        </w:tc>
        <w:tc>
          <w:tcPr>
            <w:tcW w:w="8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37070098" w14:textId="77777777" w:rsidR="008F566C" w:rsidRPr="008A7BEA" w:rsidRDefault="008F566C" w:rsidP="008F566C">
            <w:pPr>
              <w:pStyle w:val="Tabletext"/>
              <w:rPr>
                <w:color w:val="365F91" w:themeColor="accent1" w:themeShade="BF"/>
              </w:rPr>
            </w:pPr>
            <w:r w:rsidRPr="008A7BEA">
              <w:rPr>
                <w:color w:val="365F91" w:themeColor="accent1" w:themeShade="BF"/>
              </w:rPr>
              <w:t>$65</w:t>
            </w:r>
          </w:p>
        </w:tc>
      </w:tr>
      <w:tr w:rsidR="008F566C" w:rsidRPr="00AD113B" w14:paraId="18990055" w14:textId="77777777" w:rsidTr="008F566C">
        <w:tc>
          <w:tcPr>
            <w:tcW w:w="15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1CA29973" w14:textId="77777777" w:rsidR="008F566C" w:rsidRPr="008A7BEA" w:rsidRDefault="008F566C" w:rsidP="008F566C">
            <w:pPr>
              <w:pStyle w:val="Tabletext"/>
              <w:rPr>
                <w:color w:val="365F91" w:themeColor="accent1" w:themeShade="BF"/>
              </w:rPr>
            </w:pPr>
            <w:r w:rsidRPr="008A7BEA">
              <w:rPr>
                <w:color w:val="365F91" w:themeColor="accent1" w:themeShade="BF"/>
              </w:rPr>
              <w:t>Total</w:t>
            </w:r>
          </w:p>
        </w:tc>
        <w:tc>
          <w:tcPr>
            <w:tcW w:w="1678"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4E58348" w14:textId="77777777" w:rsidR="008F566C" w:rsidRPr="008A7BEA" w:rsidRDefault="008F566C" w:rsidP="008F566C">
            <w:pPr>
              <w:pStyle w:val="Tabletext"/>
              <w:rPr>
                <w:color w:val="365F91" w:themeColor="accent1" w:themeShade="BF"/>
              </w:rPr>
            </w:pPr>
            <w:r w:rsidRPr="008A7BEA">
              <w:rPr>
                <w:color w:val="365F91" w:themeColor="accent1" w:themeShade="BF"/>
              </w:rPr>
              <w:t>$1,262</w:t>
            </w:r>
          </w:p>
        </w:tc>
        <w:tc>
          <w:tcPr>
            <w:tcW w:w="178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3EA24F8" w14:textId="77777777" w:rsidR="008F566C" w:rsidRPr="008A7BEA" w:rsidRDefault="008F566C" w:rsidP="008F566C">
            <w:pPr>
              <w:pStyle w:val="Tabletext"/>
              <w:rPr>
                <w:color w:val="365F91" w:themeColor="accent1" w:themeShade="BF"/>
              </w:rPr>
            </w:pPr>
            <w:r w:rsidRPr="008A7BEA">
              <w:rPr>
                <w:color w:val="365F91" w:themeColor="accent1" w:themeShade="BF"/>
              </w:rPr>
              <w:t>$1,843</w:t>
            </w:r>
          </w:p>
        </w:tc>
      </w:tr>
      <w:tr w:rsidR="008F566C" w:rsidRPr="00AD113B" w14:paraId="03690097" w14:textId="77777777" w:rsidTr="008F566C">
        <w:tc>
          <w:tcPr>
            <w:tcW w:w="15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40AE863C" w14:textId="77777777" w:rsidR="008F566C" w:rsidRPr="008A7BEA" w:rsidRDefault="008F566C" w:rsidP="008F566C">
            <w:pPr>
              <w:pStyle w:val="Tabletext"/>
              <w:rPr>
                <w:color w:val="365F91" w:themeColor="accent1" w:themeShade="BF"/>
              </w:rPr>
            </w:pPr>
            <w:r w:rsidRPr="008A7BEA">
              <w:rPr>
                <w:color w:val="365F91" w:themeColor="accent1" w:themeShade="BF"/>
              </w:rPr>
              <w:t>Weighting b</w:t>
            </w:r>
          </w:p>
        </w:tc>
        <w:tc>
          <w:tcPr>
            <w:tcW w:w="1678"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2607EF9" w14:textId="77777777" w:rsidR="008F566C" w:rsidRPr="008A7BEA" w:rsidRDefault="008F566C" w:rsidP="008F566C">
            <w:pPr>
              <w:pStyle w:val="Tabletext"/>
              <w:rPr>
                <w:color w:val="365F91" w:themeColor="accent1" w:themeShade="BF"/>
              </w:rPr>
            </w:pPr>
            <w:r w:rsidRPr="008A7BEA">
              <w:rPr>
                <w:color w:val="365F91" w:themeColor="accent1" w:themeShade="BF"/>
              </w:rPr>
              <w:t>69%</w:t>
            </w:r>
          </w:p>
        </w:tc>
        <w:tc>
          <w:tcPr>
            <w:tcW w:w="178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4AF3BB65" w14:textId="77777777" w:rsidR="008F566C" w:rsidRPr="008A7BEA" w:rsidRDefault="008F566C" w:rsidP="008F566C">
            <w:pPr>
              <w:pStyle w:val="Tabletext"/>
              <w:rPr>
                <w:color w:val="365F91" w:themeColor="accent1" w:themeShade="BF"/>
              </w:rPr>
            </w:pPr>
            <w:r w:rsidRPr="008A7BEA">
              <w:rPr>
                <w:color w:val="365F91" w:themeColor="accent1" w:themeShade="BF"/>
              </w:rPr>
              <w:t>31%</w:t>
            </w:r>
          </w:p>
        </w:tc>
      </w:tr>
      <w:tr w:rsidR="008F566C" w:rsidRPr="00AD113B" w14:paraId="3D891ABE" w14:textId="77777777" w:rsidTr="008F566C">
        <w:tc>
          <w:tcPr>
            <w:tcW w:w="15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6E4864BD" w14:textId="77777777" w:rsidR="008F566C" w:rsidRPr="008A7BEA" w:rsidRDefault="008F566C" w:rsidP="008F566C">
            <w:pPr>
              <w:pStyle w:val="Tabletext"/>
              <w:rPr>
                <w:color w:val="365F91" w:themeColor="accent1" w:themeShade="BF"/>
              </w:rPr>
            </w:pPr>
            <w:r w:rsidRPr="008A7BEA">
              <w:rPr>
                <w:color w:val="365F91" w:themeColor="accent1" w:themeShade="BF"/>
              </w:rPr>
              <w:t>Weighted average</w:t>
            </w:r>
          </w:p>
        </w:tc>
        <w:tc>
          <w:tcPr>
            <w:tcW w:w="3459"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6A4D963A" w14:textId="77777777" w:rsidR="008F566C" w:rsidRPr="008A7BEA" w:rsidRDefault="008F566C" w:rsidP="008F566C">
            <w:pPr>
              <w:pStyle w:val="Tabletext"/>
              <w:rPr>
                <w:b/>
                <w:bCs/>
                <w:color w:val="365F91" w:themeColor="accent1" w:themeShade="BF"/>
              </w:rPr>
            </w:pPr>
            <w:r w:rsidRPr="008A7BEA">
              <w:rPr>
                <w:b/>
                <w:bCs/>
                <w:color w:val="365F91" w:themeColor="accent1" w:themeShade="BF"/>
              </w:rPr>
              <w:t>$1,411</w:t>
            </w:r>
          </w:p>
        </w:tc>
      </w:tr>
    </w:tbl>
    <w:p w14:paraId="4FD3C589" w14:textId="77777777" w:rsidR="008F566C" w:rsidRPr="008A7BEA" w:rsidRDefault="008F566C" w:rsidP="008F566C">
      <w:pPr>
        <w:ind w:left="284"/>
        <w:rPr>
          <w:color w:val="365F91" w:themeColor="accent1" w:themeShade="BF"/>
          <w:sz w:val="16"/>
          <w:szCs w:val="18"/>
        </w:rPr>
      </w:pPr>
      <w:proofErr w:type="spellStart"/>
      <w:r w:rsidRPr="008A7BEA">
        <w:rPr>
          <w:color w:val="365F91" w:themeColor="accent1" w:themeShade="BF"/>
          <w:sz w:val="16"/>
          <w:szCs w:val="18"/>
        </w:rPr>
        <w:t>a</w:t>
      </w:r>
      <w:proofErr w:type="spellEnd"/>
      <w:r w:rsidRPr="008A7BEA">
        <w:rPr>
          <w:color w:val="365F91" w:themeColor="accent1" w:themeShade="BF"/>
          <w:sz w:val="16"/>
          <w:szCs w:val="18"/>
        </w:rPr>
        <w:t xml:space="preserve"> When two or more operations are performed on the patient on one occasion, the schedule fee is as follows: 100% of most expensive item, 50% of next most expensive item, 25% of remaining items (Health Insurance Commission 2003); b weighting based on number of vertebral levels treated</w:t>
      </w:r>
    </w:p>
    <w:p w14:paraId="0A4E02CC" w14:textId="77777777" w:rsidR="008F566C" w:rsidRDefault="008F566C" w:rsidP="008F566C">
      <w:pPr>
        <w:ind w:left="284"/>
        <w:rPr>
          <w:color w:val="365F91" w:themeColor="accent1" w:themeShade="BF"/>
        </w:rPr>
      </w:pPr>
    </w:p>
    <w:p w14:paraId="6DCE0068" w14:textId="77777777" w:rsidR="008F566C" w:rsidRDefault="008F566C" w:rsidP="008F566C">
      <w:pPr>
        <w:ind w:left="284"/>
        <w:rPr>
          <w:color w:val="365F91" w:themeColor="accent1" w:themeShade="BF"/>
        </w:rPr>
      </w:pPr>
    </w:p>
    <w:p w14:paraId="12F28DBF" w14:textId="77777777" w:rsidR="008F566C" w:rsidRPr="00154B00" w:rsidRDefault="008F566C" w:rsidP="008F566C">
      <w:pPr>
        <w:pStyle w:val="Heading2"/>
      </w:pPr>
      <w:r w:rsidRPr="00154B00">
        <w:lastRenderedPageBreak/>
        <w:t xml:space="preserve">Specify how </w:t>
      </w:r>
      <w:r w:rsidRPr="00AE1188">
        <w:t>long</w:t>
      </w:r>
      <w:r w:rsidRPr="00154B00">
        <w:t xml:space="preserve"> the proposed medical ser</w:t>
      </w:r>
      <w:r>
        <w:t>vice typically takes to perform:</w:t>
      </w:r>
    </w:p>
    <w:p w14:paraId="7E348484" w14:textId="77777777" w:rsidR="008F566C" w:rsidRPr="00732153" w:rsidRDefault="008F566C" w:rsidP="008F566C">
      <w:pPr>
        <w:ind w:left="284"/>
        <w:rPr>
          <w:color w:val="365F91" w:themeColor="accent1" w:themeShade="BF"/>
        </w:rPr>
      </w:pPr>
      <w:r w:rsidRPr="00732153">
        <w:rPr>
          <w:color w:val="365F91" w:themeColor="accent1" w:themeShade="BF"/>
        </w:rPr>
        <w:t xml:space="preserve">As </w:t>
      </w:r>
      <w:r>
        <w:rPr>
          <w:color w:val="365F91" w:themeColor="accent1" w:themeShade="BF"/>
        </w:rPr>
        <w:t>not</w:t>
      </w:r>
      <w:r w:rsidRPr="00732153">
        <w:rPr>
          <w:color w:val="365F91" w:themeColor="accent1" w:themeShade="BF"/>
        </w:rPr>
        <w:t xml:space="preserve">ed above, </w:t>
      </w:r>
      <w:r>
        <w:rPr>
          <w:color w:val="365F91" w:themeColor="accent1" w:themeShade="BF"/>
        </w:rPr>
        <w:t xml:space="preserve">the procedure is expected to take between 46 minutes and one hour. </w:t>
      </w:r>
      <w:r w:rsidRPr="00732153">
        <w:rPr>
          <w:color w:val="365F91" w:themeColor="accent1" w:themeShade="BF"/>
        </w:rPr>
        <w:t xml:space="preserve"> </w:t>
      </w:r>
    </w:p>
    <w:p w14:paraId="3FCCBBA2" w14:textId="77777777" w:rsidR="008F566C" w:rsidRDefault="008F566C" w:rsidP="008F566C">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3A68EB0C" w14:textId="4E62CAAB" w:rsidR="008F566C" w:rsidRPr="00A04A19" w:rsidRDefault="008F566C" w:rsidP="001A150C">
      <w:pPr>
        <w:ind w:left="284"/>
        <w:rPr>
          <w:color w:val="365F91" w:themeColor="accent1" w:themeShade="BF"/>
        </w:rPr>
      </w:pPr>
      <w:r w:rsidRPr="00A04A19">
        <w:rPr>
          <w:color w:val="365F91" w:themeColor="accent1" w:themeShade="BF"/>
        </w:rPr>
        <w:t xml:space="preserve">The proposed item descriptors for IDS insertion (one and two levels) are presented below. The populations proposed are consistent with the TGA-registered indication for </w:t>
      </w:r>
      <w:proofErr w:type="spellStart"/>
      <w:r w:rsidRPr="00A04A19">
        <w:rPr>
          <w:color w:val="365F91" w:themeColor="accent1" w:themeShade="BF"/>
        </w:rPr>
        <w:t>Superion</w:t>
      </w:r>
      <w:proofErr w:type="spellEnd"/>
      <w:r w:rsidRPr="00A04A19">
        <w:rPr>
          <w:color w:val="365F91" w:themeColor="accent1" w:themeShade="BF"/>
        </w:rPr>
        <w:t xml:space="preserve">. As noted above, the proposed service does not include interspinous devices that require an adjunctive decompression procedure (e.g. </w:t>
      </w:r>
      <w:proofErr w:type="spellStart"/>
      <w:r w:rsidRPr="00A04A19">
        <w:rPr>
          <w:color w:val="365F91" w:themeColor="accent1" w:themeShade="BF"/>
        </w:rPr>
        <w:t>Coflex</w:t>
      </w:r>
      <w:proofErr w:type="spellEnd"/>
      <w:r w:rsidR="001A150C">
        <w:rPr>
          <w:color w:val="365F91" w:themeColor="accent1" w:themeShade="BF"/>
        </w:rPr>
        <w:t xml:space="preserve"> or other IDSs registered on the ARTG</w:t>
      </w:r>
      <w:r w:rsidRPr="00A04A19">
        <w:rPr>
          <w:color w:val="365F91" w:themeColor="accent1" w:themeShade="BF"/>
        </w:rPr>
        <w:t xml:space="preserve">). Therefore, it has been specified that the proposed service cannot be associated with any of the procedure codes for spinal decompression. </w:t>
      </w:r>
    </w:p>
    <w:tbl>
      <w:tblPr>
        <w:tblW w:w="0" w:type="auto"/>
        <w:tblInd w:w="279"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0A0" w:firstRow="1" w:lastRow="0" w:firstColumn="1" w:lastColumn="0" w:noHBand="0" w:noVBand="0"/>
      </w:tblPr>
      <w:tblGrid>
        <w:gridCol w:w="8737"/>
      </w:tblGrid>
      <w:tr w:rsidR="008F566C" w:rsidRPr="00A04A19" w14:paraId="40C81FC5" w14:textId="77777777" w:rsidTr="008F566C">
        <w:tc>
          <w:tcPr>
            <w:tcW w:w="8737" w:type="dxa"/>
          </w:tcPr>
          <w:p w14:paraId="660DF6F6" w14:textId="77777777" w:rsidR="008F566C" w:rsidRPr="00A04A19" w:rsidRDefault="008F566C" w:rsidP="008F566C">
            <w:pPr>
              <w:keepNext/>
              <w:jc w:val="both"/>
              <w:rPr>
                <w:rFonts w:ascii="Arial Narrow" w:hAnsi="Arial Narrow"/>
                <w:color w:val="365F91" w:themeColor="accent1" w:themeShade="BF"/>
                <w:lang w:eastAsia="ja-JP"/>
              </w:rPr>
            </w:pPr>
            <w:r w:rsidRPr="00A04A19">
              <w:rPr>
                <w:rFonts w:ascii="Arial Narrow" w:hAnsi="Arial Narrow"/>
                <w:color w:val="365F91" w:themeColor="accent1" w:themeShade="BF"/>
                <w:lang w:eastAsia="ja-JP"/>
              </w:rPr>
              <w:t>Category 3 – Therapeutic Procedures</w:t>
            </w:r>
          </w:p>
        </w:tc>
      </w:tr>
      <w:tr w:rsidR="008F566C" w:rsidRPr="00A04A19" w14:paraId="3F378EB8" w14:textId="77777777" w:rsidTr="008F566C">
        <w:tc>
          <w:tcPr>
            <w:tcW w:w="8737" w:type="dxa"/>
          </w:tcPr>
          <w:p w14:paraId="5877B1B1" w14:textId="77777777" w:rsidR="008F566C" w:rsidRPr="00A04A19" w:rsidRDefault="008F566C" w:rsidP="008F566C">
            <w:pPr>
              <w:keepNext/>
              <w:jc w:val="both"/>
              <w:rPr>
                <w:rFonts w:ascii="Arial Narrow" w:eastAsia="SimSun" w:hAnsi="Arial Narrow" w:cs="Tahoma"/>
                <w:b/>
                <w:color w:val="365F91" w:themeColor="accent1" w:themeShade="BF"/>
                <w:szCs w:val="20"/>
                <w:lang w:val="en-US" w:eastAsia="ja-JP"/>
              </w:rPr>
            </w:pPr>
            <w:r w:rsidRPr="00A04A19">
              <w:rPr>
                <w:rFonts w:ascii="Arial Narrow" w:eastAsia="SimSun" w:hAnsi="Arial Narrow" w:cs="Tahoma"/>
                <w:b/>
                <w:color w:val="365F91" w:themeColor="accent1" w:themeShade="BF"/>
                <w:szCs w:val="20"/>
                <w:lang w:val="en-US" w:eastAsia="ja-JP"/>
              </w:rPr>
              <w:t>MBS: TBD</w:t>
            </w:r>
          </w:p>
          <w:p w14:paraId="02E8A713" w14:textId="77777777" w:rsidR="008F566C" w:rsidRPr="00A04A19" w:rsidRDefault="008F566C" w:rsidP="008F566C">
            <w:pPr>
              <w:keepNext/>
              <w:jc w:val="both"/>
              <w:rPr>
                <w:rFonts w:ascii="Arial Narrow" w:eastAsia="SimSun" w:hAnsi="Arial Narrow" w:cs="Tahoma"/>
                <w:color w:val="365F91" w:themeColor="accent1" w:themeShade="BF"/>
                <w:szCs w:val="20"/>
                <w:lang w:val="en-US" w:eastAsia="ja-JP"/>
              </w:rPr>
            </w:pPr>
            <w:r w:rsidRPr="00A04A19">
              <w:rPr>
                <w:rFonts w:ascii="Arial Narrow" w:eastAsia="SimSun" w:hAnsi="Arial Narrow" w:cs="Tahoma"/>
                <w:color w:val="365F91" w:themeColor="accent1" w:themeShade="BF"/>
                <w:szCs w:val="20"/>
                <w:lang w:val="en-US" w:eastAsia="ja-JP"/>
              </w:rPr>
              <w:t>MINIMALLY INVASIVE INTERSPINOUS DECOMRESSION SPACER, insertion, removal or replacement of, to alleviate pain in patients with:</w:t>
            </w:r>
          </w:p>
          <w:p w14:paraId="325E3A3A" w14:textId="77777777" w:rsidR="008F566C" w:rsidRPr="00A04A19" w:rsidRDefault="008F566C" w:rsidP="008F566C">
            <w:pPr>
              <w:pStyle w:val="ListParagraph"/>
              <w:keepNext/>
              <w:numPr>
                <w:ilvl w:val="0"/>
                <w:numId w:val="22"/>
              </w:numPr>
              <w:jc w:val="both"/>
              <w:rPr>
                <w:rFonts w:ascii="Arial Narrow" w:eastAsia="SimSun" w:hAnsi="Arial Narrow" w:cs="Tahoma"/>
                <w:color w:val="365F91" w:themeColor="accent1" w:themeShade="BF"/>
                <w:szCs w:val="20"/>
                <w:lang w:val="en-US" w:eastAsia="ja-JP"/>
              </w:rPr>
            </w:pPr>
            <w:r w:rsidRPr="00A04A19">
              <w:rPr>
                <w:rFonts w:ascii="Arial Narrow" w:eastAsia="SimSun" w:hAnsi="Arial Narrow" w:cs="Tahoma"/>
                <w:color w:val="365F91" w:themeColor="accent1" w:themeShade="BF"/>
                <w:szCs w:val="20"/>
                <w:lang w:val="en-US" w:eastAsia="ja-JP"/>
              </w:rPr>
              <w:t>Moderate lumbar spinal stenosis - one lumbar motion segment.</w:t>
            </w:r>
          </w:p>
          <w:p w14:paraId="63EC90FF" w14:textId="77777777" w:rsidR="008F566C" w:rsidRPr="00A04A19" w:rsidRDefault="008F566C" w:rsidP="008F566C">
            <w:pPr>
              <w:pStyle w:val="ListParagraph"/>
              <w:keepNext/>
              <w:numPr>
                <w:ilvl w:val="0"/>
                <w:numId w:val="22"/>
              </w:numPr>
              <w:jc w:val="both"/>
              <w:rPr>
                <w:rFonts w:ascii="Arial Narrow" w:eastAsia="SimSun" w:hAnsi="Arial Narrow" w:cs="Tahoma"/>
                <w:color w:val="365F91" w:themeColor="accent1" w:themeShade="BF"/>
                <w:szCs w:val="20"/>
                <w:lang w:val="en-US" w:eastAsia="ja-JP"/>
              </w:rPr>
            </w:pPr>
            <w:r w:rsidRPr="00A04A19">
              <w:rPr>
                <w:rFonts w:ascii="Arial Narrow" w:eastAsia="SimSun" w:hAnsi="Arial Narrow" w:cs="Tahoma"/>
                <w:color w:val="365F91" w:themeColor="accent1" w:themeShade="BF"/>
                <w:szCs w:val="20"/>
                <w:lang w:val="en-US" w:eastAsia="ja-JP"/>
              </w:rPr>
              <w:t>After failure of conservative management for at least 6 months.</w:t>
            </w:r>
          </w:p>
          <w:p w14:paraId="058373E3" w14:textId="77777777" w:rsidR="008F566C" w:rsidRPr="00A04A19" w:rsidRDefault="008F566C" w:rsidP="008F566C">
            <w:pPr>
              <w:pStyle w:val="ListParagraph"/>
              <w:keepNext/>
              <w:numPr>
                <w:ilvl w:val="0"/>
                <w:numId w:val="22"/>
              </w:numPr>
              <w:jc w:val="both"/>
              <w:rPr>
                <w:rFonts w:ascii="Arial Narrow" w:eastAsia="SimSun" w:hAnsi="Arial Narrow" w:cs="Tahoma"/>
                <w:color w:val="365F91" w:themeColor="accent1" w:themeShade="BF"/>
                <w:szCs w:val="20"/>
                <w:lang w:val="en-US" w:eastAsia="ja-JP"/>
              </w:rPr>
            </w:pPr>
            <w:r w:rsidRPr="00A04A19">
              <w:rPr>
                <w:rFonts w:ascii="Arial Narrow" w:eastAsia="SimSun" w:hAnsi="Arial Narrow" w:cs="Tahoma"/>
                <w:color w:val="365F91" w:themeColor="accent1" w:themeShade="BF"/>
                <w:szCs w:val="20"/>
                <w:lang w:val="en-US" w:eastAsia="ja-JP"/>
              </w:rPr>
              <w:t xml:space="preserve">Moderately severe functional impairment with symptoms exacerbated in extension and relieved in flexion </w:t>
            </w:r>
          </w:p>
          <w:p w14:paraId="1F017880" w14:textId="77777777" w:rsidR="008F566C" w:rsidRPr="00A04A19" w:rsidRDefault="008F566C" w:rsidP="008F566C">
            <w:pPr>
              <w:pStyle w:val="ListParagraph"/>
              <w:keepNext/>
              <w:numPr>
                <w:ilvl w:val="0"/>
                <w:numId w:val="22"/>
              </w:numPr>
              <w:jc w:val="both"/>
              <w:rPr>
                <w:rFonts w:ascii="Arial Narrow" w:eastAsia="SimSun" w:hAnsi="Arial Narrow" w:cs="Tahoma"/>
                <w:color w:val="365F91" w:themeColor="accent1" w:themeShade="BF"/>
                <w:szCs w:val="20"/>
                <w:lang w:val="en-US" w:eastAsia="ja-JP"/>
              </w:rPr>
            </w:pPr>
            <w:r w:rsidRPr="00A04A19">
              <w:rPr>
                <w:rFonts w:ascii="Arial Narrow" w:eastAsia="SimSun" w:hAnsi="Arial Narrow" w:cs="Tahoma"/>
                <w:color w:val="365F91" w:themeColor="accent1" w:themeShade="BF"/>
                <w:szCs w:val="20"/>
                <w:lang w:val="en-US" w:eastAsia="ja-JP"/>
              </w:rPr>
              <w:t xml:space="preserve">With or without low-grade spondylolisthesis </w:t>
            </w:r>
          </w:p>
          <w:p w14:paraId="16788059" w14:textId="77777777" w:rsidR="008F566C" w:rsidRPr="00A04A19" w:rsidRDefault="008F566C" w:rsidP="008F566C">
            <w:pPr>
              <w:keepNext/>
              <w:jc w:val="both"/>
              <w:rPr>
                <w:rFonts w:ascii="Arial Narrow" w:eastAsia="SimSun" w:hAnsi="Arial Narrow" w:cs="Tahoma"/>
                <w:color w:val="365F91" w:themeColor="accent1" w:themeShade="BF"/>
                <w:szCs w:val="20"/>
                <w:lang w:val="en-US" w:eastAsia="ja-JP"/>
              </w:rPr>
            </w:pPr>
            <w:r w:rsidRPr="00A04A19">
              <w:rPr>
                <w:rFonts w:ascii="Arial Narrow" w:eastAsia="SimSun" w:hAnsi="Arial Narrow" w:cs="Tahoma"/>
                <w:color w:val="365F91" w:themeColor="accent1" w:themeShade="BF"/>
                <w:szCs w:val="20"/>
                <w:lang w:val="en-US" w:eastAsia="ja-JP"/>
              </w:rPr>
              <w:t>Not being a service associated with a service to which item 51011, 51012, 51013, 51014 or 51015 applies</w:t>
            </w:r>
          </w:p>
          <w:p w14:paraId="27E09280" w14:textId="77777777" w:rsidR="008F566C" w:rsidRPr="00A04A19" w:rsidRDefault="008F566C" w:rsidP="008F566C">
            <w:pPr>
              <w:keepNext/>
              <w:jc w:val="both"/>
              <w:rPr>
                <w:rFonts w:ascii="Arial Narrow" w:eastAsia="SimSun" w:hAnsi="Arial Narrow" w:cs="Tahoma"/>
                <w:color w:val="365F91" w:themeColor="accent1" w:themeShade="BF"/>
                <w:szCs w:val="20"/>
                <w:lang w:val="en-US" w:eastAsia="ja-JP"/>
              </w:rPr>
            </w:pPr>
            <w:r w:rsidRPr="00A04A19">
              <w:rPr>
                <w:rFonts w:ascii="Arial Narrow" w:eastAsia="SimSun" w:hAnsi="Arial Narrow" w:cs="Tahoma"/>
                <w:color w:val="365F91" w:themeColor="accent1" w:themeShade="BF"/>
                <w:szCs w:val="20"/>
                <w:lang w:val="en-US" w:eastAsia="ja-JP"/>
              </w:rPr>
              <w:t>Multiple Services Rule (</w:t>
            </w:r>
            <w:proofErr w:type="spellStart"/>
            <w:r w:rsidRPr="00A04A19">
              <w:rPr>
                <w:rFonts w:ascii="Arial Narrow" w:eastAsia="SimSun" w:hAnsi="Arial Narrow" w:cs="Tahoma"/>
                <w:color w:val="365F91" w:themeColor="accent1" w:themeShade="BF"/>
                <w:szCs w:val="20"/>
                <w:lang w:val="en-US" w:eastAsia="ja-JP"/>
              </w:rPr>
              <w:t>Anaes</w:t>
            </w:r>
            <w:proofErr w:type="spellEnd"/>
            <w:r w:rsidRPr="00A04A19">
              <w:rPr>
                <w:rFonts w:ascii="Arial Narrow" w:eastAsia="SimSun" w:hAnsi="Arial Narrow" w:cs="Tahoma"/>
                <w:color w:val="365F91" w:themeColor="accent1" w:themeShade="BF"/>
                <w:szCs w:val="20"/>
                <w:lang w:val="en-US" w:eastAsia="ja-JP"/>
              </w:rPr>
              <w:t>.) (Assist.)</w:t>
            </w:r>
          </w:p>
          <w:p w14:paraId="6D610CDE" w14:textId="77777777" w:rsidR="008F566C" w:rsidRPr="00A04A19" w:rsidRDefault="008F566C" w:rsidP="008F566C">
            <w:pPr>
              <w:keepNext/>
              <w:jc w:val="both"/>
              <w:rPr>
                <w:rFonts w:ascii="Arial Narrow" w:eastAsia="SimSun" w:hAnsi="Arial Narrow" w:cs="Tahoma"/>
                <w:color w:val="365F91" w:themeColor="accent1" w:themeShade="BF"/>
                <w:szCs w:val="20"/>
                <w:lang w:val="en-US" w:eastAsia="ja-JP"/>
              </w:rPr>
            </w:pPr>
            <w:r w:rsidRPr="00A04A19">
              <w:rPr>
                <w:rFonts w:ascii="Arial Narrow" w:eastAsia="SimSun" w:hAnsi="Arial Narrow" w:cs="Tahoma"/>
                <w:color w:val="365F91" w:themeColor="accent1" w:themeShade="BF"/>
                <w:szCs w:val="20"/>
                <w:lang w:val="en-US" w:eastAsia="ja-JP"/>
              </w:rPr>
              <w:t>Fee: TBD</w:t>
            </w:r>
          </w:p>
        </w:tc>
      </w:tr>
    </w:tbl>
    <w:p w14:paraId="516AFC3D" w14:textId="77777777" w:rsidR="008F566C" w:rsidRPr="00A04A19" w:rsidRDefault="008F566C" w:rsidP="008F566C"/>
    <w:tbl>
      <w:tblPr>
        <w:tblW w:w="0" w:type="auto"/>
        <w:tblInd w:w="279"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0A0" w:firstRow="1" w:lastRow="0" w:firstColumn="1" w:lastColumn="0" w:noHBand="0" w:noVBand="0"/>
      </w:tblPr>
      <w:tblGrid>
        <w:gridCol w:w="8737"/>
      </w:tblGrid>
      <w:tr w:rsidR="008F566C" w:rsidRPr="00A04A19" w14:paraId="23BE48AE" w14:textId="77777777" w:rsidTr="008F566C">
        <w:tc>
          <w:tcPr>
            <w:tcW w:w="8737" w:type="dxa"/>
          </w:tcPr>
          <w:p w14:paraId="105B905F" w14:textId="77777777" w:rsidR="008F566C" w:rsidRPr="00A04A19" w:rsidRDefault="008F566C" w:rsidP="008F566C">
            <w:pPr>
              <w:keepNext/>
              <w:jc w:val="both"/>
              <w:rPr>
                <w:rFonts w:ascii="Arial Narrow" w:hAnsi="Arial Narrow"/>
                <w:color w:val="365F91" w:themeColor="accent1" w:themeShade="BF"/>
                <w:lang w:eastAsia="ja-JP"/>
              </w:rPr>
            </w:pPr>
            <w:r w:rsidRPr="00A04A19">
              <w:rPr>
                <w:rFonts w:ascii="Arial Narrow" w:hAnsi="Arial Narrow"/>
                <w:color w:val="365F91" w:themeColor="accent1" w:themeShade="BF"/>
                <w:lang w:eastAsia="ja-JP"/>
              </w:rPr>
              <w:t>Category 3 – Therapeutic Procedures</w:t>
            </w:r>
          </w:p>
        </w:tc>
      </w:tr>
      <w:tr w:rsidR="008F566C" w:rsidRPr="001C7E1B" w14:paraId="0B874199" w14:textId="77777777" w:rsidTr="008F566C">
        <w:tc>
          <w:tcPr>
            <w:tcW w:w="8737" w:type="dxa"/>
          </w:tcPr>
          <w:p w14:paraId="55F70F94" w14:textId="77777777" w:rsidR="008F566C" w:rsidRPr="00A04A19" w:rsidRDefault="008F566C" w:rsidP="008F566C">
            <w:pPr>
              <w:keepNext/>
              <w:jc w:val="both"/>
              <w:rPr>
                <w:rFonts w:ascii="Arial Narrow" w:eastAsia="SimSun" w:hAnsi="Arial Narrow" w:cs="Tahoma"/>
                <w:b/>
                <w:color w:val="365F91" w:themeColor="accent1" w:themeShade="BF"/>
                <w:szCs w:val="20"/>
                <w:lang w:val="en-US" w:eastAsia="ja-JP"/>
              </w:rPr>
            </w:pPr>
            <w:r w:rsidRPr="00A04A19">
              <w:rPr>
                <w:rFonts w:ascii="Arial Narrow" w:eastAsia="SimSun" w:hAnsi="Arial Narrow" w:cs="Tahoma"/>
                <w:b/>
                <w:color w:val="365F91" w:themeColor="accent1" w:themeShade="BF"/>
                <w:szCs w:val="20"/>
                <w:lang w:val="en-US" w:eastAsia="ja-JP"/>
              </w:rPr>
              <w:t>MBS: TBD</w:t>
            </w:r>
          </w:p>
          <w:p w14:paraId="021D8ED7" w14:textId="77777777" w:rsidR="008F566C" w:rsidRPr="00A04A19" w:rsidRDefault="008F566C" w:rsidP="008F566C">
            <w:pPr>
              <w:keepNext/>
              <w:jc w:val="both"/>
              <w:rPr>
                <w:rFonts w:ascii="Arial Narrow" w:eastAsia="SimSun" w:hAnsi="Arial Narrow" w:cs="Tahoma"/>
                <w:color w:val="365F91" w:themeColor="accent1" w:themeShade="BF"/>
                <w:szCs w:val="20"/>
                <w:lang w:val="en-US" w:eastAsia="ja-JP"/>
              </w:rPr>
            </w:pPr>
            <w:r w:rsidRPr="00A04A19">
              <w:rPr>
                <w:rFonts w:ascii="Arial Narrow" w:eastAsia="SimSun" w:hAnsi="Arial Narrow" w:cs="Tahoma"/>
                <w:color w:val="365F91" w:themeColor="accent1" w:themeShade="BF"/>
                <w:szCs w:val="20"/>
                <w:lang w:val="en-US" w:eastAsia="ja-JP"/>
              </w:rPr>
              <w:t>MINIMALLY INVASIVE INTERSPINOUS DECOMRESSION SPACER, insertion, removal or replacement of, to alleviate pain in patients with:</w:t>
            </w:r>
          </w:p>
          <w:p w14:paraId="42FD7B10" w14:textId="77777777" w:rsidR="008F566C" w:rsidRPr="00A04A19" w:rsidRDefault="008F566C" w:rsidP="008F566C">
            <w:pPr>
              <w:pStyle w:val="ListParagraph"/>
              <w:keepNext/>
              <w:numPr>
                <w:ilvl w:val="0"/>
                <w:numId w:val="22"/>
              </w:numPr>
              <w:jc w:val="both"/>
              <w:rPr>
                <w:rFonts w:ascii="Arial Narrow" w:eastAsia="SimSun" w:hAnsi="Arial Narrow" w:cs="Tahoma"/>
                <w:color w:val="365F91" w:themeColor="accent1" w:themeShade="BF"/>
                <w:szCs w:val="20"/>
                <w:lang w:val="en-US" w:eastAsia="ja-JP"/>
              </w:rPr>
            </w:pPr>
            <w:r w:rsidRPr="00A04A19">
              <w:rPr>
                <w:rFonts w:ascii="Arial Narrow" w:eastAsia="SimSun" w:hAnsi="Arial Narrow" w:cs="Tahoma"/>
                <w:color w:val="365F91" w:themeColor="accent1" w:themeShade="BF"/>
                <w:szCs w:val="20"/>
                <w:lang w:val="en-US" w:eastAsia="ja-JP"/>
              </w:rPr>
              <w:t>Moderate lumbar spinal stenosis - two lumbar motion segments.</w:t>
            </w:r>
          </w:p>
          <w:p w14:paraId="1166EE0F" w14:textId="77777777" w:rsidR="008F566C" w:rsidRPr="00A04A19" w:rsidRDefault="008F566C" w:rsidP="008F566C">
            <w:pPr>
              <w:pStyle w:val="ListParagraph"/>
              <w:keepNext/>
              <w:numPr>
                <w:ilvl w:val="0"/>
                <w:numId w:val="22"/>
              </w:numPr>
              <w:jc w:val="both"/>
              <w:rPr>
                <w:rFonts w:ascii="Arial Narrow" w:eastAsia="SimSun" w:hAnsi="Arial Narrow" w:cs="Tahoma"/>
                <w:color w:val="365F91" w:themeColor="accent1" w:themeShade="BF"/>
                <w:szCs w:val="20"/>
                <w:lang w:val="en-US" w:eastAsia="ja-JP"/>
              </w:rPr>
            </w:pPr>
            <w:r w:rsidRPr="00A04A19">
              <w:rPr>
                <w:rFonts w:ascii="Arial Narrow" w:eastAsia="SimSun" w:hAnsi="Arial Narrow" w:cs="Tahoma"/>
                <w:color w:val="365F91" w:themeColor="accent1" w:themeShade="BF"/>
                <w:szCs w:val="20"/>
                <w:lang w:val="en-US" w:eastAsia="ja-JP"/>
              </w:rPr>
              <w:t>After failure of conservative management for at least 6 months.</w:t>
            </w:r>
          </w:p>
          <w:p w14:paraId="34C76661" w14:textId="77777777" w:rsidR="008F566C" w:rsidRPr="00A04A19" w:rsidRDefault="008F566C" w:rsidP="008F566C">
            <w:pPr>
              <w:pStyle w:val="ListParagraph"/>
              <w:keepNext/>
              <w:numPr>
                <w:ilvl w:val="0"/>
                <w:numId w:val="22"/>
              </w:numPr>
              <w:jc w:val="both"/>
              <w:rPr>
                <w:rFonts w:ascii="Arial Narrow" w:eastAsia="SimSun" w:hAnsi="Arial Narrow" w:cs="Tahoma"/>
                <w:color w:val="365F91" w:themeColor="accent1" w:themeShade="BF"/>
                <w:szCs w:val="20"/>
                <w:lang w:val="en-US" w:eastAsia="ja-JP"/>
              </w:rPr>
            </w:pPr>
            <w:r w:rsidRPr="00A04A19">
              <w:rPr>
                <w:rFonts w:ascii="Arial Narrow" w:eastAsia="SimSun" w:hAnsi="Arial Narrow" w:cs="Tahoma"/>
                <w:color w:val="365F91" w:themeColor="accent1" w:themeShade="BF"/>
                <w:szCs w:val="20"/>
                <w:lang w:val="en-US" w:eastAsia="ja-JP"/>
              </w:rPr>
              <w:t xml:space="preserve">Moderately severe functional impairment with symptoms exacerbated in extension and relieved in flexion </w:t>
            </w:r>
          </w:p>
          <w:p w14:paraId="60AF622A" w14:textId="77777777" w:rsidR="008F566C" w:rsidRPr="00A04A19" w:rsidRDefault="008F566C" w:rsidP="008F566C">
            <w:pPr>
              <w:pStyle w:val="ListParagraph"/>
              <w:keepNext/>
              <w:numPr>
                <w:ilvl w:val="0"/>
                <w:numId w:val="22"/>
              </w:numPr>
              <w:jc w:val="both"/>
              <w:rPr>
                <w:rFonts w:ascii="Arial Narrow" w:eastAsia="SimSun" w:hAnsi="Arial Narrow" w:cs="Tahoma"/>
                <w:color w:val="365F91" w:themeColor="accent1" w:themeShade="BF"/>
                <w:szCs w:val="20"/>
                <w:lang w:val="en-US" w:eastAsia="ja-JP"/>
              </w:rPr>
            </w:pPr>
            <w:r w:rsidRPr="00A04A19">
              <w:rPr>
                <w:rFonts w:ascii="Arial Narrow" w:eastAsia="SimSun" w:hAnsi="Arial Narrow" w:cs="Tahoma"/>
                <w:color w:val="365F91" w:themeColor="accent1" w:themeShade="BF"/>
                <w:szCs w:val="20"/>
                <w:lang w:val="en-US" w:eastAsia="ja-JP"/>
              </w:rPr>
              <w:t xml:space="preserve">With or without low-grade spondylolisthesis </w:t>
            </w:r>
          </w:p>
          <w:p w14:paraId="4355D7AC" w14:textId="77777777" w:rsidR="008F566C" w:rsidRPr="00A04A19" w:rsidRDefault="008F566C" w:rsidP="008F566C">
            <w:pPr>
              <w:keepNext/>
              <w:jc w:val="both"/>
              <w:rPr>
                <w:rFonts w:ascii="Arial Narrow" w:eastAsia="SimSun" w:hAnsi="Arial Narrow" w:cs="Tahoma"/>
                <w:color w:val="365F91" w:themeColor="accent1" w:themeShade="BF"/>
                <w:szCs w:val="20"/>
                <w:lang w:val="en-US" w:eastAsia="ja-JP"/>
              </w:rPr>
            </w:pPr>
            <w:r w:rsidRPr="00A04A19">
              <w:rPr>
                <w:rFonts w:ascii="Arial Narrow" w:eastAsia="SimSun" w:hAnsi="Arial Narrow" w:cs="Tahoma"/>
                <w:color w:val="365F91" w:themeColor="accent1" w:themeShade="BF"/>
                <w:szCs w:val="20"/>
                <w:lang w:val="en-US" w:eastAsia="ja-JP"/>
              </w:rPr>
              <w:t>Not being a service associated with a service to which item 51011, 51012, 51013, 51014 or 51015 applies</w:t>
            </w:r>
          </w:p>
          <w:p w14:paraId="4F3FC956" w14:textId="77777777" w:rsidR="008F566C" w:rsidRPr="00A04A19" w:rsidRDefault="008F566C" w:rsidP="008F566C">
            <w:pPr>
              <w:keepNext/>
              <w:jc w:val="both"/>
              <w:rPr>
                <w:rFonts w:ascii="Arial Narrow" w:eastAsia="SimSun" w:hAnsi="Arial Narrow" w:cs="Tahoma"/>
                <w:color w:val="365F91" w:themeColor="accent1" w:themeShade="BF"/>
                <w:szCs w:val="20"/>
                <w:lang w:val="en-US" w:eastAsia="ja-JP"/>
              </w:rPr>
            </w:pPr>
            <w:r w:rsidRPr="00A04A19">
              <w:rPr>
                <w:rFonts w:ascii="Arial Narrow" w:eastAsia="SimSun" w:hAnsi="Arial Narrow" w:cs="Tahoma"/>
                <w:color w:val="365F91" w:themeColor="accent1" w:themeShade="BF"/>
                <w:szCs w:val="20"/>
                <w:lang w:val="en-US" w:eastAsia="ja-JP"/>
              </w:rPr>
              <w:t>Multiple Services Rule (</w:t>
            </w:r>
            <w:proofErr w:type="spellStart"/>
            <w:r w:rsidRPr="00A04A19">
              <w:rPr>
                <w:rFonts w:ascii="Arial Narrow" w:eastAsia="SimSun" w:hAnsi="Arial Narrow" w:cs="Tahoma"/>
                <w:color w:val="365F91" w:themeColor="accent1" w:themeShade="BF"/>
                <w:szCs w:val="20"/>
                <w:lang w:val="en-US" w:eastAsia="ja-JP"/>
              </w:rPr>
              <w:t>Anaes</w:t>
            </w:r>
            <w:proofErr w:type="spellEnd"/>
            <w:r w:rsidRPr="00A04A19">
              <w:rPr>
                <w:rFonts w:ascii="Arial Narrow" w:eastAsia="SimSun" w:hAnsi="Arial Narrow" w:cs="Tahoma"/>
                <w:color w:val="365F91" w:themeColor="accent1" w:themeShade="BF"/>
                <w:szCs w:val="20"/>
                <w:lang w:val="en-US" w:eastAsia="ja-JP"/>
              </w:rPr>
              <w:t>.) (Assist.)</w:t>
            </w:r>
          </w:p>
          <w:p w14:paraId="5D1BB8A4" w14:textId="77777777" w:rsidR="008F566C" w:rsidRPr="00A04A19" w:rsidRDefault="008F566C" w:rsidP="008F566C">
            <w:pPr>
              <w:keepNext/>
              <w:jc w:val="both"/>
              <w:rPr>
                <w:rFonts w:ascii="Arial Narrow" w:eastAsia="SimSun" w:hAnsi="Arial Narrow" w:cs="Tahoma"/>
                <w:color w:val="365F91" w:themeColor="accent1" w:themeShade="BF"/>
                <w:szCs w:val="20"/>
                <w:lang w:val="en-US" w:eastAsia="ja-JP"/>
              </w:rPr>
            </w:pPr>
            <w:r w:rsidRPr="00A04A19">
              <w:rPr>
                <w:rFonts w:ascii="Arial Narrow" w:eastAsia="SimSun" w:hAnsi="Arial Narrow" w:cs="Tahoma"/>
                <w:color w:val="365F91" w:themeColor="accent1" w:themeShade="BF"/>
                <w:szCs w:val="20"/>
                <w:lang w:val="en-US" w:eastAsia="ja-JP"/>
              </w:rPr>
              <w:t>Fee: TBD</w:t>
            </w:r>
          </w:p>
        </w:tc>
      </w:tr>
    </w:tbl>
    <w:p w14:paraId="3AA412C8" w14:textId="103C2926" w:rsidR="00CD6093" w:rsidRDefault="00CD6093" w:rsidP="00940C4B"/>
    <w:p w14:paraId="7057D5E6" w14:textId="74B5D023" w:rsidR="00CD6093" w:rsidRDefault="00CD6093" w:rsidP="00603D04">
      <w:pPr>
        <w:ind w:left="426"/>
      </w:pPr>
    </w:p>
    <w:p w14:paraId="5C53D7CE" w14:textId="77777777" w:rsidR="00940C4B" w:rsidRDefault="00940C4B">
      <w:pPr>
        <w:spacing w:before="0" w:after="200" w:line="276" w:lineRule="auto"/>
        <w:rPr>
          <w:bCs/>
          <w:color w:val="4F81BD" w:themeColor="accent1"/>
          <w:sz w:val="40"/>
          <w:szCs w:val="32"/>
        </w:rPr>
      </w:pPr>
      <w:r>
        <w:br w:type="page"/>
      </w:r>
    </w:p>
    <w:p w14:paraId="7DFECB04" w14:textId="45800BDC" w:rsidR="00CD6093" w:rsidRPr="00512477" w:rsidRDefault="00CD6093" w:rsidP="00864251">
      <w:pPr>
        <w:pStyle w:val="Heading1"/>
        <w:ind w:hanging="1134"/>
      </w:pPr>
      <w:r w:rsidRPr="00512477">
        <w:lastRenderedPageBreak/>
        <w:t xml:space="preserve">References </w:t>
      </w:r>
    </w:p>
    <w:p w14:paraId="3938EE2B" w14:textId="77777777" w:rsidR="00BF4A4D" w:rsidRPr="00512477" w:rsidRDefault="00BF4A4D" w:rsidP="00864251">
      <w:pPr>
        <w:ind w:left="426"/>
      </w:pPr>
      <w:r w:rsidRPr="00512477">
        <w:t xml:space="preserve">Deer TR, </w:t>
      </w:r>
      <w:proofErr w:type="spellStart"/>
      <w:r w:rsidRPr="00512477">
        <w:t>Grider</w:t>
      </w:r>
      <w:proofErr w:type="spellEnd"/>
      <w:r w:rsidRPr="00512477">
        <w:t xml:space="preserve"> JS, Pope JE, et al. The MIST Guidelines: The Lumbar Spinal Stenosis Consensus Group Guidelines for Minimally Invasive Spine Treatment. Pain </w:t>
      </w:r>
      <w:proofErr w:type="spellStart"/>
      <w:r w:rsidRPr="00512477">
        <w:t>Pract</w:t>
      </w:r>
      <w:proofErr w:type="spellEnd"/>
      <w:r w:rsidRPr="00512477">
        <w:t>. 2019;19(3):250-74. doi:10.1111/papr.12744.</w:t>
      </w:r>
    </w:p>
    <w:p w14:paraId="5815AB94" w14:textId="77777777" w:rsidR="00BF4A4D" w:rsidRPr="00512477" w:rsidRDefault="00BF4A4D" w:rsidP="00864251">
      <w:pPr>
        <w:ind w:left="426"/>
      </w:pPr>
      <w:proofErr w:type="spellStart"/>
      <w:r w:rsidRPr="00512477">
        <w:t>Djurasovic</w:t>
      </w:r>
      <w:proofErr w:type="spellEnd"/>
      <w:r w:rsidRPr="00512477">
        <w:t xml:space="preserve"> M, Glassman SD, Carreon LY, </w:t>
      </w:r>
      <w:proofErr w:type="spellStart"/>
      <w:r w:rsidRPr="00512477">
        <w:t>Dimar</w:t>
      </w:r>
      <w:proofErr w:type="spellEnd"/>
      <w:r w:rsidRPr="00512477">
        <w:t xml:space="preserve"> JR. Contemporary management of symptomatic lumbar spinal stenosis. The </w:t>
      </w:r>
      <w:proofErr w:type="spellStart"/>
      <w:r w:rsidRPr="00512477">
        <w:t>Orthopedic</w:t>
      </w:r>
      <w:proofErr w:type="spellEnd"/>
      <w:r w:rsidRPr="00512477">
        <w:t xml:space="preserve"> Clinics of North America. 2010;41 (2): 183-91.</w:t>
      </w:r>
    </w:p>
    <w:p w14:paraId="5264434D" w14:textId="77777777" w:rsidR="00BF4A4D" w:rsidRPr="00512477" w:rsidRDefault="00BF4A4D" w:rsidP="00864251">
      <w:pPr>
        <w:ind w:left="426"/>
      </w:pPr>
      <w:r w:rsidRPr="00512477">
        <w:t xml:space="preserve">Jensen, R.K., Jensen, T.S., </w:t>
      </w:r>
      <w:proofErr w:type="spellStart"/>
      <w:r w:rsidRPr="00512477">
        <w:t>Koes</w:t>
      </w:r>
      <w:proofErr w:type="spellEnd"/>
      <w:r w:rsidRPr="00512477">
        <w:t>, B. et al. Prevalence of lumbar spinal stenosis in general and clinical populations: a systematic review and meta-analysis. Eur Spine J. 2020</w:t>
      </w:r>
      <w:proofErr w:type="gramStart"/>
      <w:r w:rsidRPr="00512477">
        <w:t>;29:2143</w:t>
      </w:r>
      <w:proofErr w:type="gramEnd"/>
      <w:r w:rsidRPr="00512477">
        <w:t xml:space="preserve">-63.  </w:t>
      </w:r>
      <w:hyperlink r:id="rId17" w:history="1">
        <w:r w:rsidRPr="00512477">
          <w:rPr>
            <w:rStyle w:val="Hyperlink"/>
          </w:rPr>
          <w:t>https://doi.org/10.1007/s00586-020-06339-1</w:t>
        </w:r>
      </w:hyperlink>
      <w:r w:rsidRPr="00512477">
        <w:t>.</w:t>
      </w:r>
    </w:p>
    <w:p w14:paraId="6B76C872" w14:textId="77777777" w:rsidR="00BF4A4D" w:rsidRPr="00512477" w:rsidRDefault="00BF4A4D" w:rsidP="00864251">
      <w:pPr>
        <w:ind w:left="426"/>
      </w:pPr>
      <w:proofErr w:type="spellStart"/>
      <w:r w:rsidRPr="00512477">
        <w:t>Kreiner</w:t>
      </w:r>
      <w:proofErr w:type="spellEnd"/>
      <w:r w:rsidRPr="00512477">
        <w:t xml:space="preserve"> DS, Shaffer WO, Baisden JL, et al. An evidence-based clinical guideline for the diagnosis and treatment of degenerative lumbar spinal stenosis (update). Spine J. 2013</w:t>
      </w:r>
      <w:proofErr w:type="gramStart"/>
      <w:r w:rsidRPr="00512477">
        <w:t>;13:734</w:t>
      </w:r>
      <w:proofErr w:type="gramEnd"/>
      <w:r w:rsidRPr="00512477">
        <w:t>-43.</w:t>
      </w:r>
    </w:p>
    <w:p w14:paraId="46F4B7B2" w14:textId="77777777" w:rsidR="00BF4A4D" w:rsidRPr="00512477" w:rsidRDefault="00BF4A4D" w:rsidP="00864251">
      <w:pPr>
        <w:ind w:left="426"/>
      </w:pPr>
      <w:r w:rsidRPr="00512477">
        <w:t>Levy HI, Hanscom B, Boden SD. Three-question depression screener used for lumbar disc herniations and spinal stenosis. Spine. 2002</w:t>
      </w:r>
      <w:proofErr w:type="gramStart"/>
      <w:r w:rsidRPr="00512477">
        <w:t>;27:1232</w:t>
      </w:r>
      <w:proofErr w:type="gramEnd"/>
      <w:r w:rsidRPr="00512477">
        <w:t xml:space="preserve">-6. </w:t>
      </w:r>
    </w:p>
    <w:p w14:paraId="3538124A" w14:textId="77777777" w:rsidR="00BF4A4D" w:rsidRPr="00512477" w:rsidRDefault="00BF4A4D" w:rsidP="00864251">
      <w:pPr>
        <w:ind w:left="426"/>
      </w:pPr>
      <w:r w:rsidRPr="00512477">
        <w:t xml:space="preserve">Machado GC, Maher CG, Ferreira PH, Harris IA, </w:t>
      </w:r>
      <w:proofErr w:type="spellStart"/>
      <w:r w:rsidRPr="00512477">
        <w:t>Deyo</w:t>
      </w:r>
      <w:proofErr w:type="spellEnd"/>
      <w:r w:rsidRPr="00512477">
        <w:t xml:space="preserve"> RA, McKay D, Li Q, Ferreira ML. Trends, complications, and costs for hospital admission and surgery for lumbar spinal stenosis. Spine. 2017;42(22):1737-43.</w:t>
      </w:r>
    </w:p>
    <w:p w14:paraId="43226691" w14:textId="77777777" w:rsidR="00BF4A4D" w:rsidRPr="00512477" w:rsidRDefault="00BF4A4D" w:rsidP="00864251">
      <w:pPr>
        <w:ind w:left="426"/>
      </w:pPr>
      <w:r w:rsidRPr="00512477">
        <w:t xml:space="preserve">Otani K, Kikuchi S, </w:t>
      </w:r>
      <w:proofErr w:type="spellStart"/>
      <w:r w:rsidRPr="00512477">
        <w:t>Yabuki</w:t>
      </w:r>
      <w:proofErr w:type="spellEnd"/>
      <w:r w:rsidRPr="00512477">
        <w:t xml:space="preserve"> S, et al. Lumbar spinal stenosis has a negative impact on quality of life compared with other comorbidities: an epidemiological cross-sectional study of 1862 community dwelling individuals. Scientific World J. 2013:1-9. </w:t>
      </w:r>
    </w:p>
    <w:p w14:paraId="19C59FAC" w14:textId="77777777" w:rsidR="00BF4A4D" w:rsidRPr="00512477" w:rsidRDefault="00BF4A4D" w:rsidP="00864251">
      <w:pPr>
        <w:ind w:left="426"/>
      </w:pPr>
      <w:proofErr w:type="spellStart"/>
      <w:r w:rsidRPr="00512477">
        <w:t>Saban</w:t>
      </w:r>
      <w:proofErr w:type="spellEnd"/>
      <w:r w:rsidRPr="00512477">
        <w:t xml:space="preserve"> KL, </w:t>
      </w:r>
      <w:proofErr w:type="spellStart"/>
      <w:r w:rsidRPr="00512477">
        <w:t>Penckofer</w:t>
      </w:r>
      <w:proofErr w:type="spellEnd"/>
      <w:r w:rsidRPr="00512477">
        <w:t xml:space="preserve"> SM, </w:t>
      </w:r>
      <w:proofErr w:type="spellStart"/>
      <w:r w:rsidRPr="00512477">
        <w:t>Androwich</w:t>
      </w:r>
      <w:proofErr w:type="spellEnd"/>
      <w:r w:rsidRPr="00512477">
        <w:t xml:space="preserve"> I, et al. Health-related quality of life of patients following selected types of lumbar spinal surgery: a pilot study. Health Qual Life Outcomes. 2007</w:t>
      </w:r>
      <w:proofErr w:type="gramStart"/>
      <w:r w:rsidRPr="00512477">
        <w:t>;5:71</w:t>
      </w:r>
      <w:proofErr w:type="gramEnd"/>
      <w:r w:rsidRPr="00512477">
        <w:t>.</w:t>
      </w:r>
    </w:p>
    <w:p w14:paraId="4D8B388A" w14:textId="77777777" w:rsidR="00BF4A4D" w:rsidRPr="00512477" w:rsidRDefault="00BF4A4D" w:rsidP="00864251">
      <w:pPr>
        <w:ind w:left="426"/>
      </w:pPr>
      <w:proofErr w:type="spellStart"/>
      <w:r w:rsidRPr="00512477">
        <w:t>Sekiguchi</w:t>
      </w:r>
      <w:proofErr w:type="spellEnd"/>
      <w:r w:rsidRPr="00512477">
        <w:t xml:space="preserve"> M, </w:t>
      </w:r>
      <w:proofErr w:type="spellStart"/>
      <w:r w:rsidRPr="00512477">
        <w:t>Yonemoto</w:t>
      </w:r>
      <w:proofErr w:type="spellEnd"/>
      <w:r w:rsidRPr="00512477">
        <w:t xml:space="preserve"> K, </w:t>
      </w:r>
      <w:proofErr w:type="spellStart"/>
      <w:r w:rsidRPr="00512477">
        <w:t>Kakuma</w:t>
      </w:r>
      <w:proofErr w:type="spellEnd"/>
      <w:r w:rsidRPr="00512477">
        <w:t xml:space="preserve"> T, et al. Relationship between lumbar spinal stenosis and psychosocial factors: a </w:t>
      </w:r>
      <w:proofErr w:type="spellStart"/>
      <w:r w:rsidRPr="00512477">
        <w:t>multicenter</w:t>
      </w:r>
      <w:proofErr w:type="spellEnd"/>
      <w:r w:rsidRPr="00512477">
        <w:t xml:space="preserve"> </w:t>
      </w:r>
      <w:proofErr w:type="spellStart"/>
      <w:r w:rsidRPr="00512477">
        <w:t>crosssectional</w:t>
      </w:r>
      <w:proofErr w:type="spellEnd"/>
      <w:r w:rsidRPr="00512477">
        <w:t xml:space="preserve"> study (DISTO project). Eur Spine J. 2015</w:t>
      </w:r>
      <w:proofErr w:type="gramStart"/>
      <w:r w:rsidRPr="00512477">
        <w:t>;24:2288</w:t>
      </w:r>
      <w:proofErr w:type="gramEnd"/>
      <w:r w:rsidRPr="00512477">
        <w:t xml:space="preserve">-94. </w:t>
      </w:r>
    </w:p>
    <w:p w14:paraId="7104E2AB" w14:textId="77777777" w:rsidR="00BF4A4D" w:rsidRDefault="00BF4A4D" w:rsidP="00864251">
      <w:pPr>
        <w:ind w:left="426"/>
      </w:pPr>
      <w:proofErr w:type="spellStart"/>
      <w:r w:rsidRPr="00512477">
        <w:t>Sinikallio</w:t>
      </w:r>
      <w:proofErr w:type="spellEnd"/>
      <w:r w:rsidRPr="00512477">
        <w:t xml:space="preserve"> S, Aalto T, </w:t>
      </w:r>
      <w:proofErr w:type="spellStart"/>
      <w:r w:rsidRPr="00512477">
        <w:t>Airaksinen</w:t>
      </w:r>
      <w:proofErr w:type="spellEnd"/>
      <w:r w:rsidRPr="00512477">
        <w:t xml:space="preserve"> O, et al. Depression and associated factors in patients with lumbar spinal stenosis. </w:t>
      </w:r>
      <w:proofErr w:type="spellStart"/>
      <w:r w:rsidRPr="00512477">
        <w:t>Disabil</w:t>
      </w:r>
      <w:proofErr w:type="spellEnd"/>
      <w:r w:rsidRPr="00512477">
        <w:t xml:space="preserve"> </w:t>
      </w:r>
      <w:proofErr w:type="spellStart"/>
      <w:r w:rsidRPr="00512477">
        <w:t>Rehabil</w:t>
      </w:r>
      <w:proofErr w:type="spellEnd"/>
      <w:r w:rsidRPr="00512477">
        <w:t>. 2006</w:t>
      </w:r>
      <w:proofErr w:type="gramStart"/>
      <w:r w:rsidRPr="00512477">
        <w:t>;28:415</w:t>
      </w:r>
      <w:proofErr w:type="gramEnd"/>
      <w:r w:rsidRPr="00512477">
        <w:t>-22.</w:t>
      </w:r>
    </w:p>
    <w:sectPr w:rsidR="00BF4A4D"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56251" w14:textId="77777777" w:rsidR="00C66E8F" w:rsidRDefault="00C66E8F" w:rsidP="00CF2DFA">
      <w:pPr>
        <w:spacing w:after="0"/>
      </w:pPr>
      <w:r>
        <w:separator/>
      </w:r>
    </w:p>
    <w:p w14:paraId="34E97AF1" w14:textId="77777777" w:rsidR="00C66E8F" w:rsidRDefault="00C66E8F"/>
  </w:endnote>
  <w:endnote w:type="continuationSeparator" w:id="0">
    <w:p w14:paraId="31AD2A98" w14:textId="77777777" w:rsidR="00C66E8F" w:rsidRDefault="00C66E8F" w:rsidP="00CF2DFA">
      <w:pPr>
        <w:spacing w:after="0"/>
      </w:pPr>
      <w:r>
        <w:continuationSeparator/>
      </w:r>
    </w:p>
    <w:p w14:paraId="5B47E35B" w14:textId="77777777" w:rsidR="00C66E8F" w:rsidRDefault="00C66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D0EFA" w14:textId="77777777" w:rsidR="005972F3" w:rsidRDefault="00597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5925BE8B" w14:textId="5D6552FF" w:rsidR="00C66E8F" w:rsidRDefault="00C66E8F">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A962EA" w:rsidRPr="00A962EA">
          <w:rPr>
            <w:b/>
            <w:bCs/>
            <w:noProof/>
            <w:sz w:val="18"/>
            <w:szCs w:val="18"/>
          </w:rPr>
          <w:t>21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180BB397" w14:textId="77777777" w:rsidR="00C66E8F" w:rsidRPr="003F7CB9" w:rsidRDefault="00C66E8F"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7103D" w14:textId="77777777" w:rsidR="005972F3" w:rsidRDefault="00597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81BCA" w14:textId="77777777" w:rsidR="00C66E8F" w:rsidRDefault="00C66E8F" w:rsidP="00CF2DFA">
      <w:pPr>
        <w:spacing w:after="0"/>
      </w:pPr>
      <w:r>
        <w:separator/>
      </w:r>
    </w:p>
    <w:p w14:paraId="199EFC3C" w14:textId="77777777" w:rsidR="00C66E8F" w:rsidRDefault="00C66E8F"/>
  </w:footnote>
  <w:footnote w:type="continuationSeparator" w:id="0">
    <w:p w14:paraId="3079C5ED" w14:textId="77777777" w:rsidR="00C66E8F" w:rsidRDefault="00C66E8F" w:rsidP="00CF2DFA">
      <w:pPr>
        <w:spacing w:after="0"/>
      </w:pPr>
      <w:r>
        <w:continuationSeparator/>
      </w:r>
    </w:p>
    <w:p w14:paraId="4AAAD46A" w14:textId="77777777" w:rsidR="00C66E8F" w:rsidRDefault="00C66E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A5147" w14:textId="77777777" w:rsidR="005972F3" w:rsidRDefault="005972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E6741" w14:textId="77777777" w:rsidR="005972F3" w:rsidRDefault="005972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1160B" w14:textId="77777777" w:rsidR="005972F3" w:rsidRDefault="00597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214825"/>
    <w:multiLevelType w:val="hybridMultilevel"/>
    <w:tmpl w:val="E2C65B7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4EE04AD"/>
    <w:multiLevelType w:val="hybridMultilevel"/>
    <w:tmpl w:val="16FC042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33515984"/>
    <w:multiLevelType w:val="hybridMultilevel"/>
    <w:tmpl w:val="ACBE8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FE6240"/>
    <w:multiLevelType w:val="multilevel"/>
    <w:tmpl w:val="086A2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EB3DF7"/>
    <w:multiLevelType w:val="hybridMultilevel"/>
    <w:tmpl w:val="DD2C72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510F6FAE"/>
    <w:multiLevelType w:val="multilevel"/>
    <w:tmpl w:val="D5FA7F4A"/>
    <w:lvl w:ilvl="0">
      <w:start w:val="1"/>
      <w:numFmt w:val="decimal"/>
      <w:pStyle w:val="Heading2"/>
      <w:lvlText w:val="%1."/>
      <w:lvlJc w:val="left"/>
      <w:pPr>
        <w:ind w:left="786"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F174AD0"/>
    <w:multiLevelType w:val="hybridMultilevel"/>
    <w:tmpl w:val="851AA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E90D41"/>
    <w:multiLevelType w:val="hybridMultilevel"/>
    <w:tmpl w:val="548CECA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BC33862"/>
    <w:multiLevelType w:val="hybridMultilevel"/>
    <w:tmpl w:val="7004DF52"/>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3"/>
  </w:num>
  <w:num w:numId="2">
    <w:abstractNumId w:val="20"/>
  </w:num>
  <w:num w:numId="3">
    <w:abstractNumId w:val="1"/>
  </w:num>
  <w:num w:numId="4">
    <w:abstractNumId w:val="19"/>
  </w:num>
  <w:num w:numId="5">
    <w:abstractNumId w:val="3"/>
  </w:num>
  <w:num w:numId="6">
    <w:abstractNumId w:val="14"/>
  </w:num>
  <w:num w:numId="7">
    <w:abstractNumId w:val="9"/>
  </w:num>
  <w:num w:numId="8">
    <w:abstractNumId w:val="2"/>
  </w:num>
  <w:num w:numId="9">
    <w:abstractNumId w:val="16"/>
  </w:num>
  <w:num w:numId="10">
    <w:abstractNumId w:val="5"/>
  </w:num>
  <w:num w:numId="11">
    <w:abstractNumId w:val="15"/>
  </w:num>
  <w:num w:numId="12">
    <w:abstractNumId w:val="4"/>
  </w:num>
  <w:num w:numId="13">
    <w:abstractNumId w:val="12"/>
  </w:num>
  <w:num w:numId="14">
    <w:abstractNumId w:val="0"/>
  </w:num>
  <w:num w:numId="15">
    <w:abstractNumId w:val="8"/>
  </w:num>
  <w:num w:numId="16">
    <w:abstractNumId w:val="11"/>
  </w:num>
  <w:num w:numId="17">
    <w:abstractNumId w:val="7"/>
  </w:num>
  <w:num w:numId="18">
    <w:abstractNumId w:val="6"/>
  </w:num>
  <w:num w:numId="19">
    <w:abstractNumId w:val="18"/>
  </w:num>
  <w:num w:numId="20">
    <w:abstractNumId w:val="10"/>
  </w:num>
  <w:num w:numId="21">
    <w:abstractNumId w:val="21"/>
  </w:num>
  <w:num w:numId="22">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3MLY0MjY0MDS3MDJQ0lEKTi0uzszPAykwrAUAzP7sJiwAAAA="/>
  </w:docVars>
  <w:rsids>
    <w:rsidRoot w:val="00BF6AC5"/>
    <w:rsid w:val="000110DC"/>
    <w:rsid w:val="00014D8E"/>
    <w:rsid w:val="000150D9"/>
    <w:rsid w:val="000158AA"/>
    <w:rsid w:val="000159B9"/>
    <w:rsid w:val="00016B6E"/>
    <w:rsid w:val="00023E21"/>
    <w:rsid w:val="00025ABC"/>
    <w:rsid w:val="00026412"/>
    <w:rsid w:val="00031F6F"/>
    <w:rsid w:val="00034D6E"/>
    <w:rsid w:val="0004259C"/>
    <w:rsid w:val="0005089D"/>
    <w:rsid w:val="00050F9A"/>
    <w:rsid w:val="000525BC"/>
    <w:rsid w:val="00066630"/>
    <w:rsid w:val="00073222"/>
    <w:rsid w:val="00075F44"/>
    <w:rsid w:val="000770BA"/>
    <w:rsid w:val="000878C7"/>
    <w:rsid w:val="00092580"/>
    <w:rsid w:val="000955E7"/>
    <w:rsid w:val="000A110D"/>
    <w:rsid w:val="000A478F"/>
    <w:rsid w:val="000A5B32"/>
    <w:rsid w:val="000B3CD0"/>
    <w:rsid w:val="000B5A61"/>
    <w:rsid w:val="000C3FF5"/>
    <w:rsid w:val="000D066E"/>
    <w:rsid w:val="000D0831"/>
    <w:rsid w:val="000D5C9E"/>
    <w:rsid w:val="000E47E7"/>
    <w:rsid w:val="000E5439"/>
    <w:rsid w:val="000F3778"/>
    <w:rsid w:val="00102112"/>
    <w:rsid w:val="00102480"/>
    <w:rsid w:val="00102686"/>
    <w:rsid w:val="0011036E"/>
    <w:rsid w:val="001130B0"/>
    <w:rsid w:val="0011369B"/>
    <w:rsid w:val="0011742E"/>
    <w:rsid w:val="00123D10"/>
    <w:rsid w:val="00124128"/>
    <w:rsid w:val="00126B33"/>
    <w:rsid w:val="00144C6F"/>
    <w:rsid w:val="00154B00"/>
    <w:rsid w:val="001644E9"/>
    <w:rsid w:val="001845D9"/>
    <w:rsid w:val="0018630F"/>
    <w:rsid w:val="001906CD"/>
    <w:rsid w:val="00191B99"/>
    <w:rsid w:val="0019694B"/>
    <w:rsid w:val="00197D29"/>
    <w:rsid w:val="001A02E3"/>
    <w:rsid w:val="001A150C"/>
    <w:rsid w:val="001A1ADF"/>
    <w:rsid w:val="001A365C"/>
    <w:rsid w:val="001A46C2"/>
    <w:rsid w:val="001B171D"/>
    <w:rsid w:val="001B29A1"/>
    <w:rsid w:val="001B5169"/>
    <w:rsid w:val="001B6164"/>
    <w:rsid w:val="001C3230"/>
    <w:rsid w:val="001C5FDC"/>
    <w:rsid w:val="001C7E1B"/>
    <w:rsid w:val="001D063C"/>
    <w:rsid w:val="001D77ED"/>
    <w:rsid w:val="001E1180"/>
    <w:rsid w:val="001E23EA"/>
    <w:rsid w:val="001E6919"/>
    <w:rsid w:val="001E6958"/>
    <w:rsid w:val="00201924"/>
    <w:rsid w:val="00202473"/>
    <w:rsid w:val="002053F2"/>
    <w:rsid w:val="00206D63"/>
    <w:rsid w:val="00210015"/>
    <w:rsid w:val="0021185D"/>
    <w:rsid w:val="00221A36"/>
    <w:rsid w:val="00226777"/>
    <w:rsid w:val="002303F1"/>
    <w:rsid w:val="00234779"/>
    <w:rsid w:val="00235BD1"/>
    <w:rsid w:val="00242B0E"/>
    <w:rsid w:val="002432F0"/>
    <w:rsid w:val="00247DF0"/>
    <w:rsid w:val="00251C90"/>
    <w:rsid w:val="00254813"/>
    <w:rsid w:val="00257FF2"/>
    <w:rsid w:val="00265822"/>
    <w:rsid w:val="0027105F"/>
    <w:rsid w:val="002711FB"/>
    <w:rsid w:val="0027274C"/>
    <w:rsid w:val="00282BE8"/>
    <w:rsid w:val="00283318"/>
    <w:rsid w:val="00283BAF"/>
    <w:rsid w:val="00285525"/>
    <w:rsid w:val="00294CD8"/>
    <w:rsid w:val="00297B33"/>
    <w:rsid w:val="002A270B"/>
    <w:rsid w:val="002A50FD"/>
    <w:rsid w:val="002A6753"/>
    <w:rsid w:val="002B28D7"/>
    <w:rsid w:val="002B7EB6"/>
    <w:rsid w:val="002C02EB"/>
    <w:rsid w:val="002C0B61"/>
    <w:rsid w:val="002C15E6"/>
    <w:rsid w:val="002C247D"/>
    <w:rsid w:val="002C3345"/>
    <w:rsid w:val="002D409A"/>
    <w:rsid w:val="002D7B39"/>
    <w:rsid w:val="002E3BFD"/>
    <w:rsid w:val="002F30E7"/>
    <w:rsid w:val="00300EEB"/>
    <w:rsid w:val="003013A9"/>
    <w:rsid w:val="00301958"/>
    <w:rsid w:val="003020B5"/>
    <w:rsid w:val="003027BB"/>
    <w:rsid w:val="00304593"/>
    <w:rsid w:val="00305E6D"/>
    <w:rsid w:val="00310A10"/>
    <w:rsid w:val="00310AC9"/>
    <w:rsid w:val="00312B9A"/>
    <w:rsid w:val="00320E56"/>
    <w:rsid w:val="00327D25"/>
    <w:rsid w:val="003319A7"/>
    <w:rsid w:val="00331F08"/>
    <w:rsid w:val="00334B33"/>
    <w:rsid w:val="00334FE3"/>
    <w:rsid w:val="003421AE"/>
    <w:rsid w:val="003433D1"/>
    <w:rsid w:val="00344B24"/>
    <w:rsid w:val="003456B9"/>
    <w:rsid w:val="0035067D"/>
    <w:rsid w:val="00353A16"/>
    <w:rsid w:val="0035776D"/>
    <w:rsid w:val="00364FD9"/>
    <w:rsid w:val="00367C1B"/>
    <w:rsid w:val="00376B61"/>
    <w:rsid w:val="003801A7"/>
    <w:rsid w:val="00382407"/>
    <w:rsid w:val="00383E93"/>
    <w:rsid w:val="00383F80"/>
    <w:rsid w:val="00385E99"/>
    <w:rsid w:val="00386A64"/>
    <w:rsid w:val="00386FA1"/>
    <w:rsid w:val="00390142"/>
    <w:rsid w:val="003904AC"/>
    <w:rsid w:val="00392F00"/>
    <w:rsid w:val="00397377"/>
    <w:rsid w:val="003A22DE"/>
    <w:rsid w:val="003A2860"/>
    <w:rsid w:val="003A3C35"/>
    <w:rsid w:val="003A7D30"/>
    <w:rsid w:val="003B2468"/>
    <w:rsid w:val="003B3C5C"/>
    <w:rsid w:val="003C47CA"/>
    <w:rsid w:val="003D0F62"/>
    <w:rsid w:val="003D6DE1"/>
    <w:rsid w:val="003D795C"/>
    <w:rsid w:val="003E30FB"/>
    <w:rsid w:val="003F2711"/>
    <w:rsid w:val="003F6C70"/>
    <w:rsid w:val="003F7CB9"/>
    <w:rsid w:val="004014E2"/>
    <w:rsid w:val="00403333"/>
    <w:rsid w:val="00411735"/>
    <w:rsid w:val="00412CE9"/>
    <w:rsid w:val="00415C74"/>
    <w:rsid w:val="0042012C"/>
    <w:rsid w:val="00424DD0"/>
    <w:rsid w:val="00427966"/>
    <w:rsid w:val="00433D4C"/>
    <w:rsid w:val="0043654D"/>
    <w:rsid w:val="00437F60"/>
    <w:rsid w:val="00451840"/>
    <w:rsid w:val="00460C9A"/>
    <w:rsid w:val="00464924"/>
    <w:rsid w:val="0047033E"/>
    <w:rsid w:val="0047581D"/>
    <w:rsid w:val="00475BCD"/>
    <w:rsid w:val="00476A14"/>
    <w:rsid w:val="00480289"/>
    <w:rsid w:val="00481279"/>
    <w:rsid w:val="00483368"/>
    <w:rsid w:val="00486426"/>
    <w:rsid w:val="00494011"/>
    <w:rsid w:val="00496532"/>
    <w:rsid w:val="004A0BF4"/>
    <w:rsid w:val="004A263B"/>
    <w:rsid w:val="004B68AE"/>
    <w:rsid w:val="004B7516"/>
    <w:rsid w:val="004C18AC"/>
    <w:rsid w:val="004C35B0"/>
    <w:rsid w:val="004C49EF"/>
    <w:rsid w:val="004C4A19"/>
    <w:rsid w:val="004C5570"/>
    <w:rsid w:val="004C6F04"/>
    <w:rsid w:val="004D00C9"/>
    <w:rsid w:val="004D3734"/>
    <w:rsid w:val="004E16F5"/>
    <w:rsid w:val="004E3CC7"/>
    <w:rsid w:val="004E5B69"/>
    <w:rsid w:val="004F2A87"/>
    <w:rsid w:val="00507C56"/>
    <w:rsid w:val="00511547"/>
    <w:rsid w:val="00512477"/>
    <w:rsid w:val="00521317"/>
    <w:rsid w:val="0052344E"/>
    <w:rsid w:val="0052570A"/>
    <w:rsid w:val="00526478"/>
    <w:rsid w:val="00530204"/>
    <w:rsid w:val="00534C5F"/>
    <w:rsid w:val="00537302"/>
    <w:rsid w:val="00540257"/>
    <w:rsid w:val="0054192F"/>
    <w:rsid w:val="00542C22"/>
    <w:rsid w:val="00544EB3"/>
    <w:rsid w:val="0054594B"/>
    <w:rsid w:val="0054749B"/>
    <w:rsid w:val="00551CC6"/>
    <w:rsid w:val="00554E7A"/>
    <w:rsid w:val="0056015F"/>
    <w:rsid w:val="00560541"/>
    <w:rsid w:val="005672D0"/>
    <w:rsid w:val="00572CEB"/>
    <w:rsid w:val="005834C9"/>
    <w:rsid w:val="005964AA"/>
    <w:rsid w:val="005972F3"/>
    <w:rsid w:val="005A2BB5"/>
    <w:rsid w:val="005A58BA"/>
    <w:rsid w:val="005A5D30"/>
    <w:rsid w:val="005A6AB9"/>
    <w:rsid w:val="005B5D84"/>
    <w:rsid w:val="005C1792"/>
    <w:rsid w:val="005C333E"/>
    <w:rsid w:val="005C3AE7"/>
    <w:rsid w:val="005C3F0E"/>
    <w:rsid w:val="005D0677"/>
    <w:rsid w:val="005E294C"/>
    <w:rsid w:val="005E2CE3"/>
    <w:rsid w:val="005F3F07"/>
    <w:rsid w:val="00603D04"/>
    <w:rsid w:val="00606857"/>
    <w:rsid w:val="00615F42"/>
    <w:rsid w:val="006258C2"/>
    <w:rsid w:val="00626365"/>
    <w:rsid w:val="00630797"/>
    <w:rsid w:val="00630E22"/>
    <w:rsid w:val="0063659A"/>
    <w:rsid w:val="0064168C"/>
    <w:rsid w:val="00653FD1"/>
    <w:rsid w:val="00654579"/>
    <w:rsid w:val="00657B46"/>
    <w:rsid w:val="006764EC"/>
    <w:rsid w:val="006835FE"/>
    <w:rsid w:val="00693BFD"/>
    <w:rsid w:val="00695065"/>
    <w:rsid w:val="006A1038"/>
    <w:rsid w:val="006A179B"/>
    <w:rsid w:val="006A649A"/>
    <w:rsid w:val="006B1B49"/>
    <w:rsid w:val="006B6390"/>
    <w:rsid w:val="006C0356"/>
    <w:rsid w:val="006C0843"/>
    <w:rsid w:val="006C74B1"/>
    <w:rsid w:val="006E57AA"/>
    <w:rsid w:val="006F20CF"/>
    <w:rsid w:val="006F38ED"/>
    <w:rsid w:val="00704344"/>
    <w:rsid w:val="00707D4D"/>
    <w:rsid w:val="007128BB"/>
    <w:rsid w:val="00722416"/>
    <w:rsid w:val="00723446"/>
    <w:rsid w:val="00723503"/>
    <w:rsid w:val="00730C04"/>
    <w:rsid w:val="00732153"/>
    <w:rsid w:val="00732EAA"/>
    <w:rsid w:val="0073597B"/>
    <w:rsid w:val="007378F6"/>
    <w:rsid w:val="0074545D"/>
    <w:rsid w:val="007522E3"/>
    <w:rsid w:val="0075335B"/>
    <w:rsid w:val="00753C44"/>
    <w:rsid w:val="00754383"/>
    <w:rsid w:val="007564D1"/>
    <w:rsid w:val="00757232"/>
    <w:rsid w:val="00760679"/>
    <w:rsid w:val="00763628"/>
    <w:rsid w:val="00767E99"/>
    <w:rsid w:val="00772E62"/>
    <w:rsid w:val="00775A6A"/>
    <w:rsid w:val="0077789B"/>
    <w:rsid w:val="00780D29"/>
    <w:rsid w:val="00791C8D"/>
    <w:rsid w:val="0079354C"/>
    <w:rsid w:val="00794181"/>
    <w:rsid w:val="007A2F21"/>
    <w:rsid w:val="007A744F"/>
    <w:rsid w:val="007A7F6F"/>
    <w:rsid w:val="007B36EF"/>
    <w:rsid w:val="007B4C76"/>
    <w:rsid w:val="007C2260"/>
    <w:rsid w:val="007D1E52"/>
    <w:rsid w:val="007D2358"/>
    <w:rsid w:val="007E39E4"/>
    <w:rsid w:val="007E6FB3"/>
    <w:rsid w:val="007F21B4"/>
    <w:rsid w:val="007F443B"/>
    <w:rsid w:val="00802553"/>
    <w:rsid w:val="00803EAB"/>
    <w:rsid w:val="008046B5"/>
    <w:rsid w:val="00810224"/>
    <w:rsid w:val="008127C0"/>
    <w:rsid w:val="00812EDD"/>
    <w:rsid w:val="008139C5"/>
    <w:rsid w:val="0081650F"/>
    <w:rsid w:val="00832B31"/>
    <w:rsid w:val="008403E0"/>
    <w:rsid w:val="0084657B"/>
    <w:rsid w:val="00855944"/>
    <w:rsid w:val="00864251"/>
    <w:rsid w:val="00864A18"/>
    <w:rsid w:val="00870833"/>
    <w:rsid w:val="008732B2"/>
    <w:rsid w:val="00874571"/>
    <w:rsid w:val="00874F3A"/>
    <w:rsid w:val="0088022B"/>
    <w:rsid w:val="00881F93"/>
    <w:rsid w:val="00882CB5"/>
    <w:rsid w:val="00883641"/>
    <w:rsid w:val="00884E69"/>
    <w:rsid w:val="00890082"/>
    <w:rsid w:val="008A48D2"/>
    <w:rsid w:val="008A7423"/>
    <w:rsid w:val="008A7BEA"/>
    <w:rsid w:val="008B1DBA"/>
    <w:rsid w:val="008B23B4"/>
    <w:rsid w:val="008B2610"/>
    <w:rsid w:val="008B471D"/>
    <w:rsid w:val="008B49E4"/>
    <w:rsid w:val="008B729C"/>
    <w:rsid w:val="008C4933"/>
    <w:rsid w:val="008C4A93"/>
    <w:rsid w:val="008D6FA3"/>
    <w:rsid w:val="008E0E49"/>
    <w:rsid w:val="008E16BE"/>
    <w:rsid w:val="008E35FD"/>
    <w:rsid w:val="008E6227"/>
    <w:rsid w:val="008E78B9"/>
    <w:rsid w:val="008F566C"/>
    <w:rsid w:val="00901F1C"/>
    <w:rsid w:val="0090543D"/>
    <w:rsid w:val="009056C5"/>
    <w:rsid w:val="00917150"/>
    <w:rsid w:val="009262F2"/>
    <w:rsid w:val="00927214"/>
    <w:rsid w:val="00937791"/>
    <w:rsid w:val="00940C4B"/>
    <w:rsid w:val="00951933"/>
    <w:rsid w:val="00954343"/>
    <w:rsid w:val="00955271"/>
    <w:rsid w:val="009620D9"/>
    <w:rsid w:val="00963C9C"/>
    <w:rsid w:val="00965B6B"/>
    <w:rsid w:val="00971EDB"/>
    <w:rsid w:val="00974D50"/>
    <w:rsid w:val="0097548C"/>
    <w:rsid w:val="009807FF"/>
    <w:rsid w:val="0098540D"/>
    <w:rsid w:val="00987ABE"/>
    <w:rsid w:val="00991EE4"/>
    <w:rsid w:val="009939DC"/>
    <w:rsid w:val="00993B9C"/>
    <w:rsid w:val="009A769C"/>
    <w:rsid w:val="009B4E1E"/>
    <w:rsid w:val="009C03FB"/>
    <w:rsid w:val="009C4B4F"/>
    <w:rsid w:val="009D1287"/>
    <w:rsid w:val="009F0C02"/>
    <w:rsid w:val="009F5758"/>
    <w:rsid w:val="009F5C6F"/>
    <w:rsid w:val="00A0283F"/>
    <w:rsid w:val="00A02E41"/>
    <w:rsid w:val="00A04F4A"/>
    <w:rsid w:val="00A15F79"/>
    <w:rsid w:val="00A2355F"/>
    <w:rsid w:val="00A26343"/>
    <w:rsid w:val="00A408B5"/>
    <w:rsid w:val="00A40A38"/>
    <w:rsid w:val="00A47A27"/>
    <w:rsid w:val="00A529E2"/>
    <w:rsid w:val="00A532F9"/>
    <w:rsid w:val="00A539F8"/>
    <w:rsid w:val="00A6491A"/>
    <w:rsid w:val="00A6594E"/>
    <w:rsid w:val="00A7148E"/>
    <w:rsid w:val="00A727B6"/>
    <w:rsid w:val="00A81CC6"/>
    <w:rsid w:val="00A83EC6"/>
    <w:rsid w:val="00A85E0C"/>
    <w:rsid w:val="00A8732C"/>
    <w:rsid w:val="00A9062D"/>
    <w:rsid w:val="00A93F58"/>
    <w:rsid w:val="00A962EA"/>
    <w:rsid w:val="00A96329"/>
    <w:rsid w:val="00AA134B"/>
    <w:rsid w:val="00AA2CFE"/>
    <w:rsid w:val="00AA5FDA"/>
    <w:rsid w:val="00AA6291"/>
    <w:rsid w:val="00AC0C91"/>
    <w:rsid w:val="00AD37D4"/>
    <w:rsid w:val="00AD3C7C"/>
    <w:rsid w:val="00AD3E40"/>
    <w:rsid w:val="00AD7986"/>
    <w:rsid w:val="00AE1188"/>
    <w:rsid w:val="00AE738C"/>
    <w:rsid w:val="00AF1046"/>
    <w:rsid w:val="00AF4466"/>
    <w:rsid w:val="00AF5D1E"/>
    <w:rsid w:val="00B040A9"/>
    <w:rsid w:val="00B1711E"/>
    <w:rsid w:val="00B17CBE"/>
    <w:rsid w:val="00B17E26"/>
    <w:rsid w:val="00B231A4"/>
    <w:rsid w:val="00B25D20"/>
    <w:rsid w:val="00B31C99"/>
    <w:rsid w:val="00B45823"/>
    <w:rsid w:val="00B52C75"/>
    <w:rsid w:val="00B53BA6"/>
    <w:rsid w:val="00B542FB"/>
    <w:rsid w:val="00B5731D"/>
    <w:rsid w:val="00B6378B"/>
    <w:rsid w:val="00B63E3A"/>
    <w:rsid w:val="00B75965"/>
    <w:rsid w:val="00B771AD"/>
    <w:rsid w:val="00B814CB"/>
    <w:rsid w:val="00B95D21"/>
    <w:rsid w:val="00BA0CF8"/>
    <w:rsid w:val="00BA1ADF"/>
    <w:rsid w:val="00BA51FC"/>
    <w:rsid w:val="00BB003A"/>
    <w:rsid w:val="00BB3358"/>
    <w:rsid w:val="00BB3382"/>
    <w:rsid w:val="00BB3643"/>
    <w:rsid w:val="00BB7731"/>
    <w:rsid w:val="00BC3DA0"/>
    <w:rsid w:val="00BC424B"/>
    <w:rsid w:val="00BE0FDE"/>
    <w:rsid w:val="00BE2E82"/>
    <w:rsid w:val="00BF1195"/>
    <w:rsid w:val="00BF4A4D"/>
    <w:rsid w:val="00BF66B4"/>
    <w:rsid w:val="00BF6AC5"/>
    <w:rsid w:val="00C01121"/>
    <w:rsid w:val="00C01CDE"/>
    <w:rsid w:val="00C030A5"/>
    <w:rsid w:val="00C05A45"/>
    <w:rsid w:val="00C0796F"/>
    <w:rsid w:val="00C11B34"/>
    <w:rsid w:val="00C12C5C"/>
    <w:rsid w:val="00C171FB"/>
    <w:rsid w:val="00C209C2"/>
    <w:rsid w:val="00C2267F"/>
    <w:rsid w:val="00C22AD8"/>
    <w:rsid w:val="00C335E2"/>
    <w:rsid w:val="00C3557E"/>
    <w:rsid w:val="00C3594B"/>
    <w:rsid w:val="00C43102"/>
    <w:rsid w:val="00C4696B"/>
    <w:rsid w:val="00C50513"/>
    <w:rsid w:val="00C54503"/>
    <w:rsid w:val="00C57D9A"/>
    <w:rsid w:val="00C63055"/>
    <w:rsid w:val="00C66E8F"/>
    <w:rsid w:val="00C73B62"/>
    <w:rsid w:val="00C776B1"/>
    <w:rsid w:val="00C815FE"/>
    <w:rsid w:val="00C81FA0"/>
    <w:rsid w:val="00C847AE"/>
    <w:rsid w:val="00CA04C6"/>
    <w:rsid w:val="00CA26DD"/>
    <w:rsid w:val="00CA57BB"/>
    <w:rsid w:val="00CB12EC"/>
    <w:rsid w:val="00CB4C1C"/>
    <w:rsid w:val="00CB74EF"/>
    <w:rsid w:val="00CC09D7"/>
    <w:rsid w:val="00CC12B8"/>
    <w:rsid w:val="00CC5AB1"/>
    <w:rsid w:val="00CC5DCA"/>
    <w:rsid w:val="00CD22E3"/>
    <w:rsid w:val="00CD4E44"/>
    <w:rsid w:val="00CD5AE4"/>
    <w:rsid w:val="00CD6093"/>
    <w:rsid w:val="00CD7A7D"/>
    <w:rsid w:val="00CF237D"/>
    <w:rsid w:val="00CF2D8E"/>
    <w:rsid w:val="00CF2DFA"/>
    <w:rsid w:val="00CF5AD8"/>
    <w:rsid w:val="00D00122"/>
    <w:rsid w:val="00D01D2A"/>
    <w:rsid w:val="00D041EF"/>
    <w:rsid w:val="00D07B13"/>
    <w:rsid w:val="00D109B2"/>
    <w:rsid w:val="00D10B47"/>
    <w:rsid w:val="00D11EB1"/>
    <w:rsid w:val="00D17F17"/>
    <w:rsid w:val="00D23597"/>
    <w:rsid w:val="00D30BDC"/>
    <w:rsid w:val="00D30F4A"/>
    <w:rsid w:val="00D57F88"/>
    <w:rsid w:val="00D6529C"/>
    <w:rsid w:val="00D6796D"/>
    <w:rsid w:val="00D7105C"/>
    <w:rsid w:val="00D73646"/>
    <w:rsid w:val="00D73A4F"/>
    <w:rsid w:val="00D777B4"/>
    <w:rsid w:val="00D77A90"/>
    <w:rsid w:val="00D83475"/>
    <w:rsid w:val="00D8360B"/>
    <w:rsid w:val="00D85676"/>
    <w:rsid w:val="00D90ECE"/>
    <w:rsid w:val="00D913E6"/>
    <w:rsid w:val="00D96ADA"/>
    <w:rsid w:val="00D973E7"/>
    <w:rsid w:val="00DA2886"/>
    <w:rsid w:val="00DA5E50"/>
    <w:rsid w:val="00DA7D0C"/>
    <w:rsid w:val="00DB2097"/>
    <w:rsid w:val="00DB311C"/>
    <w:rsid w:val="00DB432D"/>
    <w:rsid w:val="00DB519B"/>
    <w:rsid w:val="00DB7A47"/>
    <w:rsid w:val="00DC07B9"/>
    <w:rsid w:val="00DC7694"/>
    <w:rsid w:val="00DC7FBE"/>
    <w:rsid w:val="00DD130E"/>
    <w:rsid w:val="00DD308E"/>
    <w:rsid w:val="00DF0C51"/>
    <w:rsid w:val="00DF0D47"/>
    <w:rsid w:val="00DF0DBB"/>
    <w:rsid w:val="00DF1652"/>
    <w:rsid w:val="00DF37BD"/>
    <w:rsid w:val="00DF6D37"/>
    <w:rsid w:val="00DF746D"/>
    <w:rsid w:val="00E048ED"/>
    <w:rsid w:val="00E04FB3"/>
    <w:rsid w:val="00E058F2"/>
    <w:rsid w:val="00E05D9C"/>
    <w:rsid w:val="00E06102"/>
    <w:rsid w:val="00E23E71"/>
    <w:rsid w:val="00E24155"/>
    <w:rsid w:val="00E30F19"/>
    <w:rsid w:val="00E33C4A"/>
    <w:rsid w:val="00E357B9"/>
    <w:rsid w:val="00E4321E"/>
    <w:rsid w:val="00E44B80"/>
    <w:rsid w:val="00E47144"/>
    <w:rsid w:val="00E47623"/>
    <w:rsid w:val="00E50636"/>
    <w:rsid w:val="00E515DE"/>
    <w:rsid w:val="00E60529"/>
    <w:rsid w:val="00E6184C"/>
    <w:rsid w:val="00E641EF"/>
    <w:rsid w:val="00E70D86"/>
    <w:rsid w:val="00E73360"/>
    <w:rsid w:val="00E7628E"/>
    <w:rsid w:val="00E82F54"/>
    <w:rsid w:val="00E85B4F"/>
    <w:rsid w:val="00E8649B"/>
    <w:rsid w:val="00E871CD"/>
    <w:rsid w:val="00E90990"/>
    <w:rsid w:val="00E95D3D"/>
    <w:rsid w:val="00EA0E25"/>
    <w:rsid w:val="00EA173C"/>
    <w:rsid w:val="00EC127A"/>
    <w:rsid w:val="00EC1FF9"/>
    <w:rsid w:val="00EC2737"/>
    <w:rsid w:val="00ED7419"/>
    <w:rsid w:val="00EE2716"/>
    <w:rsid w:val="00EE6450"/>
    <w:rsid w:val="00F01C2C"/>
    <w:rsid w:val="00F0782A"/>
    <w:rsid w:val="00F10ED8"/>
    <w:rsid w:val="00F222BE"/>
    <w:rsid w:val="00F24179"/>
    <w:rsid w:val="00F301F1"/>
    <w:rsid w:val="00F30C22"/>
    <w:rsid w:val="00F31D60"/>
    <w:rsid w:val="00F33F1A"/>
    <w:rsid w:val="00F37715"/>
    <w:rsid w:val="00F409DF"/>
    <w:rsid w:val="00F547F7"/>
    <w:rsid w:val="00F54CCF"/>
    <w:rsid w:val="00F60A7F"/>
    <w:rsid w:val="00F61D7A"/>
    <w:rsid w:val="00F637B3"/>
    <w:rsid w:val="00F66CF7"/>
    <w:rsid w:val="00F67BCB"/>
    <w:rsid w:val="00F77C57"/>
    <w:rsid w:val="00F801E5"/>
    <w:rsid w:val="00F813C7"/>
    <w:rsid w:val="00F83566"/>
    <w:rsid w:val="00F83A9D"/>
    <w:rsid w:val="00F906B5"/>
    <w:rsid w:val="00F93784"/>
    <w:rsid w:val="00F971CC"/>
    <w:rsid w:val="00FA2CAA"/>
    <w:rsid w:val="00FA2D44"/>
    <w:rsid w:val="00FA3DA1"/>
    <w:rsid w:val="00FA6554"/>
    <w:rsid w:val="00FB0967"/>
    <w:rsid w:val="00FB1C75"/>
    <w:rsid w:val="00FE16C1"/>
    <w:rsid w:val="00FE19FF"/>
    <w:rsid w:val="00FE33A6"/>
    <w:rsid w:val="00FE5452"/>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E8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3">
    <w:name w:val="heading 3"/>
    <w:basedOn w:val="Normal"/>
    <w:next w:val="Normal"/>
    <w:link w:val="Heading3Char"/>
    <w:uiPriority w:val="9"/>
    <w:semiHidden/>
    <w:unhideWhenUsed/>
    <w:qFormat/>
    <w:rsid w:val="008E16B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Summary box"/>
    <w:basedOn w:val="TableNormal"/>
    <w:uiPriority w:val="3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customStyle="1" w:styleId="Default">
    <w:name w:val="Default"/>
    <w:rsid w:val="00D83475"/>
    <w:pPr>
      <w:autoSpaceDE w:val="0"/>
      <w:autoSpaceDN w:val="0"/>
      <w:adjustRightInd w:val="0"/>
      <w:spacing w:after="0" w:line="240" w:lineRule="auto"/>
    </w:pPr>
    <w:rPr>
      <w:rFonts w:ascii="Arial" w:hAnsi="Arial" w:cs="Arial"/>
      <w:color w:val="000000"/>
      <w:sz w:val="24"/>
      <w:szCs w:val="24"/>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99"/>
    <w:semiHidden/>
    <w:locked/>
    <w:rsid w:val="00E50636"/>
    <w:rPr>
      <w:rFonts w:ascii="Arial" w:hAnsi="Arial" w:cs="Arial"/>
      <w:b/>
      <w:lang w:val="de-DE"/>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99"/>
    <w:semiHidden/>
    <w:unhideWhenUsed/>
    <w:qFormat/>
    <w:rsid w:val="00E50636"/>
    <w:pPr>
      <w:keepNext/>
      <w:ind w:left="1077" w:hanging="1077"/>
    </w:pPr>
    <w:rPr>
      <w:rFonts w:ascii="Arial" w:hAnsi="Arial" w:cs="Arial"/>
      <w:b/>
      <w:sz w:val="22"/>
      <w:lang w:val="de-DE"/>
    </w:rPr>
  </w:style>
  <w:style w:type="character" w:customStyle="1" w:styleId="TabletextChar">
    <w:name w:val="Table text Char"/>
    <w:link w:val="Tabletext"/>
    <w:locked/>
    <w:rsid w:val="000D5C9E"/>
    <w:rPr>
      <w:rFonts w:ascii="Arial Narrow" w:hAnsi="Arial Narrow"/>
    </w:rPr>
  </w:style>
  <w:style w:type="paragraph" w:customStyle="1" w:styleId="Tabletext">
    <w:name w:val="Table text"/>
    <w:basedOn w:val="Normal"/>
    <w:link w:val="TabletextChar"/>
    <w:qFormat/>
    <w:rsid w:val="000D5C9E"/>
    <w:pPr>
      <w:keepNext/>
      <w:spacing w:before="60" w:after="40"/>
    </w:pPr>
    <w:rPr>
      <w:rFonts w:ascii="Arial Narrow" w:hAnsi="Arial Narrow"/>
      <w:sz w:val="22"/>
    </w:rPr>
  </w:style>
  <w:style w:type="paragraph" w:customStyle="1" w:styleId="TableText0">
    <w:name w:val="Table Text"/>
    <w:basedOn w:val="Normal"/>
    <w:qFormat/>
    <w:rsid w:val="003D0F62"/>
    <w:pPr>
      <w:keepNext/>
      <w:keepLines/>
      <w:autoSpaceDE w:val="0"/>
      <w:autoSpaceDN w:val="0"/>
      <w:adjustRightInd w:val="0"/>
      <w:spacing w:before="0"/>
      <w:textAlignment w:val="center"/>
    </w:pPr>
    <w:rPr>
      <w:rFonts w:ascii="Arial" w:eastAsia="Times New Roman" w:hAnsi="Arial" w:cs="Arial"/>
      <w:sz w:val="18"/>
      <w:szCs w:val="18"/>
      <w:lang w:val="en-US"/>
    </w:rPr>
  </w:style>
  <w:style w:type="paragraph" w:customStyle="1" w:styleId="js-bsc-body-text">
    <w:name w:val="js-bsc-body-text"/>
    <w:basedOn w:val="Normal"/>
    <w:rsid w:val="0098540D"/>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bsc-body-text">
    <w:name w:val="bsc-body-text"/>
    <w:basedOn w:val="DefaultParagraphFont"/>
    <w:rsid w:val="0098540D"/>
  </w:style>
  <w:style w:type="character" w:customStyle="1" w:styleId="Heading3Char">
    <w:name w:val="Heading 3 Char"/>
    <w:basedOn w:val="DefaultParagraphFont"/>
    <w:link w:val="Heading3"/>
    <w:uiPriority w:val="9"/>
    <w:semiHidden/>
    <w:rsid w:val="008E16BE"/>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8E16BE"/>
    <w:pPr>
      <w:widowControl w:val="0"/>
      <w:autoSpaceDE w:val="0"/>
      <w:autoSpaceDN w:val="0"/>
      <w:spacing w:before="0" w:after="0"/>
    </w:pPr>
    <w:rPr>
      <w:rFonts w:ascii="Garamond" w:eastAsia="Garamond" w:hAnsi="Garamond" w:cs="Garamond"/>
      <w:sz w:val="24"/>
      <w:szCs w:val="24"/>
      <w:lang w:val="en-US" w:bidi="en-US"/>
    </w:rPr>
  </w:style>
  <w:style w:type="character" w:customStyle="1" w:styleId="BodyTextChar">
    <w:name w:val="Body Text Char"/>
    <w:basedOn w:val="DefaultParagraphFont"/>
    <w:link w:val="BodyText"/>
    <w:uiPriority w:val="1"/>
    <w:rsid w:val="008E16BE"/>
    <w:rPr>
      <w:rFonts w:ascii="Garamond" w:eastAsia="Garamond" w:hAnsi="Garamond" w:cs="Garamond"/>
      <w:sz w:val="24"/>
      <w:szCs w:val="24"/>
      <w:lang w:val="en-US" w:bidi="en-US"/>
    </w:rPr>
  </w:style>
  <w:style w:type="character" w:customStyle="1" w:styleId="UnresolvedMention">
    <w:name w:val="Unresolved Mention"/>
    <w:basedOn w:val="DefaultParagraphFont"/>
    <w:uiPriority w:val="99"/>
    <w:semiHidden/>
    <w:unhideWhenUsed/>
    <w:rsid w:val="00CD6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68129">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27833731">
      <w:bodyDiv w:val="1"/>
      <w:marLeft w:val="0"/>
      <w:marRight w:val="0"/>
      <w:marTop w:val="0"/>
      <w:marBottom w:val="0"/>
      <w:divBdr>
        <w:top w:val="none" w:sz="0" w:space="0" w:color="auto"/>
        <w:left w:val="none" w:sz="0" w:space="0" w:color="auto"/>
        <w:bottom w:val="none" w:sz="0" w:space="0" w:color="auto"/>
        <w:right w:val="none" w:sz="0" w:space="0" w:color="auto"/>
      </w:divBdr>
    </w:div>
    <w:div w:id="539125103">
      <w:bodyDiv w:val="1"/>
      <w:marLeft w:val="0"/>
      <w:marRight w:val="0"/>
      <w:marTop w:val="0"/>
      <w:marBottom w:val="0"/>
      <w:divBdr>
        <w:top w:val="none" w:sz="0" w:space="0" w:color="auto"/>
        <w:left w:val="none" w:sz="0" w:space="0" w:color="auto"/>
        <w:bottom w:val="none" w:sz="0" w:space="0" w:color="auto"/>
        <w:right w:val="none" w:sz="0" w:space="0" w:color="auto"/>
      </w:divBdr>
      <w:divsChild>
        <w:div w:id="226764372">
          <w:marLeft w:val="0"/>
          <w:marRight w:val="0"/>
          <w:marTop w:val="0"/>
          <w:marBottom w:val="0"/>
          <w:divBdr>
            <w:top w:val="none" w:sz="0" w:space="0" w:color="auto"/>
            <w:left w:val="none" w:sz="0" w:space="0" w:color="auto"/>
            <w:bottom w:val="none" w:sz="0" w:space="0" w:color="auto"/>
            <w:right w:val="none" w:sz="0" w:space="0" w:color="auto"/>
          </w:divBdr>
        </w:div>
        <w:div w:id="1871841705">
          <w:marLeft w:val="0"/>
          <w:marRight w:val="0"/>
          <w:marTop w:val="0"/>
          <w:marBottom w:val="0"/>
          <w:divBdr>
            <w:top w:val="none" w:sz="0" w:space="0" w:color="auto"/>
            <w:left w:val="none" w:sz="0" w:space="0" w:color="auto"/>
            <w:bottom w:val="none" w:sz="0" w:space="0" w:color="auto"/>
            <w:right w:val="none" w:sz="0" w:space="0" w:color="auto"/>
          </w:divBdr>
        </w:div>
        <w:div w:id="575820881">
          <w:marLeft w:val="0"/>
          <w:marRight w:val="0"/>
          <w:marTop w:val="0"/>
          <w:marBottom w:val="0"/>
          <w:divBdr>
            <w:top w:val="none" w:sz="0" w:space="0" w:color="auto"/>
            <w:left w:val="none" w:sz="0" w:space="0" w:color="auto"/>
            <w:bottom w:val="none" w:sz="0" w:space="0" w:color="auto"/>
            <w:right w:val="none" w:sz="0" w:space="0" w:color="auto"/>
          </w:divBdr>
        </w:div>
        <w:div w:id="896547308">
          <w:marLeft w:val="0"/>
          <w:marRight w:val="0"/>
          <w:marTop w:val="0"/>
          <w:marBottom w:val="0"/>
          <w:divBdr>
            <w:top w:val="none" w:sz="0" w:space="0" w:color="auto"/>
            <w:left w:val="none" w:sz="0" w:space="0" w:color="auto"/>
            <w:bottom w:val="none" w:sz="0" w:space="0" w:color="auto"/>
            <w:right w:val="none" w:sz="0" w:space="0" w:color="auto"/>
          </w:divBdr>
        </w:div>
        <w:div w:id="788820499">
          <w:marLeft w:val="0"/>
          <w:marRight w:val="0"/>
          <w:marTop w:val="0"/>
          <w:marBottom w:val="0"/>
          <w:divBdr>
            <w:top w:val="none" w:sz="0" w:space="0" w:color="auto"/>
            <w:left w:val="none" w:sz="0" w:space="0" w:color="auto"/>
            <w:bottom w:val="none" w:sz="0" w:space="0" w:color="auto"/>
            <w:right w:val="none" w:sz="0" w:space="0" w:color="auto"/>
          </w:divBdr>
        </w:div>
        <w:div w:id="2064675888">
          <w:marLeft w:val="0"/>
          <w:marRight w:val="0"/>
          <w:marTop w:val="0"/>
          <w:marBottom w:val="0"/>
          <w:divBdr>
            <w:top w:val="none" w:sz="0" w:space="0" w:color="auto"/>
            <w:left w:val="none" w:sz="0" w:space="0" w:color="auto"/>
            <w:bottom w:val="none" w:sz="0" w:space="0" w:color="auto"/>
            <w:right w:val="none" w:sz="0" w:space="0" w:color="auto"/>
          </w:divBdr>
        </w:div>
        <w:div w:id="1837068414">
          <w:marLeft w:val="0"/>
          <w:marRight w:val="0"/>
          <w:marTop w:val="0"/>
          <w:marBottom w:val="0"/>
          <w:divBdr>
            <w:top w:val="none" w:sz="0" w:space="0" w:color="auto"/>
            <w:left w:val="none" w:sz="0" w:space="0" w:color="auto"/>
            <w:bottom w:val="none" w:sz="0" w:space="0" w:color="auto"/>
            <w:right w:val="none" w:sz="0" w:space="0" w:color="auto"/>
          </w:divBdr>
        </w:div>
        <w:div w:id="1313366717">
          <w:marLeft w:val="0"/>
          <w:marRight w:val="0"/>
          <w:marTop w:val="0"/>
          <w:marBottom w:val="0"/>
          <w:divBdr>
            <w:top w:val="none" w:sz="0" w:space="0" w:color="auto"/>
            <w:left w:val="none" w:sz="0" w:space="0" w:color="auto"/>
            <w:bottom w:val="none" w:sz="0" w:space="0" w:color="auto"/>
            <w:right w:val="none" w:sz="0" w:space="0" w:color="auto"/>
          </w:divBdr>
        </w:div>
        <w:div w:id="248269736">
          <w:marLeft w:val="0"/>
          <w:marRight w:val="0"/>
          <w:marTop w:val="0"/>
          <w:marBottom w:val="0"/>
          <w:divBdr>
            <w:top w:val="none" w:sz="0" w:space="0" w:color="auto"/>
            <w:left w:val="none" w:sz="0" w:space="0" w:color="auto"/>
            <w:bottom w:val="none" w:sz="0" w:space="0" w:color="auto"/>
            <w:right w:val="none" w:sz="0" w:space="0" w:color="auto"/>
          </w:divBdr>
        </w:div>
        <w:div w:id="54549582">
          <w:marLeft w:val="0"/>
          <w:marRight w:val="0"/>
          <w:marTop w:val="0"/>
          <w:marBottom w:val="0"/>
          <w:divBdr>
            <w:top w:val="none" w:sz="0" w:space="0" w:color="auto"/>
            <w:left w:val="none" w:sz="0" w:space="0" w:color="auto"/>
            <w:bottom w:val="none" w:sz="0" w:space="0" w:color="auto"/>
            <w:right w:val="none" w:sz="0" w:space="0" w:color="auto"/>
          </w:divBdr>
        </w:div>
        <w:div w:id="1144346144">
          <w:marLeft w:val="0"/>
          <w:marRight w:val="0"/>
          <w:marTop w:val="0"/>
          <w:marBottom w:val="0"/>
          <w:divBdr>
            <w:top w:val="none" w:sz="0" w:space="0" w:color="auto"/>
            <w:left w:val="none" w:sz="0" w:space="0" w:color="auto"/>
            <w:bottom w:val="none" w:sz="0" w:space="0" w:color="auto"/>
            <w:right w:val="none" w:sz="0" w:space="0" w:color="auto"/>
          </w:divBdr>
        </w:div>
        <w:div w:id="698551823">
          <w:marLeft w:val="0"/>
          <w:marRight w:val="0"/>
          <w:marTop w:val="0"/>
          <w:marBottom w:val="0"/>
          <w:divBdr>
            <w:top w:val="none" w:sz="0" w:space="0" w:color="auto"/>
            <w:left w:val="none" w:sz="0" w:space="0" w:color="auto"/>
            <w:bottom w:val="none" w:sz="0" w:space="0" w:color="auto"/>
            <w:right w:val="none" w:sz="0" w:space="0" w:color="auto"/>
          </w:divBdr>
        </w:div>
        <w:div w:id="1323313549">
          <w:marLeft w:val="0"/>
          <w:marRight w:val="0"/>
          <w:marTop w:val="0"/>
          <w:marBottom w:val="0"/>
          <w:divBdr>
            <w:top w:val="none" w:sz="0" w:space="0" w:color="auto"/>
            <w:left w:val="none" w:sz="0" w:space="0" w:color="auto"/>
            <w:bottom w:val="none" w:sz="0" w:space="0" w:color="auto"/>
            <w:right w:val="none" w:sz="0" w:space="0" w:color="auto"/>
          </w:divBdr>
        </w:div>
      </w:divsChild>
    </w:div>
    <w:div w:id="678388912">
      <w:bodyDiv w:val="1"/>
      <w:marLeft w:val="0"/>
      <w:marRight w:val="0"/>
      <w:marTop w:val="0"/>
      <w:marBottom w:val="0"/>
      <w:divBdr>
        <w:top w:val="none" w:sz="0" w:space="0" w:color="auto"/>
        <w:left w:val="none" w:sz="0" w:space="0" w:color="auto"/>
        <w:bottom w:val="none" w:sz="0" w:space="0" w:color="auto"/>
        <w:right w:val="none" w:sz="0" w:space="0" w:color="auto"/>
      </w:divBdr>
    </w:div>
    <w:div w:id="819923134">
      <w:bodyDiv w:val="1"/>
      <w:marLeft w:val="0"/>
      <w:marRight w:val="0"/>
      <w:marTop w:val="0"/>
      <w:marBottom w:val="0"/>
      <w:divBdr>
        <w:top w:val="none" w:sz="0" w:space="0" w:color="auto"/>
        <w:left w:val="none" w:sz="0" w:space="0" w:color="auto"/>
        <w:bottom w:val="none" w:sz="0" w:space="0" w:color="auto"/>
        <w:right w:val="none" w:sz="0" w:space="0" w:color="auto"/>
      </w:divBdr>
    </w:div>
    <w:div w:id="884178928">
      <w:bodyDiv w:val="1"/>
      <w:marLeft w:val="0"/>
      <w:marRight w:val="0"/>
      <w:marTop w:val="0"/>
      <w:marBottom w:val="0"/>
      <w:divBdr>
        <w:top w:val="none" w:sz="0" w:space="0" w:color="auto"/>
        <w:left w:val="none" w:sz="0" w:space="0" w:color="auto"/>
        <w:bottom w:val="none" w:sz="0" w:space="0" w:color="auto"/>
        <w:right w:val="none" w:sz="0" w:space="0" w:color="auto"/>
      </w:divBdr>
    </w:div>
    <w:div w:id="1145510672">
      <w:bodyDiv w:val="1"/>
      <w:marLeft w:val="0"/>
      <w:marRight w:val="0"/>
      <w:marTop w:val="0"/>
      <w:marBottom w:val="0"/>
      <w:divBdr>
        <w:top w:val="none" w:sz="0" w:space="0" w:color="auto"/>
        <w:left w:val="none" w:sz="0" w:space="0" w:color="auto"/>
        <w:bottom w:val="none" w:sz="0" w:space="0" w:color="auto"/>
        <w:right w:val="none" w:sz="0" w:space="0" w:color="auto"/>
      </w:divBdr>
    </w:div>
    <w:div w:id="1312245942">
      <w:bodyDiv w:val="1"/>
      <w:marLeft w:val="0"/>
      <w:marRight w:val="0"/>
      <w:marTop w:val="0"/>
      <w:marBottom w:val="0"/>
      <w:divBdr>
        <w:top w:val="none" w:sz="0" w:space="0" w:color="auto"/>
        <w:left w:val="none" w:sz="0" w:space="0" w:color="auto"/>
        <w:bottom w:val="none" w:sz="0" w:space="0" w:color="auto"/>
        <w:right w:val="none" w:sz="0" w:space="0" w:color="auto"/>
      </w:divBdr>
    </w:div>
    <w:div w:id="1330447956">
      <w:bodyDiv w:val="1"/>
      <w:marLeft w:val="0"/>
      <w:marRight w:val="0"/>
      <w:marTop w:val="0"/>
      <w:marBottom w:val="0"/>
      <w:divBdr>
        <w:top w:val="none" w:sz="0" w:space="0" w:color="auto"/>
        <w:left w:val="none" w:sz="0" w:space="0" w:color="auto"/>
        <w:bottom w:val="none" w:sz="0" w:space="0" w:color="auto"/>
        <w:right w:val="none" w:sz="0" w:space="0" w:color="auto"/>
      </w:divBdr>
    </w:div>
    <w:div w:id="1422524977">
      <w:bodyDiv w:val="1"/>
      <w:marLeft w:val="0"/>
      <w:marRight w:val="0"/>
      <w:marTop w:val="0"/>
      <w:marBottom w:val="0"/>
      <w:divBdr>
        <w:top w:val="none" w:sz="0" w:space="0" w:color="auto"/>
        <w:left w:val="none" w:sz="0" w:space="0" w:color="auto"/>
        <w:bottom w:val="none" w:sz="0" w:space="0" w:color="auto"/>
        <w:right w:val="none" w:sz="0" w:space="0" w:color="auto"/>
      </w:divBdr>
    </w:div>
    <w:div w:id="1533613960">
      <w:bodyDiv w:val="1"/>
      <w:marLeft w:val="0"/>
      <w:marRight w:val="0"/>
      <w:marTop w:val="0"/>
      <w:marBottom w:val="0"/>
      <w:divBdr>
        <w:top w:val="none" w:sz="0" w:space="0" w:color="auto"/>
        <w:left w:val="none" w:sz="0" w:space="0" w:color="auto"/>
        <w:bottom w:val="none" w:sz="0" w:space="0" w:color="auto"/>
        <w:right w:val="none" w:sz="0" w:space="0" w:color="auto"/>
      </w:divBdr>
    </w:div>
    <w:div w:id="1788771081">
      <w:bodyDiv w:val="1"/>
      <w:marLeft w:val="0"/>
      <w:marRight w:val="0"/>
      <w:marTop w:val="0"/>
      <w:marBottom w:val="0"/>
      <w:divBdr>
        <w:top w:val="none" w:sz="0" w:space="0" w:color="auto"/>
        <w:left w:val="none" w:sz="0" w:space="0" w:color="auto"/>
        <w:bottom w:val="none" w:sz="0" w:space="0" w:color="auto"/>
        <w:right w:val="none" w:sz="0" w:space="0" w:color="auto"/>
      </w:divBdr>
    </w:div>
    <w:div w:id="1844734838">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13995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i.org/10.1007/s00586-020-06339-1"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sac.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92EE9-AFAD-4B5B-8C52-DFC5FEB6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8404</Words>
  <Characters>47905</Characters>
  <Application>Microsoft Office Word</Application>
  <DocSecurity>0</DocSecurity>
  <Lines>399</Lines>
  <Paragraphs>112</Paragraphs>
  <ScaleCrop>false</ScaleCrop>
  <Company/>
  <LinksUpToDate>false</LinksUpToDate>
  <CharactersWithSpaces>56197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2021-02-11T03:57:00Z</dcterms:created>
  <dcterms:modified xsi:type="dcterms:W3CDTF">2021-02-16T03:25:00Z</dcterms:modified>
</cp:coreProperties>
</file>