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243C4" w14:textId="6ED0B78A" w:rsidR="00CC2A1B" w:rsidRPr="00D30E9C" w:rsidRDefault="00D30E9C" w:rsidP="00D30E9C">
      <w:pPr>
        <w:pStyle w:val="NormalWeb"/>
        <w:spacing w:line="210" w:lineRule="atLeast"/>
        <w:jc w:val="center"/>
        <w:rPr>
          <w:rFonts w:ascii="Arial" w:hAnsi="Arial" w:cs="Arial"/>
          <w:b/>
          <w:bCs/>
          <w:i/>
          <w:color w:val="000080"/>
          <w:sz w:val="28"/>
          <w:szCs w:val="28"/>
        </w:rPr>
      </w:pPr>
      <w:bookmarkStart w:id="0" w:name="_Hlk89082727"/>
      <w:r w:rsidRPr="00A36DE2">
        <w:rPr>
          <w:noProof/>
        </w:rPr>
        <w:drawing>
          <wp:inline distT="0" distB="0" distL="0" distR="0" wp14:anchorId="01A427D6" wp14:editId="662D99C2">
            <wp:extent cx="5731510" cy="1805940"/>
            <wp:effectExtent l="0" t="0" r="0" b="0"/>
            <wp:docPr id="6" name="Picture 6" descr="M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SA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05940"/>
                    </a:xfrm>
                    <a:prstGeom prst="rect">
                      <a:avLst/>
                    </a:prstGeom>
                    <a:noFill/>
                    <a:ln>
                      <a:noFill/>
                    </a:ln>
                  </pic:spPr>
                </pic:pic>
              </a:graphicData>
            </a:graphic>
          </wp:inline>
        </w:drawing>
      </w:r>
      <w:r w:rsidR="00B02E35">
        <w:rPr>
          <w:b/>
          <w:color w:val="000000" w:themeColor="text1"/>
          <w:sz w:val="28"/>
        </w:rPr>
        <w:br/>
      </w:r>
      <w:bookmarkStart w:id="1" w:name="_Hlk78874167"/>
      <w:bookmarkEnd w:id="0"/>
      <w:r w:rsidR="00141C2B">
        <w:rPr>
          <w:rFonts w:ascii="Arial" w:hAnsi="Arial" w:cs="Arial"/>
          <w:b/>
          <w:bCs/>
          <w:i/>
          <w:color w:val="000080"/>
          <w:sz w:val="28"/>
          <w:szCs w:val="28"/>
        </w:rPr>
        <w:t xml:space="preserve">Application </w:t>
      </w:r>
      <w:r w:rsidR="00CC2A1B" w:rsidRPr="00D30E9C">
        <w:rPr>
          <w:rFonts w:ascii="Arial" w:hAnsi="Arial" w:cs="Arial"/>
          <w:b/>
          <w:bCs/>
          <w:i/>
          <w:color w:val="000080"/>
          <w:sz w:val="28"/>
          <w:szCs w:val="28"/>
        </w:rPr>
        <w:t>166</w:t>
      </w:r>
      <w:r w:rsidR="000F0EAC" w:rsidRPr="00D30E9C">
        <w:rPr>
          <w:rFonts w:ascii="Arial" w:hAnsi="Arial" w:cs="Arial"/>
          <w:b/>
          <w:bCs/>
          <w:i/>
          <w:color w:val="000080"/>
          <w:sz w:val="28"/>
          <w:szCs w:val="28"/>
        </w:rPr>
        <w:t>2</w:t>
      </w:r>
      <w:r w:rsidR="00CC2A1B" w:rsidRPr="00D30E9C">
        <w:rPr>
          <w:rFonts w:ascii="Arial" w:hAnsi="Arial" w:cs="Arial"/>
          <w:b/>
          <w:bCs/>
          <w:i/>
          <w:color w:val="000080"/>
          <w:sz w:val="28"/>
          <w:szCs w:val="28"/>
        </w:rPr>
        <w:t xml:space="preserve"> – </w:t>
      </w:r>
      <w:r w:rsidR="000F0EAC" w:rsidRPr="00D30E9C">
        <w:rPr>
          <w:rFonts w:ascii="Arial" w:hAnsi="Arial" w:cs="Arial"/>
          <w:b/>
          <w:bCs/>
          <w:i/>
          <w:color w:val="000080"/>
          <w:sz w:val="28"/>
          <w:szCs w:val="28"/>
        </w:rPr>
        <w:t>The reduction of mitral regurgitation (MR) through tissue approximation using transvenous / transeptal techniques</w:t>
      </w:r>
      <w:bookmarkEnd w:id="1"/>
    </w:p>
    <w:p w14:paraId="5DA401E9" w14:textId="1CBF95C5" w:rsidR="00DB30B5" w:rsidRPr="00D30E9C" w:rsidRDefault="00CC2A1B" w:rsidP="00D30E9C">
      <w:pPr>
        <w:tabs>
          <w:tab w:val="left" w:pos="3402"/>
        </w:tabs>
        <w:spacing w:before="240"/>
        <w:rPr>
          <w:rFonts w:ascii="Arial" w:hAnsi="Arial" w:cs="Arial"/>
          <w:b/>
          <w:szCs w:val="24"/>
        </w:rPr>
      </w:pPr>
      <w:r w:rsidRPr="00D30E9C">
        <w:rPr>
          <w:rFonts w:ascii="Arial" w:hAnsi="Arial" w:cs="Arial"/>
          <w:b/>
          <w:szCs w:val="24"/>
        </w:rPr>
        <w:t>Applicant:</w:t>
      </w:r>
      <w:r w:rsidR="00D30E9C">
        <w:rPr>
          <w:rFonts w:ascii="Arial" w:hAnsi="Arial" w:cs="Arial"/>
          <w:b/>
          <w:szCs w:val="24"/>
        </w:rPr>
        <w:tab/>
      </w:r>
      <w:r w:rsidR="00B82E76" w:rsidRPr="00D30E9C">
        <w:rPr>
          <w:rFonts w:ascii="Arial" w:hAnsi="Arial" w:cs="Arial"/>
          <w:b/>
          <w:szCs w:val="24"/>
        </w:rPr>
        <w:t>Edwards Lifesciences</w:t>
      </w:r>
      <w:r w:rsidR="00991073">
        <w:rPr>
          <w:rFonts w:ascii="Arial" w:hAnsi="Arial" w:cs="Arial"/>
          <w:b/>
          <w:szCs w:val="24"/>
        </w:rPr>
        <w:t xml:space="preserve"> Pty Limited</w:t>
      </w:r>
    </w:p>
    <w:p w14:paraId="5DDE635B" w14:textId="75EC30A9" w:rsidR="00D118AD" w:rsidRPr="00D30E9C" w:rsidRDefault="00676C49" w:rsidP="00D30E9C">
      <w:pPr>
        <w:tabs>
          <w:tab w:val="left" w:pos="3420"/>
        </w:tabs>
        <w:spacing w:before="240"/>
        <w:rPr>
          <w:rFonts w:ascii="Arial" w:hAnsi="Arial" w:cs="Arial"/>
          <w:b/>
          <w:szCs w:val="24"/>
        </w:rPr>
      </w:pPr>
      <w:bookmarkStart w:id="2" w:name="_Hlk89082761"/>
      <w:r w:rsidRPr="00D30E9C">
        <w:rPr>
          <w:rFonts w:ascii="Arial" w:hAnsi="Arial" w:cs="Arial"/>
          <w:b/>
          <w:szCs w:val="24"/>
        </w:rPr>
        <w:t xml:space="preserve">Date of </w:t>
      </w:r>
      <w:r w:rsidR="00D30E9C">
        <w:rPr>
          <w:rFonts w:ascii="Arial" w:hAnsi="Arial" w:cs="Arial"/>
          <w:b/>
          <w:szCs w:val="24"/>
        </w:rPr>
        <w:t>MSAC</w:t>
      </w:r>
      <w:r w:rsidRPr="00D30E9C">
        <w:rPr>
          <w:rFonts w:ascii="Arial" w:hAnsi="Arial" w:cs="Arial"/>
          <w:b/>
          <w:szCs w:val="24"/>
        </w:rPr>
        <w:t xml:space="preserve"> </w:t>
      </w:r>
      <w:r w:rsidR="00065623" w:rsidRPr="00D30E9C">
        <w:rPr>
          <w:rFonts w:ascii="Arial" w:hAnsi="Arial" w:cs="Arial"/>
          <w:b/>
          <w:szCs w:val="24"/>
        </w:rPr>
        <w:t>consideration:</w:t>
      </w:r>
      <w:r w:rsidR="00C164BD" w:rsidRPr="00D30E9C">
        <w:rPr>
          <w:rFonts w:ascii="Arial" w:hAnsi="Arial" w:cs="Arial"/>
          <w:b/>
          <w:szCs w:val="24"/>
        </w:rPr>
        <w:t xml:space="preserve"> </w:t>
      </w:r>
      <w:bookmarkStart w:id="3" w:name="_Hlk89076073"/>
      <w:r w:rsidR="00D30E9C">
        <w:rPr>
          <w:rFonts w:ascii="Arial" w:hAnsi="Arial" w:cs="Arial"/>
          <w:b/>
          <w:szCs w:val="24"/>
        </w:rPr>
        <w:t>83</w:t>
      </w:r>
      <w:r w:rsidR="00D30E9C" w:rsidRPr="00747517">
        <w:rPr>
          <w:rFonts w:ascii="Arial" w:hAnsi="Arial" w:cs="Arial"/>
          <w:b/>
          <w:szCs w:val="24"/>
          <w:vertAlign w:val="superscript"/>
        </w:rPr>
        <w:t>rd</w:t>
      </w:r>
      <w:r w:rsidR="00D30E9C">
        <w:rPr>
          <w:rFonts w:ascii="Arial" w:hAnsi="Arial" w:cs="Arial"/>
          <w:b/>
          <w:szCs w:val="24"/>
        </w:rPr>
        <w:t xml:space="preserve"> MSAC Meeting, 25-26 November 2021</w:t>
      </w:r>
      <w:bookmarkEnd w:id="3"/>
    </w:p>
    <w:p w14:paraId="33F75B3C" w14:textId="77777777" w:rsidR="00D30E9C" w:rsidRPr="00747517" w:rsidRDefault="00D30E9C" w:rsidP="00D30E9C">
      <w:pPr>
        <w:spacing w:before="240" w:after="360"/>
        <w:rPr>
          <w:color w:val="0000FF"/>
          <w:szCs w:val="24"/>
          <w:u w:val="single"/>
        </w:rPr>
      </w:pPr>
      <w:bookmarkStart w:id="4" w:name="_Hlk89076079"/>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bookmarkEnd w:id="2"/>
    <w:bookmarkEnd w:id="4"/>
    <w:p w14:paraId="608A48B3" w14:textId="7C965390" w:rsidR="00576ED3" w:rsidRPr="00D30E9C" w:rsidRDefault="00065623" w:rsidP="00D30E9C">
      <w:pPr>
        <w:pStyle w:val="Heading1"/>
        <w:numPr>
          <w:ilvl w:val="0"/>
          <w:numId w:val="13"/>
        </w:numPr>
        <w:spacing w:before="360" w:after="120"/>
        <w:ind w:hanging="720"/>
        <w:rPr>
          <w:rFonts w:ascii="Arial" w:hAnsi="Arial" w:cs="Arial"/>
        </w:rPr>
      </w:pPr>
      <w:r w:rsidRPr="00D30E9C">
        <w:rPr>
          <w:rFonts w:ascii="Arial" w:hAnsi="Arial" w:cs="Arial"/>
        </w:rPr>
        <w:t>Purpose of application</w:t>
      </w:r>
    </w:p>
    <w:p w14:paraId="6164C6C6" w14:textId="3E528C5E" w:rsidR="00E26B83" w:rsidRDefault="00D236DA" w:rsidP="00D30E9C">
      <w:r>
        <w:t>An application requesting MBS listing of the Edwards PASCAL Transcatheter Mitral Valve Repair System (</w:t>
      </w:r>
      <w:proofErr w:type="spellStart"/>
      <w:r>
        <w:t>TMVr</w:t>
      </w:r>
      <w:proofErr w:type="spellEnd"/>
      <w:r>
        <w:t>) for the treatment of patients with degenerative mitral regurgitation (DMR</w:t>
      </w:r>
      <w:proofErr w:type="gramStart"/>
      <w:r>
        <w:t>)</w:t>
      </w:r>
      <w:proofErr w:type="gramEnd"/>
      <w:r>
        <w:t xml:space="preserve"> or functional mitral regurgitation (FMR) was received from Edwards Lifesciences </w:t>
      </w:r>
      <w:r w:rsidRPr="006E0071">
        <w:t>by the Department of Health.</w:t>
      </w:r>
      <w:r w:rsidR="00D600D9">
        <w:t xml:space="preserve"> </w:t>
      </w:r>
    </w:p>
    <w:p w14:paraId="11DB1EC4" w14:textId="77777777" w:rsidR="00D30E9C" w:rsidRDefault="00D30E9C" w:rsidP="00D30E9C">
      <w:pPr>
        <w:pStyle w:val="Heading1"/>
        <w:numPr>
          <w:ilvl w:val="0"/>
          <w:numId w:val="13"/>
        </w:numPr>
        <w:spacing w:before="240" w:after="240"/>
        <w:ind w:hanging="720"/>
        <w:rPr>
          <w:rFonts w:ascii="Arial" w:hAnsi="Arial" w:cs="Arial"/>
        </w:rPr>
      </w:pPr>
      <w:bookmarkStart w:id="5" w:name="_Hlk89076481"/>
      <w:r w:rsidRPr="007D0728">
        <w:rPr>
          <w:rFonts w:ascii="Arial" w:hAnsi="Arial" w:cs="Arial"/>
        </w:rPr>
        <w:t>MSAC’s advice to the Minister</w:t>
      </w:r>
    </w:p>
    <w:p w14:paraId="7AB2B0C2" w14:textId="16998725" w:rsidR="002F6CA4" w:rsidRDefault="002F6CA4" w:rsidP="002F6CA4">
      <w:pPr>
        <w:pStyle w:val="Heading2"/>
        <w:keepNext w:val="0"/>
        <w:keepLines w:val="0"/>
        <w:spacing w:after="240"/>
        <w:rPr>
          <w:rFonts w:cs="Times New Roman"/>
          <w:bCs w:val="0"/>
          <w:i w:val="0"/>
          <w:iCs/>
          <w:szCs w:val="20"/>
        </w:rPr>
      </w:pPr>
      <w:r w:rsidRPr="002F6CA4">
        <w:rPr>
          <w:rFonts w:cs="Times New Roman"/>
          <w:bCs w:val="0"/>
          <w:i w:val="0"/>
          <w:iCs/>
          <w:szCs w:val="20"/>
        </w:rPr>
        <w:t xml:space="preserve">After considering the strength of the available evidence in relation to comparative safety, clinical </w:t>
      </w:r>
      <w:proofErr w:type="gramStart"/>
      <w:r w:rsidRPr="002F6CA4">
        <w:rPr>
          <w:rFonts w:cs="Times New Roman"/>
          <w:bCs w:val="0"/>
          <w:i w:val="0"/>
          <w:iCs/>
          <w:szCs w:val="20"/>
        </w:rPr>
        <w:t>effectiveness</w:t>
      </w:r>
      <w:proofErr w:type="gramEnd"/>
      <w:r w:rsidRPr="002F6CA4">
        <w:rPr>
          <w:rFonts w:cs="Times New Roman"/>
          <w:bCs w:val="0"/>
          <w:i w:val="0"/>
          <w:iCs/>
          <w:szCs w:val="20"/>
        </w:rPr>
        <w:t xml:space="preserve"> and cost-effectiveness, MSAC did not support amending Medicare Benefits Schedule (MBS) items 38461 and 38463 for transcatheter mitral valve repair (</w:t>
      </w:r>
      <w:proofErr w:type="spellStart"/>
      <w:r w:rsidRPr="002F6CA4">
        <w:rPr>
          <w:rFonts w:cs="Times New Roman"/>
          <w:bCs w:val="0"/>
          <w:i w:val="0"/>
          <w:iCs/>
          <w:szCs w:val="20"/>
        </w:rPr>
        <w:t>TMVr</w:t>
      </w:r>
      <w:proofErr w:type="spellEnd"/>
      <w:r w:rsidRPr="002F6CA4">
        <w:rPr>
          <w:rFonts w:cs="Times New Roman"/>
          <w:bCs w:val="0"/>
          <w:i w:val="0"/>
          <w:iCs/>
          <w:szCs w:val="20"/>
        </w:rPr>
        <w:t xml:space="preserve">) by transvenous or transeptal techniques using </w:t>
      </w:r>
      <w:proofErr w:type="spellStart"/>
      <w:r w:rsidRPr="002F6CA4">
        <w:rPr>
          <w:rFonts w:cs="Times New Roman"/>
          <w:bCs w:val="0"/>
          <w:i w:val="0"/>
          <w:iCs/>
          <w:szCs w:val="20"/>
        </w:rPr>
        <w:t>Mitraclip</w:t>
      </w:r>
      <w:proofErr w:type="spellEnd"/>
      <w:r w:rsidRPr="002F6CA4">
        <w:rPr>
          <w:rFonts w:cs="Times New Roman"/>
          <w:bCs w:val="0"/>
          <w:i w:val="0"/>
          <w:iCs/>
          <w:szCs w:val="20"/>
        </w:rPr>
        <w:t xml:space="preserve">™ to be device agnostic. MSAC considered that the quality of evidence for </w:t>
      </w:r>
      <w:proofErr w:type="spellStart"/>
      <w:r w:rsidRPr="002F6CA4">
        <w:rPr>
          <w:rFonts w:cs="Times New Roman"/>
          <w:bCs w:val="0"/>
          <w:i w:val="0"/>
          <w:iCs/>
          <w:szCs w:val="20"/>
        </w:rPr>
        <w:t>TMVr</w:t>
      </w:r>
      <w:proofErr w:type="spellEnd"/>
      <w:r w:rsidRPr="002F6CA4">
        <w:rPr>
          <w:rFonts w:cs="Times New Roman"/>
          <w:bCs w:val="0"/>
          <w:i w:val="0"/>
          <w:iCs/>
          <w:szCs w:val="20"/>
        </w:rPr>
        <w:t xml:space="preserve"> using the PASCAL Transcatheter Valve Repair System™ was low and did not adequately support the claim of clinical non</w:t>
      </w:r>
      <w:r w:rsidR="0097015B">
        <w:rPr>
          <w:rFonts w:cs="Times New Roman"/>
          <w:bCs w:val="0"/>
          <w:i w:val="0"/>
          <w:iCs/>
          <w:szCs w:val="20"/>
        </w:rPr>
        <w:noBreakHyphen/>
      </w:r>
      <w:r w:rsidRPr="002F6CA4">
        <w:rPr>
          <w:rFonts w:cs="Times New Roman"/>
          <w:bCs w:val="0"/>
          <w:i w:val="0"/>
          <w:iCs/>
          <w:szCs w:val="20"/>
        </w:rPr>
        <w:t>inferiority. MSAC advised that higher quality evidence would be needed to support the claim of non-inferiority. MSAC also considered that an unmet clinical need for an alternative device was not clearly demonstrated.</w:t>
      </w:r>
    </w:p>
    <w:tbl>
      <w:tblPr>
        <w:tblStyle w:val="TableGrid"/>
        <w:tblW w:w="0" w:type="auto"/>
        <w:tblLook w:val="04A0" w:firstRow="1" w:lastRow="0" w:firstColumn="1" w:lastColumn="0" w:noHBand="0" w:noVBand="1"/>
        <w:tblDescription w:val="Consumer summary of MSAC consideration"/>
      </w:tblPr>
      <w:tblGrid>
        <w:gridCol w:w="9016"/>
      </w:tblGrid>
      <w:tr w:rsidR="002F6CA4" w14:paraId="5FA0DED7" w14:textId="77777777" w:rsidTr="002F6CA4">
        <w:trPr>
          <w:tblHeader/>
        </w:trPr>
        <w:tc>
          <w:tcPr>
            <w:tcW w:w="9016" w:type="dxa"/>
          </w:tcPr>
          <w:p w14:paraId="32682003" w14:textId="49E8A693" w:rsidR="002F6CA4" w:rsidRPr="002F6CA4" w:rsidRDefault="002F6CA4" w:rsidP="002F6CA4">
            <w:pPr>
              <w:pStyle w:val="Heading2"/>
              <w:spacing w:before="120" w:after="120"/>
              <w:outlineLvl w:val="1"/>
              <w:rPr>
                <w:rFonts w:ascii="Times New Roman" w:hAnsi="Times New Roman" w:cs="Times New Roman"/>
                <w:b/>
                <w:bCs w:val="0"/>
                <w:i w:val="0"/>
                <w:iCs/>
                <w:sz w:val="24"/>
                <w:szCs w:val="24"/>
              </w:rPr>
            </w:pPr>
            <w:r w:rsidRPr="002F6CA4">
              <w:rPr>
                <w:rFonts w:ascii="Times New Roman" w:hAnsi="Times New Roman" w:cs="Times New Roman"/>
                <w:b/>
                <w:bCs w:val="0"/>
                <w:i w:val="0"/>
                <w:iCs/>
                <w:sz w:val="24"/>
                <w:szCs w:val="24"/>
              </w:rPr>
              <w:t>Consumer summary</w:t>
            </w:r>
          </w:p>
        </w:tc>
      </w:tr>
      <w:tr w:rsidR="002F6CA4" w14:paraId="29F6864C" w14:textId="77777777" w:rsidTr="002F6CA4">
        <w:tc>
          <w:tcPr>
            <w:tcW w:w="9016" w:type="dxa"/>
          </w:tcPr>
          <w:p w14:paraId="7D6D2456" w14:textId="77777777" w:rsidR="002F6CA4" w:rsidRPr="002F6CA4" w:rsidRDefault="002F6CA4" w:rsidP="004619CF">
            <w:pPr>
              <w:pStyle w:val="Heading2"/>
              <w:keepNext w:val="0"/>
              <w:keepLines w:val="0"/>
              <w:spacing w:before="120" w:after="240"/>
              <w:outlineLvl w:val="1"/>
              <w:rPr>
                <w:rFonts w:ascii="Times New Roman" w:hAnsi="Times New Roman" w:cs="Times New Roman"/>
                <w:i w:val="0"/>
                <w:iCs/>
                <w:sz w:val="24"/>
                <w:szCs w:val="24"/>
              </w:rPr>
            </w:pPr>
            <w:r w:rsidRPr="002F6CA4">
              <w:rPr>
                <w:rFonts w:ascii="Times New Roman" w:hAnsi="Times New Roman" w:cs="Times New Roman"/>
                <w:i w:val="0"/>
                <w:iCs/>
                <w:sz w:val="24"/>
                <w:szCs w:val="24"/>
              </w:rPr>
              <w:t xml:space="preserve">Edwards Lifesciences applied for Medicare Benefits Schedule (MBS) funding for a medical procedure called transcatheter mitral valve repair to manage a condition in which the heart’s mitral valve doesn’t close tightly. This allows blood to flow backward in the heart (mitral regurgitation). This procedure is already funded on the MBS for another type of device (called </w:t>
            </w:r>
            <w:proofErr w:type="spellStart"/>
            <w:r w:rsidRPr="002F6CA4">
              <w:rPr>
                <w:rFonts w:ascii="Times New Roman" w:hAnsi="Times New Roman" w:cs="Times New Roman"/>
                <w:i w:val="0"/>
                <w:iCs/>
                <w:sz w:val="24"/>
                <w:szCs w:val="24"/>
              </w:rPr>
              <w:t>MitraClip</w:t>
            </w:r>
            <w:proofErr w:type="spellEnd"/>
            <w:r w:rsidRPr="002F6CA4">
              <w:rPr>
                <w:rFonts w:ascii="Times New Roman" w:hAnsi="Times New Roman" w:cs="Times New Roman"/>
                <w:i w:val="0"/>
                <w:iCs/>
                <w:sz w:val="24"/>
                <w:szCs w:val="24"/>
              </w:rPr>
              <w:t>), and Edwards Lifesciences applied to amend these MBS items to include a device called the PASCAL system.</w:t>
            </w:r>
          </w:p>
          <w:p w14:paraId="5F17E5E9" w14:textId="77777777" w:rsidR="002F6CA4" w:rsidRPr="002F6CA4" w:rsidRDefault="002F6CA4" w:rsidP="002F6CA4">
            <w:pPr>
              <w:pStyle w:val="Heading2"/>
              <w:keepNext w:val="0"/>
              <w:keepLines w:val="0"/>
              <w:spacing w:after="240"/>
              <w:outlineLvl w:val="1"/>
              <w:rPr>
                <w:rFonts w:ascii="Times New Roman" w:hAnsi="Times New Roman" w:cs="Times New Roman"/>
                <w:i w:val="0"/>
                <w:iCs/>
                <w:sz w:val="24"/>
                <w:szCs w:val="24"/>
              </w:rPr>
            </w:pPr>
            <w:r w:rsidRPr="002F6CA4">
              <w:rPr>
                <w:rFonts w:ascii="Times New Roman" w:hAnsi="Times New Roman" w:cs="Times New Roman"/>
                <w:i w:val="0"/>
                <w:iCs/>
                <w:sz w:val="24"/>
                <w:szCs w:val="24"/>
              </w:rPr>
              <w:t xml:space="preserve">The PASCAL system includes a small device made of clasps, </w:t>
            </w:r>
            <w:proofErr w:type="gramStart"/>
            <w:r w:rsidRPr="002F6CA4">
              <w:rPr>
                <w:rFonts w:ascii="Times New Roman" w:hAnsi="Times New Roman" w:cs="Times New Roman"/>
                <w:i w:val="0"/>
                <w:iCs/>
                <w:sz w:val="24"/>
                <w:szCs w:val="24"/>
              </w:rPr>
              <w:t>paddles</w:t>
            </w:r>
            <w:proofErr w:type="gramEnd"/>
            <w:r w:rsidRPr="002F6CA4">
              <w:rPr>
                <w:rFonts w:ascii="Times New Roman" w:hAnsi="Times New Roman" w:cs="Times New Roman"/>
                <w:i w:val="0"/>
                <w:iCs/>
                <w:sz w:val="24"/>
                <w:szCs w:val="24"/>
              </w:rPr>
              <w:t xml:space="preserve"> and spacers. The interventional cardiologist or surgeon uses a customised catheter to insert the device </w:t>
            </w:r>
            <w:r w:rsidRPr="002F6CA4">
              <w:rPr>
                <w:rFonts w:ascii="Times New Roman" w:hAnsi="Times New Roman" w:cs="Times New Roman"/>
                <w:i w:val="0"/>
                <w:iCs/>
                <w:sz w:val="24"/>
                <w:szCs w:val="24"/>
              </w:rPr>
              <w:lastRenderedPageBreak/>
              <w:t>through a vein in the leg to the heart. The device gently grasps the edges of the faulty valve to help close the valve.</w:t>
            </w:r>
          </w:p>
          <w:p w14:paraId="32DC006D" w14:textId="77777777" w:rsidR="002F6CA4" w:rsidRPr="002F6CA4" w:rsidRDefault="002F6CA4" w:rsidP="002F6CA4">
            <w:pPr>
              <w:pStyle w:val="Heading2"/>
              <w:keepNext w:val="0"/>
              <w:keepLines w:val="0"/>
              <w:spacing w:after="240"/>
              <w:outlineLvl w:val="1"/>
              <w:rPr>
                <w:rFonts w:ascii="Times New Roman" w:hAnsi="Times New Roman" w:cs="Times New Roman"/>
                <w:i w:val="0"/>
                <w:iCs/>
                <w:sz w:val="24"/>
                <w:szCs w:val="24"/>
              </w:rPr>
            </w:pPr>
            <w:r w:rsidRPr="002F6CA4">
              <w:rPr>
                <w:rFonts w:ascii="Times New Roman" w:hAnsi="Times New Roman" w:cs="Times New Roman"/>
                <w:i w:val="0"/>
                <w:iCs/>
                <w:sz w:val="24"/>
                <w:szCs w:val="24"/>
              </w:rPr>
              <w:t>Edwards Lifesciences has applied for the procedure and device to be publicly funded for people with mitral regurgitation who cannot have open heart surgery to repair their mitral valve. Within this group, there are people who have degenerative mitral regurgitation (DMR – caused by problems related to the valve itself) and people who have functional mitral regurgitation (FMR – caused by a condition external to the valve – for example, an issue with abnormal heart muscle structure and/or function).</w:t>
            </w:r>
          </w:p>
          <w:p w14:paraId="3D0914D6" w14:textId="3B993E8F" w:rsidR="002F6CA4" w:rsidRPr="002F6CA4" w:rsidRDefault="002F6CA4" w:rsidP="002F6CA4">
            <w:pPr>
              <w:pStyle w:val="Heading2"/>
              <w:keepNext w:val="0"/>
              <w:keepLines w:val="0"/>
              <w:spacing w:after="240"/>
              <w:outlineLvl w:val="1"/>
              <w:rPr>
                <w:rFonts w:ascii="Times New Roman" w:hAnsi="Times New Roman" w:cs="Times New Roman"/>
                <w:i w:val="0"/>
                <w:iCs/>
                <w:sz w:val="24"/>
                <w:szCs w:val="24"/>
              </w:rPr>
            </w:pPr>
            <w:r w:rsidRPr="002F6CA4">
              <w:rPr>
                <w:rFonts w:ascii="Times New Roman" w:hAnsi="Times New Roman" w:cs="Times New Roman"/>
                <w:i w:val="0"/>
                <w:iCs/>
                <w:sz w:val="24"/>
                <w:szCs w:val="24"/>
              </w:rPr>
              <w:t xml:space="preserve">MSAC noted that the clinical evidence to support the PASCAL system was not as high quality as the evidence that was used to support </w:t>
            </w:r>
            <w:proofErr w:type="spellStart"/>
            <w:r w:rsidRPr="002F6CA4">
              <w:rPr>
                <w:rFonts w:ascii="Times New Roman" w:hAnsi="Times New Roman" w:cs="Times New Roman"/>
                <w:i w:val="0"/>
                <w:iCs/>
                <w:sz w:val="24"/>
                <w:szCs w:val="24"/>
              </w:rPr>
              <w:t>MitraClip</w:t>
            </w:r>
            <w:proofErr w:type="spellEnd"/>
            <w:r w:rsidRPr="002F6CA4">
              <w:rPr>
                <w:rFonts w:ascii="Times New Roman" w:hAnsi="Times New Roman" w:cs="Times New Roman"/>
                <w:i w:val="0"/>
                <w:iCs/>
                <w:sz w:val="24"/>
                <w:szCs w:val="24"/>
              </w:rPr>
              <w:t xml:space="preserve">. Because there were no studies to directly compare PASCAL with </w:t>
            </w:r>
            <w:proofErr w:type="spellStart"/>
            <w:r w:rsidRPr="002F6CA4">
              <w:rPr>
                <w:rFonts w:ascii="Times New Roman" w:hAnsi="Times New Roman" w:cs="Times New Roman"/>
                <w:i w:val="0"/>
                <w:iCs/>
                <w:sz w:val="24"/>
                <w:szCs w:val="24"/>
              </w:rPr>
              <w:t>MitraClip</w:t>
            </w:r>
            <w:proofErr w:type="spellEnd"/>
            <w:r w:rsidRPr="002F6CA4">
              <w:rPr>
                <w:rFonts w:ascii="Times New Roman" w:hAnsi="Times New Roman" w:cs="Times New Roman"/>
                <w:i w:val="0"/>
                <w:iCs/>
                <w:sz w:val="24"/>
                <w:szCs w:val="24"/>
              </w:rPr>
              <w:t xml:space="preserve">, the application had included a complex analysis called a matching adjusted indirect comparison (MAIC). MSAC considered that </w:t>
            </w:r>
            <w:r w:rsidR="00876B68">
              <w:rPr>
                <w:rFonts w:ascii="Times New Roman" w:hAnsi="Times New Roman" w:cs="Times New Roman"/>
                <w:i w:val="0"/>
                <w:iCs/>
                <w:sz w:val="24"/>
                <w:szCs w:val="24"/>
              </w:rPr>
              <w:t xml:space="preserve">it was difficult to check if </w:t>
            </w:r>
            <w:r w:rsidRPr="002F6CA4">
              <w:rPr>
                <w:rFonts w:ascii="Times New Roman" w:hAnsi="Times New Roman" w:cs="Times New Roman"/>
                <w:i w:val="0"/>
                <w:iCs/>
                <w:sz w:val="24"/>
                <w:szCs w:val="24"/>
              </w:rPr>
              <w:t xml:space="preserve">these results were </w:t>
            </w:r>
            <w:r w:rsidR="00876B68">
              <w:rPr>
                <w:rFonts w:ascii="Times New Roman" w:hAnsi="Times New Roman" w:cs="Times New Roman"/>
                <w:i w:val="0"/>
                <w:iCs/>
                <w:sz w:val="24"/>
                <w:szCs w:val="24"/>
              </w:rPr>
              <w:t>reliable</w:t>
            </w:r>
            <w:r w:rsidRPr="002F6CA4">
              <w:rPr>
                <w:rFonts w:ascii="Times New Roman" w:hAnsi="Times New Roman" w:cs="Times New Roman"/>
                <w:i w:val="0"/>
                <w:iCs/>
                <w:sz w:val="24"/>
                <w:szCs w:val="24"/>
              </w:rPr>
              <w:t>. This also made it very hard to tell whether the PASCAL system would be good value for money.</w:t>
            </w:r>
          </w:p>
          <w:p w14:paraId="20713B46" w14:textId="00C7F6F6" w:rsidR="002F6CA4" w:rsidRPr="002F6CA4" w:rsidRDefault="002F6CA4" w:rsidP="002F6CA4">
            <w:pPr>
              <w:pStyle w:val="Heading2"/>
              <w:keepNext w:val="0"/>
              <w:keepLines w:val="0"/>
              <w:spacing w:after="240"/>
              <w:outlineLvl w:val="1"/>
              <w:rPr>
                <w:rFonts w:ascii="Times New Roman" w:hAnsi="Times New Roman" w:cs="Times New Roman"/>
                <w:i w:val="0"/>
                <w:iCs/>
                <w:sz w:val="24"/>
                <w:szCs w:val="24"/>
              </w:rPr>
            </w:pPr>
            <w:r w:rsidRPr="002F6CA4">
              <w:rPr>
                <w:rFonts w:ascii="Times New Roman" w:hAnsi="Times New Roman" w:cs="Times New Roman"/>
                <w:i w:val="0"/>
                <w:iCs/>
                <w:sz w:val="24"/>
                <w:szCs w:val="24"/>
              </w:rPr>
              <w:t>MSAC noted that a clinical trial</w:t>
            </w:r>
            <w:r w:rsidR="00692C10">
              <w:rPr>
                <w:rFonts w:ascii="Times New Roman" w:hAnsi="Times New Roman" w:cs="Times New Roman"/>
                <w:i w:val="0"/>
                <w:iCs/>
                <w:sz w:val="24"/>
                <w:szCs w:val="24"/>
              </w:rPr>
              <w:t xml:space="preserve"> comparing</w:t>
            </w:r>
            <w:r w:rsidR="001A1C59">
              <w:rPr>
                <w:rFonts w:ascii="Times New Roman" w:hAnsi="Times New Roman" w:cs="Times New Roman"/>
                <w:i w:val="0"/>
                <w:iCs/>
                <w:sz w:val="24"/>
                <w:szCs w:val="24"/>
              </w:rPr>
              <w:t xml:space="preserve"> </w:t>
            </w:r>
            <w:r w:rsidRPr="002F6CA4">
              <w:rPr>
                <w:rFonts w:ascii="Times New Roman" w:hAnsi="Times New Roman" w:cs="Times New Roman"/>
                <w:i w:val="0"/>
                <w:iCs/>
                <w:sz w:val="24"/>
                <w:szCs w:val="24"/>
              </w:rPr>
              <w:t xml:space="preserve">the PASCAL system </w:t>
            </w:r>
            <w:r w:rsidR="00692C10">
              <w:rPr>
                <w:rFonts w:ascii="Times New Roman" w:hAnsi="Times New Roman" w:cs="Times New Roman"/>
                <w:i w:val="0"/>
                <w:iCs/>
                <w:sz w:val="24"/>
                <w:szCs w:val="24"/>
              </w:rPr>
              <w:t xml:space="preserve">with </w:t>
            </w:r>
            <w:proofErr w:type="spellStart"/>
            <w:r w:rsidR="00692C10">
              <w:rPr>
                <w:rFonts w:ascii="Times New Roman" w:hAnsi="Times New Roman" w:cs="Times New Roman"/>
                <w:i w:val="0"/>
                <w:iCs/>
                <w:sz w:val="24"/>
                <w:szCs w:val="24"/>
              </w:rPr>
              <w:t>MitraClip</w:t>
            </w:r>
            <w:proofErr w:type="spellEnd"/>
            <w:r w:rsidR="00692C10">
              <w:rPr>
                <w:rFonts w:ascii="Times New Roman" w:hAnsi="Times New Roman" w:cs="Times New Roman"/>
                <w:i w:val="0"/>
                <w:iCs/>
                <w:sz w:val="24"/>
                <w:szCs w:val="24"/>
              </w:rPr>
              <w:t xml:space="preserve"> </w:t>
            </w:r>
            <w:r w:rsidRPr="002F6CA4">
              <w:rPr>
                <w:rFonts w:ascii="Times New Roman" w:hAnsi="Times New Roman" w:cs="Times New Roman"/>
                <w:i w:val="0"/>
                <w:iCs/>
                <w:sz w:val="24"/>
                <w:szCs w:val="24"/>
              </w:rPr>
              <w:t xml:space="preserve">is currently underway. The results from this trial might help to </w:t>
            </w:r>
            <w:r w:rsidR="0097015B">
              <w:rPr>
                <w:rFonts w:ascii="Times New Roman" w:hAnsi="Times New Roman" w:cs="Times New Roman"/>
                <w:i w:val="0"/>
                <w:iCs/>
                <w:sz w:val="24"/>
                <w:szCs w:val="24"/>
              </w:rPr>
              <w:t>re</w:t>
            </w:r>
            <w:r w:rsidRPr="002F6CA4">
              <w:rPr>
                <w:rFonts w:ascii="Times New Roman" w:hAnsi="Times New Roman" w:cs="Times New Roman"/>
                <w:i w:val="0"/>
                <w:iCs/>
                <w:sz w:val="24"/>
                <w:szCs w:val="24"/>
              </w:rPr>
              <w:t>solve some of these issues in the future.</w:t>
            </w:r>
          </w:p>
          <w:p w14:paraId="32FBA4A1" w14:textId="77777777" w:rsidR="002F6CA4" w:rsidRPr="002F6CA4" w:rsidRDefault="002F6CA4" w:rsidP="002F6CA4">
            <w:pPr>
              <w:pStyle w:val="Heading2"/>
              <w:keepNext w:val="0"/>
              <w:keepLines w:val="0"/>
              <w:spacing w:before="240" w:after="120"/>
              <w:outlineLvl w:val="1"/>
              <w:rPr>
                <w:rFonts w:ascii="Times New Roman" w:hAnsi="Times New Roman" w:cs="Times New Roman"/>
                <w:b/>
                <w:bCs w:val="0"/>
                <w:i w:val="0"/>
                <w:iCs/>
                <w:sz w:val="24"/>
                <w:szCs w:val="24"/>
              </w:rPr>
            </w:pPr>
            <w:r w:rsidRPr="002F6CA4">
              <w:rPr>
                <w:rFonts w:ascii="Times New Roman" w:hAnsi="Times New Roman" w:cs="Times New Roman"/>
                <w:b/>
                <w:bCs w:val="0"/>
                <w:i w:val="0"/>
                <w:iCs/>
                <w:sz w:val="24"/>
                <w:szCs w:val="24"/>
              </w:rPr>
              <w:t>MSAC’s advice to the Commonwealth Minister for Health</w:t>
            </w:r>
          </w:p>
          <w:p w14:paraId="3991D072" w14:textId="7AE770CD" w:rsidR="002F6CA4" w:rsidRDefault="002F6CA4" w:rsidP="002F6CA4">
            <w:pPr>
              <w:pStyle w:val="Heading2"/>
              <w:keepNext w:val="0"/>
              <w:keepLines w:val="0"/>
              <w:spacing w:after="240"/>
              <w:outlineLvl w:val="1"/>
              <w:rPr>
                <w:rFonts w:cs="Times New Roman"/>
                <w:b/>
                <w:bCs w:val="0"/>
                <w:i w:val="0"/>
                <w:iCs/>
                <w:szCs w:val="20"/>
              </w:rPr>
            </w:pPr>
            <w:r w:rsidRPr="002F6CA4">
              <w:rPr>
                <w:rFonts w:ascii="Times New Roman" w:hAnsi="Times New Roman" w:cs="Times New Roman"/>
                <w:i w:val="0"/>
                <w:iCs/>
                <w:sz w:val="24"/>
                <w:szCs w:val="24"/>
              </w:rPr>
              <w:t>MSAC did not support listing of the PASCAL system on the MBS because there was not enough high-quality clinical evidence to show that the device is safe and effective. MSAC also could not be sure if it would be good value for money.</w:t>
            </w:r>
          </w:p>
        </w:tc>
      </w:tr>
    </w:tbl>
    <w:p w14:paraId="63C7C2D4" w14:textId="77777777" w:rsidR="00D30E9C" w:rsidRPr="007D0728" w:rsidRDefault="00D30E9C" w:rsidP="00D30E9C">
      <w:pPr>
        <w:pStyle w:val="Heading1"/>
        <w:numPr>
          <w:ilvl w:val="0"/>
          <w:numId w:val="13"/>
        </w:numPr>
        <w:spacing w:before="240" w:after="240"/>
        <w:ind w:hanging="720"/>
        <w:rPr>
          <w:rFonts w:ascii="Arial" w:hAnsi="Arial" w:cs="Arial"/>
        </w:rPr>
      </w:pPr>
      <w:r w:rsidRPr="007D0728">
        <w:rPr>
          <w:rFonts w:ascii="Arial" w:hAnsi="Arial" w:cs="Arial"/>
        </w:rPr>
        <w:lastRenderedPageBreak/>
        <w:t xml:space="preserve">Summary of consideration and rationale for MSAC’s advice </w:t>
      </w:r>
    </w:p>
    <w:bookmarkEnd w:id="5"/>
    <w:p w14:paraId="3625591D" w14:textId="339E7B77" w:rsidR="002F6CA4" w:rsidRDefault="002F6CA4" w:rsidP="002F6CA4">
      <w:r>
        <w:t>MSAC noted the purpose of the application was to amend the current Medicare Benefits Schedule (MBS) item numbers for Transcatheter Mitral Valve Repair System (</w:t>
      </w:r>
      <w:proofErr w:type="spellStart"/>
      <w:r>
        <w:t>TMVr</w:t>
      </w:r>
      <w:proofErr w:type="spellEnd"/>
      <w:r>
        <w:t xml:space="preserve">) using </w:t>
      </w:r>
      <w:r w:rsidRPr="00BA301A">
        <w:t xml:space="preserve">the </w:t>
      </w:r>
      <w:proofErr w:type="spellStart"/>
      <w:r w:rsidRPr="00BA301A">
        <w:t>MitraClip</w:t>
      </w:r>
      <w:proofErr w:type="spellEnd"/>
      <w:r w:rsidR="00F35702">
        <w:t xml:space="preserve">™ </w:t>
      </w:r>
      <w:r w:rsidRPr="00BA301A">
        <w:t xml:space="preserve">device (items 38461, 38463, 6082 and 6084) to also include the PASCAL system </w:t>
      </w:r>
      <w:r w:rsidR="00A046C8" w:rsidRPr="00BA301A">
        <w:t>for</w:t>
      </w:r>
      <w:r w:rsidRPr="00BA301A">
        <w:t xml:space="preserve"> reduction of mitral regurgitation </w:t>
      </w:r>
      <w:r w:rsidR="001F49E3" w:rsidRPr="00BA301A">
        <w:t xml:space="preserve">(MR) </w:t>
      </w:r>
      <w:r w:rsidRPr="00BA301A">
        <w:t>through tissue approximation for the treatment of degenerative mitral regurgitation (DMR) and functional mitral regurgitation (FMR).</w:t>
      </w:r>
      <w:r>
        <w:t xml:space="preserve"> </w:t>
      </w:r>
    </w:p>
    <w:p w14:paraId="4F43BB12" w14:textId="0BF10B7B" w:rsidR="004F3B72" w:rsidRDefault="004F3B72" w:rsidP="009E5F8D">
      <w:pPr>
        <w:spacing w:before="240"/>
      </w:pPr>
      <w:r>
        <w:t xml:space="preserve">MSAC noted that DMR and FMR have different underlying causes. DMR is a disease of the valve itself and correcting </w:t>
      </w:r>
      <w:r w:rsidR="00F35702">
        <w:t xml:space="preserve">the valve can help correct </w:t>
      </w:r>
      <w:r>
        <w:t xml:space="preserve">DMR. FMR is caused by left ventricular dilatation and dysfunction that can lead to the mitral valve not sealing properly. As mitral regurgitation is one component of disease in FMR, </w:t>
      </w:r>
      <w:r w:rsidR="009C1935">
        <w:t>correcting</w:t>
      </w:r>
      <w:r>
        <w:t xml:space="preserve"> </w:t>
      </w:r>
      <w:r w:rsidR="00FA17F0">
        <w:t xml:space="preserve">the </w:t>
      </w:r>
      <w:r w:rsidRPr="00BA301A">
        <w:t>valve</w:t>
      </w:r>
      <w:r>
        <w:t xml:space="preserve"> does not correct the underlying condition. </w:t>
      </w:r>
    </w:p>
    <w:p w14:paraId="6909316B" w14:textId="39521F36" w:rsidR="002F6CA4" w:rsidDel="00F300A2" w:rsidRDefault="002F6CA4" w:rsidP="002F6CA4">
      <w:pPr>
        <w:spacing w:before="240"/>
      </w:pPr>
      <w:bookmarkStart w:id="6" w:name="_Hlk90617393"/>
      <w:r w:rsidRPr="0082318E">
        <w:t xml:space="preserve">MSAC noted that this application </w:t>
      </w:r>
      <w:r w:rsidR="0082318E" w:rsidRPr="00F300A2">
        <w:t>was based on the</w:t>
      </w:r>
      <w:r w:rsidRPr="0082318E">
        <w:t xml:space="preserve"> ratified PICO for application 1192.3 (</w:t>
      </w:r>
      <w:proofErr w:type="spellStart"/>
      <w:r w:rsidRPr="0082318E">
        <w:t>MitraClip</w:t>
      </w:r>
      <w:proofErr w:type="spellEnd"/>
      <w:r w:rsidRPr="0082318E">
        <w:t xml:space="preserve">) </w:t>
      </w:r>
      <w:r w:rsidR="00F300A2">
        <w:t xml:space="preserve">and </w:t>
      </w:r>
      <w:bookmarkEnd w:id="6"/>
      <w:r w:rsidRPr="0082318E">
        <w:t>that the populations were the same</w:t>
      </w:r>
      <w:r w:rsidR="00AE3C4A">
        <w:t xml:space="preserve"> and</w:t>
      </w:r>
      <w:r w:rsidRPr="0082318E">
        <w:t xml:space="preserve"> the intervention uses </w:t>
      </w:r>
      <w:r w:rsidR="00F74B9A" w:rsidRPr="0082318E">
        <w:t>a similar</w:t>
      </w:r>
      <w:r w:rsidRPr="0082318E">
        <w:t xml:space="preserve"> technique (although the device is different for application 1662)</w:t>
      </w:r>
      <w:r w:rsidR="00AE3C4A">
        <w:t xml:space="preserve">. </w:t>
      </w:r>
    </w:p>
    <w:p w14:paraId="20B9D793" w14:textId="135C3C3B" w:rsidR="002F6CA4" w:rsidRDefault="002F6CA4" w:rsidP="002F6CA4">
      <w:pPr>
        <w:spacing w:before="240"/>
      </w:pPr>
      <w:r>
        <w:t xml:space="preserve">MSAC </w:t>
      </w:r>
      <w:r w:rsidR="00C87F5D">
        <w:t xml:space="preserve">agreed with </w:t>
      </w:r>
      <w:r>
        <w:t>ESC</w:t>
      </w:r>
      <w:r w:rsidR="00C87F5D">
        <w:t>’s</w:t>
      </w:r>
      <w:r>
        <w:t xml:space="preserve"> preference for updating the existing MBS item to be device-agnostic and retaining the term transcatheter mitral valve repair (</w:t>
      </w:r>
      <w:proofErr w:type="spellStart"/>
      <w:r>
        <w:t>TMVr</w:t>
      </w:r>
      <w:proofErr w:type="spellEnd"/>
      <w:r>
        <w:t>) rather than transcatheter edge-to-edge repair (TEER). This approach was supported by the applicant in the pre-MSAC response.</w:t>
      </w:r>
    </w:p>
    <w:p w14:paraId="148FE5FE" w14:textId="33FD637D" w:rsidR="002F6CA4" w:rsidRDefault="002F6CA4" w:rsidP="002F6CA4">
      <w:pPr>
        <w:spacing w:before="240"/>
      </w:pPr>
      <w:r>
        <w:lastRenderedPageBreak/>
        <w:t>MSAC noted the proposed clinical management algorithm</w:t>
      </w:r>
      <w:r w:rsidR="002968BC">
        <w:t>s</w:t>
      </w:r>
      <w:r w:rsidR="00EE21C4">
        <w:t xml:space="preserve">. </w:t>
      </w:r>
      <w:r w:rsidR="00C87F5D">
        <w:t>MSAC</w:t>
      </w:r>
      <w:r w:rsidR="00EE21C4">
        <w:t xml:space="preserve"> </w:t>
      </w:r>
      <w:r w:rsidR="001A1C59">
        <w:t>noted</w:t>
      </w:r>
      <w:r w:rsidR="00EE21C4">
        <w:t xml:space="preserve"> the inconsistencies in the algorithms </w:t>
      </w:r>
      <w:r w:rsidR="00C87F5D">
        <w:t xml:space="preserve">and the proposed MBS items which the applicant clarified was due to the algorithms being based on the 2017 </w:t>
      </w:r>
      <w:r w:rsidR="00C87F5D" w:rsidRPr="00C87F5D">
        <w:t>European Society of Cardiology (ESC) and the European Association for Cardio-Thoracic Surgery (EACTS) Guidelines</w:t>
      </w:r>
      <w:r w:rsidR="00C87F5D">
        <w:t xml:space="preserve">. </w:t>
      </w:r>
    </w:p>
    <w:p w14:paraId="249F911E" w14:textId="33FF5CC6" w:rsidR="00C01601" w:rsidRDefault="003973C5" w:rsidP="00C01601">
      <w:pPr>
        <w:spacing w:before="240"/>
      </w:pPr>
      <w:r w:rsidRPr="003973C5">
        <w:t xml:space="preserve">The comparator for the proposed medical service is the </w:t>
      </w:r>
      <w:proofErr w:type="spellStart"/>
      <w:r w:rsidRPr="003973C5">
        <w:t>MitraClip</w:t>
      </w:r>
      <w:proofErr w:type="spellEnd"/>
      <w:r w:rsidRPr="003973C5">
        <w:t xml:space="preserve"> system </w:t>
      </w:r>
      <w:r w:rsidR="00AE3C4A">
        <w:t>which</w:t>
      </w:r>
      <w:r>
        <w:t xml:space="preserve"> MSAC considered appropriate</w:t>
      </w:r>
      <w:r w:rsidR="00AE3C4A" w:rsidRPr="00F300A2">
        <w:t>.</w:t>
      </w:r>
      <w:r w:rsidR="00AE3C4A">
        <w:t xml:space="preserve"> </w:t>
      </w:r>
      <w:r w:rsidR="00C01601">
        <w:t>MSAC noted the applicant’s clinical claim that PASCAL is non</w:t>
      </w:r>
      <w:r>
        <w:noBreakHyphen/>
      </w:r>
      <w:r w:rsidR="00C01601">
        <w:t xml:space="preserve">inferior in safety and efficacy compared with </w:t>
      </w:r>
      <w:proofErr w:type="spellStart"/>
      <w:r w:rsidR="00C01601">
        <w:t>MitraClip</w:t>
      </w:r>
      <w:proofErr w:type="spellEnd"/>
      <w:r w:rsidR="00C01601">
        <w:t>.</w:t>
      </w:r>
    </w:p>
    <w:p w14:paraId="6F76EE9A" w14:textId="7AB290B9" w:rsidR="002F6CA4" w:rsidRDefault="002F6CA4" w:rsidP="002F6CA4">
      <w:pPr>
        <w:spacing w:before="240"/>
      </w:pPr>
      <w:r>
        <w:t xml:space="preserve">The </w:t>
      </w:r>
      <w:r w:rsidR="00565104">
        <w:t xml:space="preserve">clinical evidence for PASCAL was based on the </w:t>
      </w:r>
      <w:r>
        <w:t xml:space="preserve">CLASP study </w:t>
      </w:r>
      <w:r w:rsidR="00E812C6">
        <w:t>-</w:t>
      </w:r>
      <w:r w:rsidR="00565104">
        <w:t xml:space="preserve"> </w:t>
      </w:r>
      <w:r>
        <w:t xml:space="preserve">a </w:t>
      </w:r>
      <w:r w:rsidR="00876B68">
        <w:t xml:space="preserve">small </w:t>
      </w:r>
      <w:r w:rsidR="00E812C6">
        <w:t xml:space="preserve">(N=124), </w:t>
      </w:r>
      <w:r>
        <w:t xml:space="preserve">prospective, single-arm, observational study </w:t>
      </w:r>
      <w:r w:rsidR="00CA198D">
        <w:t xml:space="preserve">that aimed to assess the safety and feasibility of the PASCAL transcatheter valve repair system. </w:t>
      </w:r>
      <w:r>
        <w:t xml:space="preserve">The study was conducted at 14 sites in </w:t>
      </w:r>
      <w:r w:rsidR="00CA198D">
        <w:t>5</w:t>
      </w:r>
      <w:r w:rsidR="004619CF">
        <w:t> </w:t>
      </w:r>
      <w:r>
        <w:t xml:space="preserve">countries, including a small number of patients in Australia. </w:t>
      </w:r>
      <w:r w:rsidR="00CA198D">
        <w:t xml:space="preserve">The study reported results after 2 years and included patients with FMR and DMR. </w:t>
      </w:r>
      <w:r>
        <w:t>MSAC noted that the risk of bias in this study was high, as it was a</w:t>
      </w:r>
      <w:r w:rsidR="001F49E3">
        <w:t xml:space="preserve"> single-arm</w:t>
      </w:r>
      <w:r>
        <w:t xml:space="preserve"> feasibility study. Primary endpoints were procedural success,</w:t>
      </w:r>
      <w:r w:rsidR="00DC3D3E">
        <w:t xml:space="preserve"> reduction of</w:t>
      </w:r>
      <w:r>
        <w:t xml:space="preserve"> MR</w:t>
      </w:r>
      <w:r w:rsidR="00DC3D3E">
        <w:t xml:space="preserve"> severity</w:t>
      </w:r>
      <w:r>
        <w:t xml:space="preserve"> </w:t>
      </w:r>
      <w:r w:rsidR="00DC3D3E">
        <w:t>≤</w:t>
      </w:r>
      <w:r w:rsidR="00CA198D">
        <w:t xml:space="preserve"> </w:t>
      </w:r>
      <w:r>
        <w:t>grade 2</w:t>
      </w:r>
      <w:r w:rsidR="00DC3D3E">
        <w:t>+</w:t>
      </w:r>
      <w:r>
        <w:t>, and major adverse events at 30</w:t>
      </w:r>
      <w:r w:rsidR="004619CF">
        <w:t> </w:t>
      </w:r>
      <w:r>
        <w:t xml:space="preserve">days. </w:t>
      </w:r>
    </w:p>
    <w:p w14:paraId="3EEA4B8E" w14:textId="662624C5" w:rsidR="004A1137" w:rsidRDefault="002F6CA4" w:rsidP="002F6CA4">
      <w:pPr>
        <w:spacing w:before="240"/>
      </w:pPr>
      <w:r>
        <w:t xml:space="preserve">MSAC noted the </w:t>
      </w:r>
      <w:r w:rsidR="00E812C6">
        <w:t>evidence</w:t>
      </w:r>
      <w:r>
        <w:t xml:space="preserve"> for the comparator (</w:t>
      </w:r>
      <w:proofErr w:type="spellStart"/>
      <w:r>
        <w:t>MitraClip</w:t>
      </w:r>
      <w:proofErr w:type="spellEnd"/>
      <w:r>
        <w:t xml:space="preserve">), which comprised two randomised controlled trials (RCTs) – COAPT (N = 614) and EVEREST-II (N = 279). Both trials had a low risk of bias. </w:t>
      </w:r>
    </w:p>
    <w:p w14:paraId="40AC8607" w14:textId="3858B5D0" w:rsidR="002F6CA4" w:rsidRDefault="002F6CA4" w:rsidP="002F6CA4">
      <w:pPr>
        <w:spacing w:before="240"/>
      </w:pPr>
      <w:r>
        <w:t>MSAC noted the level of evidence</w:t>
      </w:r>
      <w:r w:rsidR="00E13B17">
        <w:t xml:space="preserve"> available</w:t>
      </w:r>
      <w:r>
        <w:t xml:space="preserve"> for PASCAL was lower than </w:t>
      </w:r>
      <w:r w:rsidR="00E13B17">
        <w:t xml:space="preserve">that </w:t>
      </w:r>
      <w:r>
        <w:t xml:space="preserve">considered by MSAC for </w:t>
      </w:r>
      <w:proofErr w:type="spellStart"/>
      <w:r>
        <w:t>MitraClip</w:t>
      </w:r>
      <w:proofErr w:type="spellEnd"/>
      <w:r w:rsidR="003B3356">
        <w:t xml:space="preserve">, where </w:t>
      </w:r>
      <w:r w:rsidR="00E812C6" w:rsidRPr="003B3356">
        <w:t xml:space="preserve">an RCT with 2 years follow-up </w:t>
      </w:r>
      <w:r w:rsidR="004A1137">
        <w:t xml:space="preserve">(COAPT trial) </w:t>
      </w:r>
      <w:r w:rsidR="00E812C6" w:rsidRPr="003B3356">
        <w:t xml:space="preserve">was available </w:t>
      </w:r>
      <w:r w:rsidR="003B3356" w:rsidRPr="003B3356">
        <w:t xml:space="preserve">for the FMR population </w:t>
      </w:r>
      <w:r w:rsidR="00E812C6">
        <w:t>and several larger observational studies were considered for the DMR population</w:t>
      </w:r>
      <w:r w:rsidR="003B3356" w:rsidRPr="003B3356">
        <w:t>.</w:t>
      </w:r>
    </w:p>
    <w:p w14:paraId="13A06CAD" w14:textId="1D5704B0" w:rsidR="00E95BDF" w:rsidRDefault="002F6CA4" w:rsidP="002F6CA4">
      <w:pPr>
        <w:spacing w:before="240"/>
      </w:pPr>
      <w:r>
        <w:t xml:space="preserve">MSAC noted the lack of direct evidence to compare PASCAL and </w:t>
      </w:r>
      <w:proofErr w:type="spellStart"/>
      <w:r>
        <w:t>MitraClip</w:t>
      </w:r>
      <w:proofErr w:type="spellEnd"/>
      <w:r>
        <w:t xml:space="preserve">. The </w:t>
      </w:r>
      <w:r w:rsidR="00255AB6">
        <w:t xml:space="preserve">ADAR </w:t>
      </w:r>
      <w:r>
        <w:t xml:space="preserve">instead used a matching-adjusted indirect comparison (MAIC). MSAC noted </w:t>
      </w:r>
      <w:r w:rsidR="004A1137">
        <w:t xml:space="preserve">it </w:t>
      </w:r>
      <w:r>
        <w:t xml:space="preserve">has </w:t>
      </w:r>
      <w:r w:rsidR="004619CF">
        <w:t xml:space="preserve">previously </w:t>
      </w:r>
      <w:r w:rsidR="00684DF6">
        <w:t>considered a small number of applications</w:t>
      </w:r>
      <w:r>
        <w:t xml:space="preserve"> that used a </w:t>
      </w:r>
      <w:proofErr w:type="gramStart"/>
      <w:r>
        <w:t>MAIC</w:t>
      </w:r>
      <w:proofErr w:type="gramEnd"/>
      <w:r>
        <w:t xml:space="preserve"> </w:t>
      </w:r>
      <w:r w:rsidR="00684DF6">
        <w:t xml:space="preserve">and that </w:t>
      </w:r>
      <w:r w:rsidR="00C35F7C">
        <w:t xml:space="preserve">this methodology has </w:t>
      </w:r>
      <w:r w:rsidR="009106CA">
        <w:t xml:space="preserve">also </w:t>
      </w:r>
      <w:r w:rsidR="00C35F7C">
        <w:t xml:space="preserve">been applied in </w:t>
      </w:r>
      <w:r w:rsidR="00F25A15">
        <w:t xml:space="preserve">several </w:t>
      </w:r>
      <w:r>
        <w:t xml:space="preserve">applications considered by the Pharmaceutical Benefits Advisory Committee. MSAC noted that patient-level data are not required for the comparator studies in a MAIC, and aggregate data are used instead. A weight is calculated for each patient in the individual data of the intervention (CLASP), such that the overall mean of the weighted individual data (which is calculable) matches that of the aggregate data for the comparator (COAPT and EVEREST-II). Using the resulting weights, it is then possible to estimate reweighted outcomes of the study in a similar patient group to </w:t>
      </w:r>
      <w:r w:rsidR="004A1137">
        <w:t>those in the comparator trials</w:t>
      </w:r>
      <w:r>
        <w:t xml:space="preserve">. This effectively means the </w:t>
      </w:r>
      <w:r w:rsidR="004A1137">
        <w:t xml:space="preserve">study </w:t>
      </w:r>
      <w:r>
        <w:t>data that are available</w:t>
      </w:r>
      <w:r w:rsidR="004A1137">
        <w:t xml:space="preserve"> for the </w:t>
      </w:r>
      <w:proofErr w:type="spellStart"/>
      <w:r w:rsidR="00E95BDF">
        <w:t>TMVr</w:t>
      </w:r>
      <w:proofErr w:type="spellEnd"/>
      <w:r w:rsidR="00E95BDF">
        <w:t xml:space="preserve"> using the </w:t>
      </w:r>
      <w:r w:rsidR="004A1137">
        <w:t>PASCAL device</w:t>
      </w:r>
      <w:r>
        <w:t xml:space="preserve"> (CLASP) are reweighted to </w:t>
      </w:r>
      <w:r w:rsidR="00E95BDF">
        <w:t xml:space="preserve">better </w:t>
      </w:r>
      <w:r>
        <w:t xml:space="preserve">match that of the comparator (COAPT and EVEREST-II). </w:t>
      </w:r>
    </w:p>
    <w:p w14:paraId="359E8C97" w14:textId="3BF86209" w:rsidR="002F6CA4" w:rsidRPr="00A76228" w:rsidRDefault="002F6CA4" w:rsidP="002F6CA4">
      <w:pPr>
        <w:spacing w:before="240"/>
        <w:rPr>
          <w:highlight w:val="cyan"/>
        </w:rPr>
      </w:pPr>
      <w:r>
        <w:t xml:space="preserve">The applicant consulted three clinicians (blinded to endpoints) to determine which baseline characteristics should be used for matching of studies for the MAIC analysis. </w:t>
      </w:r>
      <w:r w:rsidR="00E95BDF" w:rsidRPr="009B5DBE">
        <w:t xml:space="preserve">For the comparison of the CLASP study and COAPT trial, the </w:t>
      </w:r>
      <w:r w:rsidR="00846987" w:rsidRPr="009B5DBE">
        <w:t xml:space="preserve">analyses in the applicant-developed assessment report (ADAR) </w:t>
      </w:r>
      <w:r w:rsidR="00E95BDF" w:rsidRPr="009B5DBE">
        <w:t>matched patients on the following:</w:t>
      </w:r>
    </w:p>
    <w:p w14:paraId="3CAE1AD5" w14:textId="75311D0D" w:rsidR="00E95BDF" w:rsidRPr="0036225A" w:rsidRDefault="00D200FA" w:rsidP="00E95BDF">
      <w:pPr>
        <w:pStyle w:val="ListParagraph"/>
        <w:numPr>
          <w:ilvl w:val="0"/>
          <w:numId w:val="19"/>
        </w:numPr>
        <w:spacing w:before="240"/>
      </w:pPr>
      <w:r w:rsidRPr="009B5DBE">
        <w:rPr>
          <w:b/>
          <w:bCs/>
        </w:rPr>
        <w:t>REDACTED</w:t>
      </w:r>
      <w:r w:rsidR="007A3B0B">
        <w:rPr>
          <w:b/>
          <w:bCs/>
        </w:rPr>
        <w:t> </w:t>
      </w:r>
      <w:r w:rsidR="00F52E1D">
        <w:rPr>
          <w:rStyle w:val="FootnoteReference"/>
          <w:b/>
          <w:bCs/>
        </w:rPr>
        <w:footnoteReference w:id="2"/>
      </w:r>
    </w:p>
    <w:p w14:paraId="2196B450" w14:textId="2FC664D9" w:rsidR="00E95BDF" w:rsidRPr="0036225A" w:rsidRDefault="00E95BDF" w:rsidP="00E95BDF">
      <w:pPr>
        <w:spacing w:before="240"/>
      </w:pPr>
      <w:r w:rsidRPr="0036225A">
        <w:t>For the comparison of the CLASP study and EVEREST-II trial, the ADAR matched patients on the following:</w:t>
      </w:r>
    </w:p>
    <w:p w14:paraId="09F216A9" w14:textId="52E9187B" w:rsidR="00797550" w:rsidRPr="009B5DBE" w:rsidRDefault="00797550" w:rsidP="00797550">
      <w:pPr>
        <w:pStyle w:val="ListParagraph"/>
        <w:numPr>
          <w:ilvl w:val="0"/>
          <w:numId w:val="20"/>
        </w:numPr>
        <w:spacing w:before="240"/>
      </w:pPr>
      <w:r w:rsidRPr="0036225A">
        <w:rPr>
          <w:b/>
          <w:bCs/>
        </w:rPr>
        <w:lastRenderedPageBreak/>
        <w:t>REDACTED</w:t>
      </w:r>
      <w:r w:rsidR="00F52E1D">
        <w:rPr>
          <w:rStyle w:val="FootnoteReference"/>
          <w:b/>
          <w:bCs/>
        </w:rPr>
        <w:footnoteReference w:id="3"/>
      </w:r>
    </w:p>
    <w:p w14:paraId="1E8452BA" w14:textId="366E673B" w:rsidR="002F6CA4" w:rsidRPr="001211AF" w:rsidRDefault="002F6CA4" w:rsidP="002F6CA4">
      <w:pPr>
        <w:spacing w:before="240"/>
      </w:pPr>
      <w:r w:rsidRPr="009B5DBE">
        <w:t>MSAC noted the advice from ESC that one of the main limitations of the unanchored</w:t>
      </w:r>
      <w:r w:rsidR="00D4016E" w:rsidRPr="009B5DBE">
        <w:t xml:space="preserve"> (no common comparator arm between trials)</w:t>
      </w:r>
      <w:r w:rsidRPr="009B5DBE">
        <w:t xml:space="preserve"> MAIC analysis is that </w:t>
      </w:r>
      <w:r w:rsidRPr="007360EE">
        <w:t xml:space="preserve">it strongly assumes that all </w:t>
      </w:r>
      <w:r w:rsidR="00E95BDF" w:rsidRPr="007360EE">
        <w:t xml:space="preserve">treatment </w:t>
      </w:r>
      <w:r w:rsidRPr="007360EE">
        <w:t xml:space="preserve">effect modifiers and prognostic factors are </w:t>
      </w:r>
      <w:r w:rsidR="00A0524B" w:rsidRPr="007360EE">
        <w:t xml:space="preserve">known and </w:t>
      </w:r>
      <w:r w:rsidRPr="007360EE">
        <w:t xml:space="preserve">accounted for. This is </w:t>
      </w:r>
      <w:r w:rsidR="00D4016E" w:rsidRPr="007360EE">
        <w:t xml:space="preserve">largely </w:t>
      </w:r>
      <w:r w:rsidRPr="007360EE">
        <w:t xml:space="preserve">considered </w:t>
      </w:r>
      <w:r w:rsidR="00A0524B" w:rsidRPr="007360EE">
        <w:t xml:space="preserve">very hard </w:t>
      </w:r>
      <w:r w:rsidRPr="007360EE">
        <w:t>to meet and may lead to an unknown amount of bias in the unanchored estimate</w:t>
      </w:r>
      <w:r w:rsidR="00A0524B" w:rsidRPr="007360EE">
        <w:t xml:space="preserve"> (</w:t>
      </w:r>
      <w:proofErr w:type="spellStart"/>
      <w:r w:rsidR="00A0524B" w:rsidRPr="007360EE">
        <w:t>Phillipo</w:t>
      </w:r>
      <w:proofErr w:type="spellEnd"/>
      <w:r w:rsidR="00A0524B" w:rsidRPr="007360EE">
        <w:t xml:space="preserve"> </w:t>
      </w:r>
      <w:r w:rsidR="00AF3BDD" w:rsidRPr="007360EE">
        <w:t xml:space="preserve">2018 </w:t>
      </w:r>
      <w:r w:rsidR="00AF3BDD" w:rsidRPr="007360EE">
        <w:rPr>
          <w:rStyle w:val="FootnoteReference"/>
        </w:rPr>
        <w:footnoteReference w:id="4"/>
      </w:r>
      <w:r w:rsidR="00AF3BDD" w:rsidRPr="007360EE">
        <w:t xml:space="preserve"> and </w:t>
      </w:r>
      <w:proofErr w:type="spellStart"/>
      <w:r w:rsidR="007447D9" w:rsidRPr="007360EE">
        <w:t>Phillipo</w:t>
      </w:r>
      <w:proofErr w:type="spellEnd"/>
      <w:r w:rsidR="007447D9" w:rsidRPr="007360EE">
        <w:t xml:space="preserve"> 2016</w:t>
      </w:r>
      <w:r w:rsidR="00846987" w:rsidRPr="007360EE">
        <w:t xml:space="preserve"> </w:t>
      </w:r>
      <w:r w:rsidR="007447D9" w:rsidRPr="007360EE">
        <w:rPr>
          <w:rStyle w:val="FootnoteReference"/>
        </w:rPr>
        <w:footnoteReference w:id="5"/>
      </w:r>
      <w:r w:rsidR="007447D9" w:rsidRPr="007360EE">
        <w:t>)</w:t>
      </w:r>
      <w:r w:rsidRPr="007360EE">
        <w:t>.</w:t>
      </w:r>
      <w:r w:rsidR="00846987" w:rsidRPr="007360EE">
        <w:t xml:space="preserve"> MSAC noted the factors available </w:t>
      </w:r>
      <w:r w:rsidR="00846987" w:rsidRPr="001211AF">
        <w:t xml:space="preserve">for matching differed for the comparisons with the COAPT and EVEREST trials. MSAC noted the commentary highlighted that </w:t>
      </w:r>
      <w:r w:rsidR="007360EE" w:rsidRPr="003E62EE">
        <w:rPr>
          <w:b/>
          <w:bCs/>
        </w:rPr>
        <w:t>REDACTED</w:t>
      </w:r>
      <w:r w:rsidR="00846987" w:rsidRPr="001211AF">
        <w:t xml:space="preserve"> and </w:t>
      </w:r>
      <w:r w:rsidR="007360EE" w:rsidRPr="003E62EE">
        <w:rPr>
          <w:b/>
          <w:bCs/>
        </w:rPr>
        <w:t>REDACTED</w:t>
      </w:r>
      <w:r w:rsidR="007360EE" w:rsidRPr="003E62EE">
        <w:rPr>
          <w:rStyle w:val="FootnoteReference"/>
          <w:b/>
          <w:bCs/>
        </w:rPr>
        <w:footnoteReference w:id="6"/>
      </w:r>
      <w:r w:rsidR="00846987" w:rsidRPr="001211AF">
        <w:t xml:space="preserve"> were not balanced between CLASP (weighted) and COAPT and it is unclear whether these would be treatment effect modifiers or prognostic variables.</w:t>
      </w:r>
    </w:p>
    <w:p w14:paraId="55666330" w14:textId="4985175B" w:rsidR="002F6CA4" w:rsidRDefault="002F6CA4" w:rsidP="002F6CA4">
      <w:pPr>
        <w:spacing w:before="240"/>
      </w:pPr>
      <w:r>
        <w:t xml:space="preserve">MSAC noted it was not possible to </w:t>
      </w:r>
      <w:r w:rsidR="00EB0344">
        <w:t xml:space="preserve">independently </w:t>
      </w:r>
      <w:r>
        <w:t xml:space="preserve">verify </w:t>
      </w:r>
      <w:r w:rsidR="00846987">
        <w:t xml:space="preserve">the specific method used </w:t>
      </w:r>
      <w:r>
        <w:t xml:space="preserve">or </w:t>
      </w:r>
      <w:r w:rsidR="00846987">
        <w:t xml:space="preserve">to </w:t>
      </w:r>
      <w:r>
        <w:t xml:space="preserve">replicate the results of the MAIC because the </w:t>
      </w:r>
      <w:r w:rsidR="007C58BA">
        <w:t xml:space="preserve">ADAR </w:t>
      </w:r>
      <w:r>
        <w:t xml:space="preserve">did not provide the statistical codes </w:t>
      </w:r>
      <w:r w:rsidR="007C58BA">
        <w:t xml:space="preserve">and methods </w:t>
      </w:r>
      <w:r>
        <w:t xml:space="preserve">used for the analysis, or the matching options that were presented to clinicians for matching of baseline characteristics. </w:t>
      </w:r>
      <w:r w:rsidR="007C58BA">
        <w:t xml:space="preserve">The pre-ESC response provided some additional information and analyses, but these could not be evaluated. MSAC noted </w:t>
      </w:r>
      <w:r>
        <w:t xml:space="preserve">ESC’s </w:t>
      </w:r>
      <w:r w:rsidR="0099308C">
        <w:t xml:space="preserve">residual </w:t>
      </w:r>
      <w:r>
        <w:t xml:space="preserve">concerns regarding these issues. MSAC therefore </w:t>
      </w:r>
      <w:r w:rsidR="00EB0344">
        <w:t xml:space="preserve">advised </w:t>
      </w:r>
      <w:r>
        <w:t>that the claim of non</w:t>
      </w:r>
      <w:r w:rsidR="00EB0344">
        <w:noBreakHyphen/>
      </w:r>
      <w:r>
        <w:t xml:space="preserve">inferiority could not be </w:t>
      </w:r>
      <w:r w:rsidR="00516D23">
        <w:t>reliably demonstrated with the evidence presented in the ADAR</w:t>
      </w:r>
      <w:r>
        <w:t>.</w:t>
      </w:r>
    </w:p>
    <w:p w14:paraId="53F81C6D" w14:textId="0CB8C188" w:rsidR="002F6CA4" w:rsidRDefault="002F6CA4" w:rsidP="002F6CA4">
      <w:pPr>
        <w:spacing w:before="240"/>
      </w:pPr>
      <w:r>
        <w:t xml:space="preserve">Regarding </w:t>
      </w:r>
      <w:r w:rsidRPr="001211AF">
        <w:t xml:space="preserve">comparative safety, MSAC noted </w:t>
      </w:r>
      <w:r w:rsidR="009106CA" w:rsidRPr="001211AF">
        <w:t xml:space="preserve">the </w:t>
      </w:r>
      <w:r w:rsidR="003B3356" w:rsidRPr="001211AF">
        <w:t>definition</w:t>
      </w:r>
      <w:r w:rsidRPr="001211AF">
        <w:t xml:space="preserve"> of major adverse events measured in COAPT and EVEREST-II </w:t>
      </w:r>
      <w:r w:rsidR="003B3356" w:rsidRPr="001211AF">
        <w:t>differed</w:t>
      </w:r>
      <w:r w:rsidRPr="001211AF">
        <w:t xml:space="preserve"> to those measured in CLASP. MSAC noted the MAIC analysis suggested the odds of experiencing major adverse events at 30 days in the FMR population were</w:t>
      </w:r>
      <w:r w:rsidR="0061645F" w:rsidRPr="001211AF">
        <w:t xml:space="preserve"> </w:t>
      </w:r>
      <w:r w:rsidR="00462599" w:rsidRPr="001211AF">
        <w:rPr>
          <w:b/>
          <w:bCs/>
        </w:rPr>
        <w:t xml:space="preserve">REDACTED </w:t>
      </w:r>
      <w:r w:rsidRPr="001211AF">
        <w:t xml:space="preserve">for PASCAL than for </w:t>
      </w:r>
      <w:proofErr w:type="spellStart"/>
      <w:r w:rsidRPr="001211AF">
        <w:t>MitraClip</w:t>
      </w:r>
      <w:proofErr w:type="spellEnd"/>
      <w:r w:rsidRPr="001211AF">
        <w:t xml:space="preserve">, and the rate of major adverse events at 30 days in the mixed FMR and DMR population was </w:t>
      </w:r>
      <w:r w:rsidR="00462599" w:rsidRPr="001211AF">
        <w:rPr>
          <w:b/>
          <w:bCs/>
        </w:rPr>
        <w:t xml:space="preserve">REDACTED </w:t>
      </w:r>
      <w:r w:rsidRPr="001211AF">
        <w:t xml:space="preserve">for PASCAL than for </w:t>
      </w:r>
      <w:proofErr w:type="spellStart"/>
      <w:r w:rsidRPr="001211AF">
        <w:t>MitraClip</w:t>
      </w:r>
      <w:proofErr w:type="spellEnd"/>
      <w:r w:rsidR="00EB0344" w:rsidRPr="001211AF">
        <w:t>.</w:t>
      </w:r>
      <w:r w:rsidRPr="001211AF">
        <w:t xml:space="preserve"> MSAC considered it unclear what impact the differences in definitions of major adverse events had on the MAIC findings. No long-term comparative safety data were available.</w:t>
      </w:r>
      <w:r w:rsidR="004A5CBE" w:rsidRPr="001211AF">
        <w:t xml:space="preserve"> For these reasons, and the limitations in the unanchored MAIC, MSAC considered the claim of non-inferior safety was uncertain. </w:t>
      </w:r>
    </w:p>
    <w:p w14:paraId="70676254" w14:textId="54894DE6" w:rsidR="002F6CA4" w:rsidRPr="001211AF" w:rsidRDefault="002F6CA4" w:rsidP="002F6CA4">
      <w:pPr>
        <w:spacing w:before="240"/>
      </w:pPr>
      <w:r w:rsidRPr="001211AF">
        <w:t>Regarding comparative effectiveness in the FMR population (CLASP versus COAPT), the MAIC analysis suggested</w:t>
      </w:r>
      <w:r w:rsidR="00462599" w:rsidRPr="001211AF">
        <w:t xml:space="preserve"> </w:t>
      </w:r>
      <w:r w:rsidR="00462599" w:rsidRPr="001211AF">
        <w:rPr>
          <w:b/>
          <w:bCs/>
        </w:rPr>
        <w:t>REDACTED</w:t>
      </w:r>
      <w:r w:rsidR="00462599" w:rsidRPr="001211AF">
        <w:rPr>
          <w:rStyle w:val="FootnoteReference"/>
          <w:b/>
          <w:bCs/>
        </w:rPr>
        <w:footnoteReference w:id="7"/>
      </w:r>
      <w:r w:rsidR="003E62EE">
        <w:rPr>
          <w:b/>
          <w:bCs/>
        </w:rPr>
        <w:t xml:space="preserve"> </w:t>
      </w:r>
      <w:r w:rsidRPr="001211AF">
        <w:t xml:space="preserve">overall survival was </w:t>
      </w:r>
      <w:r w:rsidR="00471363" w:rsidRPr="001211AF">
        <w:rPr>
          <w:b/>
          <w:bCs/>
        </w:rPr>
        <w:t xml:space="preserve">REDACTED </w:t>
      </w:r>
      <w:r w:rsidRPr="001211AF">
        <w:t xml:space="preserve">in patients that were treated with the PASCAL system compared with </w:t>
      </w:r>
      <w:proofErr w:type="spellStart"/>
      <w:r w:rsidRPr="001211AF">
        <w:t>MitraClip</w:t>
      </w:r>
      <w:proofErr w:type="spellEnd"/>
      <w:r w:rsidRPr="001211AF">
        <w:t xml:space="preserve">. However, MSAC noted the data presented had some inconsistencies that could not be verified. </w:t>
      </w:r>
      <w:proofErr w:type="gramStart"/>
      <w:r w:rsidR="0033659E" w:rsidRPr="001211AF">
        <w:t>In particular, MSAC</w:t>
      </w:r>
      <w:proofErr w:type="gramEnd"/>
      <w:r w:rsidR="0033659E" w:rsidRPr="001211AF">
        <w:t xml:space="preserve"> noted the baseline number at risk in the unadjusted analysis of overall survival in the CLASP study differed to the trial publication (</w:t>
      </w:r>
      <w:proofErr w:type="spellStart"/>
      <w:r w:rsidR="0033659E" w:rsidRPr="001211AF">
        <w:t>Szerlip</w:t>
      </w:r>
      <w:proofErr w:type="spellEnd"/>
      <w:r w:rsidR="0033659E" w:rsidRPr="001211AF">
        <w:t xml:space="preserve"> 2021</w:t>
      </w:r>
      <w:r w:rsidR="0033659E" w:rsidRPr="001211AF">
        <w:rPr>
          <w:rStyle w:val="FootnoteReference"/>
        </w:rPr>
        <w:footnoteReference w:id="8"/>
      </w:r>
      <w:r w:rsidR="0033659E" w:rsidRPr="001211AF">
        <w:t xml:space="preserve">). </w:t>
      </w:r>
      <w:r w:rsidRPr="001211AF">
        <w:t xml:space="preserve">MSAC noted the MAIC analysis suggested that patients treated with </w:t>
      </w:r>
      <w:r w:rsidR="009106CA" w:rsidRPr="001211AF">
        <w:t xml:space="preserve">the </w:t>
      </w:r>
      <w:r w:rsidRPr="001211AF">
        <w:t>PASCAL system</w:t>
      </w:r>
      <w:r w:rsidRPr="001211AF">
        <w:rPr>
          <w:b/>
          <w:bCs/>
        </w:rPr>
        <w:t xml:space="preserve"> </w:t>
      </w:r>
      <w:r w:rsidRPr="001211AF">
        <w:t xml:space="preserve">had </w:t>
      </w:r>
      <w:r w:rsidR="00471363" w:rsidRPr="001211AF">
        <w:rPr>
          <w:b/>
          <w:bCs/>
        </w:rPr>
        <w:t>REDACTED</w:t>
      </w:r>
      <w:r w:rsidR="003E62EE">
        <w:rPr>
          <w:b/>
          <w:bCs/>
        </w:rPr>
        <w:t xml:space="preserve"> </w:t>
      </w:r>
      <w:r w:rsidRPr="001211AF">
        <w:t xml:space="preserve">MR severity scores at 24 months and NYHA classifications at 24 months of follow-up compared with patients treated with </w:t>
      </w:r>
      <w:r w:rsidR="00AC61D4" w:rsidRPr="001211AF">
        <w:t xml:space="preserve">the </w:t>
      </w:r>
      <w:proofErr w:type="spellStart"/>
      <w:r w:rsidRPr="001211AF">
        <w:t>MitraClip</w:t>
      </w:r>
      <w:proofErr w:type="spellEnd"/>
      <w:r w:rsidRPr="001211AF">
        <w:t xml:space="preserve"> system. </w:t>
      </w:r>
    </w:p>
    <w:p w14:paraId="6F5B15E6" w14:textId="4FEB5B7E" w:rsidR="002F6CA4" w:rsidRDefault="002F6CA4" w:rsidP="00572E78">
      <w:pPr>
        <w:spacing w:before="240"/>
      </w:pPr>
      <w:r w:rsidRPr="001211AF">
        <w:t>In the mixed FMR and DMR population (CLASP versus EVEREST-II), the MAIC analysis suggested that</w:t>
      </w:r>
      <w:r w:rsidR="00471363" w:rsidRPr="001211AF">
        <w:t xml:space="preserve"> </w:t>
      </w:r>
      <w:r w:rsidRPr="001211AF">
        <w:t xml:space="preserve">overall survival in the PASCAL population is </w:t>
      </w:r>
      <w:r w:rsidR="00471363" w:rsidRPr="001211AF">
        <w:rPr>
          <w:b/>
          <w:bCs/>
        </w:rPr>
        <w:t>REDACTED</w:t>
      </w:r>
      <w:r w:rsidRPr="001211AF">
        <w:t xml:space="preserve"> the overall </w:t>
      </w:r>
      <w:r w:rsidRPr="001211AF">
        <w:lastRenderedPageBreak/>
        <w:t xml:space="preserve">survival in the </w:t>
      </w:r>
      <w:proofErr w:type="spellStart"/>
      <w:r w:rsidRPr="001211AF">
        <w:t>MitraClip</w:t>
      </w:r>
      <w:proofErr w:type="spellEnd"/>
      <w:r w:rsidRPr="001211AF">
        <w:t xml:space="preserve"> population. The MAIC analysis suggested that MR severity scores</w:t>
      </w:r>
      <w:r w:rsidR="00572E78" w:rsidRPr="001211AF">
        <w:t xml:space="preserve"> </w:t>
      </w:r>
      <w:r w:rsidRPr="001211AF">
        <w:t xml:space="preserve">at 12 months were </w:t>
      </w:r>
      <w:r w:rsidR="00471363" w:rsidRPr="001211AF">
        <w:rPr>
          <w:b/>
          <w:bCs/>
        </w:rPr>
        <w:t>REDACTED</w:t>
      </w:r>
      <w:r w:rsidR="00572E78" w:rsidRPr="001211AF">
        <w:t xml:space="preserve"> </w:t>
      </w:r>
      <w:r w:rsidRPr="001211AF">
        <w:t xml:space="preserve">for patients treated with the PASCAL system, and NYHA classifications at 12 months were </w:t>
      </w:r>
      <w:r w:rsidR="00471363" w:rsidRPr="001211AF">
        <w:rPr>
          <w:b/>
          <w:bCs/>
        </w:rPr>
        <w:t>REDACTED</w:t>
      </w:r>
      <w:r w:rsidR="001211AF" w:rsidRPr="001211AF">
        <w:rPr>
          <w:b/>
          <w:bCs/>
        </w:rPr>
        <w:t xml:space="preserve"> </w:t>
      </w:r>
      <w:r w:rsidRPr="001211AF">
        <w:t xml:space="preserve">for patients treated with the PASCAL system compared with </w:t>
      </w:r>
      <w:proofErr w:type="spellStart"/>
      <w:r w:rsidRPr="001211AF">
        <w:t>MitraClip</w:t>
      </w:r>
      <w:proofErr w:type="spellEnd"/>
      <w:r w:rsidRPr="001211AF">
        <w:t xml:space="preserve"> system.</w:t>
      </w:r>
      <w:r w:rsidR="008D4C19" w:rsidRPr="001211AF">
        <w:t xml:space="preserve"> </w:t>
      </w:r>
      <w:r w:rsidRPr="00F62344">
        <w:t>MSAC noted that no comparative evidence was available for the DMR population alone</w:t>
      </w:r>
      <w:r w:rsidR="00255AB6" w:rsidRPr="00F62344">
        <w:t xml:space="preserve"> and considered this to be a limitation</w:t>
      </w:r>
      <w:r w:rsidRPr="00F62344">
        <w:t>.</w:t>
      </w:r>
    </w:p>
    <w:p w14:paraId="7046AC28" w14:textId="2632FA4A" w:rsidR="000A067E" w:rsidRDefault="000A067E" w:rsidP="002F6CA4">
      <w:pPr>
        <w:spacing w:before="240"/>
      </w:pPr>
      <w:r>
        <w:t xml:space="preserve">MSAC noted that only a subset of patients in the CLASP study had 24-month data, and the effective sample size was further reduced in the MAIC. </w:t>
      </w:r>
    </w:p>
    <w:p w14:paraId="14641730" w14:textId="5CAAC7BF" w:rsidR="002F6CA4" w:rsidRDefault="002F6CA4" w:rsidP="002F6CA4">
      <w:pPr>
        <w:spacing w:before="240"/>
      </w:pPr>
      <w:r>
        <w:t xml:space="preserve">MSAC noted that an RCT comparing PASCAL with </w:t>
      </w:r>
      <w:proofErr w:type="spellStart"/>
      <w:r>
        <w:t>MitraClip</w:t>
      </w:r>
      <w:proofErr w:type="spellEnd"/>
      <w:r>
        <w:t xml:space="preserve"> </w:t>
      </w:r>
      <w:r w:rsidR="00BD7E2F">
        <w:t xml:space="preserve">to treat DMR and FMR </w:t>
      </w:r>
      <w:r w:rsidR="000A067E">
        <w:t>(</w:t>
      </w:r>
      <w:r w:rsidR="000A067E" w:rsidRPr="000A067E">
        <w:t xml:space="preserve">CLASP IID/IIF </w:t>
      </w:r>
      <w:r w:rsidR="000A067E">
        <w:t xml:space="preserve">trial) </w:t>
      </w:r>
      <w:r>
        <w:t>is actively recruiting, with an estimated primary completion date in 2023 and study completion date in 2028</w:t>
      </w:r>
      <w:r w:rsidR="000A067E">
        <w:t xml:space="preserve"> </w:t>
      </w:r>
      <w:r w:rsidR="000A067E">
        <w:rPr>
          <w:rStyle w:val="FootnoteReference"/>
        </w:rPr>
        <w:footnoteReference w:id="9"/>
      </w:r>
      <w:r>
        <w:t xml:space="preserve">. However, MSAC noted the estimated dates may be delayed by the COVID-19 pandemic, and the technology may change over this </w:t>
      </w:r>
      <w:proofErr w:type="gramStart"/>
      <w:r>
        <w:t>time period</w:t>
      </w:r>
      <w:proofErr w:type="gramEnd"/>
      <w:r>
        <w:t>.</w:t>
      </w:r>
    </w:p>
    <w:p w14:paraId="5EDA3F03" w14:textId="5BE32474" w:rsidR="002F6CA4" w:rsidRPr="001211AF" w:rsidRDefault="002F6CA4" w:rsidP="002F6CA4">
      <w:pPr>
        <w:spacing w:before="240"/>
      </w:pPr>
      <w:r w:rsidRPr="001211AF">
        <w:t xml:space="preserve">MSAC noted the economic evaluation presented in the ADAR was a cost-minimisation analysis of PASCAL compared with </w:t>
      </w:r>
      <w:proofErr w:type="spellStart"/>
      <w:r w:rsidRPr="001211AF">
        <w:t>MitraClip</w:t>
      </w:r>
      <w:proofErr w:type="spellEnd"/>
      <w:r w:rsidRPr="001211AF">
        <w:rPr>
          <w:b/>
          <w:bCs/>
        </w:rPr>
        <w:t>,</w:t>
      </w:r>
      <w:r w:rsidR="008C16D0" w:rsidRPr="001211AF">
        <w:rPr>
          <w:b/>
          <w:bCs/>
        </w:rPr>
        <w:t xml:space="preserve"> </w:t>
      </w:r>
      <w:r w:rsidRPr="001211AF">
        <w:t>which included</w:t>
      </w:r>
      <w:r w:rsidR="001211AF" w:rsidRPr="001211AF">
        <w:t xml:space="preserve"> </w:t>
      </w:r>
      <w:r w:rsidRPr="001211AF">
        <w:t xml:space="preserve">the costs of </w:t>
      </w:r>
      <w:r w:rsidR="00795AD1" w:rsidRPr="001211AF">
        <w:rPr>
          <w:b/>
          <w:bCs/>
        </w:rPr>
        <w:t>REDACTED</w:t>
      </w:r>
      <w:r w:rsidR="00795AD1" w:rsidRPr="001211AF">
        <w:rPr>
          <w:rStyle w:val="FootnoteReference"/>
          <w:b/>
          <w:bCs/>
        </w:rPr>
        <w:footnoteReference w:id="10"/>
      </w:r>
      <w:r w:rsidR="00795AD1" w:rsidRPr="001211AF" w:rsidDel="007B6AF6">
        <w:t xml:space="preserve"> </w:t>
      </w:r>
      <w:r w:rsidRPr="001211AF">
        <w:t xml:space="preserve"> </w:t>
      </w:r>
      <w:r w:rsidR="000A067E" w:rsidRPr="001211AF">
        <w:t xml:space="preserve">from the CLASP study were used in the economic analysis. </w:t>
      </w:r>
      <w:r w:rsidRPr="001211AF">
        <w:t xml:space="preserve">MSAC noted advice from ESC that the time horizon of 30 days was adequate for evaluating the </w:t>
      </w:r>
      <w:proofErr w:type="spellStart"/>
      <w:r w:rsidRPr="001211AF">
        <w:t>TMVr</w:t>
      </w:r>
      <w:proofErr w:type="spellEnd"/>
      <w:r w:rsidRPr="001211AF">
        <w:t xml:space="preserve"> procedure but introduced additional implicit assumptions when extending conclusions to the intervention over its lifespan. MSAC noted the pre-MSAC response, which stated that the 30-day time horizon covered </w:t>
      </w:r>
      <w:r w:rsidR="008C16D0" w:rsidRPr="001211AF">
        <w:rPr>
          <w:b/>
          <w:bCs/>
        </w:rPr>
        <w:t xml:space="preserve">REDACTED </w:t>
      </w:r>
      <w:r w:rsidRPr="001211AF">
        <w:t>within the cost-minimisation analysis and most clinical events, but that no long-term performance data were available.</w:t>
      </w:r>
    </w:p>
    <w:p w14:paraId="75B0473B" w14:textId="7145F4EE" w:rsidR="002F6CA4" w:rsidRPr="001211AF" w:rsidRDefault="002F6CA4" w:rsidP="002F6CA4">
      <w:pPr>
        <w:spacing w:before="240"/>
      </w:pPr>
      <w:r w:rsidRPr="001211AF">
        <w:t>MSAC noted that uncertainty of the MAIC affected the economic analysis indirectly, through clinical claims of non-inferiority, and directly, through comparative rates of adverse events applied in the cost-minimisation analysis. MSAC noted that translation issues were not presented in the ADAR. MSAC noted ESC’s advice that a comparison of the trial population with the Australian population would have been informative, and that extrapolation of outcomes beyond 30 days should have been formally explored. MSAC noted the pre-MSAC response, which stated the data presented reflect real-world challenges.</w:t>
      </w:r>
    </w:p>
    <w:p w14:paraId="06A986EB" w14:textId="311BCE8A" w:rsidR="002F6CA4" w:rsidRPr="001211AF" w:rsidRDefault="002F6CA4" w:rsidP="002F6CA4">
      <w:pPr>
        <w:spacing w:before="240"/>
      </w:pPr>
      <w:r w:rsidRPr="001211AF">
        <w:t>MSAC noted the sensitivity analyses presented in the commentary for the</w:t>
      </w:r>
      <w:r w:rsidR="001B7741" w:rsidRPr="001211AF">
        <w:t xml:space="preserve"> </w:t>
      </w:r>
      <w:r w:rsidRPr="001211AF">
        <w:t xml:space="preserve">costs </w:t>
      </w:r>
      <w:r w:rsidR="0063579E" w:rsidRPr="001211AF">
        <w:t xml:space="preserve">of </w:t>
      </w:r>
      <w:proofErr w:type="gramStart"/>
      <w:r w:rsidR="0063579E" w:rsidRPr="001211AF">
        <w:rPr>
          <w:b/>
          <w:bCs/>
        </w:rPr>
        <w:t>REDACTED</w:t>
      </w:r>
      <w:r w:rsidR="008E33F1">
        <w:rPr>
          <w:b/>
          <w:bCs/>
          <w:vertAlign w:val="superscript"/>
        </w:rPr>
        <w:t>9</w:t>
      </w:r>
      <w:r w:rsidRPr="001211AF">
        <w:t>, and</w:t>
      </w:r>
      <w:proofErr w:type="gramEnd"/>
      <w:r w:rsidRPr="001211AF">
        <w:t xml:space="preserve"> noted that changing these parameters had little effect on the base case outcome. MSAC considered </w:t>
      </w:r>
      <w:r w:rsidR="002030BA" w:rsidRPr="001211AF">
        <w:t>there</w:t>
      </w:r>
      <w:r w:rsidRPr="001211AF">
        <w:t xml:space="preserve"> is a possibility of a</w:t>
      </w:r>
      <w:r w:rsidR="00435BFC" w:rsidRPr="001211AF">
        <w:t>n</w:t>
      </w:r>
      <w:r w:rsidRPr="001211AF">
        <w:t xml:space="preserve"> incremental cost associated with the use of PASCAL over </w:t>
      </w:r>
      <w:proofErr w:type="spellStart"/>
      <w:r w:rsidRPr="001211AF">
        <w:t>MitraClip</w:t>
      </w:r>
      <w:proofErr w:type="spellEnd"/>
      <w:r w:rsidR="002030BA" w:rsidRPr="001211AF">
        <w:t xml:space="preserve"> when</w:t>
      </w:r>
      <w:r w:rsidR="001B7741" w:rsidRPr="001211AF">
        <w:t xml:space="preserve"> </w:t>
      </w:r>
      <w:r w:rsidR="002030BA" w:rsidRPr="001211AF">
        <w:t xml:space="preserve">different rates of </w:t>
      </w:r>
      <w:r w:rsidR="007D2E11" w:rsidRPr="001211AF">
        <w:rPr>
          <w:b/>
          <w:bCs/>
        </w:rPr>
        <w:t>REDACTED</w:t>
      </w:r>
      <w:r w:rsidR="008E33F1">
        <w:rPr>
          <w:b/>
          <w:bCs/>
          <w:vertAlign w:val="superscript"/>
        </w:rPr>
        <w:t>9</w:t>
      </w:r>
      <w:r w:rsidR="00BD2635">
        <w:rPr>
          <w:b/>
          <w:bCs/>
          <w:vertAlign w:val="superscript"/>
        </w:rPr>
        <w:t xml:space="preserve"> </w:t>
      </w:r>
      <w:r w:rsidR="002030BA" w:rsidRPr="001211AF">
        <w:t>were applied.</w:t>
      </w:r>
      <w:r w:rsidRPr="001211AF">
        <w:t xml:space="preserve"> </w:t>
      </w:r>
      <w:r w:rsidR="002030BA" w:rsidRPr="001211AF">
        <w:t xml:space="preserve">However, MSAC noted </w:t>
      </w:r>
      <w:r w:rsidRPr="001211AF">
        <w:t xml:space="preserve">this cost would be relatively small. </w:t>
      </w:r>
    </w:p>
    <w:p w14:paraId="30A988D0" w14:textId="1002E486" w:rsidR="002F6CA4" w:rsidRPr="001211AF" w:rsidRDefault="002F6CA4" w:rsidP="002F6CA4">
      <w:pPr>
        <w:spacing w:before="240"/>
      </w:pPr>
      <w:r w:rsidRPr="001211AF">
        <w:t xml:space="preserve">MSAC noted the ADAR </w:t>
      </w:r>
      <w:r w:rsidR="005E5A2B" w:rsidRPr="001211AF">
        <w:t xml:space="preserve">reported </w:t>
      </w:r>
      <w:r w:rsidRPr="001211AF">
        <w:t xml:space="preserve">using </w:t>
      </w:r>
      <w:proofErr w:type="gramStart"/>
      <w:r w:rsidRPr="001211AF">
        <w:t>an</w:t>
      </w:r>
      <w:proofErr w:type="gramEnd"/>
      <w:r w:rsidRPr="001211AF">
        <w:t xml:space="preserve"> </w:t>
      </w:r>
      <w:r w:rsidR="001B7741" w:rsidRPr="001211AF">
        <w:rPr>
          <w:b/>
          <w:bCs/>
        </w:rPr>
        <w:t xml:space="preserve">REDACTED </w:t>
      </w:r>
      <w:r w:rsidRPr="001211AF">
        <w:t xml:space="preserve">approach to estimate utilisation and financial consequences; however, the results were </w:t>
      </w:r>
      <w:r w:rsidR="001B7741" w:rsidRPr="001211AF">
        <w:rPr>
          <w:b/>
          <w:bCs/>
        </w:rPr>
        <w:t xml:space="preserve">REDACTED </w:t>
      </w:r>
      <w:r w:rsidRPr="001211AF">
        <w:t xml:space="preserve">to the published </w:t>
      </w:r>
      <w:r w:rsidR="0024044D" w:rsidRPr="001211AF">
        <w:t>utilisation</w:t>
      </w:r>
      <w:r w:rsidRPr="001211AF">
        <w:t xml:space="preserve"> from the </w:t>
      </w:r>
      <w:proofErr w:type="spellStart"/>
      <w:r w:rsidRPr="001211AF">
        <w:t>MitraClip</w:t>
      </w:r>
      <w:proofErr w:type="spellEnd"/>
      <w:r w:rsidRPr="001211AF">
        <w:t xml:space="preserve"> Public Summary Document, </w:t>
      </w:r>
      <w:r w:rsidR="005E5A2B" w:rsidRPr="001211AF">
        <w:t>reflecting</w:t>
      </w:r>
      <w:r w:rsidRPr="001211AF">
        <w:t xml:space="preserve"> a </w:t>
      </w:r>
      <w:r w:rsidR="001B7741" w:rsidRPr="001211AF">
        <w:rPr>
          <w:b/>
          <w:bCs/>
        </w:rPr>
        <w:t xml:space="preserve">REDACTED </w:t>
      </w:r>
      <w:r w:rsidRPr="001211AF">
        <w:t xml:space="preserve">approach with assumed </w:t>
      </w:r>
      <w:r w:rsidR="001B7741" w:rsidRPr="001211AF">
        <w:rPr>
          <w:b/>
          <w:bCs/>
        </w:rPr>
        <w:t>REDACTED</w:t>
      </w:r>
      <w:r w:rsidR="00050A02" w:rsidRPr="001211AF">
        <w:t xml:space="preserve"> </w:t>
      </w:r>
      <w:r w:rsidRPr="001211AF">
        <w:t xml:space="preserve">market share. MSAC </w:t>
      </w:r>
      <w:r w:rsidR="005E5A2B" w:rsidRPr="001211AF">
        <w:t xml:space="preserve">noted that 1.5 years had passed since this approach was accepted for </w:t>
      </w:r>
      <w:proofErr w:type="spellStart"/>
      <w:r w:rsidR="005E5A2B" w:rsidRPr="001211AF">
        <w:t>MitraClip</w:t>
      </w:r>
      <w:proofErr w:type="spellEnd"/>
      <w:r w:rsidR="005E5A2B" w:rsidRPr="001211AF">
        <w:t xml:space="preserve"> but </w:t>
      </w:r>
      <w:r w:rsidRPr="001211AF">
        <w:t>considered this was acceptable. MSAC further considered that the basis of the</w:t>
      </w:r>
      <w:r w:rsidR="005E5A2B" w:rsidRPr="001211AF">
        <w:t xml:space="preserve"> </w:t>
      </w:r>
      <w:r w:rsidR="000F4F05" w:rsidRPr="001211AF">
        <w:rPr>
          <w:b/>
          <w:bCs/>
        </w:rPr>
        <w:t xml:space="preserve">REDACTED </w:t>
      </w:r>
      <w:r w:rsidRPr="001211AF">
        <w:t xml:space="preserve">market share was unclear given that </w:t>
      </w:r>
      <w:proofErr w:type="spellStart"/>
      <w:r w:rsidRPr="001211AF">
        <w:t>MitraClip</w:t>
      </w:r>
      <w:proofErr w:type="spellEnd"/>
      <w:r w:rsidRPr="001211AF">
        <w:t xml:space="preserve"> was first to market and may have the advantage of familiarity</w:t>
      </w:r>
      <w:r w:rsidR="005E5A2B" w:rsidRPr="001211AF">
        <w:t>.</w:t>
      </w:r>
      <w:r w:rsidRPr="001211AF">
        <w:t xml:space="preserve"> MSAC considered </w:t>
      </w:r>
      <w:r w:rsidR="005E5A2B" w:rsidRPr="001211AF">
        <w:t>the addition of</w:t>
      </w:r>
      <w:r w:rsidRPr="001211AF">
        <w:t xml:space="preserve"> PASCAL </w:t>
      </w:r>
      <w:r w:rsidR="005E5A2B" w:rsidRPr="001211AF">
        <w:t xml:space="preserve">into the market </w:t>
      </w:r>
      <w:r w:rsidRPr="001211AF">
        <w:t xml:space="preserve">would be unlikely to drive an overall increase in utilisation. </w:t>
      </w:r>
    </w:p>
    <w:p w14:paraId="49B02C0F" w14:textId="1AAA53C4" w:rsidR="00F300A2" w:rsidRDefault="004A189B" w:rsidP="004A189B">
      <w:pPr>
        <w:spacing w:before="240"/>
      </w:pPr>
      <w:r w:rsidRPr="001211AF">
        <w:t>MSAC noted that no c</w:t>
      </w:r>
      <w:r w:rsidR="005E5A2B" w:rsidRPr="001211AF">
        <w:t xml:space="preserve">onsumer comments were received for this application. Letters of support were received with the application from The Australian &amp; New Zealand Society of </w:t>
      </w:r>
      <w:r w:rsidR="005E5A2B" w:rsidRPr="0033536C">
        <w:lastRenderedPageBreak/>
        <w:t xml:space="preserve">Cardiac &amp; Thoracic Surgeons (ANZSCTS) and the Hearts4Heart group. </w:t>
      </w:r>
      <w:r w:rsidRPr="0033536C">
        <w:t xml:space="preserve">Both organisations supported the need for </w:t>
      </w:r>
      <w:proofErr w:type="spellStart"/>
      <w:r w:rsidRPr="0033536C">
        <w:t>TMVr</w:t>
      </w:r>
      <w:proofErr w:type="spellEnd"/>
      <w:r w:rsidRPr="0033536C">
        <w:t xml:space="preserve"> devices for the treatment of severe mitral regurgitation in patients not suitable for surgical interventions. The ANZSCTS considered that PASCAL is comparable to </w:t>
      </w:r>
      <w:proofErr w:type="spellStart"/>
      <w:r w:rsidRPr="0033536C">
        <w:t>Mitraclip</w:t>
      </w:r>
      <w:proofErr w:type="spellEnd"/>
      <w:r w:rsidRPr="0033536C">
        <w:t xml:space="preserve"> and that ongoing trials will provide data supporting this view. </w:t>
      </w:r>
    </w:p>
    <w:p w14:paraId="3674268A" w14:textId="526183F5" w:rsidR="00207512" w:rsidRDefault="000A067E" w:rsidP="00207512">
      <w:pPr>
        <w:spacing w:before="240"/>
      </w:pPr>
      <w:r>
        <w:t>MSAC</w:t>
      </w:r>
      <w:r w:rsidR="002F6CA4">
        <w:t xml:space="preserve"> </w:t>
      </w:r>
      <w:r w:rsidRPr="000A067E">
        <w:t xml:space="preserve">did not support amending </w:t>
      </w:r>
      <w:r>
        <w:t xml:space="preserve">the </w:t>
      </w:r>
      <w:r w:rsidRPr="000A067E">
        <w:t xml:space="preserve">MBS items for </w:t>
      </w:r>
      <w:proofErr w:type="spellStart"/>
      <w:r w:rsidRPr="000A067E">
        <w:t>TMVr</w:t>
      </w:r>
      <w:proofErr w:type="spellEnd"/>
      <w:r w:rsidRPr="000A067E">
        <w:t xml:space="preserve"> by transvenous or transeptal techniques using </w:t>
      </w:r>
      <w:proofErr w:type="spellStart"/>
      <w:r w:rsidRPr="000A067E">
        <w:t>Mitraclip</w:t>
      </w:r>
      <w:proofErr w:type="spellEnd"/>
      <w:r w:rsidRPr="000A067E">
        <w:t xml:space="preserve"> to be device agnostic</w:t>
      </w:r>
      <w:r>
        <w:t xml:space="preserve"> or include the PASCAL system</w:t>
      </w:r>
      <w:r w:rsidRPr="000A067E">
        <w:t xml:space="preserve">. MSAC considered the quality of evidence for </w:t>
      </w:r>
      <w:proofErr w:type="spellStart"/>
      <w:r w:rsidRPr="000A067E">
        <w:t>TMVr</w:t>
      </w:r>
      <w:proofErr w:type="spellEnd"/>
      <w:r w:rsidRPr="000A067E">
        <w:t xml:space="preserve"> using the PASCAL Transcatheter Valve Repair System™ did not adequately support the clinical claim of non-inferiority. </w:t>
      </w:r>
      <w:r>
        <w:t>MSAC noted the CLASP study was a small</w:t>
      </w:r>
      <w:r w:rsidR="00C841A3">
        <w:t>,</w:t>
      </w:r>
      <w:r>
        <w:t xml:space="preserve"> early feasibility study and </w:t>
      </w:r>
      <w:r w:rsidR="00207512">
        <w:t xml:space="preserve">did not consider the unadjusted MAIC could reliably demonstrate the </w:t>
      </w:r>
      <w:r w:rsidR="00207512" w:rsidRPr="00207512">
        <w:t>claim of non-inferiority</w:t>
      </w:r>
      <w:r w:rsidR="007F5F5A">
        <w:t>.</w:t>
      </w:r>
      <w:r w:rsidR="00207512">
        <w:t xml:space="preserve"> </w:t>
      </w:r>
      <w:r w:rsidRPr="000A067E">
        <w:t xml:space="preserve">MSAC </w:t>
      </w:r>
      <w:r w:rsidR="00207512">
        <w:t>considered</w:t>
      </w:r>
      <w:r w:rsidRPr="000A067E">
        <w:t xml:space="preserve"> that higher quality evidence would be needed to support the claim of non</w:t>
      </w:r>
      <w:r w:rsidR="00C841A3">
        <w:noBreakHyphen/>
      </w:r>
      <w:r w:rsidRPr="000A067E">
        <w:t xml:space="preserve">inferiority. </w:t>
      </w:r>
      <w:r w:rsidR="00207512">
        <w:t xml:space="preserve">MSAC advised that any future submission should </w:t>
      </w:r>
      <w:r w:rsidR="00C841A3">
        <w:t xml:space="preserve">preferably </w:t>
      </w:r>
      <w:r w:rsidR="00207512">
        <w:t xml:space="preserve">include evidence that is comparable in quality to the </w:t>
      </w:r>
      <w:proofErr w:type="spellStart"/>
      <w:r w:rsidR="00207512">
        <w:t>MitraClip</w:t>
      </w:r>
      <w:proofErr w:type="spellEnd"/>
      <w:r w:rsidR="00207512">
        <w:t xml:space="preserve"> trial evidence (RCT with 2 years follow-up) and comparative evidence for the DMR population alone. Longer-term comparative data should also be included.</w:t>
      </w:r>
      <w:r w:rsidR="00207512" w:rsidRPr="00207512">
        <w:t xml:space="preserve"> </w:t>
      </w:r>
      <w:r w:rsidR="00207512" w:rsidRPr="000A067E">
        <w:t>MSAC also considered that an unmet clinical need for an alternative device was not clearly demonstrated.</w:t>
      </w:r>
    </w:p>
    <w:p w14:paraId="53FA4BDF" w14:textId="14017305" w:rsidR="00B52FCF" w:rsidRPr="00D30E9C" w:rsidRDefault="00065623" w:rsidP="00D30E9C">
      <w:pPr>
        <w:pStyle w:val="Heading1"/>
        <w:numPr>
          <w:ilvl w:val="0"/>
          <w:numId w:val="13"/>
        </w:numPr>
        <w:spacing w:before="240" w:after="240"/>
        <w:ind w:hanging="720"/>
        <w:rPr>
          <w:rFonts w:ascii="Arial" w:hAnsi="Arial" w:cs="Arial"/>
        </w:rPr>
      </w:pPr>
      <w:r w:rsidRPr="00D30E9C">
        <w:rPr>
          <w:rFonts w:ascii="Arial" w:hAnsi="Arial" w:cs="Arial"/>
        </w:rPr>
        <w:t>Background</w:t>
      </w:r>
    </w:p>
    <w:p w14:paraId="16EDEC94" w14:textId="06C059C6" w:rsidR="003D0741" w:rsidRDefault="003D0741" w:rsidP="00DC767F">
      <w:r w:rsidRPr="007636EC">
        <w:t>This is the first submission (</w:t>
      </w:r>
      <w:r>
        <w:t>Applicant Developed</w:t>
      </w:r>
      <w:r w:rsidRPr="007636EC">
        <w:t xml:space="preserve"> Assessment Report [</w:t>
      </w:r>
      <w:r>
        <w:t>AD</w:t>
      </w:r>
      <w:r w:rsidRPr="007636EC">
        <w:t xml:space="preserve">AR]) for </w:t>
      </w:r>
      <w:r>
        <w:t xml:space="preserve">the treatment of patients with degenerative mitral regurgitation (DMR) or functional mitral regurgitation (FMR) using the </w:t>
      </w:r>
      <w:r w:rsidRPr="008459FC">
        <w:t>Edwards PASCAL Transcatheter Valve Repair System</w:t>
      </w:r>
      <w:r>
        <w:t>.</w:t>
      </w:r>
      <w:r w:rsidR="00991073">
        <w:t xml:space="preserve"> MSAC has not previously considered an application requesting MBS listing of catheter-based technique with PASCAL system for patients with mitral regurgitation.</w:t>
      </w:r>
      <w:r w:rsidR="007808C6">
        <w:t xml:space="preserve"> T</w:t>
      </w:r>
      <w:r w:rsidR="007808C6" w:rsidRPr="007808C6">
        <w:t>h</w:t>
      </w:r>
      <w:r w:rsidR="00A33717">
        <w:t xml:space="preserve">e </w:t>
      </w:r>
      <w:r w:rsidR="007808C6" w:rsidRPr="007808C6">
        <w:t xml:space="preserve">application </w:t>
      </w:r>
      <w:r w:rsidR="00A33717">
        <w:t xml:space="preserve">was </w:t>
      </w:r>
      <w:r w:rsidR="007808C6" w:rsidRPr="007808C6">
        <w:t xml:space="preserve">based on the ratified PICO for application 1192.3 (for </w:t>
      </w:r>
      <w:proofErr w:type="spellStart"/>
      <w:r w:rsidR="007808C6" w:rsidRPr="007808C6">
        <w:t>MitraClip</w:t>
      </w:r>
      <w:proofErr w:type="spellEnd"/>
      <w:r w:rsidR="007808C6">
        <w:t xml:space="preserve">) and </w:t>
      </w:r>
      <w:r w:rsidR="007808C6" w:rsidRPr="007808C6">
        <w:t xml:space="preserve">bypassed </w:t>
      </w:r>
      <w:r w:rsidR="007808C6">
        <w:t>consideration by the PICO Advisory Subcommittee (</w:t>
      </w:r>
      <w:r w:rsidR="007808C6" w:rsidRPr="007808C6">
        <w:t>PAS</w:t>
      </w:r>
      <w:r w:rsidR="007808C6">
        <w:t>C).</w:t>
      </w:r>
    </w:p>
    <w:p w14:paraId="4CB4FE7F" w14:textId="2C490A69" w:rsidR="00F7484F" w:rsidRPr="00DC767F" w:rsidRDefault="00065623" w:rsidP="00DC767F">
      <w:pPr>
        <w:pStyle w:val="Heading1"/>
        <w:numPr>
          <w:ilvl w:val="0"/>
          <w:numId w:val="13"/>
        </w:numPr>
        <w:spacing w:before="240" w:after="240"/>
        <w:ind w:hanging="720"/>
        <w:rPr>
          <w:rFonts w:ascii="Arial" w:hAnsi="Arial" w:cs="Arial"/>
        </w:rPr>
      </w:pPr>
      <w:r w:rsidRPr="00DC767F">
        <w:rPr>
          <w:rFonts w:ascii="Arial" w:hAnsi="Arial" w:cs="Arial"/>
        </w:rPr>
        <w:t>Prerequisites to implementation of any funding advice</w:t>
      </w:r>
    </w:p>
    <w:p w14:paraId="3892533A" w14:textId="608FB74D" w:rsidR="005859F7" w:rsidRPr="005859F7" w:rsidRDefault="00410A77" w:rsidP="005859F7">
      <w:pPr>
        <w:jc w:val="both"/>
      </w:pPr>
      <w:r w:rsidRPr="00183E4D">
        <w:t xml:space="preserve">Items on the ARTG that are relevant to this application are shown in </w:t>
      </w:r>
      <w:r w:rsidR="007147FD">
        <w:fldChar w:fldCharType="begin"/>
      </w:r>
      <w:r w:rsidR="007147FD">
        <w:instrText xml:space="preserve"> REF _Ref86130791 \h </w:instrText>
      </w:r>
      <w:r w:rsidR="007147FD">
        <w:fldChar w:fldCharType="separate"/>
      </w:r>
      <w:r w:rsidR="00480822">
        <w:t xml:space="preserve">Table </w:t>
      </w:r>
      <w:r w:rsidR="00480822">
        <w:rPr>
          <w:noProof/>
        </w:rPr>
        <w:t>1</w:t>
      </w:r>
      <w:r w:rsidR="007147FD">
        <w:fldChar w:fldCharType="end"/>
      </w:r>
      <w:r w:rsidR="00D80780">
        <w:t>.</w:t>
      </w:r>
      <w:r w:rsidRPr="00183E4D">
        <w:t xml:space="preserve"> </w:t>
      </w:r>
      <w:bookmarkStart w:id="7" w:name="_Ref86130791"/>
      <w:bookmarkStart w:id="8" w:name="_Ref86130777"/>
      <w:r w:rsidR="005859F7">
        <w:br w:type="page"/>
      </w:r>
    </w:p>
    <w:p w14:paraId="1918E54D" w14:textId="3BA1CA68" w:rsidR="00D80780" w:rsidRDefault="00D80780" w:rsidP="00DC767F">
      <w:pPr>
        <w:pStyle w:val="Caption"/>
        <w:spacing w:before="240"/>
      </w:pPr>
      <w:r>
        <w:lastRenderedPageBreak/>
        <w:t xml:space="preserve">Table </w:t>
      </w:r>
      <w:r w:rsidR="00002063">
        <w:fldChar w:fldCharType="begin"/>
      </w:r>
      <w:r w:rsidR="00002063">
        <w:instrText xml:space="preserve"> SEQ Table \* ARABIC </w:instrText>
      </w:r>
      <w:r w:rsidR="00002063">
        <w:fldChar w:fldCharType="separate"/>
      </w:r>
      <w:r w:rsidR="000F39B8">
        <w:rPr>
          <w:noProof/>
        </w:rPr>
        <w:t>1</w:t>
      </w:r>
      <w:r w:rsidR="00002063">
        <w:rPr>
          <w:noProof/>
        </w:rPr>
        <w:fldChar w:fldCharType="end"/>
      </w:r>
      <w:bookmarkEnd w:id="7"/>
      <w:r>
        <w:t xml:space="preserve"> </w:t>
      </w:r>
      <w:r w:rsidR="007147FD">
        <w:tab/>
      </w:r>
      <w:r w:rsidRPr="00332BEC">
        <w:t>Edwards PASCAL Transcatheter Valve Repair System listed on the ARTG</w:t>
      </w:r>
      <w:bookmarkEnd w:id="8"/>
    </w:p>
    <w:tbl>
      <w:tblPr>
        <w:tblStyle w:val="TableGrid1"/>
        <w:tblW w:w="0" w:type="auto"/>
        <w:tblInd w:w="0" w:type="dxa"/>
        <w:tblCellMar>
          <w:left w:w="0" w:type="dxa"/>
          <w:right w:w="0" w:type="dxa"/>
        </w:tblCellMar>
        <w:tblLook w:val="04A0" w:firstRow="1" w:lastRow="0" w:firstColumn="1" w:lastColumn="0" w:noHBand="0" w:noVBand="1"/>
        <w:tblCaption w:val="Table 1 XXX listed on the Australian Register of Therapeutic Goods"/>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1596"/>
        <w:gridCol w:w="1596"/>
        <w:gridCol w:w="2234"/>
        <w:gridCol w:w="2067"/>
        <w:gridCol w:w="1513"/>
      </w:tblGrid>
      <w:tr w:rsidR="00410A77" w:rsidRPr="00FA6C86" w14:paraId="7A8D0CB7" w14:textId="77777777" w:rsidTr="00D80780">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25A45" w14:textId="77777777" w:rsidR="00410A77" w:rsidRPr="00FA6C86" w:rsidRDefault="00410A77" w:rsidP="00302CD8">
            <w:pPr>
              <w:pStyle w:val="TableHeading"/>
              <w:rPr>
                <w:rFonts w:cs="Times New Roman"/>
              </w:rPr>
            </w:pPr>
            <w:r w:rsidRPr="00FA6C86">
              <w:t>ARTG no.</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AE0A04" w14:textId="77777777" w:rsidR="00410A77" w:rsidRPr="00FA6C86" w:rsidRDefault="00410A77" w:rsidP="00302CD8">
            <w:pPr>
              <w:pStyle w:val="TableHeading"/>
            </w:pPr>
            <w:r w:rsidRPr="00FA6C86">
              <w:t>Product no.</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C32C72" w14:textId="77777777" w:rsidR="00410A77" w:rsidRPr="00FA6C86" w:rsidRDefault="00410A77" w:rsidP="00302CD8">
            <w:pPr>
              <w:pStyle w:val="TableHeading"/>
            </w:pPr>
            <w:r w:rsidRPr="00FA6C86">
              <w:t>Product description</w:t>
            </w:r>
          </w:p>
        </w:tc>
        <w:tc>
          <w:tcPr>
            <w:tcW w:w="2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CE7F5" w14:textId="77777777" w:rsidR="00410A77" w:rsidRPr="00FA6C86" w:rsidRDefault="00410A77" w:rsidP="00302CD8">
            <w:pPr>
              <w:pStyle w:val="TableHeading"/>
            </w:pPr>
            <w:r w:rsidRPr="00FA6C86">
              <w:t>Product category</w:t>
            </w:r>
          </w:p>
        </w:tc>
        <w:tc>
          <w:tcPr>
            <w:tcW w:w="1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AB73FB" w14:textId="77777777" w:rsidR="00410A77" w:rsidRPr="00FA6C86" w:rsidRDefault="00410A77" w:rsidP="00302CD8">
            <w:pPr>
              <w:pStyle w:val="TableHeading"/>
            </w:pPr>
            <w:r w:rsidRPr="00FA6C86">
              <w:t>Sponsor</w:t>
            </w:r>
          </w:p>
        </w:tc>
      </w:tr>
      <w:tr w:rsidR="00410A77" w:rsidRPr="00FA6C86" w14:paraId="0A878DAB" w14:textId="77777777" w:rsidTr="00D80780">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2DD2F4" w14:textId="77777777" w:rsidR="00410A77" w:rsidRPr="00FA6C86" w:rsidRDefault="00410A77" w:rsidP="00302CD8">
            <w:pPr>
              <w:pStyle w:val="Tabletext"/>
              <w:rPr>
                <w:szCs w:val="20"/>
              </w:rPr>
            </w:pPr>
            <w:r w:rsidRPr="00FA6C86">
              <w:rPr>
                <w:szCs w:val="20"/>
              </w:rPr>
              <w:t>342270</w:t>
            </w:r>
          </w:p>
          <w:p w14:paraId="49028187" w14:textId="77777777" w:rsidR="00410A77" w:rsidRPr="00FA6C86" w:rsidRDefault="00410A77" w:rsidP="00302CD8">
            <w:pPr>
              <w:pStyle w:val="Tabletext"/>
              <w:rPr>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002FFC4D" w14:textId="77777777" w:rsidR="00410A77" w:rsidRPr="00FA6C86" w:rsidRDefault="00410A77" w:rsidP="00302CD8">
            <w:pPr>
              <w:pStyle w:val="Tabletext"/>
              <w:rPr>
                <w:szCs w:val="20"/>
              </w:rPr>
            </w:pPr>
            <w:r w:rsidRPr="00FA6C86">
              <w:rPr>
                <w:szCs w:val="20"/>
              </w:rPr>
              <w:t>Model number (see guidance docs) 10000IS</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4BEECACC" w14:textId="77777777" w:rsidR="00410A77" w:rsidRPr="00FA6C86" w:rsidRDefault="00410A77" w:rsidP="00302CD8">
            <w:pPr>
              <w:pStyle w:val="Tabletext"/>
              <w:rPr>
                <w:szCs w:val="20"/>
              </w:rPr>
            </w:pPr>
            <w:r w:rsidRPr="00FA6C86">
              <w:rPr>
                <w:rFonts w:cs="Arial"/>
                <w:color w:val="000000"/>
                <w:szCs w:val="20"/>
                <w:shd w:val="clear" w:color="auto" w:fill="FFFFFF"/>
              </w:rPr>
              <w:t>Edwards Lifesciences Pty Ltd - PASCAL Transcatheter Valve Repair System – Implant System - Mitral valve clip</w:t>
            </w:r>
          </w:p>
        </w:tc>
        <w:tc>
          <w:tcPr>
            <w:tcW w:w="2067" w:type="dxa"/>
            <w:tcBorders>
              <w:top w:val="nil"/>
              <w:left w:val="nil"/>
              <w:bottom w:val="single" w:sz="8" w:space="0" w:color="auto"/>
              <w:right w:val="single" w:sz="8" w:space="0" w:color="auto"/>
            </w:tcBorders>
            <w:tcMar>
              <w:top w:w="0" w:type="dxa"/>
              <w:left w:w="108" w:type="dxa"/>
              <w:bottom w:w="0" w:type="dxa"/>
              <w:right w:w="108" w:type="dxa"/>
            </w:tcMar>
            <w:hideMark/>
          </w:tcPr>
          <w:p w14:paraId="22E6D020" w14:textId="77777777" w:rsidR="00410A77" w:rsidRPr="00FA6C86" w:rsidRDefault="00410A77" w:rsidP="00302CD8">
            <w:pPr>
              <w:pStyle w:val="Tabletext"/>
              <w:rPr>
                <w:szCs w:val="20"/>
              </w:rPr>
            </w:pPr>
            <w:r w:rsidRPr="00FA6C86">
              <w:rPr>
                <w:szCs w:val="20"/>
              </w:rPr>
              <w:t>Medical Device Class III</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14:paraId="0BCB1F97" w14:textId="77777777" w:rsidR="00410A77" w:rsidRPr="00FA6C86" w:rsidRDefault="00410A77" w:rsidP="00302CD8">
            <w:pPr>
              <w:pStyle w:val="Tabletext"/>
              <w:rPr>
                <w:szCs w:val="20"/>
              </w:rPr>
            </w:pPr>
            <w:r w:rsidRPr="00FA6C86">
              <w:rPr>
                <w:szCs w:val="20"/>
              </w:rPr>
              <w:t>Edwards Lifesciences LLC</w:t>
            </w:r>
          </w:p>
        </w:tc>
      </w:tr>
      <w:tr w:rsidR="00410A77" w:rsidRPr="00FA6C86" w14:paraId="33BA0BB3" w14:textId="77777777" w:rsidTr="00D80780">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29A3D" w14:textId="77777777" w:rsidR="00410A77" w:rsidRPr="00FA6C86" w:rsidRDefault="00410A77" w:rsidP="00302CD8">
            <w:pPr>
              <w:pStyle w:val="Tabletext"/>
              <w:rPr>
                <w:szCs w:val="20"/>
              </w:rPr>
            </w:pPr>
            <w:r w:rsidRPr="00FA6C86">
              <w:rPr>
                <w:szCs w:val="20"/>
              </w:rPr>
              <w:t>342271</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34F3C3B8" w14:textId="77777777" w:rsidR="00410A77" w:rsidRPr="00FA6C86" w:rsidRDefault="00410A77" w:rsidP="00302CD8">
            <w:pPr>
              <w:pStyle w:val="Tabletext"/>
              <w:rPr>
                <w:szCs w:val="20"/>
              </w:rPr>
            </w:pPr>
            <w:r w:rsidRPr="00FA6C86">
              <w:rPr>
                <w:szCs w:val="20"/>
              </w:rPr>
              <w:t>Model number (see guidance docs) 10000GS</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06A82E1B" w14:textId="77777777" w:rsidR="00410A77" w:rsidRPr="00FA6C86" w:rsidRDefault="00410A77" w:rsidP="00302CD8">
            <w:pPr>
              <w:pStyle w:val="Tabletext"/>
              <w:rPr>
                <w:szCs w:val="20"/>
              </w:rPr>
            </w:pPr>
            <w:r w:rsidRPr="00FA6C86">
              <w:rPr>
                <w:rFonts w:cs="Arial"/>
                <w:color w:val="000000"/>
                <w:szCs w:val="20"/>
                <w:shd w:val="clear" w:color="auto" w:fill="FFFFFF"/>
              </w:rPr>
              <w:t>Edwards Lifesciences Pty Ltd - PASCAL Transcatheter Valve Repair System – Guide Sheath - Catheter, intravascular, guiding</w:t>
            </w:r>
          </w:p>
        </w:tc>
        <w:tc>
          <w:tcPr>
            <w:tcW w:w="2067" w:type="dxa"/>
            <w:tcBorders>
              <w:top w:val="nil"/>
              <w:left w:val="nil"/>
              <w:bottom w:val="single" w:sz="8" w:space="0" w:color="auto"/>
              <w:right w:val="single" w:sz="8" w:space="0" w:color="auto"/>
            </w:tcBorders>
            <w:tcMar>
              <w:top w:w="0" w:type="dxa"/>
              <w:left w:w="108" w:type="dxa"/>
              <w:bottom w:w="0" w:type="dxa"/>
              <w:right w:w="108" w:type="dxa"/>
            </w:tcMar>
            <w:hideMark/>
          </w:tcPr>
          <w:p w14:paraId="7CFD877D" w14:textId="77777777" w:rsidR="00410A77" w:rsidRPr="00FA6C86" w:rsidRDefault="00410A77" w:rsidP="00302CD8">
            <w:pPr>
              <w:pStyle w:val="Tabletext"/>
              <w:rPr>
                <w:szCs w:val="20"/>
              </w:rPr>
            </w:pPr>
            <w:r w:rsidRPr="00FA6C86">
              <w:rPr>
                <w:szCs w:val="20"/>
              </w:rPr>
              <w:t>Medical Device Class III</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14:paraId="2543C3C4" w14:textId="77777777" w:rsidR="00410A77" w:rsidRPr="00FA6C86" w:rsidRDefault="00410A77" w:rsidP="00302CD8">
            <w:pPr>
              <w:pStyle w:val="Tabletext"/>
              <w:rPr>
                <w:szCs w:val="20"/>
              </w:rPr>
            </w:pPr>
            <w:r w:rsidRPr="00FA6C86">
              <w:rPr>
                <w:szCs w:val="20"/>
              </w:rPr>
              <w:t>Edwards Lifesciences LLC</w:t>
            </w:r>
          </w:p>
        </w:tc>
      </w:tr>
      <w:tr w:rsidR="00410A77" w:rsidRPr="00FA6C86" w14:paraId="1D0B005D" w14:textId="77777777" w:rsidTr="00D80780">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F8F2C" w14:textId="77777777" w:rsidR="00410A77" w:rsidRPr="00FA6C86" w:rsidRDefault="00410A77" w:rsidP="00302CD8">
            <w:pPr>
              <w:pStyle w:val="Tabletext"/>
              <w:rPr>
                <w:szCs w:val="20"/>
              </w:rPr>
            </w:pPr>
            <w:r w:rsidRPr="00FA6C86">
              <w:rPr>
                <w:szCs w:val="20"/>
              </w:rPr>
              <w:t>329680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040446DB" w14:textId="77777777" w:rsidR="00410A77" w:rsidRPr="00FA6C86" w:rsidRDefault="00410A77" w:rsidP="00302CD8">
            <w:pPr>
              <w:pStyle w:val="Tabletext"/>
              <w:rPr>
                <w:szCs w:val="20"/>
              </w:rPr>
            </w:pPr>
            <w:r w:rsidRPr="00FA6C86">
              <w:rPr>
                <w:szCs w:val="20"/>
              </w:rPr>
              <w:t>Model number (see guidance docs) 10000ST</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331EF80E" w14:textId="77777777" w:rsidR="00410A77" w:rsidRPr="00FA6C86" w:rsidRDefault="00410A77" w:rsidP="00302CD8">
            <w:pPr>
              <w:pStyle w:val="Tabletext"/>
              <w:rPr>
                <w:rFonts w:cs="Arial"/>
                <w:color w:val="000000"/>
                <w:szCs w:val="20"/>
                <w:shd w:val="clear" w:color="auto" w:fill="FFFFFF"/>
              </w:rPr>
            </w:pPr>
            <w:r w:rsidRPr="00FA6C86">
              <w:rPr>
                <w:rFonts w:cs="Arial"/>
                <w:color w:val="000000"/>
                <w:szCs w:val="20"/>
                <w:shd w:val="clear" w:color="auto" w:fill="FFFFFF"/>
              </w:rPr>
              <w:t>Edwards Lifesciences Pty Ltd – PASCAL Stabilizer</w:t>
            </w:r>
          </w:p>
        </w:tc>
        <w:tc>
          <w:tcPr>
            <w:tcW w:w="2067" w:type="dxa"/>
            <w:tcBorders>
              <w:top w:val="nil"/>
              <w:left w:val="nil"/>
              <w:bottom w:val="single" w:sz="8" w:space="0" w:color="auto"/>
              <w:right w:val="single" w:sz="8" w:space="0" w:color="auto"/>
            </w:tcBorders>
            <w:tcMar>
              <w:top w:w="0" w:type="dxa"/>
              <w:left w:w="108" w:type="dxa"/>
              <w:bottom w:w="0" w:type="dxa"/>
              <w:right w:w="108" w:type="dxa"/>
            </w:tcMar>
            <w:hideMark/>
          </w:tcPr>
          <w:p w14:paraId="461F0947" w14:textId="77777777" w:rsidR="00410A77" w:rsidRPr="00FA6C86" w:rsidRDefault="00410A77" w:rsidP="00302CD8">
            <w:pPr>
              <w:pStyle w:val="Tabletext"/>
              <w:rPr>
                <w:rFonts w:cs="Calibri"/>
                <w:szCs w:val="20"/>
              </w:rPr>
            </w:pPr>
            <w:r w:rsidRPr="00FA6C86">
              <w:rPr>
                <w:szCs w:val="20"/>
              </w:rPr>
              <w:t>Medical Device Class Is</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14:paraId="2FB3BA9E" w14:textId="77777777" w:rsidR="00410A77" w:rsidRPr="00FA6C86" w:rsidRDefault="00410A77" w:rsidP="00302CD8">
            <w:pPr>
              <w:pStyle w:val="Tabletext"/>
              <w:rPr>
                <w:szCs w:val="20"/>
              </w:rPr>
            </w:pPr>
            <w:r w:rsidRPr="00FA6C86">
              <w:rPr>
                <w:szCs w:val="20"/>
              </w:rPr>
              <w:t>Edwards Lifesciences LLC</w:t>
            </w:r>
          </w:p>
        </w:tc>
      </w:tr>
      <w:tr w:rsidR="00410A77" w:rsidRPr="00FA6C86" w14:paraId="2034BBCC" w14:textId="77777777" w:rsidTr="00D80780">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9B5C5" w14:textId="77777777" w:rsidR="00410A77" w:rsidRPr="00FA6C86" w:rsidRDefault="00410A77" w:rsidP="00302CD8">
            <w:pPr>
              <w:pStyle w:val="Tabletext"/>
              <w:rPr>
                <w:szCs w:val="20"/>
              </w:rPr>
            </w:pPr>
            <w:r w:rsidRPr="00FA6C86">
              <w:rPr>
                <w:szCs w:val="20"/>
              </w:rPr>
              <w:t>329150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575F1311" w14:textId="77777777" w:rsidR="00410A77" w:rsidRPr="00FA6C86" w:rsidRDefault="00410A77" w:rsidP="00302CD8">
            <w:pPr>
              <w:pStyle w:val="Tabletext"/>
              <w:rPr>
                <w:szCs w:val="20"/>
              </w:rPr>
            </w:pPr>
            <w:r w:rsidRPr="00FA6C86">
              <w:rPr>
                <w:szCs w:val="20"/>
              </w:rPr>
              <w:t>Model number (see guidance docs) 10000T</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756B5E78" w14:textId="77777777" w:rsidR="00410A77" w:rsidRPr="00FA6C86" w:rsidRDefault="00410A77" w:rsidP="00302CD8">
            <w:pPr>
              <w:pStyle w:val="Tabletext"/>
              <w:rPr>
                <w:rFonts w:cs="Arial"/>
                <w:color w:val="000000"/>
                <w:szCs w:val="20"/>
                <w:shd w:val="clear" w:color="auto" w:fill="FFFFFF"/>
              </w:rPr>
            </w:pPr>
            <w:r w:rsidRPr="00FA6C86">
              <w:rPr>
                <w:rFonts w:cs="Arial"/>
                <w:color w:val="000000"/>
                <w:szCs w:val="20"/>
                <w:shd w:val="clear" w:color="auto" w:fill="FFFFFF"/>
              </w:rPr>
              <w:t>Edwards Lifesciences Pty Ltd – PASCAL Table</w:t>
            </w:r>
          </w:p>
        </w:tc>
        <w:tc>
          <w:tcPr>
            <w:tcW w:w="2067" w:type="dxa"/>
            <w:tcBorders>
              <w:top w:val="nil"/>
              <w:left w:val="nil"/>
              <w:bottom w:val="single" w:sz="8" w:space="0" w:color="auto"/>
              <w:right w:val="single" w:sz="8" w:space="0" w:color="auto"/>
            </w:tcBorders>
            <w:tcMar>
              <w:top w:w="0" w:type="dxa"/>
              <w:left w:w="108" w:type="dxa"/>
              <w:bottom w:w="0" w:type="dxa"/>
              <w:right w:w="108" w:type="dxa"/>
            </w:tcMar>
            <w:hideMark/>
          </w:tcPr>
          <w:p w14:paraId="331425FE" w14:textId="77777777" w:rsidR="00410A77" w:rsidRPr="00FA6C86" w:rsidRDefault="00410A77" w:rsidP="00302CD8">
            <w:pPr>
              <w:pStyle w:val="Tabletext"/>
              <w:rPr>
                <w:rFonts w:cs="Calibri"/>
                <w:szCs w:val="20"/>
              </w:rPr>
            </w:pPr>
            <w:r w:rsidRPr="00FA6C86">
              <w:rPr>
                <w:szCs w:val="20"/>
              </w:rPr>
              <w:t>Medical Device Class I</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14:paraId="2702599E" w14:textId="77777777" w:rsidR="00410A77" w:rsidRPr="00FA6C86" w:rsidRDefault="00410A77" w:rsidP="00302CD8">
            <w:pPr>
              <w:pStyle w:val="Tabletext"/>
              <w:rPr>
                <w:szCs w:val="20"/>
              </w:rPr>
            </w:pPr>
            <w:r w:rsidRPr="00FA6C86">
              <w:rPr>
                <w:szCs w:val="20"/>
              </w:rPr>
              <w:t>Edwards Lifesciences LLC</w:t>
            </w:r>
          </w:p>
        </w:tc>
      </w:tr>
      <w:tr w:rsidR="00410A77" w:rsidRPr="00FA6C86" w14:paraId="1D861753" w14:textId="77777777" w:rsidTr="00D80780">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539D5" w14:textId="77777777" w:rsidR="00410A77" w:rsidRPr="00FA6C86" w:rsidRDefault="00410A77" w:rsidP="00302CD8">
            <w:pPr>
              <w:pStyle w:val="Tabletext"/>
              <w:rPr>
                <w:szCs w:val="20"/>
              </w:rPr>
            </w:pPr>
            <w:r w:rsidRPr="00FA6C86">
              <w:rPr>
                <w:szCs w:val="20"/>
              </w:rPr>
              <w:t>Application Identifier: DV-2020-DA-31682-1</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2358671D" w14:textId="77777777" w:rsidR="00410A77" w:rsidRPr="00FA6C86" w:rsidRDefault="00410A77" w:rsidP="00302CD8">
            <w:pPr>
              <w:pStyle w:val="Tabletext"/>
              <w:rPr>
                <w:szCs w:val="20"/>
              </w:rPr>
            </w:pPr>
            <w:r w:rsidRPr="00FA6C86">
              <w:rPr>
                <w:szCs w:val="20"/>
              </w:rPr>
              <w:t>10000SM</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117888FF" w14:textId="77777777" w:rsidR="00410A77" w:rsidRPr="00FA6C86" w:rsidRDefault="00410A77" w:rsidP="00302CD8">
            <w:pPr>
              <w:pStyle w:val="Tabletext"/>
              <w:rPr>
                <w:rFonts w:cs="Arial"/>
                <w:color w:val="000000"/>
                <w:szCs w:val="20"/>
                <w:shd w:val="clear" w:color="auto" w:fill="FFFFFF"/>
              </w:rPr>
            </w:pPr>
            <w:r w:rsidRPr="00FA6C86">
              <w:rPr>
                <w:rFonts w:cs="Arial"/>
                <w:color w:val="000000"/>
                <w:szCs w:val="20"/>
                <w:shd w:val="clear" w:color="auto" w:fill="FFFFFF"/>
              </w:rPr>
              <w:t>PASCAL Transcatheter Valve Repair System - PASCAL Ace Implant System</w:t>
            </w:r>
          </w:p>
        </w:tc>
        <w:tc>
          <w:tcPr>
            <w:tcW w:w="2067" w:type="dxa"/>
            <w:tcBorders>
              <w:top w:val="nil"/>
              <w:left w:val="nil"/>
              <w:bottom w:val="single" w:sz="8" w:space="0" w:color="auto"/>
              <w:right w:val="single" w:sz="8" w:space="0" w:color="auto"/>
            </w:tcBorders>
            <w:tcMar>
              <w:top w:w="0" w:type="dxa"/>
              <w:left w:w="108" w:type="dxa"/>
              <w:bottom w:w="0" w:type="dxa"/>
              <w:right w:w="108" w:type="dxa"/>
            </w:tcMar>
            <w:hideMark/>
          </w:tcPr>
          <w:p w14:paraId="582C60B9" w14:textId="77777777" w:rsidR="00410A77" w:rsidRPr="00FA6C86" w:rsidRDefault="00410A77" w:rsidP="00302CD8">
            <w:pPr>
              <w:pStyle w:val="Tabletext"/>
              <w:rPr>
                <w:rFonts w:cs="Calibri"/>
                <w:szCs w:val="20"/>
              </w:rPr>
            </w:pPr>
            <w:r w:rsidRPr="00FA6C86">
              <w:rPr>
                <w:szCs w:val="20"/>
              </w:rPr>
              <w:t>Medical Device Class III</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14:paraId="39877AFD" w14:textId="77777777" w:rsidR="00410A77" w:rsidRPr="00FA6C86" w:rsidRDefault="00410A77" w:rsidP="00302CD8">
            <w:pPr>
              <w:pStyle w:val="Tabletext"/>
              <w:rPr>
                <w:szCs w:val="20"/>
              </w:rPr>
            </w:pPr>
            <w:r w:rsidRPr="00FA6C86">
              <w:rPr>
                <w:szCs w:val="20"/>
              </w:rPr>
              <w:t>Edwards Lifesciences LLC</w:t>
            </w:r>
          </w:p>
        </w:tc>
      </w:tr>
    </w:tbl>
    <w:p w14:paraId="3C3995B5" w14:textId="77777777" w:rsidR="00410A77" w:rsidRPr="006800E6" w:rsidRDefault="00410A77" w:rsidP="00410A77">
      <w:pPr>
        <w:jc w:val="both"/>
        <w:rPr>
          <w:rFonts w:ascii="Arial Narrow" w:hAnsi="Arial Narrow"/>
          <w:sz w:val="18"/>
          <w:szCs w:val="18"/>
        </w:rPr>
      </w:pPr>
      <w:r w:rsidRPr="006800E6">
        <w:rPr>
          <w:rFonts w:ascii="Arial Narrow" w:hAnsi="Arial Narrow"/>
          <w:sz w:val="18"/>
          <w:szCs w:val="18"/>
        </w:rPr>
        <w:t xml:space="preserve">Source: Therapeutic Goods Administration, </w:t>
      </w:r>
      <w:hyperlink r:id="rId10" w:history="1">
        <w:r w:rsidRPr="006800E6">
          <w:rPr>
            <w:rStyle w:val="Hyperlink"/>
            <w:rFonts w:ascii="Arial Narrow" w:hAnsi="Arial Narrow"/>
            <w:sz w:val="18"/>
            <w:szCs w:val="18"/>
          </w:rPr>
          <w:t>Link to TGA.gov.au</w:t>
        </w:r>
      </w:hyperlink>
    </w:p>
    <w:p w14:paraId="71174BED" w14:textId="327E613F" w:rsidR="00410A77" w:rsidRPr="0061645F" w:rsidRDefault="00410A77" w:rsidP="00050A02">
      <w:pPr>
        <w:spacing w:before="240"/>
        <w:rPr>
          <w:highlight w:val="green"/>
        </w:rPr>
      </w:pPr>
      <w:r w:rsidRPr="0033536C">
        <w:t xml:space="preserve">In addition to their professional practice as an interventional cardiologist and imaging cardiologist, clinicians interested in utilizing PASCAL for their patients need to receive </w:t>
      </w:r>
      <w:proofErr w:type="gramStart"/>
      <w:r w:rsidRPr="0033536C">
        <w:t>Edwards</w:t>
      </w:r>
      <w:proofErr w:type="gramEnd"/>
      <w:r w:rsidRPr="0033536C">
        <w:t xml:space="preserve"> product training. The training includes </w:t>
      </w:r>
      <w:r w:rsidR="00C76421">
        <w:rPr>
          <w:b/>
          <w:bCs/>
        </w:rPr>
        <w:t>REDACTED</w:t>
      </w:r>
      <w:r w:rsidR="00C76421">
        <w:rPr>
          <w:rStyle w:val="FootnoteReference"/>
          <w:b/>
          <w:bCs/>
        </w:rPr>
        <w:footnoteReference w:id="11"/>
      </w:r>
      <w:r w:rsidR="003E62EE">
        <w:rPr>
          <w:b/>
          <w:bCs/>
        </w:rPr>
        <w:t>.</w:t>
      </w:r>
    </w:p>
    <w:p w14:paraId="36E07551" w14:textId="36CC5330" w:rsidR="008A6C0C" w:rsidRPr="00DA0A46" w:rsidRDefault="00065623" w:rsidP="00DA0A46">
      <w:pPr>
        <w:pStyle w:val="Heading1"/>
        <w:numPr>
          <w:ilvl w:val="0"/>
          <w:numId w:val="13"/>
        </w:numPr>
        <w:spacing w:before="240" w:after="240"/>
        <w:ind w:hanging="720"/>
        <w:rPr>
          <w:rFonts w:ascii="Arial" w:hAnsi="Arial" w:cs="Arial"/>
        </w:rPr>
      </w:pPr>
      <w:r w:rsidRPr="00DA0A46">
        <w:rPr>
          <w:rFonts w:ascii="Arial" w:hAnsi="Arial" w:cs="Arial"/>
        </w:rPr>
        <w:t>Proposal for public funding</w:t>
      </w:r>
    </w:p>
    <w:p w14:paraId="5A87A052" w14:textId="6721BCD5" w:rsidR="00673369" w:rsidRPr="0033536C" w:rsidRDefault="005326E2" w:rsidP="00DA0A46">
      <w:bookmarkStart w:id="9" w:name="_Toc399251120"/>
      <w:r>
        <w:t xml:space="preserve">On 1 July 2021, the </w:t>
      </w:r>
      <w:proofErr w:type="spellStart"/>
      <w:r>
        <w:t>MitraClip</w:t>
      </w:r>
      <w:proofErr w:type="spellEnd"/>
      <w:r>
        <w:t xml:space="preserve"> mitral valve clip and </w:t>
      </w:r>
      <w:proofErr w:type="spellStart"/>
      <w:r w:rsidRPr="001211AF">
        <w:t>MitraClip</w:t>
      </w:r>
      <w:proofErr w:type="spellEnd"/>
      <w:r w:rsidRPr="001211AF">
        <w:t xml:space="preserve"> G4 system was approved as a new listing on the Prostheses List for a total $26,386</w:t>
      </w:r>
      <w:r w:rsidR="008611A8" w:rsidRPr="001211AF">
        <w:t> </w:t>
      </w:r>
      <w:r w:rsidRPr="001211AF">
        <w:rPr>
          <w:rStyle w:val="FootnoteReference"/>
        </w:rPr>
        <w:footnoteReference w:id="12"/>
      </w:r>
      <w:r w:rsidRPr="001211AF">
        <w:t xml:space="preserve">. </w:t>
      </w:r>
      <w:r w:rsidR="00C76421" w:rsidRPr="001211AF">
        <w:rPr>
          <w:b/>
          <w:bCs/>
        </w:rPr>
        <w:t xml:space="preserve">REDACTED. </w:t>
      </w:r>
      <w:r w:rsidR="0072034F" w:rsidRPr="001211AF">
        <w:t xml:space="preserve">The pre-ESC response requested </w:t>
      </w:r>
      <w:r w:rsidR="007D2E11" w:rsidRPr="001211AF">
        <w:rPr>
          <w:b/>
          <w:bCs/>
        </w:rPr>
        <w:t xml:space="preserve">REDACTED </w:t>
      </w:r>
      <w:r w:rsidR="0072034F" w:rsidRPr="001211AF">
        <w:t xml:space="preserve">Prosthesis List benefit for the PASCAL devices. </w:t>
      </w:r>
      <w:r w:rsidRPr="001211AF">
        <w:t xml:space="preserve">Simultaneously, the </w:t>
      </w:r>
      <w:proofErr w:type="spellStart"/>
      <w:r w:rsidRPr="001211AF">
        <w:t>MitraClip</w:t>
      </w:r>
      <w:proofErr w:type="spellEnd"/>
      <w:r w:rsidRPr="001211AF">
        <w:t xml:space="preserve"> implant was listed on the MBS schedule for Transcatheter Mitral Valve repair. </w:t>
      </w:r>
      <w:r w:rsidR="00673369" w:rsidRPr="001211AF">
        <w:t>There are currently four listed MBS items (added on 1</w:t>
      </w:r>
      <w:r w:rsidR="00673369" w:rsidRPr="001211AF">
        <w:rPr>
          <w:vertAlign w:val="superscript"/>
        </w:rPr>
        <w:t xml:space="preserve">st </w:t>
      </w:r>
      <w:r w:rsidR="00673369" w:rsidRPr="001211AF">
        <w:t>July 2021) for provision</w:t>
      </w:r>
      <w:r w:rsidR="00673369">
        <w:t xml:space="preserve"> of </w:t>
      </w:r>
      <w:proofErr w:type="spellStart"/>
      <w:r w:rsidR="00673369">
        <w:t>TMVr</w:t>
      </w:r>
      <w:proofErr w:type="spellEnd"/>
      <w:r w:rsidR="00673369">
        <w:t xml:space="preserve"> using the </w:t>
      </w:r>
      <w:proofErr w:type="spellStart"/>
      <w:r w:rsidR="00673369">
        <w:t>MitraClip</w:t>
      </w:r>
      <w:proofErr w:type="spellEnd"/>
      <w:r w:rsidR="00673369">
        <w:t xml:space="preserve"> system.</w:t>
      </w:r>
      <w:r>
        <w:t xml:space="preserve"> </w:t>
      </w:r>
      <w:r w:rsidR="00673369" w:rsidRPr="0028277E">
        <w:t xml:space="preserve">The current </w:t>
      </w:r>
      <w:proofErr w:type="spellStart"/>
      <w:r w:rsidR="00673369" w:rsidRPr="0028277E">
        <w:t>MitraClip</w:t>
      </w:r>
      <w:proofErr w:type="spellEnd"/>
      <w:r w:rsidR="00673369" w:rsidRPr="0028277E">
        <w:t xml:space="preserve"> MBS item</w:t>
      </w:r>
      <w:r w:rsidR="00673369">
        <w:t>s were</w:t>
      </w:r>
      <w:r w:rsidR="00673369" w:rsidRPr="0028277E">
        <w:t xml:space="preserve"> listed after the applicant submitted the current assessment </w:t>
      </w:r>
      <w:r w:rsidR="00673369" w:rsidRPr="0033536C">
        <w:t>and is different to the item descriptor proposed by the applicant in following aspects:</w:t>
      </w:r>
    </w:p>
    <w:p w14:paraId="201E5C5B" w14:textId="77777777" w:rsidR="00673369" w:rsidRPr="0033536C" w:rsidRDefault="00673369" w:rsidP="00DA0A46">
      <w:pPr>
        <w:pStyle w:val="ListParagraph"/>
        <w:numPr>
          <w:ilvl w:val="0"/>
          <w:numId w:val="17"/>
        </w:numPr>
      </w:pPr>
      <w:r w:rsidRPr="0033536C">
        <w:t xml:space="preserve">There are two approved items for the </w:t>
      </w:r>
      <w:proofErr w:type="spellStart"/>
      <w:r w:rsidRPr="0033536C">
        <w:t>MitraClip</w:t>
      </w:r>
      <w:proofErr w:type="spellEnd"/>
      <w:r w:rsidRPr="0033536C">
        <w:t xml:space="preserve"> system, one for each type of mitral regurgitation.</w:t>
      </w:r>
    </w:p>
    <w:p w14:paraId="47C9DE7C" w14:textId="77777777" w:rsidR="00673369" w:rsidRPr="0033536C" w:rsidRDefault="00673369" w:rsidP="00DA0A46">
      <w:pPr>
        <w:pStyle w:val="ListParagraph"/>
        <w:numPr>
          <w:ilvl w:val="0"/>
          <w:numId w:val="17"/>
        </w:numPr>
      </w:pPr>
      <w:r w:rsidRPr="0033536C">
        <w:t xml:space="preserve">Current </w:t>
      </w:r>
      <w:proofErr w:type="spellStart"/>
      <w:r w:rsidRPr="0033536C">
        <w:t>MitraClip</w:t>
      </w:r>
      <w:proofErr w:type="spellEnd"/>
      <w:r w:rsidRPr="0033536C">
        <w:t xml:space="preserve"> MBS items provide specific criteria for LVEF for each population (FMR and DMR) and specify that only patients with symptoms of mild, moderate, or severe chronic heart failure (New York Heart Association class II, III or IV) are eligible.</w:t>
      </w:r>
    </w:p>
    <w:p w14:paraId="0C9C07AC" w14:textId="3075DEED" w:rsidR="001C28F5" w:rsidRDefault="005326E2" w:rsidP="00DA0A46">
      <w:pPr>
        <w:spacing w:before="240"/>
      </w:pPr>
      <w:bookmarkStart w:id="10" w:name="_Hlk90617993"/>
      <w:r w:rsidRPr="0033536C">
        <w:t xml:space="preserve">The </w:t>
      </w:r>
      <w:r w:rsidR="0072034F" w:rsidRPr="0033536C">
        <w:t xml:space="preserve">pre-ESC response clarified that it was seeking </w:t>
      </w:r>
      <w:r w:rsidRPr="0033536C">
        <w:t xml:space="preserve">amendment of the current MBS items </w:t>
      </w:r>
      <w:r w:rsidR="00673369" w:rsidRPr="0033536C">
        <w:t xml:space="preserve">to a device agnostic listing </w:t>
      </w:r>
      <w:r w:rsidRPr="0033536C">
        <w:t xml:space="preserve">for </w:t>
      </w:r>
      <w:proofErr w:type="spellStart"/>
      <w:r w:rsidRPr="0033536C">
        <w:t>TMVr</w:t>
      </w:r>
      <w:proofErr w:type="spellEnd"/>
      <w:r w:rsidR="00673369" w:rsidRPr="0033536C">
        <w:t>.</w:t>
      </w:r>
      <w:r w:rsidRPr="0033536C">
        <w:t xml:space="preserve"> </w:t>
      </w:r>
      <w:r w:rsidR="00673369" w:rsidRPr="0033536C">
        <w:t xml:space="preserve">The current </w:t>
      </w:r>
      <w:r w:rsidR="00D600D9" w:rsidRPr="0033536C">
        <w:t xml:space="preserve">item descriptor </w:t>
      </w:r>
      <w:r w:rsidR="00673369" w:rsidRPr="0033536C">
        <w:t xml:space="preserve">for </w:t>
      </w:r>
      <w:proofErr w:type="spellStart"/>
      <w:r w:rsidR="00673369" w:rsidRPr="0033536C">
        <w:t>TMVr</w:t>
      </w:r>
      <w:proofErr w:type="spellEnd"/>
      <w:r w:rsidR="00D600D9" w:rsidRPr="0033536C">
        <w:t xml:space="preserve">, removing references to the </w:t>
      </w:r>
      <w:proofErr w:type="spellStart"/>
      <w:r w:rsidR="00D600D9" w:rsidRPr="0033536C">
        <w:t>MitraClip</w:t>
      </w:r>
      <w:proofErr w:type="spellEnd"/>
      <w:r w:rsidR="00D600D9" w:rsidRPr="0033536C">
        <w:t xml:space="preserve"> device</w:t>
      </w:r>
      <w:r w:rsidR="00673369" w:rsidRPr="0033536C">
        <w:t xml:space="preserve"> are </w:t>
      </w:r>
      <w:r w:rsidR="00D600D9" w:rsidRPr="0033536C">
        <w:t xml:space="preserve">presented </w:t>
      </w:r>
      <w:r w:rsidR="00673369" w:rsidRPr="0033536C">
        <w:t xml:space="preserve">in </w:t>
      </w:r>
      <w:r w:rsidR="007147FD" w:rsidRPr="0033536C">
        <w:fldChar w:fldCharType="begin"/>
      </w:r>
      <w:r w:rsidR="007147FD" w:rsidRPr="0033536C">
        <w:instrText xml:space="preserve"> REF _Ref86130856 \h </w:instrText>
      </w:r>
      <w:r w:rsidR="00DA0A46" w:rsidRPr="0033536C">
        <w:instrText xml:space="preserve"> \* MERGEFORMAT </w:instrText>
      </w:r>
      <w:r w:rsidR="007147FD" w:rsidRPr="0033536C">
        <w:fldChar w:fldCharType="separate"/>
      </w:r>
      <w:r w:rsidR="00480822" w:rsidRPr="0033536C">
        <w:t xml:space="preserve">Table </w:t>
      </w:r>
      <w:r w:rsidR="00480822" w:rsidRPr="0033536C">
        <w:rPr>
          <w:noProof/>
        </w:rPr>
        <w:t>2</w:t>
      </w:r>
      <w:r w:rsidR="007147FD" w:rsidRPr="0033536C">
        <w:fldChar w:fldCharType="end"/>
      </w:r>
      <w:r w:rsidR="00673369" w:rsidRPr="0033536C">
        <w:t>.</w:t>
      </w:r>
      <w:bookmarkEnd w:id="9"/>
      <w:r w:rsidR="004B45F1" w:rsidRPr="0033536C">
        <w:t xml:space="preserve">The ADAR also proposed replacing the term </w:t>
      </w:r>
      <w:proofErr w:type="spellStart"/>
      <w:r w:rsidR="004B45F1" w:rsidRPr="0033536C">
        <w:lastRenderedPageBreak/>
        <w:t>TMVr</w:t>
      </w:r>
      <w:proofErr w:type="spellEnd"/>
      <w:r w:rsidR="004B45F1" w:rsidRPr="0033536C">
        <w:t xml:space="preserve"> (transcatheter mitral valve repair) with mitral valve Transcatheter Edge-to-Edge Repair</w:t>
      </w:r>
      <w:r w:rsidR="00D600D9" w:rsidRPr="0033536C">
        <w:t xml:space="preserve"> (TEER)</w:t>
      </w:r>
      <w:r w:rsidR="004B45F1" w:rsidRPr="0033536C">
        <w:t>. The ADAR considered this would differentiate this procedure from other mechanisms of repair (</w:t>
      </w:r>
      <w:proofErr w:type="gramStart"/>
      <w:r w:rsidR="004B45F1" w:rsidRPr="0033536C">
        <w:t>i.e.</w:t>
      </w:r>
      <w:proofErr w:type="gramEnd"/>
      <w:r w:rsidR="004B45F1" w:rsidRPr="0033536C">
        <w:t xml:space="preserve"> annuloplasty) and would align with ESC/EACTS Guidelines and the 2020 ACC/AHA Guidelines.</w:t>
      </w:r>
    </w:p>
    <w:p w14:paraId="5C9C51FF" w14:textId="15B0BC4C" w:rsidR="004C1919" w:rsidRDefault="004C1919" w:rsidP="00DA0A46">
      <w:pPr>
        <w:pStyle w:val="Caption"/>
        <w:spacing w:before="240"/>
        <w:rPr>
          <w:color w:val="FF0000"/>
        </w:rPr>
      </w:pPr>
      <w:bookmarkStart w:id="11" w:name="_Ref86130856"/>
      <w:bookmarkEnd w:id="10"/>
      <w:r>
        <w:t xml:space="preserve">Table </w:t>
      </w:r>
      <w:r w:rsidR="00002063">
        <w:fldChar w:fldCharType="begin"/>
      </w:r>
      <w:r w:rsidR="00002063">
        <w:instrText xml:space="preserve"> SEQ Table \* ARABIC </w:instrText>
      </w:r>
      <w:r w:rsidR="00002063">
        <w:fldChar w:fldCharType="separate"/>
      </w:r>
      <w:r w:rsidR="000F39B8">
        <w:rPr>
          <w:noProof/>
        </w:rPr>
        <w:t>2</w:t>
      </w:r>
      <w:r w:rsidR="00002063">
        <w:rPr>
          <w:noProof/>
        </w:rPr>
        <w:fldChar w:fldCharType="end"/>
      </w:r>
      <w:bookmarkEnd w:id="11"/>
      <w:r>
        <w:t xml:space="preserve"> </w:t>
      </w:r>
      <w:r w:rsidR="007147FD">
        <w:tab/>
      </w:r>
      <w:r w:rsidR="00D600D9">
        <w:t xml:space="preserve">Item </w:t>
      </w:r>
      <w:r>
        <w:t>descriptor</w:t>
      </w:r>
      <w:r w:rsidR="00C406E5">
        <w:t>s</w:t>
      </w:r>
    </w:p>
    <w:tbl>
      <w:tblPr>
        <w:tblStyle w:val="TableGrid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MBS Item descriptors"/>
      </w:tblPr>
      <w:tblGrid>
        <w:gridCol w:w="9016"/>
      </w:tblGrid>
      <w:tr w:rsidR="009620AB" w14:paraId="3B81603B" w14:textId="77777777" w:rsidTr="004D057A">
        <w:tc>
          <w:tcPr>
            <w:tcW w:w="5000" w:type="pct"/>
            <w:tcBorders>
              <w:top w:val="single" w:sz="4" w:space="0" w:color="000000"/>
              <w:left w:val="single" w:sz="4" w:space="0" w:color="000000"/>
              <w:bottom w:val="single" w:sz="4" w:space="0" w:color="000000"/>
              <w:right w:val="single" w:sz="4" w:space="0" w:color="000000"/>
            </w:tcBorders>
            <w:hideMark/>
          </w:tcPr>
          <w:p w14:paraId="75222F66" w14:textId="77777777" w:rsidR="009620AB" w:rsidRPr="00C406E5" w:rsidRDefault="009620AB" w:rsidP="004D057A">
            <w:pPr>
              <w:pStyle w:val="TableText1"/>
              <w:jc w:val="both"/>
              <w:rPr>
                <w:szCs w:val="20"/>
              </w:rPr>
            </w:pPr>
            <w:r w:rsidRPr="00C406E5">
              <w:rPr>
                <w:szCs w:val="20"/>
              </w:rPr>
              <w:t>Category 3 – Therapeutic Procedures</w:t>
            </w:r>
          </w:p>
        </w:tc>
      </w:tr>
      <w:tr w:rsidR="009620AB" w14:paraId="0354A2E7" w14:textId="77777777" w:rsidTr="004D057A">
        <w:tc>
          <w:tcPr>
            <w:tcW w:w="5000" w:type="pct"/>
            <w:tcBorders>
              <w:top w:val="single" w:sz="4" w:space="0" w:color="000000"/>
              <w:left w:val="single" w:sz="4" w:space="0" w:color="000000"/>
              <w:bottom w:val="single" w:sz="4" w:space="0" w:color="000000"/>
              <w:right w:val="single" w:sz="4" w:space="0" w:color="000000"/>
            </w:tcBorders>
          </w:tcPr>
          <w:p w14:paraId="6D557ACB" w14:textId="77777777" w:rsidR="009620AB" w:rsidRPr="001211AF" w:rsidRDefault="009620AB" w:rsidP="004D057A">
            <w:pPr>
              <w:pStyle w:val="TableText1"/>
              <w:jc w:val="both"/>
              <w:rPr>
                <w:szCs w:val="20"/>
              </w:rPr>
            </w:pPr>
            <w:r w:rsidRPr="001211AF">
              <w:rPr>
                <w:szCs w:val="20"/>
              </w:rPr>
              <w:t xml:space="preserve">MBS Item 38461 – </w:t>
            </w:r>
            <w:r w:rsidRPr="001211AF">
              <w:rPr>
                <w:color w:val="FF0000"/>
                <w:szCs w:val="20"/>
              </w:rPr>
              <w:t>Transcatheter Mitral Valve Repair (</w:t>
            </w:r>
            <w:proofErr w:type="spellStart"/>
            <w:r w:rsidRPr="001211AF">
              <w:rPr>
                <w:color w:val="FF0000"/>
                <w:szCs w:val="20"/>
              </w:rPr>
              <w:t>TMVr</w:t>
            </w:r>
            <w:proofErr w:type="spellEnd"/>
            <w:r w:rsidRPr="001211AF">
              <w:rPr>
                <w:color w:val="FF0000"/>
                <w:szCs w:val="20"/>
              </w:rPr>
              <w:t xml:space="preserve">) using one or more tissue approximation </w:t>
            </w:r>
            <w:r w:rsidRPr="001211AF">
              <w:rPr>
                <w:szCs w:val="20"/>
              </w:rPr>
              <w:t>implants for moderate to severe, or severe, symptomatic degenerative (primary) mitral valve regurgitation (grade 3+ or 4+)</w:t>
            </w:r>
          </w:p>
        </w:tc>
      </w:tr>
      <w:tr w:rsidR="009620AB" w14:paraId="66583E98" w14:textId="77777777" w:rsidTr="004D057A">
        <w:tc>
          <w:tcPr>
            <w:tcW w:w="5000" w:type="pct"/>
            <w:tcBorders>
              <w:top w:val="single" w:sz="4" w:space="0" w:color="000000"/>
              <w:left w:val="single" w:sz="4" w:space="0" w:color="000000"/>
              <w:bottom w:val="single" w:sz="4" w:space="0" w:color="000000"/>
              <w:right w:val="single" w:sz="4" w:space="0" w:color="000000"/>
            </w:tcBorders>
            <w:hideMark/>
          </w:tcPr>
          <w:p w14:paraId="60FA33C9" w14:textId="77777777" w:rsidR="009620AB" w:rsidRPr="001211AF" w:rsidRDefault="009620AB" w:rsidP="004D057A">
            <w:pPr>
              <w:pStyle w:val="Tabletext2"/>
              <w:spacing w:after="60" w:line="280" w:lineRule="exact"/>
              <w:rPr>
                <w:rFonts w:ascii="Arial Narrow" w:hAnsi="Arial Narrow" w:cs="Tahoma"/>
                <w:lang w:eastAsia="en-US"/>
              </w:rPr>
            </w:pPr>
            <w:proofErr w:type="spellStart"/>
            <w:r w:rsidRPr="001211AF">
              <w:rPr>
                <w:rFonts w:ascii="Arial Narrow" w:hAnsi="Arial Narrow" w:cs="Tahoma"/>
                <w:color w:val="FF0000"/>
                <w:lang w:eastAsia="en-US"/>
              </w:rPr>
              <w:t>TMVr</w:t>
            </w:r>
            <w:proofErr w:type="spellEnd"/>
            <w:r w:rsidRPr="001211AF">
              <w:rPr>
                <w:rFonts w:ascii="Arial Narrow" w:hAnsi="Arial Narrow" w:cs="Tahoma"/>
                <w:lang w:eastAsia="en-US"/>
              </w:rPr>
              <w:t xml:space="preserve">, by transvenous or transeptal techniques, for permanent coaptation of mitral valve leaflets using one or more </w:t>
            </w:r>
            <w:proofErr w:type="spellStart"/>
            <w:r w:rsidRPr="001211AF">
              <w:rPr>
                <w:rFonts w:ascii="Arial Narrow" w:hAnsi="Arial Narrow" w:cs="Tahoma"/>
                <w:strike/>
                <w:color w:val="FF0000"/>
                <w:lang w:eastAsia="en-US"/>
              </w:rPr>
              <w:t>Mitraclips</w:t>
            </w:r>
            <w:proofErr w:type="spellEnd"/>
            <w:r w:rsidRPr="001211AF">
              <w:rPr>
                <w:rFonts w:ascii="Arial Narrow" w:hAnsi="Arial Narrow" w:cs="Tahoma"/>
                <w:lang w:eastAsia="en-US"/>
              </w:rPr>
              <w:t xml:space="preserve"> </w:t>
            </w:r>
            <w:r w:rsidRPr="001211AF">
              <w:rPr>
                <w:rFonts w:ascii="Arial Narrow" w:hAnsi="Arial Narrow" w:cs="Tahoma"/>
                <w:color w:val="FF0000"/>
                <w:lang w:eastAsia="en-US"/>
              </w:rPr>
              <w:t>tissue approximation implants</w:t>
            </w:r>
            <w:r w:rsidRPr="001211AF">
              <w:rPr>
                <w:rFonts w:ascii="Arial Narrow" w:hAnsi="Arial Narrow" w:cs="Tahoma"/>
                <w:lang w:eastAsia="en-US"/>
              </w:rPr>
              <w:t>, including intra</w:t>
            </w:r>
            <w:r w:rsidRPr="001211AF">
              <w:rPr>
                <w:rFonts w:ascii="Arial Narrow" w:hAnsi="Arial Narrow" w:cs="Tahoma"/>
                <w:lang w:eastAsia="en-US"/>
              </w:rPr>
              <w:noBreakHyphen/>
              <w:t>operative diagnostic imaging, if:</w:t>
            </w:r>
          </w:p>
          <w:p w14:paraId="79A184E1" w14:textId="77777777" w:rsidR="009620AB" w:rsidRPr="001211AF" w:rsidRDefault="009620AB" w:rsidP="004D057A">
            <w:pPr>
              <w:pStyle w:val="Tabletext2"/>
              <w:spacing w:after="60" w:line="280" w:lineRule="exact"/>
              <w:rPr>
                <w:rFonts w:ascii="Arial Narrow" w:hAnsi="Arial Narrow" w:cs="Tahoma"/>
                <w:lang w:eastAsia="en-US"/>
              </w:rPr>
            </w:pPr>
            <w:r w:rsidRPr="001211AF">
              <w:rPr>
                <w:rFonts w:ascii="Arial Narrow" w:hAnsi="Arial Narrow" w:cs="Tahoma"/>
                <w:lang w:eastAsia="en-US"/>
              </w:rPr>
              <w:t>(a) the patient has each of the following risk factors:</w:t>
            </w:r>
          </w:p>
          <w:p w14:paraId="44739AEF"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 xml:space="preserve"> (</w:t>
            </w:r>
            <w:proofErr w:type="spellStart"/>
            <w:r w:rsidRPr="001211AF">
              <w:rPr>
                <w:rFonts w:ascii="Arial Narrow" w:hAnsi="Arial Narrow" w:cs="Tahoma"/>
                <w:lang w:eastAsia="en-US"/>
              </w:rPr>
              <w:t>i</w:t>
            </w:r>
            <w:proofErr w:type="spellEnd"/>
            <w:r w:rsidRPr="001211AF">
              <w:rPr>
                <w:rFonts w:ascii="Arial Narrow" w:hAnsi="Arial Narrow" w:cs="Tahoma"/>
                <w:lang w:eastAsia="en-US"/>
              </w:rPr>
              <w:t>) moderate to severe, or severe, symptomatic degenerative (primary) mitral valve regurgitation (grade 3+ or 4+</w:t>
            </w:r>
            <w:proofErr w:type="gramStart"/>
            <w:r w:rsidRPr="001211AF">
              <w:rPr>
                <w:rFonts w:ascii="Arial Narrow" w:hAnsi="Arial Narrow" w:cs="Tahoma"/>
                <w:lang w:eastAsia="en-US"/>
              </w:rPr>
              <w:t>);</w:t>
            </w:r>
            <w:proofErr w:type="gramEnd"/>
          </w:p>
          <w:p w14:paraId="220B8B95"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 xml:space="preserve"> (ii) left ventricular ejection fraction of 20% or </w:t>
            </w:r>
            <w:proofErr w:type="gramStart"/>
            <w:r w:rsidRPr="001211AF">
              <w:rPr>
                <w:rFonts w:ascii="Arial Narrow" w:hAnsi="Arial Narrow" w:cs="Tahoma"/>
                <w:lang w:eastAsia="en-US"/>
              </w:rPr>
              <w:t>more;</w:t>
            </w:r>
            <w:proofErr w:type="gramEnd"/>
          </w:p>
          <w:p w14:paraId="2FF694EB"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 xml:space="preserve"> (iii) symptoms of mild, </w:t>
            </w:r>
            <w:proofErr w:type="gramStart"/>
            <w:r w:rsidRPr="001211AF">
              <w:rPr>
                <w:rFonts w:ascii="Arial Narrow" w:hAnsi="Arial Narrow" w:cs="Tahoma"/>
                <w:lang w:eastAsia="en-US"/>
              </w:rPr>
              <w:t>moderate</w:t>
            </w:r>
            <w:proofErr w:type="gramEnd"/>
            <w:r w:rsidRPr="001211AF">
              <w:rPr>
                <w:rFonts w:ascii="Arial Narrow" w:hAnsi="Arial Narrow" w:cs="Tahoma"/>
                <w:lang w:eastAsia="en-US"/>
              </w:rPr>
              <w:t xml:space="preserve"> or severe chronic heart failure (New York Heart Association class II, III or IV); and</w:t>
            </w:r>
          </w:p>
          <w:p w14:paraId="21BBC148" w14:textId="77777777" w:rsidR="009620AB" w:rsidRPr="001211AF" w:rsidRDefault="009620AB" w:rsidP="004D057A">
            <w:pPr>
              <w:pStyle w:val="Tablea"/>
              <w:spacing w:after="60" w:line="280" w:lineRule="exact"/>
              <w:rPr>
                <w:rFonts w:ascii="Arial Narrow" w:hAnsi="Arial Narrow" w:cs="Tahoma"/>
                <w:lang w:eastAsia="en-US"/>
              </w:rPr>
            </w:pPr>
            <w:r w:rsidRPr="001211AF">
              <w:rPr>
                <w:rFonts w:ascii="Arial Narrow" w:hAnsi="Arial Narrow" w:cs="Tahoma"/>
                <w:lang w:eastAsia="en-US"/>
              </w:rPr>
              <w:t xml:space="preserve">(b) </w:t>
            </w:r>
            <w:proofErr w:type="gramStart"/>
            <w:r w:rsidRPr="001211AF">
              <w:rPr>
                <w:rFonts w:ascii="Arial Narrow" w:hAnsi="Arial Narrow" w:cs="Tahoma"/>
                <w:lang w:eastAsia="en-US"/>
              </w:rPr>
              <w:t>as a result of</w:t>
            </w:r>
            <w:proofErr w:type="gramEnd"/>
            <w:r w:rsidRPr="001211AF">
              <w:rPr>
                <w:rFonts w:ascii="Arial Narrow" w:hAnsi="Arial Narrow" w:cs="Tahoma"/>
                <w:lang w:eastAsia="en-US"/>
              </w:rPr>
              <w:t xml:space="preserve"> a </w:t>
            </w:r>
            <w:proofErr w:type="spellStart"/>
            <w:r w:rsidRPr="001211AF">
              <w:rPr>
                <w:rFonts w:ascii="Arial Narrow" w:hAnsi="Arial Narrow" w:cs="Tahoma"/>
                <w:color w:val="FF0000"/>
                <w:lang w:eastAsia="en-US"/>
              </w:rPr>
              <w:t>TMVr</w:t>
            </w:r>
            <w:proofErr w:type="spellEnd"/>
            <w:r w:rsidRPr="001211AF">
              <w:rPr>
                <w:rFonts w:ascii="Arial Narrow" w:hAnsi="Arial Narrow" w:cs="Tahoma"/>
                <w:lang w:eastAsia="en-US"/>
              </w:rPr>
              <w:t xml:space="preserve"> suitability case conference, the patient has been:</w:t>
            </w:r>
          </w:p>
          <w:p w14:paraId="3AF2ACB1"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w:t>
            </w:r>
            <w:proofErr w:type="spellStart"/>
            <w:r w:rsidRPr="001211AF">
              <w:rPr>
                <w:rFonts w:ascii="Arial Narrow" w:hAnsi="Arial Narrow" w:cs="Tahoma"/>
                <w:lang w:eastAsia="en-US"/>
              </w:rPr>
              <w:t>i</w:t>
            </w:r>
            <w:proofErr w:type="spellEnd"/>
            <w:r w:rsidRPr="001211AF">
              <w:rPr>
                <w:rFonts w:ascii="Arial Narrow" w:hAnsi="Arial Narrow" w:cs="Tahoma"/>
                <w:lang w:eastAsia="en-US"/>
              </w:rPr>
              <w:t>) assessed as having an unacceptably high risk for surgical mitral valve replacement; and</w:t>
            </w:r>
          </w:p>
          <w:p w14:paraId="0AD7CB5C"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(ii) recommended as being suitable for the service; and</w:t>
            </w:r>
          </w:p>
          <w:p w14:paraId="13A13FB9" w14:textId="77777777" w:rsidR="009620AB" w:rsidRPr="001211AF" w:rsidRDefault="009620AB" w:rsidP="004D057A">
            <w:pPr>
              <w:pStyle w:val="Tablea"/>
              <w:spacing w:after="60" w:line="280" w:lineRule="exact"/>
              <w:rPr>
                <w:rFonts w:ascii="Arial Narrow" w:hAnsi="Arial Narrow" w:cs="Tahoma"/>
                <w:lang w:eastAsia="en-US"/>
              </w:rPr>
            </w:pPr>
            <w:r w:rsidRPr="001211AF">
              <w:rPr>
                <w:rFonts w:ascii="Arial Narrow" w:hAnsi="Arial Narrow" w:cs="Tahoma"/>
                <w:lang w:eastAsia="en-US"/>
              </w:rPr>
              <w:t>(c) the service is performed:</w:t>
            </w:r>
          </w:p>
          <w:p w14:paraId="2C1651A2"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w:t>
            </w:r>
            <w:proofErr w:type="spellStart"/>
            <w:r w:rsidRPr="001211AF">
              <w:rPr>
                <w:rFonts w:ascii="Arial Narrow" w:hAnsi="Arial Narrow" w:cs="Tahoma"/>
                <w:lang w:eastAsia="en-US"/>
              </w:rPr>
              <w:t>i</w:t>
            </w:r>
            <w:proofErr w:type="spellEnd"/>
            <w:r w:rsidRPr="001211AF">
              <w:rPr>
                <w:rFonts w:ascii="Arial Narrow" w:hAnsi="Arial Narrow" w:cs="Tahoma"/>
                <w:lang w:eastAsia="en-US"/>
              </w:rPr>
              <w:t>) by a cardiothoracic surgeon, or an interventional cardiologist, accredited by the</w:t>
            </w:r>
            <w:r w:rsidRPr="001211AF">
              <w:rPr>
                <w:rFonts w:ascii="Arial Narrow" w:hAnsi="Arial Narrow" w:cs="Tahoma"/>
                <w:color w:val="FF0000"/>
                <w:lang w:eastAsia="en-US"/>
              </w:rPr>
              <w:t xml:space="preserve"> </w:t>
            </w:r>
            <w:proofErr w:type="spellStart"/>
            <w:r w:rsidRPr="001211AF">
              <w:rPr>
                <w:rFonts w:ascii="Arial Narrow" w:hAnsi="Arial Narrow" w:cs="Tahoma"/>
                <w:color w:val="FF0000"/>
                <w:lang w:eastAsia="en-US"/>
              </w:rPr>
              <w:t>TMVr</w:t>
            </w:r>
            <w:proofErr w:type="spellEnd"/>
            <w:r w:rsidRPr="001211AF">
              <w:rPr>
                <w:rFonts w:ascii="Arial Narrow" w:hAnsi="Arial Narrow" w:cs="Tahoma"/>
                <w:color w:val="FF0000"/>
                <w:lang w:eastAsia="en-US"/>
              </w:rPr>
              <w:t xml:space="preserve"> </w:t>
            </w:r>
            <w:r w:rsidRPr="001211AF">
              <w:rPr>
                <w:rFonts w:ascii="Arial Narrow" w:hAnsi="Arial Narrow" w:cs="Tahoma"/>
                <w:lang w:eastAsia="en-US"/>
              </w:rPr>
              <w:t>Accreditation Committee to perform the service; and</w:t>
            </w:r>
          </w:p>
          <w:p w14:paraId="6F467AE2"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(ii) via transfemoral venous delivery, unless transfemoral venous delivery is contraindicated or not feasible; and</w:t>
            </w:r>
          </w:p>
          <w:p w14:paraId="7DE5116E"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 xml:space="preserve">(iii) in a hospital that is accredited by the </w:t>
            </w:r>
            <w:proofErr w:type="spellStart"/>
            <w:r w:rsidRPr="001211AF">
              <w:rPr>
                <w:rFonts w:ascii="Arial Narrow" w:hAnsi="Arial Narrow" w:cs="Tahoma"/>
                <w:color w:val="FF0000"/>
                <w:lang w:eastAsia="en-US"/>
              </w:rPr>
              <w:t>TMVr</w:t>
            </w:r>
            <w:proofErr w:type="spellEnd"/>
            <w:r w:rsidRPr="001211AF">
              <w:rPr>
                <w:rFonts w:ascii="Arial Narrow" w:hAnsi="Arial Narrow" w:cs="Tahoma"/>
                <w:color w:val="FF0000"/>
                <w:lang w:eastAsia="en-US"/>
              </w:rPr>
              <w:t xml:space="preserve"> </w:t>
            </w:r>
            <w:r w:rsidRPr="001211AF">
              <w:rPr>
                <w:rFonts w:ascii="Arial Narrow" w:hAnsi="Arial Narrow" w:cs="Tahoma"/>
                <w:lang w:eastAsia="en-US"/>
              </w:rPr>
              <w:t>Accreditation Committee as a suitable hospital for the service; and</w:t>
            </w:r>
          </w:p>
          <w:p w14:paraId="57DAA75D" w14:textId="77777777" w:rsidR="009620AB" w:rsidRPr="001211AF" w:rsidRDefault="009620AB" w:rsidP="004D057A">
            <w:pPr>
              <w:pStyle w:val="Tablea"/>
              <w:spacing w:after="60" w:line="280" w:lineRule="exact"/>
              <w:rPr>
                <w:rFonts w:ascii="Arial Narrow" w:hAnsi="Arial Narrow" w:cs="Tahoma"/>
                <w:lang w:eastAsia="en-US"/>
              </w:rPr>
            </w:pPr>
            <w:r w:rsidRPr="001211AF">
              <w:rPr>
                <w:rFonts w:ascii="Arial Narrow" w:hAnsi="Arial Narrow" w:cs="Tahoma"/>
                <w:lang w:eastAsia="en-US"/>
              </w:rPr>
              <w:t>(d) a service to which this item, or item 38463, applies has not been provided to the patient in the previous 5 years</w:t>
            </w:r>
          </w:p>
          <w:p w14:paraId="7A53851B" w14:textId="77777777" w:rsidR="009620AB" w:rsidRPr="001211AF" w:rsidRDefault="009620AB" w:rsidP="004D057A">
            <w:pPr>
              <w:spacing w:after="60"/>
              <w:rPr>
                <w:rFonts w:ascii="Arial Narrow" w:hAnsi="Arial Narrow" w:cs="Tahoma"/>
              </w:rPr>
            </w:pPr>
            <w:r w:rsidRPr="001211AF">
              <w:rPr>
                <w:rFonts w:ascii="Arial Narrow" w:hAnsi="Arial Narrow" w:cs="Tahoma"/>
              </w:rPr>
              <w:t>(H) (</w:t>
            </w:r>
            <w:proofErr w:type="spellStart"/>
            <w:r w:rsidRPr="001211AF">
              <w:rPr>
                <w:rFonts w:ascii="Arial Narrow" w:hAnsi="Arial Narrow" w:cs="Tahoma"/>
              </w:rPr>
              <w:t>Anaes</w:t>
            </w:r>
            <w:proofErr w:type="spellEnd"/>
            <w:r w:rsidRPr="001211AF">
              <w:rPr>
                <w:rFonts w:ascii="Arial Narrow" w:hAnsi="Arial Narrow" w:cs="Tahoma"/>
              </w:rPr>
              <w:t>.) (Assist.)</w:t>
            </w:r>
          </w:p>
          <w:p w14:paraId="71265358" w14:textId="77777777" w:rsidR="009620AB" w:rsidRPr="001211AF" w:rsidRDefault="009620AB" w:rsidP="004D057A">
            <w:pPr>
              <w:spacing w:after="60"/>
              <w:rPr>
                <w:rFonts w:ascii="Calibri" w:hAnsi="Calibri"/>
                <w:sz w:val="22"/>
              </w:rPr>
            </w:pPr>
            <w:r w:rsidRPr="001211AF">
              <w:rPr>
                <w:rFonts w:ascii="Arial Narrow" w:hAnsi="Arial Narrow" w:cs="Tahoma"/>
              </w:rPr>
              <w:t>Fee:  $1,490.25</w:t>
            </w:r>
          </w:p>
        </w:tc>
      </w:tr>
      <w:tr w:rsidR="009620AB" w14:paraId="052BAE28" w14:textId="77777777" w:rsidTr="004D057A">
        <w:tc>
          <w:tcPr>
            <w:tcW w:w="5000" w:type="pct"/>
            <w:tcBorders>
              <w:top w:val="single" w:sz="4" w:space="0" w:color="000000"/>
              <w:left w:val="single" w:sz="4" w:space="0" w:color="000000"/>
              <w:bottom w:val="single" w:sz="4" w:space="0" w:color="000000"/>
              <w:right w:val="single" w:sz="4" w:space="0" w:color="000000"/>
            </w:tcBorders>
          </w:tcPr>
          <w:p w14:paraId="62662F26" w14:textId="77777777" w:rsidR="009620AB" w:rsidRPr="001211AF" w:rsidRDefault="009620AB" w:rsidP="004D057A">
            <w:pPr>
              <w:pStyle w:val="Tabletext2"/>
              <w:spacing w:after="60" w:line="240" w:lineRule="auto"/>
              <w:rPr>
                <w:rFonts w:ascii="Arial Narrow" w:hAnsi="Arial Narrow" w:cs="Tahoma"/>
                <w:color w:val="FF0000"/>
                <w:lang w:eastAsia="en-US"/>
              </w:rPr>
            </w:pPr>
            <w:r w:rsidRPr="001211AF">
              <w:rPr>
                <w:rFonts w:ascii="Arial Narrow" w:hAnsi="Arial Narrow"/>
              </w:rPr>
              <w:t>Category 3 – Therapeutic Procedures</w:t>
            </w:r>
          </w:p>
        </w:tc>
      </w:tr>
      <w:tr w:rsidR="009620AB" w14:paraId="5A3E8CCA" w14:textId="77777777" w:rsidTr="004D057A">
        <w:tc>
          <w:tcPr>
            <w:tcW w:w="5000" w:type="pct"/>
            <w:tcBorders>
              <w:top w:val="single" w:sz="4" w:space="0" w:color="000000"/>
              <w:left w:val="single" w:sz="4" w:space="0" w:color="000000"/>
              <w:bottom w:val="single" w:sz="4" w:space="0" w:color="000000"/>
              <w:right w:val="single" w:sz="4" w:space="0" w:color="000000"/>
            </w:tcBorders>
          </w:tcPr>
          <w:p w14:paraId="77C4F6D7" w14:textId="7204E5AD" w:rsidR="009620AB" w:rsidRPr="001211AF" w:rsidRDefault="009620AB" w:rsidP="004D057A">
            <w:pPr>
              <w:pStyle w:val="Tabletext2"/>
              <w:spacing w:after="60"/>
              <w:rPr>
                <w:rFonts w:ascii="Arial Narrow" w:hAnsi="Arial Narrow"/>
              </w:rPr>
            </w:pPr>
            <w:r w:rsidRPr="001211AF">
              <w:rPr>
                <w:rFonts w:ascii="Arial Narrow" w:hAnsi="Arial Narrow"/>
              </w:rPr>
              <w:t xml:space="preserve">MBS Item 38463 - </w:t>
            </w:r>
            <w:r w:rsidRPr="001211AF">
              <w:rPr>
                <w:rFonts w:ascii="Arial Narrow" w:hAnsi="Arial Narrow"/>
                <w:color w:val="FF0000"/>
              </w:rPr>
              <w:t>Transcatheter Mitral Valve Repair (</w:t>
            </w:r>
            <w:proofErr w:type="spellStart"/>
            <w:r w:rsidRPr="001211AF">
              <w:rPr>
                <w:rFonts w:ascii="Arial Narrow" w:hAnsi="Arial Narrow"/>
                <w:color w:val="FF0000"/>
              </w:rPr>
              <w:t>TMVr</w:t>
            </w:r>
            <w:proofErr w:type="spellEnd"/>
            <w:r w:rsidRPr="001211AF">
              <w:rPr>
                <w:rFonts w:ascii="Arial Narrow" w:hAnsi="Arial Narrow"/>
                <w:color w:val="FF0000"/>
              </w:rPr>
              <w:t xml:space="preserve">) using the </w:t>
            </w:r>
            <w:r w:rsidR="0053163A" w:rsidRPr="001211AF">
              <w:rPr>
                <w:rFonts w:ascii="Arial Narrow" w:hAnsi="Arial Narrow"/>
                <w:color w:val="FF0000"/>
              </w:rPr>
              <w:t xml:space="preserve">one or more tissue approximation </w:t>
            </w:r>
            <w:r w:rsidRPr="001211AF">
              <w:rPr>
                <w:rFonts w:ascii="Arial Narrow" w:hAnsi="Arial Narrow"/>
              </w:rPr>
              <w:t>implant</w:t>
            </w:r>
            <w:r w:rsidRPr="001211AF">
              <w:rPr>
                <w:rFonts w:ascii="Arial Narrow" w:hAnsi="Arial Narrow"/>
                <w:color w:val="FF0000"/>
              </w:rPr>
              <w:t>s</w:t>
            </w:r>
            <w:r w:rsidRPr="001211AF">
              <w:rPr>
                <w:rFonts w:ascii="Arial Narrow" w:hAnsi="Arial Narrow"/>
              </w:rPr>
              <w:t xml:space="preserve"> for moderate to severe, or severe, symptomatic functional (secondary) mitral valve</w:t>
            </w:r>
            <w:r w:rsidRPr="001211AF">
              <w:rPr>
                <w:rFonts w:ascii="Arial Narrow" w:hAnsi="Arial Narrow"/>
                <w:i/>
              </w:rPr>
              <w:t xml:space="preserve"> </w:t>
            </w:r>
            <w:r w:rsidRPr="001211AF">
              <w:rPr>
                <w:rFonts w:ascii="Arial Narrow" w:hAnsi="Arial Narrow"/>
              </w:rPr>
              <w:t>regurgitation (grade 3+ or 4+).</w:t>
            </w:r>
          </w:p>
        </w:tc>
      </w:tr>
      <w:tr w:rsidR="009620AB" w14:paraId="34E40638" w14:textId="77777777" w:rsidTr="004D057A">
        <w:tc>
          <w:tcPr>
            <w:tcW w:w="5000" w:type="pct"/>
            <w:tcBorders>
              <w:top w:val="single" w:sz="4" w:space="0" w:color="000000"/>
              <w:left w:val="single" w:sz="4" w:space="0" w:color="000000"/>
              <w:bottom w:val="single" w:sz="4" w:space="0" w:color="000000"/>
              <w:right w:val="single" w:sz="4" w:space="0" w:color="000000"/>
            </w:tcBorders>
          </w:tcPr>
          <w:p w14:paraId="2CAC16CC" w14:textId="77777777" w:rsidR="009620AB" w:rsidRPr="001211AF" w:rsidRDefault="009620AB" w:rsidP="004D057A">
            <w:pPr>
              <w:pStyle w:val="Tabletext2"/>
              <w:spacing w:after="60" w:line="280" w:lineRule="exact"/>
              <w:rPr>
                <w:rFonts w:ascii="Arial Narrow" w:hAnsi="Arial Narrow" w:cs="Tahoma"/>
                <w:lang w:eastAsia="en-US"/>
              </w:rPr>
            </w:pPr>
            <w:proofErr w:type="spellStart"/>
            <w:r w:rsidRPr="001211AF">
              <w:rPr>
                <w:rFonts w:ascii="Arial Narrow" w:hAnsi="Arial Narrow" w:cs="Tahoma"/>
                <w:color w:val="FF0000"/>
                <w:lang w:eastAsia="en-US"/>
              </w:rPr>
              <w:t>TMVr</w:t>
            </w:r>
            <w:proofErr w:type="spellEnd"/>
            <w:r w:rsidRPr="001211AF">
              <w:rPr>
                <w:rFonts w:ascii="Arial Narrow" w:hAnsi="Arial Narrow" w:cs="Tahoma"/>
                <w:lang w:eastAsia="en-US"/>
              </w:rPr>
              <w:t xml:space="preserve">, by transvenous or transeptal techniques, for permanent coaptation of mitral valve leaflets using one or more </w:t>
            </w:r>
            <w:proofErr w:type="spellStart"/>
            <w:r w:rsidRPr="001211AF">
              <w:rPr>
                <w:rFonts w:ascii="Arial Narrow" w:hAnsi="Arial Narrow" w:cs="Tahoma"/>
                <w:strike/>
                <w:color w:val="FF0000"/>
                <w:lang w:eastAsia="en-US"/>
              </w:rPr>
              <w:t>Mitraclips</w:t>
            </w:r>
            <w:proofErr w:type="spellEnd"/>
            <w:r w:rsidRPr="001211AF">
              <w:rPr>
                <w:rFonts w:ascii="Arial Narrow" w:hAnsi="Arial Narrow" w:cs="Tahoma"/>
                <w:lang w:eastAsia="en-US"/>
              </w:rPr>
              <w:t xml:space="preserve"> </w:t>
            </w:r>
            <w:r w:rsidRPr="001211AF">
              <w:rPr>
                <w:rFonts w:ascii="Arial Narrow" w:hAnsi="Arial Narrow" w:cs="Tahoma"/>
                <w:color w:val="FF0000"/>
                <w:lang w:eastAsia="en-US"/>
              </w:rPr>
              <w:t>tissue approximation implants</w:t>
            </w:r>
            <w:r w:rsidRPr="001211AF">
              <w:rPr>
                <w:rFonts w:ascii="Arial Narrow" w:hAnsi="Arial Narrow" w:cs="Tahoma"/>
                <w:lang w:eastAsia="en-US"/>
              </w:rPr>
              <w:t>, including intra</w:t>
            </w:r>
            <w:r w:rsidRPr="001211AF">
              <w:rPr>
                <w:rFonts w:ascii="Arial Narrow" w:hAnsi="Arial Narrow" w:cs="Tahoma"/>
                <w:lang w:eastAsia="en-US"/>
              </w:rPr>
              <w:noBreakHyphen/>
              <w:t>operative diagnostic imaging, if:</w:t>
            </w:r>
          </w:p>
          <w:p w14:paraId="60F35BC9" w14:textId="77777777" w:rsidR="009620AB" w:rsidRPr="001211AF" w:rsidRDefault="009620AB" w:rsidP="004D057A">
            <w:pPr>
              <w:pStyle w:val="Tabletext2"/>
              <w:spacing w:after="60" w:line="280" w:lineRule="exact"/>
              <w:rPr>
                <w:rFonts w:ascii="Arial Narrow" w:hAnsi="Arial Narrow" w:cs="Tahoma"/>
                <w:lang w:eastAsia="en-US"/>
              </w:rPr>
            </w:pPr>
            <w:r w:rsidRPr="001211AF">
              <w:rPr>
                <w:rFonts w:ascii="Arial Narrow" w:hAnsi="Arial Narrow" w:cs="Tahoma"/>
                <w:lang w:eastAsia="en-US"/>
              </w:rPr>
              <w:t>(a) the patient has each of the following risk factors:</w:t>
            </w:r>
          </w:p>
          <w:p w14:paraId="73151964"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 xml:space="preserve"> (</w:t>
            </w:r>
            <w:proofErr w:type="spellStart"/>
            <w:r w:rsidRPr="001211AF">
              <w:rPr>
                <w:rFonts w:ascii="Arial Narrow" w:hAnsi="Arial Narrow" w:cs="Tahoma"/>
                <w:lang w:eastAsia="en-US"/>
              </w:rPr>
              <w:t>i</w:t>
            </w:r>
            <w:proofErr w:type="spellEnd"/>
            <w:r w:rsidRPr="001211AF">
              <w:rPr>
                <w:rFonts w:ascii="Arial Narrow" w:hAnsi="Arial Narrow" w:cs="Tahoma"/>
                <w:lang w:eastAsia="en-US"/>
              </w:rPr>
              <w:t>) moderate to severe, or severe, symptomatic functional (secondary) mitral valve regurgitation (grade 3+ or 4+</w:t>
            </w:r>
            <w:proofErr w:type="gramStart"/>
            <w:r w:rsidRPr="001211AF">
              <w:rPr>
                <w:rFonts w:ascii="Arial Narrow" w:hAnsi="Arial Narrow" w:cs="Tahoma"/>
                <w:lang w:eastAsia="en-US"/>
              </w:rPr>
              <w:t>);</w:t>
            </w:r>
            <w:proofErr w:type="gramEnd"/>
          </w:p>
          <w:p w14:paraId="0B7BF656"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 xml:space="preserve"> (ii) left ventricular ejection fraction of 20% to </w:t>
            </w:r>
            <w:proofErr w:type="gramStart"/>
            <w:r w:rsidRPr="001211AF">
              <w:rPr>
                <w:rFonts w:ascii="Arial Narrow" w:hAnsi="Arial Narrow" w:cs="Tahoma"/>
                <w:lang w:eastAsia="en-US"/>
              </w:rPr>
              <w:t>50%;</w:t>
            </w:r>
            <w:proofErr w:type="gramEnd"/>
          </w:p>
          <w:p w14:paraId="2DA5EF06"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 xml:space="preserve">(iii) left ventricular end systolic diameter of not more than </w:t>
            </w:r>
            <w:proofErr w:type="gramStart"/>
            <w:r w:rsidRPr="001211AF">
              <w:rPr>
                <w:rFonts w:ascii="Arial Narrow" w:hAnsi="Arial Narrow" w:cs="Tahoma"/>
                <w:lang w:eastAsia="en-US"/>
              </w:rPr>
              <w:t>70mm;</w:t>
            </w:r>
            <w:proofErr w:type="gramEnd"/>
          </w:p>
          <w:p w14:paraId="51CF9258"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 xml:space="preserve"> (iv) symptoms of mild, </w:t>
            </w:r>
            <w:proofErr w:type="gramStart"/>
            <w:r w:rsidRPr="001211AF">
              <w:rPr>
                <w:rFonts w:ascii="Arial Narrow" w:hAnsi="Arial Narrow" w:cs="Tahoma"/>
                <w:lang w:eastAsia="en-US"/>
              </w:rPr>
              <w:t>moderate</w:t>
            </w:r>
            <w:proofErr w:type="gramEnd"/>
            <w:r w:rsidRPr="001211AF">
              <w:rPr>
                <w:rFonts w:ascii="Arial Narrow" w:hAnsi="Arial Narrow" w:cs="Tahoma"/>
                <w:lang w:eastAsia="en-US"/>
              </w:rPr>
              <w:t xml:space="preserve"> or severe chronic heart failure (New York Heart Association class II, III or IV) that persist despite maximally tolerated guideline directed medical therapy; and</w:t>
            </w:r>
          </w:p>
          <w:p w14:paraId="232E19A7" w14:textId="77777777" w:rsidR="009620AB" w:rsidRPr="001211AF" w:rsidRDefault="009620AB" w:rsidP="004D057A">
            <w:pPr>
              <w:pStyle w:val="Tablea"/>
              <w:spacing w:after="60" w:line="280" w:lineRule="exact"/>
              <w:rPr>
                <w:rFonts w:ascii="Arial Narrow" w:hAnsi="Arial Narrow" w:cs="Tahoma"/>
                <w:lang w:eastAsia="en-US"/>
              </w:rPr>
            </w:pPr>
            <w:r w:rsidRPr="001211AF">
              <w:rPr>
                <w:rFonts w:ascii="Arial Narrow" w:hAnsi="Arial Narrow" w:cs="Tahoma"/>
                <w:lang w:eastAsia="en-US"/>
              </w:rPr>
              <w:t xml:space="preserve">(b) </w:t>
            </w:r>
            <w:proofErr w:type="gramStart"/>
            <w:r w:rsidRPr="001211AF">
              <w:rPr>
                <w:rFonts w:ascii="Arial Narrow" w:hAnsi="Arial Narrow" w:cs="Tahoma"/>
                <w:lang w:eastAsia="en-US"/>
              </w:rPr>
              <w:t>as a result of</w:t>
            </w:r>
            <w:proofErr w:type="gramEnd"/>
            <w:r w:rsidRPr="001211AF">
              <w:rPr>
                <w:rFonts w:ascii="Arial Narrow" w:hAnsi="Arial Narrow" w:cs="Tahoma"/>
                <w:lang w:eastAsia="en-US"/>
              </w:rPr>
              <w:t xml:space="preserve"> a </w:t>
            </w:r>
            <w:proofErr w:type="spellStart"/>
            <w:r w:rsidRPr="001211AF">
              <w:rPr>
                <w:rFonts w:ascii="Arial Narrow" w:hAnsi="Arial Narrow" w:cs="Tahoma"/>
                <w:color w:val="FF0000"/>
                <w:lang w:eastAsia="en-US"/>
              </w:rPr>
              <w:t>TMVr</w:t>
            </w:r>
            <w:proofErr w:type="spellEnd"/>
            <w:r w:rsidRPr="001211AF">
              <w:rPr>
                <w:rFonts w:ascii="Arial Narrow" w:hAnsi="Arial Narrow" w:cs="Tahoma"/>
                <w:color w:val="FF0000"/>
                <w:lang w:eastAsia="en-US"/>
              </w:rPr>
              <w:t xml:space="preserve"> </w:t>
            </w:r>
            <w:r w:rsidRPr="001211AF">
              <w:rPr>
                <w:rFonts w:ascii="Arial Narrow" w:hAnsi="Arial Narrow" w:cs="Tahoma"/>
                <w:lang w:eastAsia="en-US"/>
              </w:rPr>
              <w:t>suitability case conference, the patient has been:</w:t>
            </w:r>
          </w:p>
          <w:p w14:paraId="3A9AF3C9"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w:t>
            </w:r>
            <w:proofErr w:type="spellStart"/>
            <w:r w:rsidRPr="001211AF">
              <w:rPr>
                <w:rFonts w:ascii="Arial Narrow" w:hAnsi="Arial Narrow" w:cs="Tahoma"/>
                <w:lang w:eastAsia="en-US"/>
              </w:rPr>
              <w:t>i</w:t>
            </w:r>
            <w:proofErr w:type="spellEnd"/>
            <w:r w:rsidRPr="001211AF">
              <w:rPr>
                <w:rFonts w:ascii="Arial Narrow" w:hAnsi="Arial Narrow" w:cs="Tahoma"/>
                <w:lang w:eastAsia="en-US"/>
              </w:rPr>
              <w:t>) assessed as having an unacceptably high risk for surgical mitral valve replacement; and</w:t>
            </w:r>
          </w:p>
          <w:p w14:paraId="658730DF"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(ii) recommended as being suitable for the service; and</w:t>
            </w:r>
          </w:p>
          <w:p w14:paraId="0E6AC676" w14:textId="77777777" w:rsidR="009620AB" w:rsidRPr="001211AF" w:rsidRDefault="009620AB" w:rsidP="004D057A">
            <w:pPr>
              <w:pStyle w:val="Tablea"/>
              <w:spacing w:after="60" w:line="280" w:lineRule="exact"/>
              <w:rPr>
                <w:rFonts w:ascii="Arial Narrow" w:hAnsi="Arial Narrow" w:cs="Tahoma"/>
                <w:lang w:eastAsia="en-US"/>
              </w:rPr>
            </w:pPr>
            <w:r w:rsidRPr="001211AF">
              <w:rPr>
                <w:rFonts w:ascii="Arial Narrow" w:hAnsi="Arial Narrow" w:cs="Tahoma"/>
                <w:lang w:eastAsia="en-US"/>
              </w:rPr>
              <w:t>(c) the service is performed:</w:t>
            </w:r>
          </w:p>
          <w:p w14:paraId="314C627A"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w:t>
            </w:r>
            <w:proofErr w:type="spellStart"/>
            <w:r w:rsidRPr="001211AF">
              <w:rPr>
                <w:rFonts w:ascii="Arial Narrow" w:hAnsi="Arial Narrow" w:cs="Tahoma"/>
                <w:lang w:eastAsia="en-US"/>
              </w:rPr>
              <w:t>i</w:t>
            </w:r>
            <w:proofErr w:type="spellEnd"/>
            <w:r w:rsidRPr="001211AF">
              <w:rPr>
                <w:rFonts w:ascii="Arial Narrow" w:hAnsi="Arial Narrow" w:cs="Tahoma"/>
                <w:lang w:eastAsia="en-US"/>
              </w:rPr>
              <w:t xml:space="preserve">) by a cardiothoracic surgeon, or an interventional cardiologist, accredited by the </w:t>
            </w:r>
            <w:proofErr w:type="spellStart"/>
            <w:r w:rsidRPr="001211AF">
              <w:rPr>
                <w:rFonts w:ascii="Arial Narrow" w:hAnsi="Arial Narrow" w:cs="Tahoma"/>
                <w:color w:val="FF0000"/>
                <w:lang w:eastAsia="en-US"/>
              </w:rPr>
              <w:t>TMVr</w:t>
            </w:r>
            <w:proofErr w:type="spellEnd"/>
            <w:r w:rsidRPr="001211AF">
              <w:rPr>
                <w:rFonts w:ascii="Arial Narrow" w:hAnsi="Arial Narrow" w:cs="Tahoma"/>
                <w:lang w:eastAsia="en-US"/>
              </w:rPr>
              <w:t xml:space="preserve"> Accreditation Committee to perform the service; and</w:t>
            </w:r>
          </w:p>
          <w:p w14:paraId="5A6AB258"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lastRenderedPageBreak/>
              <w:t>(ii) via transfemoral venous delivery, unless transfemoral venous delivery is contraindicated or not feasible; and</w:t>
            </w:r>
          </w:p>
          <w:p w14:paraId="4A48B382" w14:textId="77777777" w:rsidR="009620AB" w:rsidRPr="001211AF" w:rsidRDefault="009620AB" w:rsidP="004D057A">
            <w:pPr>
              <w:pStyle w:val="Tablei"/>
              <w:spacing w:after="60" w:line="280" w:lineRule="exact"/>
              <w:rPr>
                <w:rFonts w:ascii="Arial Narrow" w:hAnsi="Arial Narrow" w:cs="Tahoma"/>
                <w:lang w:eastAsia="en-US"/>
              </w:rPr>
            </w:pPr>
            <w:r w:rsidRPr="001211AF">
              <w:rPr>
                <w:rFonts w:ascii="Arial Narrow" w:hAnsi="Arial Narrow" w:cs="Tahoma"/>
                <w:lang w:eastAsia="en-US"/>
              </w:rPr>
              <w:t xml:space="preserve">(iii) in a hospital that is accredited by the </w:t>
            </w:r>
            <w:proofErr w:type="spellStart"/>
            <w:proofErr w:type="gramStart"/>
            <w:r w:rsidRPr="001211AF">
              <w:rPr>
                <w:rFonts w:ascii="Arial Narrow" w:hAnsi="Arial Narrow" w:cs="Tahoma"/>
                <w:color w:val="FF0000"/>
                <w:lang w:eastAsia="en-US"/>
              </w:rPr>
              <w:t>TMVr</w:t>
            </w:r>
            <w:proofErr w:type="spellEnd"/>
            <w:r w:rsidRPr="001211AF">
              <w:rPr>
                <w:rFonts w:ascii="Arial Narrow" w:hAnsi="Arial Narrow" w:cs="Tahoma"/>
                <w:color w:val="FF0000"/>
                <w:lang w:eastAsia="en-US"/>
              </w:rPr>
              <w:t xml:space="preserve"> </w:t>
            </w:r>
            <w:r w:rsidRPr="001211AF">
              <w:rPr>
                <w:rFonts w:ascii="Arial Narrow" w:hAnsi="Arial Narrow" w:cs="Tahoma"/>
                <w:lang w:eastAsia="en-US"/>
              </w:rPr>
              <w:t xml:space="preserve"> Accreditation</w:t>
            </w:r>
            <w:proofErr w:type="gramEnd"/>
            <w:r w:rsidRPr="001211AF">
              <w:rPr>
                <w:rFonts w:ascii="Arial Narrow" w:hAnsi="Arial Narrow" w:cs="Tahoma"/>
                <w:lang w:eastAsia="en-US"/>
              </w:rPr>
              <w:t xml:space="preserve"> Committee as a suitable hospital for the service; and</w:t>
            </w:r>
          </w:p>
          <w:p w14:paraId="621B5E63" w14:textId="77777777" w:rsidR="009620AB" w:rsidRPr="001211AF" w:rsidRDefault="009620AB" w:rsidP="004D057A">
            <w:pPr>
              <w:pStyle w:val="Tablea"/>
              <w:spacing w:after="60" w:line="280" w:lineRule="exact"/>
              <w:rPr>
                <w:rFonts w:ascii="Arial Narrow" w:hAnsi="Arial Narrow" w:cs="Tahoma"/>
                <w:lang w:eastAsia="en-US"/>
              </w:rPr>
            </w:pPr>
            <w:r w:rsidRPr="001211AF">
              <w:rPr>
                <w:rFonts w:ascii="Arial Narrow" w:hAnsi="Arial Narrow" w:cs="Tahoma"/>
                <w:lang w:eastAsia="en-US"/>
              </w:rPr>
              <w:t>(d) a service to which this item, or item 38461, applies has not been provided to the patient in the previous 5 years</w:t>
            </w:r>
          </w:p>
          <w:p w14:paraId="4F00E5D7" w14:textId="77777777" w:rsidR="009620AB" w:rsidRPr="001211AF" w:rsidRDefault="009620AB" w:rsidP="004D057A">
            <w:pPr>
              <w:spacing w:after="60"/>
              <w:rPr>
                <w:rFonts w:ascii="Arial Narrow" w:hAnsi="Arial Narrow" w:cs="Tahoma"/>
              </w:rPr>
            </w:pPr>
            <w:r w:rsidRPr="001211AF">
              <w:rPr>
                <w:rFonts w:ascii="Arial Narrow" w:hAnsi="Arial Narrow" w:cs="Tahoma"/>
              </w:rPr>
              <w:t>(H) (</w:t>
            </w:r>
            <w:proofErr w:type="spellStart"/>
            <w:r w:rsidRPr="001211AF">
              <w:rPr>
                <w:rFonts w:ascii="Arial Narrow" w:hAnsi="Arial Narrow" w:cs="Tahoma"/>
              </w:rPr>
              <w:t>Anaes</w:t>
            </w:r>
            <w:proofErr w:type="spellEnd"/>
            <w:r w:rsidRPr="001211AF">
              <w:rPr>
                <w:rFonts w:ascii="Arial Narrow" w:hAnsi="Arial Narrow" w:cs="Tahoma"/>
              </w:rPr>
              <w:t>.) (Assist.)</w:t>
            </w:r>
          </w:p>
          <w:p w14:paraId="707E35D4" w14:textId="77777777" w:rsidR="009620AB" w:rsidRPr="001211AF" w:rsidRDefault="009620AB" w:rsidP="004D057A">
            <w:pPr>
              <w:pStyle w:val="Tabletext2"/>
              <w:spacing w:after="60"/>
              <w:rPr>
                <w:rFonts w:ascii="Arial Narrow" w:hAnsi="Arial Narrow"/>
              </w:rPr>
            </w:pPr>
            <w:r w:rsidRPr="001211AF">
              <w:rPr>
                <w:rFonts w:ascii="Arial Narrow" w:hAnsi="Arial Narrow"/>
              </w:rPr>
              <w:t>Fee:  $1,490.25</w:t>
            </w:r>
          </w:p>
        </w:tc>
      </w:tr>
    </w:tbl>
    <w:p w14:paraId="05C95455" w14:textId="22460CE7" w:rsidR="00D600D9" w:rsidRPr="00110451" w:rsidRDefault="00D600D9" w:rsidP="00D600D9">
      <w:pPr>
        <w:pStyle w:val="Tablecaption"/>
        <w:rPr>
          <w:color w:val="FF0000"/>
        </w:rPr>
      </w:pPr>
      <w:r w:rsidRPr="00D600D9">
        <w:rPr>
          <w:color w:val="FF0000"/>
        </w:rPr>
        <w:lastRenderedPageBreak/>
        <w:t>ESC suggested amendments marked up</w:t>
      </w:r>
    </w:p>
    <w:p w14:paraId="3EB259C8" w14:textId="71AA4075" w:rsidR="00BE396E" w:rsidRPr="001211AF" w:rsidRDefault="00CB7C8F" w:rsidP="00110451">
      <w:pPr>
        <w:spacing w:before="240"/>
      </w:pPr>
      <w:r w:rsidRPr="001211AF">
        <w:t xml:space="preserve">The proposed PASCAL system would be delivered in the same clinical setting and with the same frequency as the </w:t>
      </w:r>
      <w:proofErr w:type="spellStart"/>
      <w:r w:rsidRPr="001211AF">
        <w:t>MitraClip</w:t>
      </w:r>
      <w:proofErr w:type="spellEnd"/>
      <w:r w:rsidRPr="001211AF">
        <w:t xml:space="preserve"> system. The current MBS item can be claimed once in a five-year period for each patient. </w:t>
      </w:r>
      <w:r w:rsidR="00090CDC" w:rsidRPr="001211AF">
        <w:t xml:space="preserve">Patient selection should be performed by a multi-disciplinary heart team (MDHT) specialising in the treatment of mitral regurgitation to assess patient risk and anatomical suitability. The delivery of PASCAL system is restricted to be performed only by a cardiothoracic surgeon, or an interventional cardiologist, accredited by the </w:t>
      </w:r>
      <w:proofErr w:type="spellStart"/>
      <w:r w:rsidR="00090CDC" w:rsidRPr="001211AF">
        <w:t>TMVr</w:t>
      </w:r>
      <w:proofErr w:type="spellEnd"/>
      <w:r w:rsidR="00090CDC" w:rsidRPr="001211AF">
        <w:t xml:space="preserve"> accreditation committee to perform the service in a hospital accredited to perform the procedure.</w:t>
      </w:r>
    </w:p>
    <w:p w14:paraId="5B2B1A02" w14:textId="77F4CAD7" w:rsidR="00775963" w:rsidRPr="00110451" w:rsidRDefault="00775963" w:rsidP="00110451">
      <w:pPr>
        <w:pStyle w:val="Heading1"/>
        <w:numPr>
          <w:ilvl w:val="0"/>
          <w:numId w:val="13"/>
        </w:numPr>
        <w:spacing w:before="240" w:after="240"/>
        <w:ind w:hanging="720"/>
        <w:rPr>
          <w:rFonts w:ascii="Arial" w:hAnsi="Arial" w:cs="Arial"/>
        </w:rPr>
      </w:pPr>
      <w:r w:rsidRPr="00110451">
        <w:rPr>
          <w:rFonts w:ascii="Arial" w:hAnsi="Arial" w:cs="Arial"/>
        </w:rPr>
        <w:t xml:space="preserve">Summary of </w:t>
      </w:r>
      <w:r w:rsidR="00B32898">
        <w:rPr>
          <w:rFonts w:ascii="Arial" w:hAnsi="Arial" w:cs="Arial"/>
        </w:rPr>
        <w:t>p</w:t>
      </w:r>
      <w:r w:rsidRPr="00110451">
        <w:rPr>
          <w:rFonts w:ascii="Arial" w:hAnsi="Arial" w:cs="Arial"/>
        </w:rPr>
        <w:t xml:space="preserve">ublic </w:t>
      </w:r>
      <w:r w:rsidR="00B32898">
        <w:rPr>
          <w:rFonts w:ascii="Arial" w:hAnsi="Arial" w:cs="Arial"/>
        </w:rPr>
        <w:t>c</w:t>
      </w:r>
      <w:r w:rsidRPr="00110451">
        <w:rPr>
          <w:rFonts w:ascii="Arial" w:hAnsi="Arial" w:cs="Arial"/>
        </w:rPr>
        <w:t xml:space="preserve">onsultation </w:t>
      </w:r>
      <w:r w:rsidR="00B32898">
        <w:rPr>
          <w:rFonts w:ascii="Arial" w:hAnsi="Arial" w:cs="Arial"/>
        </w:rPr>
        <w:t>f</w:t>
      </w:r>
      <w:r w:rsidRPr="00110451">
        <w:rPr>
          <w:rFonts w:ascii="Arial" w:hAnsi="Arial" w:cs="Arial"/>
        </w:rPr>
        <w:t>eedback/</w:t>
      </w:r>
      <w:r w:rsidR="00B32898">
        <w:rPr>
          <w:rFonts w:ascii="Arial" w:hAnsi="Arial" w:cs="Arial"/>
        </w:rPr>
        <w:t>c</w:t>
      </w:r>
      <w:r w:rsidRPr="00110451">
        <w:rPr>
          <w:rFonts w:ascii="Arial" w:hAnsi="Arial" w:cs="Arial"/>
        </w:rPr>
        <w:t>onsumer Issues</w:t>
      </w:r>
    </w:p>
    <w:p w14:paraId="5184F7D8" w14:textId="0ED663F7" w:rsidR="00B411FE" w:rsidRPr="00110451" w:rsidRDefault="000E6E63" w:rsidP="00B411FE">
      <w:r w:rsidRPr="000E6E63">
        <w:t>No consumer feedback/consumer comments were received for this application</w:t>
      </w:r>
      <w:r>
        <w:t>.</w:t>
      </w:r>
      <w:r w:rsidR="00C406E5">
        <w:t xml:space="preserve"> </w:t>
      </w:r>
      <w:r w:rsidR="00C406E5" w:rsidRPr="0033536C">
        <w:t>Letters of support</w:t>
      </w:r>
      <w:r w:rsidR="00611242" w:rsidRPr="0033536C">
        <w:t xml:space="preserve"> were</w:t>
      </w:r>
      <w:r w:rsidR="00C406E5" w:rsidRPr="0033536C">
        <w:t xml:space="preserve"> </w:t>
      </w:r>
      <w:r w:rsidR="009609F4" w:rsidRPr="0033536C">
        <w:t>received with the application</w:t>
      </w:r>
      <w:r w:rsidR="00611242" w:rsidRPr="0033536C">
        <w:t xml:space="preserve"> from The Australian &amp; New Zealand Society of Cardiac &amp; Thoracic Surgeons (ANZSCTS) and the Hearts4Heart group. Both organizations</w:t>
      </w:r>
      <w:r w:rsidR="009609F4" w:rsidRPr="0033536C">
        <w:t xml:space="preserve"> supported the need for </w:t>
      </w:r>
      <w:proofErr w:type="spellStart"/>
      <w:r w:rsidR="009609F4" w:rsidRPr="0033536C">
        <w:t>TMVr</w:t>
      </w:r>
      <w:proofErr w:type="spellEnd"/>
      <w:r w:rsidR="009609F4" w:rsidRPr="0033536C">
        <w:t xml:space="preserve"> devices for the treatment of severe mitral regurgitation </w:t>
      </w:r>
      <w:r w:rsidR="00611242" w:rsidRPr="0033536C">
        <w:t>in patients not candidates for surgical interventions. ANZSCTS noted the need for strict criteria and the Heart Team model to ensure appropriate patient selection and suggested as a requirement the use of a National Registry with mandated involvement and data submission for accredited sites and proceduralists.</w:t>
      </w:r>
    </w:p>
    <w:p w14:paraId="647036DB" w14:textId="0FF57FB3" w:rsidR="00BF0DFE" w:rsidRPr="00110451" w:rsidRDefault="00065623" w:rsidP="00110451">
      <w:pPr>
        <w:pStyle w:val="Heading1"/>
        <w:numPr>
          <w:ilvl w:val="0"/>
          <w:numId w:val="13"/>
        </w:numPr>
        <w:spacing w:before="240" w:after="240"/>
        <w:ind w:hanging="720"/>
        <w:rPr>
          <w:rFonts w:ascii="Arial" w:hAnsi="Arial" w:cs="Arial"/>
        </w:rPr>
      </w:pPr>
      <w:r w:rsidRPr="00110451">
        <w:rPr>
          <w:rFonts w:ascii="Arial" w:hAnsi="Arial" w:cs="Arial"/>
        </w:rPr>
        <w:t>Proposed intervention’s place in clinical management</w:t>
      </w:r>
    </w:p>
    <w:p w14:paraId="64620AB9" w14:textId="77777777" w:rsidR="00D30E9C" w:rsidRDefault="00D30E9C" w:rsidP="00D30E9C">
      <w:pPr>
        <w:pStyle w:val="Heading2"/>
        <w:jc w:val="both"/>
      </w:pPr>
      <w:r>
        <w:t>Description of Medical Service</w:t>
      </w:r>
    </w:p>
    <w:p w14:paraId="5074773F" w14:textId="1F0F8AE6" w:rsidR="000A60BE" w:rsidRDefault="00D30E9C" w:rsidP="000A60BE">
      <w:pPr>
        <w:spacing w:after="240"/>
      </w:pPr>
      <w:r>
        <w:t xml:space="preserve">A catheter-based technique for the delivery of a permanent implant to the mitral valve via transeptal access. </w:t>
      </w:r>
      <w:r>
        <w:rPr>
          <w:shd w:val="clear" w:color="auto" w:fill="FFFFFF"/>
        </w:rPr>
        <w:t xml:space="preserve">The PASCAL system consists of the Implant System, Guide Sheath as well as the optional Stabiliser and cardiac implantation catheter table. </w:t>
      </w:r>
      <w:r>
        <w:t xml:space="preserve">The implant clasps the anterior and posterior leaflets around a spacer, thus creating a double orifice and reducing mitral regurgitation (MR). The Implant System consists of the Steerable Catheter (outermost layer), the Implant Catheter (innermost layer), and the implant. The Implant System percutaneously delivers the implant to the valve via a femoral vein access using a transvenous, transeptal approach. The implant is deployed and secured to the leaflets of the valve, acting as a filler in the regurgitant orifice. The primary components of the Implant are the spacer, paddles, and clasps made from Nitinol. This application refers to the proposed medical service as transcatheter mitral valve repair. </w:t>
      </w:r>
      <w:r>
        <w:rPr>
          <w:shd w:val="clear" w:color="auto" w:fill="FFFFFF"/>
        </w:rPr>
        <w:t>The PASCAL Ace, a smaller size version of the original size PASCAL is also listed on the ARTG (</w:t>
      </w:r>
      <w:r>
        <w:rPr>
          <w:shd w:val="clear" w:color="auto" w:fill="FFFFFF"/>
        </w:rPr>
        <w:fldChar w:fldCharType="begin"/>
      </w:r>
      <w:r>
        <w:rPr>
          <w:shd w:val="clear" w:color="auto" w:fill="FFFFFF"/>
        </w:rPr>
        <w:instrText xml:space="preserve"> REF _Ref86130791 \h  \* MERGEFORMAT </w:instrText>
      </w:r>
      <w:r>
        <w:rPr>
          <w:shd w:val="clear" w:color="auto" w:fill="FFFFFF"/>
        </w:rPr>
      </w:r>
      <w:r>
        <w:rPr>
          <w:shd w:val="clear" w:color="auto" w:fill="FFFFFF"/>
        </w:rPr>
        <w:fldChar w:fldCharType="separate"/>
      </w:r>
      <w:r>
        <w:t xml:space="preserve">Table </w:t>
      </w:r>
      <w:r>
        <w:rPr>
          <w:noProof/>
        </w:rPr>
        <w:t>1</w:t>
      </w:r>
      <w:r>
        <w:rPr>
          <w:shd w:val="clear" w:color="auto" w:fill="FFFFFF"/>
        </w:rPr>
        <w:fldChar w:fldCharType="end"/>
      </w:r>
      <w:r>
        <w:rPr>
          <w:shd w:val="clear" w:color="auto" w:fill="FFFFFF"/>
        </w:rPr>
        <w:t>).</w:t>
      </w:r>
    </w:p>
    <w:p w14:paraId="291C0676" w14:textId="129DF2B3" w:rsidR="00D30E9C" w:rsidRPr="000A60BE" w:rsidRDefault="00D30E9C" w:rsidP="000A60BE">
      <w:pPr>
        <w:rPr>
          <w:i/>
          <w:iCs/>
        </w:rPr>
      </w:pPr>
      <w:r w:rsidRPr="000A60BE">
        <w:rPr>
          <w:i/>
          <w:iCs/>
        </w:rPr>
        <w:t>Description of Medical Condition</w:t>
      </w:r>
    </w:p>
    <w:p w14:paraId="75565F85" w14:textId="5DE26E7D" w:rsidR="000A60BE" w:rsidRDefault="00D30E9C" w:rsidP="000A60BE">
      <w:proofErr w:type="gramStart"/>
      <w:r>
        <w:t>MR (also known as mitral insufficiency),</w:t>
      </w:r>
      <w:proofErr w:type="gramEnd"/>
      <w:r>
        <w:t xml:space="preserve"> is a condition in which incompetency of the mitral valve causes abnormal backflow of blood from the left ventricle to the left atrium during the systolic phase of the cardiac cycle. There are two types of MR: degenerative and functional. Degenerative mitral regurgitation, also known as primary MR, refers to regurgitation resulting from the structural abnormality of the mitral valve leaflets and/or valve apparatus. In contrast, functional mitral regurgitation, also known as secondary MR, occurs when the </w:t>
      </w:r>
      <w:r>
        <w:lastRenderedPageBreak/>
        <w:t>valve and/or valve apparatus is structurally normal, but dysfunction, distortion, or dilation of the left atrial or ventricular chambers results in tethering of the leaflets and/or mitral annular dilation. MR is associated with an increased risk for heart failure and death</w:t>
      </w:r>
      <w:r w:rsidR="000A60BE">
        <w:t>.</w:t>
      </w:r>
    </w:p>
    <w:p w14:paraId="6DD43D96" w14:textId="0A22E575" w:rsidR="000A60BE" w:rsidRPr="001211AF" w:rsidRDefault="000A60BE" w:rsidP="000A60BE">
      <w:pPr>
        <w:spacing w:before="240"/>
      </w:pPr>
      <w:r w:rsidRPr="001211AF">
        <w:t>Two proposed clinical management algorithms are presented in the ADAR, one for FMR (</w:t>
      </w:r>
      <w:r w:rsidRPr="001211AF">
        <w:fldChar w:fldCharType="begin"/>
      </w:r>
      <w:r w:rsidRPr="001211AF">
        <w:instrText xml:space="preserve"> REF _Ref86131079 \h </w:instrText>
      </w:r>
      <w:r w:rsidR="00CD427A" w:rsidRPr="001211AF">
        <w:instrText xml:space="preserve"> \* MERGEFORMAT </w:instrText>
      </w:r>
      <w:r w:rsidRPr="001211AF">
        <w:fldChar w:fldCharType="separate"/>
      </w:r>
      <w:r w:rsidRPr="001211AF">
        <w:t xml:space="preserve">Figure </w:t>
      </w:r>
      <w:r w:rsidRPr="001211AF">
        <w:rPr>
          <w:noProof/>
        </w:rPr>
        <w:t>1</w:t>
      </w:r>
      <w:r w:rsidRPr="001211AF">
        <w:fldChar w:fldCharType="end"/>
      </w:r>
      <w:r w:rsidRPr="001211AF">
        <w:t>) and one for DMR (</w:t>
      </w:r>
      <w:r w:rsidRPr="001211AF">
        <w:fldChar w:fldCharType="begin"/>
      </w:r>
      <w:r w:rsidRPr="001211AF">
        <w:instrText xml:space="preserve"> REF _Ref86131089 \h </w:instrText>
      </w:r>
      <w:r w:rsidR="00CD427A" w:rsidRPr="001211AF">
        <w:instrText xml:space="preserve"> \* MERGEFORMAT </w:instrText>
      </w:r>
      <w:r w:rsidRPr="001211AF">
        <w:fldChar w:fldCharType="separate"/>
      </w:r>
      <w:r w:rsidRPr="001211AF">
        <w:t xml:space="preserve">Figure </w:t>
      </w:r>
      <w:r w:rsidRPr="001211AF">
        <w:rPr>
          <w:noProof/>
        </w:rPr>
        <w:t>2</w:t>
      </w:r>
      <w:r w:rsidRPr="001211AF">
        <w:fldChar w:fldCharType="end"/>
      </w:r>
      <w:r w:rsidRPr="001211AF">
        <w:t xml:space="preserve">). The commentary highlighted discrepancies between the clinical management algorithms and the current MBS listing. The pre-ESC response clarified that the intended treatment population is consistent with the current MBS listing. The algorithms were based on 2017 European Society of Cardiology (ESC) and the European Association for Cardio-Thoracic Surgery (EACTS) Guidelines and not fully consistent with the proposed population for </w:t>
      </w:r>
      <w:proofErr w:type="spellStart"/>
      <w:r w:rsidRPr="001211AF">
        <w:t>TMVr</w:t>
      </w:r>
      <w:proofErr w:type="spellEnd"/>
      <w:r w:rsidRPr="001211AF">
        <w:t>.</w:t>
      </w:r>
    </w:p>
    <w:p w14:paraId="2DB18C49" w14:textId="046B8DDA" w:rsidR="00A31EF9" w:rsidRDefault="00A31EF9" w:rsidP="003E62EE">
      <w:pPr>
        <w:pStyle w:val="Caption"/>
        <w:spacing w:before="240"/>
        <w:jc w:val="left"/>
      </w:pPr>
      <w:bookmarkStart w:id="12" w:name="_Ref86131079"/>
      <w:bookmarkStart w:id="13" w:name="_Hlk97191011"/>
      <w:r>
        <w:t xml:space="preserve">Figure </w:t>
      </w:r>
      <w:r w:rsidR="00002063">
        <w:fldChar w:fldCharType="begin"/>
      </w:r>
      <w:r w:rsidR="00002063">
        <w:instrText xml:space="preserve"> SEQ Figu</w:instrText>
      </w:r>
      <w:r w:rsidR="00002063">
        <w:instrText xml:space="preserve">re \* ARABIC </w:instrText>
      </w:r>
      <w:r w:rsidR="00002063">
        <w:fldChar w:fldCharType="separate"/>
      </w:r>
      <w:r>
        <w:rPr>
          <w:noProof/>
        </w:rPr>
        <w:t>1</w:t>
      </w:r>
      <w:r w:rsidR="00002063">
        <w:rPr>
          <w:noProof/>
        </w:rPr>
        <w:fldChar w:fldCharType="end"/>
      </w:r>
      <w:bookmarkEnd w:id="12"/>
      <w:r>
        <w:t xml:space="preserve"> </w:t>
      </w:r>
      <w:r w:rsidRPr="00B129FC">
        <w:t>Clinical management algorithm for the Edwards PASCAL valve repair system/Transcatheter Edge-to-Edge Repair (TEER) for Symptomatic Primary (Degenerative) MR</w:t>
      </w:r>
      <w:r w:rsidR="00B3303F">
        <w:t xml:space="preserve"> (REDACTED at applicant request. A comparable algorithm is available in </w:t>
      </w:r>
      <w:hyperlink r:id="rId11" w:anchor="115331418" w:history="1">
        <w:r w:rsidR="00B3303F" w:rsidRPr="00B3303F">
          <w:rPr>
            <w:rStyle w:val="Hyperlink"/>
          </w:rPr>
          <w:t>Figure 4 of the 2017 ESC and EACTS Guidelines</w:t>
        </w:r>
      </w:hyperlink>
      <w:r w:rsidR="00B3303F">
        <w:t>)</w:t>
      </w:r>
    </w:p>
    <w:p w14:paraId="0F5F8D09" w14:textId="77777777" w:rsidR="00A31EF9" w:rsidRPr="009006B8" w:rsidRDefault="00A31EF9" w:rsidP="00A31EF9">
      <w:pPr>
        <w:pStyle w:val="Tablecaption"/>
        <w:rPr>
          <w:sz w:val="18"/>
          <w:szCs w:val="18"/>
        </w:rPr>
      </w:pPr>
      <w:r w:rsidRPr="009006B8">
        <w:rPr>
          <w:sz w:val="18"/>
          <w:szCs w:val="18"/>
        </w:rPr>
        <w:t xml:space="preserve">AF = atrial fibrillation; HF = heart failure; LVEF = left ventricular ejection fraction; LVESD = left ventricular end-systolic diameter; SPAP = systolic pulmonary arterial pressure. </w:t>
      </w:r>
    </w:p>
    <w:p w14:paraId="5FB254CE" w14:textId="77777777" w:rsidR="00A31EF9" w:rsidRPr="009006B8" w:rsidRDefault="00A31EF9" w:rsidP="00A31EF9">
      <w:pPr>
        <w:pStyle w:val="Tablecaption"/>
        <w:rPr>
          <w:sz w:val="18"/>
          <w:szCs w:val="18"/>
        </w:rPr>
      </w:pPr>
      <w:r w:rsidRPr="009006B8">
        <w:rPr>
          <w:sz w:val="18"/>
          <w:szCs w:val="18"/>
          <w:vertAlign w:val="superscript"/>
        </w:rPr>
        <w:t>a</w:t>
      </w:r>
      <w:r w:rsidRPr="009006B8">
        <w:rPr>
          <w:sz w:val="18"/>
          <w:szCs w:val="18"/>
        </w:rPr>
        <w:t xml:space="preserve"> When there is a high likelihood of durable valve repair at a low risk, valve repair should be considered (</w:t>
      </w:r>
      <w:proofErr w:type="spellStart"/>
      <w:r w:rsidRPr="009006B8">
        <w:rPr>
          <w:sz w:val="18"/>
          <w:szCs w:val="18"/>
        </w:rPr>
        <w:t>IIa</w:t>
      </w:r>
      <w:proofErr w:type="spellEnd"/>
      <w:r w:rsidRPr="009006B8">
        <w:rPr>
          <w:sz w:val="18"/>
          <w:szCs w:val="18"/>
        </w:rPr>
        <w:t xml:space="preserve"> C) in patients with LVESD ≥ 40 mm and one of the following is present: flail leaflet or left atrial</w:t>
      </w:r>
      <w:r w:rsidRPr="009006B8" w:rsidDel="00095548">
        <w:rPr>
          <w:sz w:val="18"/>
          <w:szCs w:val="18"/>
        </w:rPr>
        <w:t xml:space="preserve"> </w:t>
      </w:r>
      <w:r w:rsidRPr="009006B8">
        <w:rPr>
          <w:sz w:val="18"/>
          <w:szCs w:val="18"/>
        </w:rPr>
        <w:t>volume ≥ 60 mL/m</w:t>
      </w:r>
      <w:r w:rsidRPr="009006B8">
        <w:rPr>
          <w:sz w:val="18"/>
          <w:szCs w:val="18"/>
          <w:vertAlign w:val="superscript"/>
        </w:rPr>
        <w:t>2</w:t>
      </w:r>
      <w:r w:rsidRPr="009006B8">
        <w:rPr>
          <w:sz w:val="18"/>
          <w:szCs w:val="18"/>
        </w:rPr>
        <w:t xml:space="preserve"> body surface area</w:t>
      </w:r>
      <w:r w:rsidRPr="009006B8" w:rsidDel="00E27207">
        <w:rPr>
          <w:sz w:val="18"/>
          <w:szCs w:val="18"/>
        </w:rPr>
        <w:t xml:space="preserve"> </w:t>
      </w:r>
      <w:r w:rsidRPr="009006B8">
        <w:rPr>
          <w:sz w:val="18"/>
          <w:szCs w:val="18"/>
        </w:rPr>
        <w:t xml:space="preserve">at sinus rhythm. </w:t>
      </w:r>
    </w:p>
    <w:p w14:paraId="576C4810" w14:textId="77777777" w:rsidR="00A31EF9" w:rsidRPr="009006B8" w:rsidRDefault="00A31EF9" w:rsidP="00A31EF9">
      <w:pPr>
        <w:pStyle w:val="Tablecaption"/>
        <w:rPr>
          <w:sz w:val="18"/>
          <w:szCs w:val="18"/>
        </w:rPr>
      </w:pPr>
      <w:r w:rsidRPr="009006B8">
        <w:rPr>
          <w:sz w:val="18"/>
          <w:szCs w:val="18"/>
          <w:vertAlign w:val="superscript"/>
        </w:rPr>
        <w:t>b</w:t>
      </w:r>
      <w:r w:rsidRPr="009006B8">
        <w:rPr>
          <w:sz w:val="18"/>
          <w:szCs w:val="18"/>
        </w:rPr>
        <w:t xml:space="preserve"> Extended heart failure management includes cardiac resynchronization therapy, ventricular assist devices, cardiac restraint devices, and heart transplantation.</w:t>
      </w:r>
    </w:p>
    <w:p w14:paraId="701576DC" w14:textId="5A429427" w:rsidR="00A31EF9" w:rsidRDefault="00A31EF9" w:rsidP="00A31EF9">
      <w:pPr>
        <w:pStyle w:val="Tablecaption"/>
        <w:rPr>
          <w:sz w:val="18"/>
          <w:szCs w:val="18"/>
        </w:rPr>
      </w:pPr>
      <w:r w:rsidRPr="009006B8">
        <w:rPr>
          <w:sz w:val="18"/>
          <w:szCs w:val="18"/>
        </w:rPr>
        <w:t xml:space="preserve">Source: ADAR </w:t>
      </w:r>
    </w:p>
    <w:p w14:paraId="549313DA" w14:textId="0CA15D6E" w:rsidR="00A31EF9" w:rsidRDefault="00A31EF9" w:rsidP="003E62EE">
      <w:pPr>
        <w:pStyle w:val="Caption"/>
        <w:spacing w:before="240"/>
        <w:jc w:val="left"/>
      </w:pPr>
      <w:bookmarkStart w:id="14" w:name="_Ref86131089"/>
      <w:bookmarkEnd w:id="13"/>
      <w:r>
        <w:t xml:space="preserve">Figure </w:t>
      </w:r>
      <w:r w:rsidR="00002063">
        <w:fldChar w:fldCharType="begin"/>
      </w:r>
      <w:r w:rsidR="00002063">
        <w:instrText xml:space="preserve"> SEQ Figure \* ARABIC </w:instrText>
      </w:r>
      <w:r w:rsidR="00002063">
        <w:fldChar w:fldCharType="separate"/>
      </w:r>
      <w:r>
        <w:rPr>
          <w:noProof/>
        </w:rPr>
        <w:t>2</w:t>
      </w:r>
      <w:r w:rsidR="00002063">
        <w:rPr>
          <w:noProof/>
        </w:rPr>
        <w:fldChar w:fldCharType="end"/>
      </w:r>
      <w:bookmarkEnd w:id="14"/>
      <w:r>
        <w:t xml:space="preserve"> </w:t>
      </w:r>
      <w:r w:rsidRPr="00AF1710">
        <w:t xml:space="preserve"> Clinical management algorithm for the Edwards PASCAL valve repair system/Transcatheter Edge-to-Edge Repair (TEER) for Symptomatic Secondary (Functional) MR</w:t>
      </w:r>
      <w:r w:rsidR="00EC1ED6">
        <w:t xml:space="preserve"> (REDACTED at applicant request. A comparable algorithm is available in the </w:t>
      </w:r>
      <w:hyperlink r:id="rId12" w:history="1">
        <w:r w:rsidR="00EC1ED6" w:rsidRPr="00EC1ED6">
          <w:rPr>
            <w:rStyle w:val="Hyperlink"/>
          </w:rPr>
          <w:t>Figure 2 of MSAC PSD for application 1192.3</w:t>
        </w:r>
      </w:hyperlink>
      <w:r w:rsidR="00EC1ED6">
        <w:t>)</w:t>
      </w:r>
    </w:p>
    <w:p w14:paraId="296D64D8" w14:textId="77777777" w:rsidR="00A31EF9" w:rsidRPr="00611242" w:rsidRDefault="00A31EF9" w:rsidP="00A31EF9">
      <w:pPr>
        <w:pStyle w:val="Figurenote"/>
        <w:rPr>
          <w:rFonts w:ascii="Arial Narrow" w:hAnsi="Arial Narrow"/>
          <w:color w:val="auto"/>
          <w:sz w:val="18"/>
          <w:szCs w:val="18"/>
        </w:rPr>
      </w:pPr>
      <w:r w:rsidRPr="00611242">
        <w:rPr>
          <w:rFonts w:ascii="Arial Narrow" w:hAnsi="Arial Narrow"/>
          <w:color w:val="auto"/>
          <w:sz w:val="18"/>
          <w:szCs w:val="18"/>
        </w:rPr>
        <w:t xml:space="preserve">GDMT = guideline-directed medical therapy; LVEF = left ventricular ejection fraction; LVESD = left ventricular end-systolic diameter; MDHT = multidisciplinary heart team; NYHA = New York Heart Association; </w:t>
      </w:r>
      <w:proofErr w:type="spellStart"/>
      <w:r w:rsidRPr="00611242">
        <w:rPr>
          <w:rFonts w:ascii="Arial Narrow" w:hAnsi="Arial Narrow"/>
          <w:color w:val="auto"/>
          <w:sz w:val="18"/>
          <w:szCs w:val="18"/>
        </w:rPr>
        <w:t>TMVr</w:t>
      </w:r>
      <w:proofErr w:type="spellEnd"/>
      <w:r w:rsidRPr="00611242">
        <w:rPr>
          <w:rFonts w:ascii="Arial Narrow" w:hAnsi="Arial Narrow"/>
          <w:color w:val="auto"/>
          <w:sz w:val="18"/>
          <w:szCs w:val="18"/>
        </w:rPr>
        <w:t> = transcatheter mitral valve repair.</w:t>
      </w:r>
    </w:p>
    <w:p w14:paraId="64C2735B" w14:textId="77777777" w:rsidR="00A31EF9" w:rsidRPr="00611242" w:rsidRDefault="00A31EF9" w:rsidP="00A31EF9">
      <w:pPr>
        <w:pStyle w:val="Figurenote"/>
        <w:rPr>
          <w:rFonts w:ascii="Arial Narrow" w:hAnsi="Arial Narrow"/>
          <w:color w:val="auto"/>
          <w:sz w:val="18"/>
          <w:szCs w:val="18"/>
        </w:rPr>
      </w:pPr>
      <w:r w:rsidRPr="00611242">
        <w:rPr>
          <w:rFonts w:ascii="Arial Narrow" w:hAnsi="Arial Narrow"/>
          <w:color w:val="auto"/>
          <w:sz w:val="18"/>
          <w:szCs w:val="18"/>
          <w:vertAlign w:val="superscript"/>
        </w:rPr>
        <w:t>a</w:t>
      </w:r>
      <w:r w:rsidRPr="00611242">
        <w:rPr>
          <w:rFonts w:ascii="Arial Narrow" w:hAnsi="Arial Narrow"/>
          <w:color w:val="auto"/>
          <w:sz w:val="18"/>
          <w:szCs w:val="18"/>
        </w:rPr>
        <w:t xml:space="preserve"> Symptomatic = NYHA functional class II or greater.</w:t>
      </w:r>
    </w:p>
    <w:p w14:paraId="12D04F71" w14:textId="77777777" w:rsidR="00A31EF9" w:rsidRPr="00611242" w:rsidRDefault="00A31EF9" w:rsidP="00A31EF9">
      <w:pPr>
        <w:pStyle w:val="Figurenote"/>
        <w:rPr>
          <w:rFonts w:ascii="Arial Narrow" w:hAnsi="Arial Narrow"/>
          <w:color w:val="auto"/>
          <w:sz w:val="18"/>
          <w:szCs w:val="18"/>
        </w:rPr>
      </w:pPr>
      <w:r w:rsidRPr="00611242">
        <w:rPr>
          <w:rFonts w:ascii="Arial Narrow" w:hAnsi="Arial Narrow"/>
          <w:color w:val="auto"/>
          <w:sz w:val="18"/>
          <w:szCs w:val="18"/>
          <w:vertAlign w:val="superscript"/>
        </w:rPr>
        <w:t>b</w:t>
      </w:r>
      <w:r w:rsidRPr="00611242">
        <w:rPr>
          <w:rFonts w:ascii="Arial Narrow" w:hAnsi="Arial Narrow"/>
          <w:color w:val="auto"/>
          <w:sz w:val="18"/>
          <w:szCs w:val="18"/>
        </w:rPr>
        <w:t xml:space="preserve"> Patients considered ineligible for surgery as determined by a multidisciplinary heart team, combining surgical risk assessment, frailty, major organ system dysfunction, and procedure-specific impediments.</w:t>
      </w:r>
    </w:p>
    <w:p w14:paraId="5C844C4F" w14:textId="77777777" w:rsidR="00A31EF9" w:rsidRPr="00611242" w:rsidRDefault="00A31EF9" w:rsidP="00A31EF9">
      <w:pPr>
        <w:pStyle w:val="Figurenote"/>
        <w:rPr>
          <w:rFonts w:ascii="Arial Narrow" w:hAnsi="Arial Narrow"/>
          <w:color w:val="auto"/>
          <w:sz w:val="18"/>
          <w:szCs w:val="18"/>
        </w:rPr>
      </w:pPr>
      <w:r w:rsidRPr="00611242">
        <w:rPr>
          <w:rFonts w:ascii="Arial Narrow" w:hAnsi="Arial Narrow"/>
          <w:color w:val="auto"/>
          <w:sz w:val="18"/>
          <w:szCs w:val="18"/>
          <w:vertAlign w:val="superscript"/>
        </w:rPr>
        <w:t>c</w:t>
      </w:r>
      <w:r w:rsidRPr="00611242">
        <w:rPr>
          <w:rFonts w:ascii="Arial Narrow" w:hAnsi="Arial Narrow"/>
          <w:color w:val="auto"/>
          <w:sz w:val="18"/>
          <w:szCs w:val="18"/>
        </w:rPr>
        <w:t xml:space="preserve"> Medical management refers to maximally tolerated GDMT.</w:t>
      </w:r>
    </w:p>
    <w:p w14:paraId="5A705D9F" w14:textId="77777777" w:rsidR="00A31EF9" w:rsidRPr="00611242" w:rsidRDefault="00A31EF9" w:rsidP="00A31EF9">
      <w:pPr>
        <w:pStyle w:val="Figurenote"/>
        <w:rPr>
          <w:rFonts w:ascii="Arial Narrow" w:hAnsi="Arial Narrow"/>
          <w:color w:val="auto"/>
          <w:sz w:val="18"/>
          <w:szCs w:val="18"/>
        </w:rPr>
      </w:pPr>
      <w:r w:rsidRPr="00611242">
        <w:rPr>
          <w:rFonts w:ascii="Arial Narrow" w:hAnsi="Arial Narrow"/>
          <w:color w:val="auto"/>
          <w:sz w:val="18"/>
          <w:szCs w:val="18"/>
          <w:vertAlign w:val="superscript"/>
        </w:rPr>
        <w:t>d</w:t>
      </w:r>
      <w:r w:rsidRPr="00611242">
        <w:rPr>
          <w:rFonts w:ascii="Arial Narrow" w:hAnsi="Arial Narrow"/>
          <w:color w:val="auto"/>
          <w:sz w:val="18"/>
          <w:szCs w:val="18"/>
        </w:rPr>
        <w:t xml:space="preserve"> Extended heart failure management includes cardiac resynchronization therapy, ventricular assist devices, cardiac restraint devices, and heart transplant.</w:t>
      </w:r>
    </w:p>
    <w:p w14:paraId="7706E8B8" w14:textId="473A7E40" w:rsidR="00991073" w:rsidRPr="00854D78" w:rsidRDefault="00A31EF9" w:rsidP="00854D78">
      <w:pPr>
        <w:pStyle w:val="Figurenote"/>
        <w:rPr>
          <w:rFonts w:ascii="Arial Narrow" w:hAnsi="Arial Narrow"/>
          <w:color w:val="auto"/>
          <w:sz w:val="18"/>
          <w:szCs w:val="18"/>
        </w:rPr>
      </w:pPr>
      <w:r w:rsidRPr="00611242">
        <w:rPr>
          <w:rFonts w:ascii="Arial Narrow" w:hAnsi="Arial Narrow"/>
          <w:color w:val="auto"/>
          <w:sz w:val="18"/>
          <w:szCs w:val="18"/>
        </w:rPr>
        <w:t xml:space="preserve">Source: </w:t>
      </w:r>
      <w:r>
        <w:rPr>
          <w:rFonts w:ascii="Arial Narrow" w:hAnsi="Arial Narrow"/>
          <w:color w:val="auto"/>
          <w:sz w:val="18"/>
          <w:szCs w:val="18"/>
        </w:rPr>
        <w:t xml:space="preserve">ADAR </w:t>
      </w:r>
    </w:p>
    <w:p w14:paraId="19EC7DC0" w14:textId="59DD6E80" w:rsidR="00D55F83" w:rsidRPr="00B32898" w:rsidRDefault="00065623" w:rsidP="00B32898">
      <w:pPr>
        <w:pStyle w:val="Heading1"/>
        <w:numPr>
          <w:ilvl w:val="0"/>
          <w:numId w:val="13"/>
        </w:numPr>
        <w:spacing w:before="240" w:after="240"/>
        <w:ind w:hanging="720"/>
        <w:rPr>
          <w:rFonts w:ascii="Arial" w:hAnsi="Arial" w:cs="Arial"/>
        </w:rPr>
      </w:pPr>
      <w:r w:rsidRPr="00B32898">
        <w:rPr>
          <w:rFonts w:ascii="Arial" w:hAnsi="Arial" w:cs="Arial"/>
        </w:rPr>
        <w:t>Comparator</w:t>
      </w:r>
    </w:p>
    <w:p w14:paraId="484034F5" w14:textId="002BBD99" w:rsidR="00443F1D" w:rsidRPr="000230B8" w:rsidRDefault="00105C26" w:rsidP="000230B8">
      <w:r w:rsidRPr="00991073">
        <w:t xml:space="preserve">The comparator for the proposed medical service is the </w:t>
      </w:r>
      <w:proofErr w:type="spellStart"/>
      <w:r w:rsidRPr="00991073">
        <w:t>MitraClip</w:t>
      </w:r>
      <w:proofErr w:type="spellEnd"/>
      <w:r w:rsidR="003575F0" w:rsidRPr="00991073">
        <w:t xml:space="preserve"> </w:t>
      </w:r>
      <w:r w:rsidRPr="00991073">
        <w:t>system from Abbot</w:t>
      </w:r>
      <w:r w:rsidR="00AE3C4A">
        <w:t>t</w:t>
      </w:r>
      <w:r w:rsidRPr="00991073">
        <w:t xml:space="preserve"> Vascular which is listed on the MBS as the only transcatheter mitral valve repair device that has obtained</w:t>
      </w:r>
      <w:r>
        <w:t xml:space="preserve"> successful listing. </w:t>
      </w:r>
    </w:p>
    <w:p w14:paraId="129DD6F8" w14:textId="332B42F1" w:rsidR="005922DB" w:rsidRPr="000230B8" w:rsidRDefault="00065623" w:rsidP="000230B8">
      <w:pPr>
        <w:pStyle w:val="Heading1"/>
        <w:numPr>
          <w:ilvl w:val="0"/>
          <w:numId w:val="13"/>
        </w:numPr>
        <w:spacing w:before="240" w:after="240"/>
        <w:ind w:hanging="720"/>
        <w:rPr>
          <w:rFonts w:ascii="Arial" w:hAnsi="Arial" w:cs="Arial"/>
        </w:rPr>
      </w:pPr>
      <w:r w:rsidRPr="000230B8">
        <w:rPr>
          <w:rFonts w:ascii="Arial" w:hAnsi="Arial" w:cs="Arial"/>
        </w:rPr>
        <w:t>Comparative safety</w:t>
      </w:r>
    </w:p>
    <w:p w14:paraId="1222ADD6" w14:textId="31A31EBB" w:rsidR="005602F8" w:rsidRDefault="00F86B1E" w:rsidP="009E5F8D">
      <w:pPr>
        <w:spacing w:after="240"/>
      </w:pPr>
      <w:r w:rsidRPr="00F86B1E">
        <w:t xml:space="preserve">The safety outcomes included in the ADAR were overall survival, major adverse events (MAEs), stroke and myocardial infarction (MI) observed by 30 days. </w:t>
      </w:r>
      <w:r>
        <w:t>The primary source of evidence used was matched adjusted</w:t>
      </w:r>
      <w:r w:rsidR="006076E0">
        <w:t xml:space="preserve"> indirect comparison (MAIC) analysis between a single arm study of the PASCAL </w:t>
      </w:r>
      <w:proofErr w:type="spellStart"/>
      <w:r w:rsidR="006076E0">
        <w:t>TMVr</w:t>
      </w:r>
      <w:proofErr w:type="spellEnd"/>
      <w:r w:rsidR="006076E0">
        <w:t xml:space="preserve"> (</w:t>
      </w:r>
      <w:r>
        <w:t>CLASP</w:t>
      </w:r>
      <w:r w:rsidR="006076E0">
        <w:t>)</w:t>
      </w:r>
      <w:r w:rsidR="00053C56">
        <w:rPr>
          <w:rStyle w:val="FootnoteReference"/>
        </w:rPr>
        <w:footnoteReference w:id="13"/>
      </w:r>
      <w:r w:rsidR="006076E0">
        <w:t xml:space="preserve"> and the </w:t>
      </w:r>
      <w:proofErr w:type="spellStart"/>
      <w:r w:rsidR="006076E0">
        <w:t>MitraClip</w:t>
      </w:r>
      <w:proofErr w:type="spellEnd"/>
      <w:r w:rsidR="006076E0">
        <w:t xml:space="preserve"> arm</w:t>
      </w:r>
      <w:r w:rsidR="00062E87">
        <w:t xml:space="preserve">s of two comparative </w:t>
      </w:r>
      <w:r w:rsidR="00E738DA">
        <w:lastRenderedPageBreak/>
        <w:t>trials</w:t>
      </w:r>
      <w:r w:rsidR="000734A6">
        <w:t xml:space="preserve"> </w:t>
      </w:r>
      <w:r w:rsidR="00062E87">
        <w:t>(COAPT</w:t>
      </w:r>
      <w:r w:rsidR="00053C56">
        <w:rPr>
          <w:rStyle w:val="FootnoteReference"/>
        </w:rPr>
        <w:footnoteReference w:id="14"/>
      </w:r>
      <w:r w:rsidR="00062E87">
        <w:t xml:space="preserve"> and EVEREST-II</w:t>
      </w:r>
      <w:r w:rsidR="00053C56">
        <w:rPr>
          <w:rStyle w:val="FootnoteReference"/>
        </w:rPr>
        <w:footnoteReference w:id="15"/>
      </w:r>
      <w:r w:rsidR="00053C56">
        <w:t>)</w:t>
      </w:r>
      <w:r w:rsidR="00062E87">
        <w:t>.</w:t>
      </w:r>
      <w:r w:rsidR="00AD31A3">
        <w:t xml:space="preserve"> Details of the studies</w:t>
      </w:r>
      <w:r w:rsidR="00072539">
        <w:t xml:space="preserve"> are</w:t>
      </w:r>
      <w:r w:rsidR="00AD31A3">
        <w:t xml:space="preserve"> presented in </w:t>
      </w:r>
      <w:r w:rsidR="000C3FE3">
        <w:fldChar w:fldCharType="begin"/>
      </w:r>
      <w:r w:rsidR="000C3FE3">
        <w:instrText xml:space="preserve"> REF _Ref90480341 \h </w:instrText>
      </w:r>
      <w:r w:rsidR="000C3FE3">
        <w:fldChar w:fldCharType="separate"/>
      </w:r>
      <w:r w:rsidR="000C3FE3">
        <w:t xml:space="preserve">Table </w:t>
      </w:r>
      <w:r w:rsidR="000C3FE3">
        <w:rPr>
          <w:noProof/>
        </w:rPr>
        <w:t>3</w:t>
      </w:r>
      <w:r w:rsidR="000C3FE3">
        <w:fldChar w:fldCharType="end"/>
      </w:r>
      <w:r w:rsidR="000C3FE3">
        <w:t>.</w:t>
      </w:r>
      <w:r w:rsidR="0097015B">
        <w:fldChar w:fldCharType="begin"/>
      </w:r>
      <w:r w:rsidR="0097015B">
        <w:instrText xml:space="preserve"> REF _Ref90474166 \h </w:instrText>
      </w:r>
      <w:r w:rsidR="0097015B">
        <w:fldChar w:fldCharType="end"/>
      </w:r>
      <w:r w:rsidR="00577645">
        <w:t xml:space="preserve"> Unanchored MAIC analyses of overall survival and MAEs were presented </w:t>
      </w:r>
      <w:r w:rsidR="00577645" w:rsidRPr="00F86B1E">
        <w:t>separately for the two comparisons CLASP vs COAPT (FMR population only) and CLASP vs EVEREST-II (mixed population) and included both the results of the base-case and sensitivity matching</w:t>
      </w:r>
      <w:r w:rsidR="00577645">
        <w:t xml:space="preserve">. </w:t>
      </w:r>
    </w:p>
    <w:tbl>
      <w:tblPr>
        <w:tblStyle w:val="TableGrid1"/>
        <w:tblpPr w:leftFromText="180" w:rightFromText="180" w:vertAnchor="text" w:horzAnchor="margin" w:tblpY="235"/>
        <w:tblW w:w="0" w:type="auto"/>
        <w:tblInd w:w="0" w:type="dxa"/>
        <w:tblLayout w:type="fixed"/>
        <w:tblCellMar>
          <w:left w:w="28" w:type="dxa"/>
          <w:right w:w="28" w:type="dxa"/>
        </w:tblCellMar>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988"/>
        <w:gridCol w:w="859"/>
        <w:gridCol w:w="1774"/>
        <w:gridCol w:w="1480"/>
        <w:gridCol w:w="1937"/>
        <w:gridCol w:w="1978"/>
      </w:tblGrid>
      <w:tr w:rsidR="00A05B98" w:rsidRPr="005602F8" w14:paraId="603AFBD6" w14:textId="77777777" w:rsidTr="00002063">
        <w:trPr>
          <w:cantSplit/>
          <w:trHeight w:val="416"/>
          <w:tblHeader/>
        </w:trPr>
        <w:tc>
          <w:tcPr>
            <w:tcW w:w="988" w:type="dxa"/>
            <w:shd w:val="clear" w:color="auto" w:fill="auto"/>
            <w:vAlign w:val="center"/>
          </w:tcPr>
          <w:p w14:paraId="3F603598" w14:textId="77777777" w:rsidR="00A05B98" w:rsidRPr="005602F8" w:rsidRDefault="00A05B98" w:rsidP="009E5F8D">
            <w:pPr>
              <w:pStyle w:val="TableHeading"/>
              <w:spacing w:before="0" w:after="0"/>
              <w:rPr>
                <w:snapToGrid w:val="0"/>
                <w:sz w:val="18"/>
                <w:szCs w:val="18"/>
                <w:lang w:eastAsia="en-US"/>
              </w:rPr>
            </w:pPr>
            <w:r w:rsidRPr="005602F8">
              <w:rPr>
                <w:snapToGrid w:val="0"/>
                <w:sz w:val="18"/>
                <w:szCs w:val="18"/>
                <w:lang w:eastAsia="en-US"/>
              </w:rPr>
              <w:t>Trial/Study</w:t>
            </w:r>
          </w:p>
        </w:tc>
        <w:tc>
          <w:tcPr>
            <w:tcW w:w="859" w:type="dxa"/>
            <w:shd w:val="clear" w:color="auto" w:fill="auto"/>
            <w:vAlign w:val="center"/>
          </w:tcPr>
          <w:p w14:paraId="68F4CC7A" w14:textId="77777777" w:rsidR="00A05B98" w:rsidRPr="005602F8" w:rsidRDefault="00A05B98" w:rsidP="009E5F8D">
            <w:pPr>
              <w:pStyle w:val="TableHeading"/>
              <w:spacing w:before="0" w:after="0"/>
              <w:jc w:val="center"/>
              <w:rPr>
                <w:snapToGrid w:val="0"/>
                <w:sz w:val="18"/>
                <w:szCs w:val="18"/>
                <w:lang w:eastAsia="en-US"/>
              </w:rPr>
            </w:pPr>
            <w:r w:rsidRPr="005602F8">
              <w:rPr>
                <w:snapToGrid w:val="0"/>
                <w:sz w:val="18"/>
                <w:szCs w:val="18"/>
                <w:lang w:eastAsia="en-US"/>
              </w:rPr>
              <w:t>N</w:t>
            </w:r>
          </w:p>
        </w:tc>
        <w:tc>
          <w:tcPr>
            <w:tcW w:w="1774" w:type="dxa"/>
            <w:shd w:val="clear" w:color="auto" w:fill="auto"/>
            <w:vAlign w:val="center"/>
          </w:tcPr>
          <w:p w14:paraId="1255505F" w14:textId="77777777" w:rsidR="00A05B98" w:rsidRPr="005602F8" w:rsidRDefault="00A05B98" w:rsidP="009E5F8D">
            <w:pPr>
              <w:pStyle w:val="TableHeading"/>
              <w:spacing w:before="0" w:after="0"/>
              <w:jc w:val="center"/>
              <w:rPr>
                <w:snapToGrid w:val="0"/>
                <w:sz w:val="18"/>
                <w:szCs w:val="18"/>
                <w:lang w:eastAsia="en-US"/>
              </w:rPr>
            </w:pPr>
            <w:r w:rsidRPr="005602F8">
              <w:rPr>
                <w:snapToGrid w:val="0"/>
                <w:sz w:val="18"/>
                <w:szCs w:val="18"/>
                <w:lang w:eastAsia="en-US"/>
              </w:rPr>
              <w:t>Design/ duration</w:t>
            </w:r>
          </w:p>
        </w:tc>
        <w:tc>
          <w:tcPr>
            <w:tcW w:w="1480" w:type="dxa"/>
            <w:shd w:val="clear" w:color="auto" w:fill="auto"/>
            <w:vAlign w:val="center"/>
          </w:tcPr>
          <w:p w14:paraId="6DF8FD23" w14:textId="77777777" w:rsidR="00A05B98" w:rsidRPr="005602F8" w:rsidRDefault="00A05B98" w:rsidP="009E5F8D">
            <w:pPr>
              <w:pStyle w:val="TableHeading"/>
              <w:spacing w:before="0" w:after="0"/>
              <w:jc w:val="center"/>
              <w:rPr>
                <w:snapToGrid w:val="0"/>
                <w:sz w:val="18"/>
                <w:szCs w:val="18"/>
                <w:lang w:eastAsia="en-US"/>
              </w:rPr>
            </w:pPr>
            <w:r w:rsidRPr="005602F8">
              <w:rPr>
                <w:snapToGrid w:val="0"/>
                <w:sz w:val="18"/>
                <w:szCs w:val="18"/>
                <w:lang w:eastAsia="en-US"/>
              </w:rPr>
              <w:t>Risk of bias</w:t>
            </w:r>
          </w:p>
        </w:tc>
        <w:tc>
          <w:tcPr>
            <w:tcW w:w="1937" w:type="dxa"/>
            <w:shd w:val="clear" w:color="auto" w:fill="auto"/>
            <w:vAlign w:val="center"/>
          </w:tcPr>
          <w:p w14:paraId="04142380" w14:textId="77777777" w:rsidR="00A05B98" w:rsidRPr="005602F8" w:rsidRDefault="00A05B98" w:rsidP="009E5F8D">
            <w:pPr>
              <w:pStyle w:val="TableHeading"/>
              <w:spacing w:before="0" w:after="0"/>
              <w:jc w:val="center"/>
              <w:rPr>
                <w:snapToGrid w:val="0"/>
                <w:sz w:val="18"/>
                <w:szCs w:val="18"/>
                <w:lang w:eastAsia="en-US"/>
              </w:rPr>
            </w:pPr>
            <w:r w:rsidRPr="005602F8">
              <w:rPr>
                <w:snapToGrid w:val="0"/>
                <w:sz w:val="18"/>
                <w:szCs w:val="18"/>
                <w:lang w:eastAsia="en-US"/>
              </w:rPr>
              <w:t>Patient population</w:t>
            </w:r>
          </w:p>
        </w:tc>
        <w:tc>
          <w:tcPr>
            <w:tcW w:w="1978" w:type="dxa"/>
            <w:shd w:val="clear" w:color="auto" w:fill="auto"/>
            <w:vAlign w:val="center"/>
          </w:tcPr>
          <w:p w14:paraId="13A29BAD" w14:textId="77777777" w:rsidR="00A05B98" w:rsidRPr="005602F8" w:rsidRDefault="00A05B98" w:rsidP="009E5F8D">
            <w:pPr>
              <w:pStyle w:val="TableHeading"/>
              <w:spacing w:before="0" w:after="0"/>
              <w:jc w:val="center"/>
              <w:rPr>
                <w:snapToGrid w:val="0"/>
                <w:sz w:val="18"/>
                <w:szCs w:val="18"/>
                <w:lang w:eastAsia="en-US"/>
              </w:rPr>
            </w:pPr>
            <w:r w:rsidRPr="005602F8">
              <w:rPr>
                <w:snapToGrid w:val="0"/>
                <w:sz w:val="18"/>
                <w:szCs w:val="18"/>
                <w:lang w:eastAsia="en-US"/>
              </w:rPr>
              <w:t>Key outcome(s)</w:t>
            </w:r>
          </w:p>
        </w:tc>
      </w:tr>
      <w:tr w:rsidR="00A05B98" w:rsidRPr="005602F8" w14:paraId="61D5E540" w14:textId="77777777" w:rsidTr="00A05B98">
        <w:trPr>
          <w:cantSplit/>
          <w:trHeight w:val="3761"/>
          <w:tblHeader/>
        </w:trPr>
        <w:tc>
          <w:tcPr>
            <w:tcW w:w="988" w:type="dxa"/>
            <w:shd w:val="clear" w:color="auto" w:fill="auto"/>
            <w:vAlign w:val="center"/>
          </w:tcPr>
          <w:p w14:paraId="51DC1F3A" w14:textId="77777777" w:rsidR="00A05B98" w:rsidRPr="005602F8" w:rsidRDefault="00A05B98" w:rsidP="009E5F8D">
            <w:pPr>
              <w:pStyle w:val="TableText1"/>
              <w:spacing w:before="0" w:after="0"/>
              <w:rPr>
                <w:snapToGrid w:val="0"/>
                <w:sz w:val="18"/>
                <w:szCs w:val="18"/>
              </w:rPr>
            </w:pPr>
            <w:r w:rsidRPr="005602F8">
              <w:rPr>
                <w:snapToGrid w:val="0"/>
                <w:sz w:val="18"/>
                <w:szCs w:val="18"/>
              </w:rPr>
              <w:t>CLASP</w:t>
            </w:r>
          </w:p>
        </w:tc>
        <w:tc>
          <w:tcPr>
            <w:tcW w:w="859" w:type="dxa"/>
            <w:shd w:val="clear" w:color="auto" w:fill="auto"/>
            <w:vAlign w:val="center"/>
          </w:tcPr>
          <w:p w14:paraId="15889516" w14:textId="47C464AA" w:rsidR="00A05B98" w:rsidRPr="005602F8" w:rsidRDefault="00A05B98" w:rsidP="009E5F8D">
            <w:pPr>
              <w:pStyle w:val="TableText1"/>
              <w:spacing w:before="0" w:after="0"/>
              <w:jc w:val="center"/>
              <w:rPr>
                <w:snapToGrid w:val="0"/>
                <w:sz w:val="18"/>
                <w:szCs w:val="18"/>
              </w:rPr>
            </w:pPr>
            <w:r w:rsidRPr="005602F8">
              <w:rPr>
                <w:snapToGrid w:val="0"/>
                <w:sz w:val="18"/>
                <w:szCs w:val="18"/>
              </w:rPr>
              <w:t>124</w:t>
            </w:r>
          </w:p>
        </w:tc>
        <w:tc>
          <w:tcPr>
            <w:tcW w:w="1774" w:type="dxa"/>
            <w:shd w:val="clear" w:color="auto" w:fill="auto"/>
            <w:vAlign w:val="center"/>
          </w:tcPr>
          <w:p w14:paraId="33CC1E39" w14:textId="2FED116C" w:rsidR="00A05B98" w:rsidRPr="005602F8" w:rsidRDefault="00A05B98" w:rsidP="009E5F8D">
            <w:pPr>
              <w:pStyle w:val="TableText1"/>
              <w:spacing w:before="0" w:after="0"/>
              <w:jc w:val="center"/>
              <w:rPr>
                <w:snapToGrid w:val="0"/>
                <w:sz w:val="18"/>
                <w:szCs w:val="18"/>
              </w:rPr>
            </w:pPr>
            <w:r w:rsidRPr="005602F8">
              <w:rPr>
                <w:snapToGrid w:val="0"/>
                <w:sz w:val="18"/>
                <w:szCs w:val="18"/>
              </w:rPr>
              <w:t>Multicentre,</w:t>
            </w:r>
          </w:p>
          <w:p w14:paraId="38B03125" w14:textId="77777777" w:rsidR="00A05B98" w:rsidRPr="005602F8" w:rsidRDefault="00A05B98" w:rsidP="009E5F8D">
            <w:pPr>
              <w:pStyle w:val="TableText1"/>
              <w:spacing w:before="0" w:after="0"/>
              <w:jc w:val="center"/>
              <w:rPr>
                <w:snapToGrid w:val="0"/>
                <w:sz w:val="18"/>
                <w:szCs w:val="18"/>
              </w:rPr>
            </w:pPr>
            <w:r w:rsidRPr="005602F8">
              <w:rPr>
                <w:snapToGrid w:val="0"/>
                <w:sz w:val="18"/>
                <w:szCs w:val="18"/>
              </w:rPr>
              <w:t>prospective, single-arm, observational study</w:t>
            </w:r>
          </w:p>
          <w:p w14:paraId="5A5A3A5F" w14:textId="77777777" w:rsidR="00A05B98" w:rsidRPr="005602F8" w:rsidRDefault="00A05B98" w:rsidP="009E5F8D">
            <w:pPr>
              <w:pStyle w:val="TableText1"/>
              <w:spacing w:before="0" w:after="0"/>
              <w:jc w:val="center"/>
              <w:rPr>
                <w:snapToGrid w:val="0"/>
                <w:sz w:val="18"/>
                <w:szCs w:val="18"/>
              </w:rPr>
            </w:pPr>
          </w:p>
        </w:tc>
        <w:tc>
          <w:tcPr>
            <w:tcW w:w="1480" w:type="dxa"/>
            <w:shd w:val="clear" w:color="auto" w:fill="auto"/>
            <w:vAlign w:val="center"/>
          </w:tcPr>
          <w:p w14:paraId="527E37DC" w14:textId="77777777" w:rsidR="00A05B98" w:rsidRPr="005602F8" w:rsidRDefault="00A05B98" w:rsidP="009E5F8D">
            <w:pPr>
              <w:pStyle w:val="TableText1"/>
              <w:spacing w:before="0" w:after="0"/>
              <w:jc w:val="center"/>
              <w:rPr>
                <w:snapToGrid w:val="0"/>
                <w:sz w:val="18"/>
                <w:szCs w:val="18"/>
              </w:rPr>
            </w:pPr>
            <w:r w:rsidRPr="005602F8">
              <w:rPr>
                <w:snapToGrid w:val="0"/>
                <w:sz w:val="18"/>
                <w:szCs w:val="18"/>
              </w:rPr>
              <w:t xml:space="preserve">High; early feasibility study </w:t>
            </w:r>
          </w:p>
        </w:tc>
        <w:tc>
          <w:tcPr>
            <w:tcW w:w="1937" w:type="dxa"/>
            <w:shd w:val="clear" w:color="auto" w:fill="auto"/>
            <w:vAlign w:val="center"/>
          </w:tcPr>
          <w:p w14:paraId="4F31DB99" w14:textId="77777777" w:rsidR="00A05B98" w:rsidRPr="005602F8" w:rsidRDefault="00A05B98" w:rsidP="009E5F8D">
            <w:pPr>
              <w:pStyle w:val="TableText1"/>
              <w:spacing w:before="0" w:after="0"/>
              <w:jc w:val="center"/>
              <w:rPr>
                <w:snapToGrid w:val="0"/>
                <w:sz w:val="18"/>
                <w:szCs w:val="18"/>
              </w:rPr>
            </w:pPr>
            <w:r w:rsidRPr="005602F8">
              <w:rPr>
                <w:snapToGrid w:val="0"/>
                <w:sz w:val="18"/>
                <w:szCs w:val="18"/>
              </w:rPr>
              <w:t>Patients with clinically significant MR (DMR and FMR) (≥ grade 3+) despite OMT</w:t>
            </w:r>
          </w:p>
        </w:tc>
        <w:tc>
          <w:tcPr>
            <w:tcW w:w="1978" w:type="dxa"/>
            <w:shd w:val="clear" w:color="auto" w:fill="auto"/>
            <w:vAlign w:val="center"/>
          </w:tcPr>
          <w:p w14:paraId="46C24CE8" w14:textId="77777777" w:rsidR="00A05B98" w:rsidRPr="005602F8" w:rsidRDefault="00A05B98" w:rsidP="009E5F8D">
            <w:pPr>
              <w:pStyle w:val="TableText1"/>
              <w:spacing w:before="0" w:after="0"/>
              <w:jc w:val="center"/>
              <w:rPr>
                <w:snapToGrid w:val="0"/>
                <w:sz w:val="18"/>
                <w:szCs w:val="18"/>
              </w:rPr>
            </w:pPr>
            <w:r w:rsidRPr="005602F8">
              <w:rPr>
                <w:snapToGrid w:val="0"/>
                <w:sz w:val="18"/>
                <w:szCs w:val="18"/>
              </w:rPr>
              <w:t xml:space="preserve">PRIMARY ENDPOINTS: </w:t>
            </w:r>
          </w:p>
          <w:p w14:paraId="270D2F55" w14:textId="77777777" w:rsidR="00A05B98" w:rsidRPr="005602F8" w:rsidRDefault="00A05B98" w:rsidP="009E5F8D">
            <w:pPr>
              <w:pStyle w:val="TableText1"/>
              <w:spacing w:before="0" w:after="0"/>
              <w:jc w:val="center"/>
              <w:rPr>
                <w:snapToGrid w:val="0"/>
                <w:sz w:val="18"/>
                <w:szCs w:val="18"/>
              </w:rPr>
            </w:pPr>
            <w:r w:rsidRPr="005602F8">
              <w:rPr>
                <w:b/>
                <w:bCs/>
                <w:snapToGrid w:val="0"/>
                <w:sz w:val="18"/>
                <w:szCs w:val="18"/>
              </w:rPr>
              <w:t>Coprimary technical endpoints:</w:t>
            </w:r>
            <w:r w:rsidRPr="005602F8">
              <w:rPr>
                <w:snapToGrid w:val="0"/>
                <w:sz w:val="18"/>
                <w:szCs w:val="18"/>
              </w:rPr>
              <w:t xml:space="preserve"> </w:t>
            </w:r>
          </w:p>
          <w:p w14:paraId="3FDD9B8F" w14:textId="77777777" w:rsidR="00A05B98" w:rsidRPr="005602F8" w:rsidRDefault="00A05B98" w:rsidP="009E5F8D">
            <w:pPr>
              <w:pStyle w:val="TableText1"/>
              <w:spacing w:before="0" w:after="0"/>
              <w:jc w:val="center"/>
              <w:rPr>
                <w:snapToGrid w:val="0"/>
                <w:sz w:val="18"/>
                <w:szCs w:val="18"/>
              </w:rPr>
            </w:pPr>
            <w:r w:rsidRPr="005602F8">
              <w:rPr>
                <w:snapToGrid w:val="0"/>
                <w:sz w:val="18"/>
                <w:szCs w:val="18"/>
              </w:rPr>
              <w:t xml:space="preserve">1. Procedural success: </w:t>
            </w:r>
          </w:p>
          <w:p w14:paraId="33A581F6" w14:textId="77777777" w:rsidR="00A05B98" w:rsidRPr="005602F8" w:rsidRDefault="00A05B98" w:rsidP="009E5F8D">
            <w:pPr>
              <w:pStyle w:val="TableText1"/>
              <w:spacing w:before="0" w:after="0"/>
              <w:jc w:val="center"/>
              <w:rPr>
                <w:snapToGrid w:val="0"/>
                <w:sz w:val="18"/>
                <w:szCs w:val="18"/>
              </w:rPr>
            </w:pPr>
            <w:r w:rsidRPr="005602F8">
              <w:rPr>
                <w:snapToGrid w:val="0"/>
                <w:sz w:val="18"/>
                <w:szCs w:val="18"/>
              </w:rPr>
              <w:t>2. MR reduction to ≤ 2+ grade (discharge)</w:t>
            </w:r>
          </w:p>
          <w:p w14:paraId="6F777901" w14:textId="77777777" w:rsidR="00A05B98" w:rsidRPr="005602F8" w:rsidRDefault="00A05B98" w:rsidP="009E5F8D">
            <w:pPr>
              <w:pStyle w:val="TableText1"/>
              <w:spacing w:before="0" w:after="0"/>
              <w:jc w:val="center"/>
              <w:rPr>
                <w:snapToGrid w:val="0"/>
                <w:sz w:val="18"/>
                <w:szCs w:val="18"/>
              </w:rPr>
            </w:pPr>
            <w:r w:rsidRPr="005602F8">
              <w:rPr>
                <w:b/>
                <w:bCs/>
                <w:snapToGrid w:val="0"/>
                <w:sz w:val="18"/>
                <w:szCs w:val="18"/>
              </w:rPr>
              <w:t>Safety endpoint</w:t>
            </w:r>
            <w:r w:rsidRPr="005602F8">
              <w:rPr>
                <w:snapToGrid w:val="0"/>
                <w:sz w:val="18"/>
                <w:szCs w:val="18"/>
              </w:rPr>
              <w:t>: MAE rate at 30 days defined as: composite of CV mortality, stroke, MI, new need for renal replacement therapy, severe bleeding.</w:t>
            </w:r>
          </w:p>
          <w:p w14:paraId="556A15DF" w14:textId="77777777" w:rsidR="00A05B98" w:rsidRPr="005602F8" w:rsidRDefault="00A05B98" w:rsidP="009E5F8D">
            <w:pPr>
              <w:pStyle w:val="TableText1"/>
              <w:spacing w:before="0" w:after="0"/>
              <w:jc w:val="center"/>
              <w:rPr>
                <w:snapToGrid w:val="0"/>
                <w:sz w:val="18"/>
                <w:szCs w:val="18"/>
              </w:rPr>
            </w:pPr>
            <w:r w:rsidRPr="005602F8">
              <w:rPr>
                <w:snapToGrid w:val="0"/>
                <w:sz w:val="18"/>
                <w:szCs w:val="18"/>
              </w:rPr>
              <w:t>SECONDARY ENDPOINTS include: Recurrent HF admission, reintervention for treatment of MR, 6MWD, NYHA</w:t>
            </w:r>
          </w:p>
        </w:tc>
      </w:tr>
      <w:tr w:rsidR="00A05B98" w:rsidRPr="005602F8" w14:paraId="2CF5C3E4" w14:textId="77777777" w:rsidTr="00A05B98">
        <w:trPr>
          <w:cantSplit/>
          <w:trHeight w:val="2826"/>
          <w:tblHeader/>
        </w:trPr>
        <w:tc>
          <w:tcPr>
            <w:tcW w:w="988" w:type="dxa"/>
            <w:shd w:val="clear" w:color="auto" w:fill="auto"/>
            <w:vAlign w:val="center"/>
          </w:tcPr>
          <w:p w14:paraId="65C8AEE6" w14:textId="77777777" w:rsidR="00A05B98" w:rsidRPr="005602F8" w:rsidRDefault="00A05B98" w:rsidP="009E5F8D">
            <w:pPr>
              <w:pStyle w:val="TableText1"/>
              <w:spacing w:before="0" w:after="0"/>
              <w:rPr>
                <w:snapToGrid w:val="0"/>
              </w:rPr>
            </w:pPr>
            <w:r w:rsidRPr="005602F8">
              <w:rPr>
                <w:snapToGrid w:val="0"/>
              </w:rPr>
              <w:t>COAPT</w:t>
            </w:r>
          </w:p>
        </w:tc>
        <w:tc>
          <w:tcPr>
            <w:tcW w:w="859" w:type="dxa"/>
            <w:shd w:val="clear" w:color="auto" w:fill="auto"/>
            <w:vAlign w:val="center"/>
          </w:tcPr>
          <w:p w14:paraId="5EEAA7E9" w14:textId="77777777" w:rsidR="00A05B98" w:rsidRPr="005602F8" w:rsidRDefault="00A05B98" w:rsidP="009E5F8D">
            <w:pPr>
              <w:pStyle w:val="TableText1"/>
              <w:spacing w:before="0" w:after="0"/>
              <w:jc w:val="center"/>
              <w:rPr>
                <w:snapToGrid w:val="0"/>
                <w:sz w:val="18"/>
                <w:szCs w:val="18"/>
              </w:rPr>
            </w:pPr>
            <w:r w:rsidRPr="005602F8">
              <w:rPr>
                <w:snapToGrid w:val="0"/>
              </w:rPr>
              <w:t>614</w:t>
            </w:r>
          </w:p>
        </w:tc>
        <w:tc>
          <w:tcPr>
            <w:tcW w:w="1774" w:type="dxa"/>
            <w:shd w:val="clear" w:color="auto" w:fill="auto"/>
            <w:vAlign w:val="center"/>
          </w:tcPr>
          <w:p w14:paraId="6B38873C" w14:textId="5311CD56" w:rsidR="00A05B98" w:rsidRPr="005602F8" w:rsidRDefault="00A05B98" w:rsidP="009E5F8D">
            <w:pPr>
              <w:keepNext/>
              <w:keepLines/>
              <w:widowControl w:val="0"/>
              <w:jc w:val="center"/>
              <w:rPr>
                <w:rFonts w:ascii="Arial Narrow" w:hAnsi="Arial Narrow"/>
              </w:rPr>
            </w:pPr>
            <w:r w:rsidRPr="005602F8">
              <w:rPr>
                <w:rFonts w:ascii="Arial Narrow" w:hAnsi="Arial Narrow"/>
              </w:rPr>
              <w:t>RCT, MC, MN, OL</w:t>
            </w:r>
          </w:p>
          <w:p w14:paraId="72A8F0B8" w14:textId="77777777" w:rsidR="00A05B98" w:rsidRPr="005602F8" w:rsidRDefault="00A05B98" w:rsidP="009E5F8D">
            <w:pPr>
              <w:pStyle w:val="TableText1"/>
              <w:spacing w:before="0" w:after="0"/>
              <w:jc w:val="center"/>
              <w:rPr>
                <w:snapToGrid w:val="0"/>
                <w:sz w:val="18"/>
                <w:szCs w:val="18"/>
              </w:rPr>
            </w:pPr>
            <w:r w:rsidRPr="005602F8">
              <w:t>24 months</w:t>
            </w:r>
          </w:p>
        </w:tc>
        <w:tc>
          <w:tcPr>
            <w:tcW w:w="1480" w:type="dxa"/>
            <w:shd w:val="clear" w:color="auto" w:fill="auto"/>
            <w:vAlign w:val="center"/>
          </w:tcPr>
          <w:p w14:paraId="5627C0A6" w14:textId="77777777" w:rsidR="00A05B98" w:rsidRPr="005602F8" w:rsidRDefault="00A05B98" w:rsidP="009E5F8D">
            <w:pPr>
              <w:pStyle w:val="TableText1"/>
              <w:spacing w:before="0" w:after="0"/>
              <w:jc w:val="center"/>
              <w:rPr>
                <w:snapToGrid w:val="0"/>
                <w:sz w:val="18"/>
                <w:szCs w:val="18"/>
              </w:rPr>
            </w:pPr>
            <w:r w:rsidRPr="005602F8">
              <w:rPr>
                <w:snapToGrid w:val="0"/>
              </w:rPr>
              <w:t>Low</w:t>
            </w:r>
          </w:p>
        </w:tc>
        <w:tc>
          <w:tcPr>
            <w:tcW w:w="1937" w:type="dxa"/>
            <w:shd w:val="clear" w:color="auto" w:fill="auto"/>
            <w:vAlign w:val="center"/>
          </w:tcPr>
          <w:p w14:paraId="4E16793E" w14:textId="2EAD8D48" w:rsidR="00A05B98" w:rsidRPr="005602F8" w:rsidRDefault="00A05B98" w:rsidP="009E5F8D">
            <w:pPr>
              <w:pStyle w:val="TableText1"/>
              <w:spacing w:before="0" w:after="0"/>
              <w:jc w:val="center"/>
              <w:rPr>
                <w:snapToGrid w:val="0"/>
                <w:sz w:val="18"/>
                <w:szCs w:val="18"/>
              </w:rPr>
            </w:pPr>
            <w:r w:rsidRPr="005602F8">
              <w:rPr>
                <w:snapToGrid w:val="0"/>
              </w:rPr>
              <w:t>Patients with moderate-severe or severe FMR (MR 3+ or 4+), who have LVEF 20–50% and LVESD ≤ 70mm, ineligible for surgical intervention, and whose symptoms (NYHA functional class II or greater) persist despite maximally tolerated GDMT</w:t>
            </w:r>
          </w:p>
        </w:tc>
        <w:tc>
          <w:tcPr>
            <w:tcW w:w="1978" w:type="dxa"/>
            <w:shd w:val="clear" w:color="auto" w:fill="auto"/>
            <w:vAlign w:val="center"/>
          </w:tcPr>
          <w:p w14:paraId="4F3630AA" w14:textId="77777777" w:rsidR="00A05B98" w:rsidRPr="005602F8" w:rsidRDefault="00A05B98" w:rsidP="009E5F8D">
            <w:pPr>
              <w:keepNext/>
              <w:keepLines/>
              <w:widowControl w:val="0"/>
              <w:jc w:val="center"/>
              <w:rPr>
                <w:rFonts w:ascii="Arial Narrow" w:hAnsi="Arial Narrow"/>
                <w:snapToGrid w:val="0"/>
                <w:lang w:eastAsia="en-US"/>
              </w:rPr>
            </w:pPr>
            <w:r w:rsidRPr="005602F8">
              <w:rPr>
                <w:rFonts w:ascii="Arial Narrow" w:hAnsi="Arial Narrow"/>
                <w:snapToGrid w:val="0"/>
                <w:lang w:eastAsia="en-US"/>
              </w:rPr>
              <w:t>Mortality, HF hospitalisation</w:t>
            </w:r>
          </w:p>
          <w:p w14:paraId="6CF5CE3C" w14:textId="77777777" w:rsidR="00A05B98" w:rsidRPr="005602F8" w:rsidRDefault="00A05B98" w:rsidP="009E5F8D">
            <w:pPr>
              <w:pStyle w:val="TableText1"/>
              <w:spacing w:before="0" w:after="0"/>
              <w:jc w:val="center"/>
              <w:rPr>
                <w:snapToGrid w:val="0"/>
                <w:sz w:val="18"/>
                <w:szCs w:val="18"/>
              </w:rPr>
            </w:pPr>
            <w:r w:rsidRPr="005602F8">
              <w:rPr>
                <w:snapToGrid w:val="0"/>
              </w:rPr>
              <w:t>Major complications</w:t>
            </w:r>
          </w:p>
        </w:tc>
      </w:tr>
      <w:tr w:rsidR="00A05B98" w:rsidRPr="00AD31A3" w14:paraId="2FB2D870" w14:textId="77777777" w:rsidTr="00A05B98">
        <w:trPr>
          <w:cantSplit/>
          <w:trHeight w:val="2919"/>
          <w:tblHeader/>
        </w:trPr>
        <w:tc>
          <w:tcPr>
            <w:tcW w:w="988" w:type="dxa"/>
            <w:shd w:val="clear" w:color="auto" w:fill="auto"/>
            <w:vAlign w:val="center"/>
          </w:tcPr>
          <w:p w14:paraId="2F391262" w14:textId="5456B575" w:rsidR="00A05B98" w:rsidRPr="009E5F8D" w:rsidRDefault="00A05B98" w:rsidP="009E5F8D">
            <w:pPr>
              <w:pStyle w:val="TableText1"/>
              <w:spacing w:before="0" w:after="0"/>
              <w:rPr>
                <w:snapToGrid w:val="0"/>
              </w:rPr>
            </w:pPr>
            <w:r w:rsidRPr="005602F8">
              <w:rPr>
                <w:snapToGrid w:val="0"/>
              </w:rPr>
              <w:t xml:space="preserve">EVEREST II </w:t>
            </w:r>
          </w:p>
        </w:tc>
        <w:tc>
          <w:tcPr>
            <w:tcW w:w="859" w:type="dxa"/>
            <w:shd w:val="clear" w:color="auto" w:fill="auto"/>
            <w:vAlign w:val="center"/>
          </w:tcPr>
          <w:p w14:paraId="3B830428" w14:textId="77777777" w:rsidR="00A05B98" w:rsidRPr="005602F8" w:rsidRDefault="00A05B98" w:rsidP="009E5F8D">
            <w:pPr>
              <w:pStyle w:val="TableText1"/>
              <w:spacing w:before="0" w:after="0"/>
              <w:jc w:val="center"/>
              <w:rPr>
                <w:snapToGrid w:val="0"/>
                <w:sz w:val="18"/>
                <w:szCs w:val="18"/>
              </w:rPr>
            </w:pPr>
            <w:r w:rsidRPr="005602F8">
              <w:rPr>
                <w:snapToGrid w:val="0"/>
              </w:rPr>
              <w:t>279</w:t>
            </w:r>
          </w:p>
        </w:tc>
        <w:tc>
          <w:tcPr>
            <w:tcW w:w="1774" w:type="dxa"/>
            <w:shd w:val="clear" w:color="auto" w:fill="auto"/>
            <w:vAlign w:val="center"/>
          </w:tcPr>
          <w:p w14:paraId="2C43421B" w14:textId="77777777" w:rsidR="00A05B98" w:rsidRPr="005602F8" w:rsidRDefault="00A05B98" w:rsidP="009E5F8D">
            <w:pPr>
              <w:keepNext/>
              <w:keepLines/>
              <w:widowControl w:val="0"/>
              <w:jc w:val="center"/>
              <w:rPr>
                <w:rFonts w:ascii="Arial Narrow" w:hAnsi="Arial Narrow"/>
              </w:rPr>
            </w:pPr>
            <w:r w:rsidRPr="005602F8">
              <w:rPr>
                <w:rFonts w:ascii="Arial Narrow" w:hAnsi="Arial Narrow"/>
              </w:rPr>
              <w:t>RCT, OL, MC</w:t>
            </w:r>
          </w:p>
          <w:p w14:paraId="2B4BDBE7" w14:textId="77777777" w:rsidR="00A05B98" w:rsidRPr="005602F8" w:rsidRDefault="00A05B98" w:rsidP="009E5F8D">
            <w:pPr>
              <w:pStyle w:val="TableText1"/>
              <w:spacing w:before="0" w:after="0"/>
              <w:jc w:val="center"/>
              <w:rPr>
                <w:snapToGrid w:val="0"/>
                <w:sz w:val="18"/>
                <w:szCs w:val="18"/>
              </w:rPr>
            </w:pPr>
            <w:r w:rsidRPr="005602F8">
              <w:rPr>
                <w:szCs w:val="20"/>
              </w:rPr>
              <w:t>12 months</w:t>
            </w:r>
          </w:p>
        </w:tc>
        <w:tc>
          <w:tcPr>
            <w:tcW w:w="1480" w:type="dxa"/>
            <w:shd w:val="clear" w:color="auto" w:fill="auto"/>
            <w:vAlign w:val="center"/>
          </w:tcPr>
          <w:p w14:paraId="183FFB72" w14:textId="77777777" w:rsidR="00A05B98" w:rsidRPr="005602F8" w:rsidRDefault="00A05B98" w:rsidP="009E5F8D">
            <w:pPr>
              <w:pStyle w:val="TableText1"/>
              <w:spacing w:before="0" w:after="0"/>
              <w:jc w:val="center"/>
              <w:rPr>
                <w:snapToGrid w:val="0"/>
                <w:sz w:val="18"/>
                <w:szCs w:val="18"/>
              </w:rPr>
            </w:pPr>
            <w:r w:rsidRPr="005602F8">
              <w:rPr>
                <w:snapToGrid w:val="0"/>
              </w:rPr>
              <w:t>Low</w:t>
            </w:r>
          </w:p>
        </w:tc>
        <w:tc>
          <w:tcPr>
            <w:tcW w:w="1937" w:type="dxa"/>
            <w:shd w:val="clear" w:color="auto" w:fill="auto"/>
            <w:vAlign w:val="center"/>
          </w:tcPr>
          <w:p w14:paraId="699E05AD" w14:textId="77777777" w:rsidR="00A05B98" w:rsidRPr="005602F8" w:rsidRDefault="00A05B98" w:rsidP="009E5F8D">
            <w:pPr>
              <w:pStyle w:val="TableText1"/>
              <w:spacing w:before="0" w:after="0"/>
              <w:jc w:val="center"/>
              <w:rPr>
                <w:snapToGrid w:val="0"/>
                <w:sz w:val="18"/>
                <w:szCs w:val="18"/>
              </w:rPr>
            </w:pPr>
            <w:r w:rsidRPr="005602F8">
              <w:rPr>
                <w:snapToGrid w:val="0"/>
              </w:rPr>
              <w:t>Grade 3+ to 4+ MR If symptomatic were required to have LVEF ≥ 25% and LVESD ≤ 55 mm. If asymptomatic were required to have at least one of the following: an LVEF of 25 to 60 LVESD of 40 mm to 55 mm, new atrial fibrillation, or pulmonary hypertension</w:t>
            </w:r>
          </w:p>
        </w:tc>
        <w:tc>
          <w:tcPr>
            <w:tcW w:w="1978" w:type="dxa"/>
            <w:shd w:val="clear" w:color="auto" w:fill="auto"/>
            <w:vAlign w:val="center"/>
          </w:tcPr>
          <w:p w14:paraId="6E4C9FB4" w14:textId="77777777" w:rsidR="00A05B98" w:rsidRPr="005602F8" w:rsidRDefault="00A05B98" w:rsidP="009E5F8D">
            <w:pPr>
              <w:keepNext/>
              <w:keepLines/>
              <w:widowControl w:val="0"/>
              <w:jc w:val="center"/>
              <w:rPr>
                <w:rFonts w:ascii="Arial Narrow" w:hAnsi="Arial Narrow"/>
                <w:snapToGrid w:val="0"/>
                <w:lang w:eastAsia="en-US"/>
              </w:rPr>
            </w:pPr>
            <w:r w:rsidRPr="005602F8">
              <w:rPr>
                <w:rFonts w:ascii="Arial Narrow" w:hAnsi="Arial Narrow"/>
                <w:snapToGrid w:val="0"/>
                <w:lang w:eastAsia="en-US"/>
              </w:rPr>
              <w:t>Freedom from death, from surgery for mitral- valve dysfunction, and from grade 3+ or 4+ mitral regurgitation</w:t>
            </w:r>
          </w:p>
          <w:p w14:paraId="0C979EC6" w14:textId="77777777" w:rsidR="00A05B98" w:rsidRPr="005602F8" w:rsidRDefault="00A05B98" w:rsidP="009E5F8D">
            <w:pPr>
              <w:pStyle w:val="TableText1"/>
              <w:spacing w:before="0" w:after="0"/>
              <w:jc w:val="center"/>
              <w:rPr>
                <w:snapToGrid w:val="0"/>
                <w:sz w:val="18"/>
                <w:szCs w:val="18"/>
              </w:rPr>
            </w:pPr>
            <w:r w:rsidRPr="005602F8">
              <w:rPr>
                <w:snapToGrid w:val="0"/>
              </w:rPr>
              <w:t xml:space="preserve"> MAEs</w:t>
            </w:r>
          </w:p>
        </w:tc>
      </w:tr>
    </w:tbl>
    <w:p w14:paraId="70198CE3" w14:textId="14C01A4C" w:rsidR="00A05B98" w:rsidRDefault="00A05B98" w:rsidP="00A05B98">
      <w:pPr>
        <w:pStyle w:val="Caption"/>
      </w:pPr>
      <w:bookmarkStart w:id="15" w:name="_Ref90480341"/>
      <w:r>
        <w:t xml:space="preserve">Table </w:t>
      </w:r>
      <w:r w:rsidR="00002063">
        <w:fldChar w:fldCharType="begin"/>
      </w:r>
      <w:r w:rsidR="00002063">
        <w:instrText xml:space="preserve"> SEQ Table \* ARABIC </w:instrText>
      </w:r>
      <w:r w:rsidR="00002063">
        <w:fldChar w:fldCharType="separate"/>
      </w:r>
      <w:r w:rsidR="000F39B8">
        <w:rPr>
          <w:noProof/>
        </w:rPr>
        <w:t>3</w:t>
      </w:r>
      <w:r w:rsidR="00002063">
        <w:rPr>
          <w:noProof/>
        </w:rPr>
        <w:fldChar w:fldCharType="end"/>
      </w:r>
      <w:bookmarkEnd w:id="15"/>
      <w:r>
        <w:t xml:space="preserve"> </w:t>
      </w:r>
      <w:r w:rsidRPr="00183E4D">
        <w:rPr>
          <w:snapToGrid w:val="0"/>
        </w:rPr>
        <w:t>Key features of the included evidence</w:t>
      </w:r>
      <w:r>
        <w:rPr>
          <w:snapToGrid w:val="0"/>
        </w:rPr>
        <w:t xml:space="preserve"> for the PASCAL and </w:t>
      </w:r>
      <w:proofErr w:type="spellStart"/>
      <w:r>
        <w:rPr>
          <w:snapToGrid w:val="0"/>
        </w:rPr>
        <w:t>MitraClip</w:t>
      </w:r>
      <w:proofErr w:type="spellEnd"/>
      <w:r>
        <w:rPr>
          <w:snapToGrid w:val="0"/>
        </w:rPr>
        <w:t xml:space="preserve"> studies</w:t>
      </w:r>
    </w:p>
    <w:p w14:paraId="37155660" w14:textId="77777777" w:rsidR="00A05B98" w:rsidRPr="009E5F8D" w:rsidRDefault="00A05B98" w:rsidP="00AF7538">
      <w:pPr>
        <w:pStyle w:val="Tablenotes"/>
        <w:rPr>
          <w:sz w:val="18"/>
          <w:szCs w:val="18"/>
        </w:rPr>
      </w:pPr>
      <w:r w:rsidRPr="009E5F8D">
        <w:rPr>
          <w:sz w:val="18"/>
          <w:szCs w:val="18"/>
        </w:rPr>
        <w:t>Abbreviations: GDMT=guideline directed medical therapy; MC=multicentre; OL=open label (unblinded); RCT=randomised controlled trial; LVEF= left ventricular ejection fraction; FMR=functional mitral regurgitation; LVESD=left ventricular end systolic dimension; HF=heart failure; MAE=major adverse event; MN=multinational; OL=open label (unblinded); DMR=degenerative mitral regurgitation; MI=myocardial infarction; NYHA=New York Heart Association; 6MWD= Six-Minute Walk Distance</w:t>
      </w:r>
    </w:p>
    <w:p w14:paraId="6FD28E5F" w14:textId="0BA1A2D6" w:rsidR="00A05B98" w:rsidRPr="009E5F8D" w:rsidRDefault="00A05B98" w:rsidP="00AF7538">
      <w:pPr>
        <w:pStyle w:val="Tablenotes"/>
        <w:rPr>
          <w:sz w:val="18"/>
          <w:szCs w:val="18"/>
        </w:rPr>
      </w:pPr>
      <w:r w:rsidRPr="009E5F8D">
        <w:rPr>
          <w:sz w:val="18"/>
          <w:szCs w:val="18"/>
        </w:rPr>
        <w:t xml:space="preserve"> Source: ADAR commentary </w:t>
      </w:r>
    </w:p>
    <w:p w14:paraId="61FA1193" w14:textId="534DEEE4" w:rsidR="000C2AD2" w:rsidRDefault="000C2AD2" w:rsidP="000C2AD2">
      <w:pPr>
        <w:pStyle w:val="Heading2"/>
        <w:spacing w:before="240"/>
      </w:pPr>
      <w:r>
        <w:lastRenderedPageBreak/>
        <w:t>Overall survival</w:t>
      </w:r>
    </w:p>
    <w:p w14:paraId="51810FBD" w14:textId="2A0A2E2D" w:rsidR="000C2AD2" w:rsidRPr="005602F8" w:rsidRDefault="000C2AD2" w:rsidP="000C2AD2">
      <w:r w:rsidRPr="00B23BF2">
        <w:t xml:space="preserve">Results presented in the ADAR suggest that in the FMR population (CLASP vs COAPT) those treated with PASCAL system had </w:t>
      </w:r>
      <w:r w:rsidR="000734A6" w:rsidRPr="00B23BF2">
        <w:rPr>
          <w:b/>
          <w:bCs/>
        </w:rPr>
        <w:t xml:space="preserve">REDACTED </w:t>
      </w:r>
      <w:r w:rsidRPr="00B23BF2">
        <w:t xml:space="preserve">overall survival compared with the </w:t>
      </w:r>
      <w:proofErr w:type="spellStart"/>
      <w:r w:rsidRPr="00B23BF2">
        <w:t>MitraClip</w:t>
      </w:r>
      <w:proofErr w:type="spellEnd"/>
      <w:r w:rsidRPr="00B23BF2">
        <w:t xml:space="preserve"> </w:t>
      </w:r>
      <w:r w:rsidRPr="005602F8">
        <w:t xml:space="preserve">population, which was </w:t>
      </w:r>
      <w:r w:rsidR="000734A6" w:rsidRPr="005602F8">
        <w:rPr>
          <w:b/>
          <w:bCs/>
        </w:rPr>
        <w:t xml:space="preserve">REDACTED </w:t>
      </w:r>
      <w:r w:rsidRPr="005602F8">
        <w:t>(</w:t>
      </w:r>
      <w:r w:rsidRPr="005602F8">
        <w:fldChar w:fldCharType="begin"/>
      </w:r>
      <w:r w:rsidRPr="005602F8">
        <w:instrText xml:space="preserve"> REF _Ref81407378 \h </w:instrText>
      </w:r>
      <w:r w:rsidR="00A26E82" w:rsidRPr="005602F8">
        <w:instrText xml:space="preserve"> \* MERGEFORMAT </w:instrText>
      </w:r>
      <w:r w:rsidRPr="005602F8">
        <w:fldChar w:fldCharType="separate"/>
      </w:r>
      <w:r w:rsidRPr="005602F8">
        <w:t xml:space="preserve">Table </w:t>
      </w:r>
      <w:r w:rsidRPr="005602F8">
        <w:rPr>
          <w:noProof/>
        </w:rPr>
        <w:t>3</w:t>
      </w:r>
      <w:r w:rsidRPr="005602F8">
        <w:fldChar w:fldCharType="end"/>
      </w:r>
      <w:r w:rsidRPr="005602F8">
        <w:t>). In the mixed population (CLASP vs EVEREST-II</w:t>
      </w:r>
      <w:r w:rsidRPr="005602F8">
        <w:rPr>
          <w:rStyle w:val="FootnoteReference"/>
        </w:rPr>
        <w:footnoteReference w:id="16"/>
      </w:r>
      <w:r w:rsidRPr="005602F8">
        <w:t xml:space="preserve">) there may be a </w:t>
      </w:r>
      <w:r w:rsidR="00340015" w:rsidRPr="005602F8">
        <w:rPr>
          <w:b/>
          <w:bCs/>
        </w:rPr>
        <w:t xml:space="preserve">REDACTED </w:t>
      </w:r>
      <w:r w:rsidRPr="005602F8">
        <w:t xml:space="preserve">in survival between the two treatments in the base case analysis but there were </w:t>
      </w:r>
      <w:r w:rsidR="00340015" w:rsidRPr="005602F8">
        <w:rPr>
          <w:b/>
          <w:bCs/>
        </w:rPr>
        <w:t xml:space="preserve">REDACTED </w:t>
      </w:r>
      <w:r w:rsidRPr="005602F8">
        <w:t>in the sensitivity analysis in which populations were matched on FMR only (</w:t>
      </w:r>
      <w:r w:rsidR="00340015" w:rsidRPr="005602F8">
        <w:rPr>
          <w:szCs w:val="24"/>
        </w:rPr>
        <w:fldChar w:fldCharType="begin"/>
      </w:r>
      <w:r w:rsidR="00340015" w:rsidRPr="005602F8">
        <w:rPr>
          <w:szCs w:val="24"/>
        </w:rPr>
        <w:instrText xml:space="preserve"> REF _Ref81407378 \h  \* MERGEFORMAT </w:instrText>
      </w:r>
      <w:r w:rsidR="00340015" w:rsidRPr="005602F8">
        <w:rPr>
          <w:szCs w:val="24"/>
        </w:rPr>
      </w:r>
      <w:r w:rsidR="00340015" w:rsidRPr="005602F8">
        <w:rPr>
          <w:szCs w:val="24"/>
        </w:rPr>
        <w:fldChar w:fldCharType="separate"/>
      </w:r>
      <w:r w:rsidR="00340015" w:rsidRPr="005602F8">
        <w:rPr>
          <w:b/>
          <w:bCs/>
          <w:szCs w:val="24"/>
        </w:rPr>
        <w:t xml:space="preserve">Table </w:t>
      </w:r>
      <w:r w:rsidR="00340015" w:rsidRPr="005602F8">
        <w:rPr>
          <w:b/>
          <w:bCs/>
          <w:noProof/>
          <w:szCs w:val="24"/>
        </w:rPr>
        <w:t>4</w:t>
      </w:r>
      <w:r w:rsidR="00340015" w:rsidRPr="005602F8">
        <w:rPr>
          <w:szCs w:val="24"/>
        </w:rPr>
        <w:fldChar w:fldCharType="end"/>
      </w:r>
      <w:r w:rsidRPr="005602F8">
        <w:t>).</w:t>
      </w:r>
    </w:p>
    <w:p w14:paraId="5F45AF9B" w14:textId="2CEAD838" w:rsidR="000C2AD2" w:rsidRPr="005602F8" w:rsidRDefault="000C2AD2" w:rsidP="009E5F8D">
      <w:pPr>
        <w:spacing w:before="240"/>
      </w:pPr>
      <w:bookmarkStart w:id="16" w:name="_Ref81407378"/>
      <w:bookmarkStart w:id="17" w:name="_Toc82006297"/>
      <w:r w:rsidRPr="005602F8">
        <w:rPr>
          <w:rFonts w:ascii="Arial Narrow" w:hAnsi="Arial Narrow" w:cs="Arial"/>
          <w:b/>
          <w:bCs/>
          <w:sz w:val="20"/>
        </w:rPr>
        <w:t xml:space="preserve">Table </w:t>
      </w:r>
      <w:r w:rsidR="00F26B2A" w:rsidRPr="005602F8">
        <w:rPr>
          <w:rFonts w:ascii="Arial Narrow" w:hAnsi="Arial Narrow" w:cs="Arial"/>
          <w:b/>
          <w:bCs/>
          <w:sz w:val="20"/>
        </w:rPr>
        <w:fldChar w:fldCharType="begin"/>
      </w:r>
      <w:r w:rsidR="00F26B2A" w:rsidRPr="005602F8">
        <w:rPr>
          <w:rFonts w:ascii="Arial Narrow" w:hAnsi="Arial Narrow" w:cs="Arial"/>
          <w:b/>
          <w:bCs/>
          <w:sz w:val="20"/>
        </w:rPr>
        <w:instrText xml:space="preserve"> SEQ Table \* ARABIC </w:instrText>
      </w:r>
      <w:r w:rsidR="00F26B2A" w:rsidRPr="005602F8">
        <w:rPr>
          <w:rFonts w:ascii="Arial Narrow" w:hAnsi="Arial Narrow" w:cs="Arial"/>
          <w:b/>
          <w:bCs/>
          <w:sz w:val="20"/>
        </w:rPr>
        <w:fldChar w:fldCharType="separate"/>
      </w:r>
      <w:r w:rsidR="000F39B8" w:rsidRPr="005602F8">
        <w:rPr>
          <w:rFonts w:ascii="Arial Narrow" w:hAnsi="Arial Narrow" w:cs="Arial"/>
          <w:b/>
          <w:bCs/>
          <w:noProof/>
          <w:sz w:val="20"/>
        </w:rPr>
        <w:t>4</w:t>
      </w:r>
      <w:r w:rsidR="00F26B2A" w:rsidRPr="005602F8">
        <w:rPr>
          <w:rFonts w:ascii="Arial Narrow" w:hAnsi="Arial Narrow" w:cs="Arial"/>
          <w:b/>
          <w:bCs/>
          <w:noProof/>
          <w:sz w:val="20"/>
        </w:rPr>
        <w:fldChar w:fldCharType="end"/>
      </w:r>
      <w:bookmarkEnd w:id="16"/>
      <w:r w:rsidRPr="005602F8">
        <w:rPr>
          <w:rFonts w:ascii="Arial Narrow" w:hAnsi="Arial Narrow" w:cs="Arial"/>
          <w:b/>
          <w:bCs/>
          <w:sz w:val="20"/>
        </w:rPr>
        <w:tab/>
        <w:t xml:space="preserve">Hazard ratios with 95% </w:t>
      </w:r>
      <w:proofErr w:type="gramStart"/>
      <w:r w:rsidRPr="005602F8">
        <w:rPr>
          <w:rFonts w:ascii="Arial Narrow" w:hAnsi="Arial Narrow" w:cs="Arial"/>
          <w:b/>
          <w:bCs/>
          <w:sz w:val="20"/>
        </w:rPr>
        <w:t>CI’s</w:t>
      </w:r>
      <w:proofErr w:type="gramEnd"/>
      <w:r w:rsidRPr="005602F8">
        <w:rPr>
          <w:rFonts w:ascii="Arial Narrow" w:hAnsi="Arial Narrow" w:cs="Arial"/>
          <w:b/>
          <w:bCs/>
          <w:sz w:val="20"/>
        </w:rPr>
        <w:t xml:space="preserve"> for the comparison of overall survival</w:t>
      </w:r>
      <w:bookmarkEnd w:id="17"/>
    </w:p>
    <w:tbl>
      <w:tblPr>
        <w:tblStyle w:val="TableGrid27"/>
        <w:tblW w:w="0" w:type="auto"/>
        <w:tblLook w:val="04A0" w:firstRow="1" w:lastRow="0" w:firstColumn="1" w:lastColumn="0" w:noHBand="0" w:noVBand="1"/>
        <w:tblDescription w:val="Hazard ratios with 95% CI’s for the comparison of overall survival"/>
      </w:tblPr>
      <w:tblGrid>
        <w:gridCol w:w="1838"/>
        <w:gridCol w:w="2126"/>
        <w:gridCol w:w="2268"/>
        <w:gridCol w:w="2784"/>
      </w:tblGrid>
      <w:tr w:rsidR="000C2AD2" w:rsidRPr="005602F8" w14:paraId="68D4CF63" w14:textId="77777777" w:rsidTr="000C3FE3">
        <w:trPr>
          <w:tblHeader/>
        </w:trPr>
        <w:tc>
          <w:tcPr>
            <w:tcW w:w="1838" w:type="dxa"/>
          </w:tcPr>
          <w:p w14:paraId="0F6EC75F" w14:textId="77777777" w:rsidR="000C2AD2" w:rsidRPr="005602F8" w:rsidRDefault="000C2AD2" w:rsidP="000C3FE3">
            <w:pPr>
              <w:pStyle w:val="TableHeading"/>
            </w:pPr>
            <w:r w:rsidRPr="005602F8">
              <w:t>MAIC</w:t>
            </w:r>
          </w:p>
        </w:tc>
        <w:tc>
          <w:tcPr>
            <w:tcW w:w="2126" w:type="dxa"/>
          </w:tcPr>
          <w:p w14:paraId="27E336DE" w14:textId="77777777" w:rsidR="000C2AD2" w:rsidRPr="005602F8" w:rsidRDefault="000C2AD2" w:rsidP="000C3FE3">
            <w:pPr>
              <w:pStyle w:val="TableHeading"/>
              <w:jc w:val="center"/>
            </w:pPr>
            <w:r w:rsidRPr="005602F8">
              <w:t>Matching</w:t>
            </w:r>
          </w:p>
        </w:tc>
        <w:tc>
          <w:tcPr>
            <w:tcW w:w="2268" w:type="dxa"/>
          </w:tcPr>
          <w:p w14:paraId="52BCB4B2" w14:textId="77777777" w:rsidR="000C2AD2" w:rsidRPr="005602F8" w:rsidRDefault="000C2AD2" w:rsidP="000C3FE3">
            <w:pPr>
              <w:pStyle w:val="TableHeading"/>
              <w:jc w:val="center"/>
            </w:pPr>
            <w:r w:rsidRPr="005602F8">
              <w:t>Method</w:t>
            </w:r>
          </w:p>
        </w:tc>
        <w:tc>
          <w:tcPr>
            <w:tcW w:w="2784" w:type="dxa"/>
          </w:tcPr>
          <w:p w14:paraId="2C6CE689" w14:textId="77777777" w:rsidR="000C2AD2" w:rsidRPr="005602F8" w:rsidRDefault="000C2AD2" w:rsidP="000C3FE3">
            <w:pPr>
              <w:pStyle w:val="TableHeading"/>
              <w:jc w:val="center"/>
            </w:pPr>
            <w:r w:rsidRPr="005602F8">
              <w:t>Hazard ratio (95% CI)</w:t>
            </w:r>
          </w:p>
        </w:tc>
      </w:tr>
      <w:tr w:rsidR="000C2AD2" w:rsidRPr="005602F8" w14:paraId="26BDB667" w14:textId="77777777" w:rsidTr="000C3FE3">
        <w:trPr>
          <w:tblHeader/>
        </w:trPr>
        <w:tc>
          <w:tcPr>
            <w:tcW w:w="1838" w:type="dxa"/>
            <w:vMerge w:val="restart"/>
          </w:tcPr>
          <w:p w14:paraId="4724FCF4" w14:textId="77777777" w:rsidR="000C2AD2" w:rsidRPr="005602F8" w:rsidRDefault="000C2AD2" w:rsidP="000C3FE3">
            <w:pPr>
              <w:pStyle w:val="Tabletext"/>
            </w:pPr>
            <w:r w:rsidRPr="005602F8">
              <w:t>CLASP vs COAPT</w:t>
            </w:r>
          </w:p>
        </w:tc>
        <w:tc>
          <w:tcPr>
            <w:tcW w:w="2126" w:type="dxa"/>
            <w:vMerge w:val="restart"/>
          </w:tcPr>
          <w:p w14:paraId="7108FD5F" w14:textId="77777777" w:rsidR="000C2AD2" w:rsidRPr="005602F8" w:rsidRDefault="000C2AD2" w:rsidP="000C3FE3">
            <w:pPr>
              <w:pStyle w:val="Tabletext"/>
              <w:jc w:val="center"/>
            </w:pPr>
            <w:r w:rsidRPr="005602F8">
              <w:t>Base case</w:t>
            </w:r>
          </w:p>
        </w:tc>
        <w:tc>
          <w:tcPr>
            <w:tcW w:w="2268" w:type="dxa"/>
          </w:tcPr>
          <w:p w14:paraId="00ED1276" w14:textId="77777777" w:rsidR="000C2AD2" w:rsidRPr="005602F8" w:rsidRDefault="000C2AD2" w:rsidP="000C3FE3">
            <w:pPr>
              <w:pStyle w:val="Tabletext"/>
              <w:jc w:val="center"/>
            </w:pPr>
            <w:r w:rsidRPr="005602F8">
              <w:t>Unadjusted Cox model</w:t>
            </w:r>
          </w:p>
        </w:tc>
        <w:tc>
          <w:tcPr>
            <w:tcW w:w="2784" w:type="dxa"/>
          </w:tcPr>
          <w:p w14:paraId="21E9F08B" w14:textId="6A540A1B" w:rsidR="000C2AD2" w:rsidRPr="005602F8" w:rsidRDefault="002F001A" w:rsidP="000C3FE3">
            <w:pPr>
              <w:pStyle w:val="Tabletext"/>
              <w:jc w:val="center"/>
            </w:pPr>
            <w:r w:rsidRPr="005602F8">
              <w:rPr>
                <w:b/>
              </w:rPr>
              <w:t>REDACTED</w:t>
            </w:r>
          </w:p>
        </w:tc>
      </w:tr>
      <w:tr w:rsidR="000C2AD2" w:rsidRPr="005602F8" w14:paraId="244293C3" w14:textId="77777777" w:rsidTr="000C3FE3">
        <w:trPr>
          <w:tblHeader/>
        </w:trPr>
        <w:tc>
          <w:tcPr>
            <w:tcW w:w="1838" w:type="dxa"/>
            <w:vMerge/>
          </w:tcPr>
          <w:p w14:paraId="570B4B58" w14:textId="77777777" w:rsidR="000C2AD2" w:rsidRPr="005602F8" w:rsidRDefault="000C2AD2" w:rsidP="000C3FE3">
            <w:pPr>
              <w:pStyle w:val="Tabletext"/>
            </w:pPr>
          </w:p>
        </w:tc>
        <w:tc>
          <w:tcPr>
            <w:tcW w:w="2126" w:type="dxa"/>
            <w:vMerge/>
          </w:tcPr>
          <w:p w14:paraId="675660D2" w14:textId="77777777" w:rsidR="000C2AD2" w:rsidRPr="005602F8" w:rsidRDefault="000C2AD2" w:rsidP="000C3FE3">
            <w:pPr>
              <w:pStyle w:val="Tabletext"/>
              <w:jc w:val="center"/>
            </w:pPr>
          </w:p>
        </w:tc>
        <w:tc>
          <w:tcPr>
            <w:tcW w:w="2268" w:type="dxa"/>
          </w:tcPr>
          <w:p w14:paraId="77CD4562" w14:textId="77777777" w:rsidR="000C2AD2" w:rsidRPr="005602F8" w:rsidRDefault="000C2AD2" w:rsidP="000C3FE3">
            <w:pPr>
              <w:pStyle w:val="Tabletext"/>
              <w:jc w:val="center"/>
            </w:pPr>
            <w:r w:rsidRPr="005602F8">
              <w:t>Weighted Cox model</w:t>
            </w:r>
          </w:p>
        </w:tc>
        <w:tc>
          <w:tcPr>
            <w:tcW w:w="2784" w:type="dxa"/>
          </w:tcPr>
          <w:p w14:paraId="18EBAC6D" w14:textId="35149FA0" w:rsidR="000C2AD2" w:rsidRPr="005602F8" w:rsidRDefault="002F001A" w:rsidP="000C3FE3">
            <w:pPr>
              <w:pStyle w:val="Tabletext"/>
              <w:jc w:val="center"/>
            </w:pPr>
            <w:r w:rsidRPr="005602F8">
              <w:rPr>
                <w:b/>
              </w:rPr>
              <w:t>REDACTED</w:t>
            </w:r>
          </w:p>
        </w:tc>
      </w:tr>
      <w:tr w:rsidR="000C2AD2" w:rsidRPr="005602F8" w14:paraId="7CE063A4" w14:textId="77777777" w:rsidTr="000C3FE3">
        <w:trPr>
          <w:tblHeader/>
        </w:trPr>
        <w:tc>
          <w:tcPr>
            <w:tcW w:w="1838" w:type="dxa"/>
            <w:vMerge/>
          </w:tcPr>
          <w:p w14:paraId="292B623A" w14:textId="77777777" w:rsidR="000C2AD2" w:rsidRPr="005602F8" w:rsidRDefault="000C2AD2" w:rsidP="000C3FE3">
            <w:pPr>
              <w:pStyle w:val="Tabletext"/>
            </w:pPr>
          </w:p>
        </w:tc>
        <w:tc>
          <w:tcPr>
            <w:tcW w:w="2126" w:type="dxa"/>
            <w:vMerge w:val="restart"/>
          </w:tcPr>
          <w:p w14:paraId="0064225E" w14:textId="77777777" w:rsidR="000C2AD2" w:rsidRPr="005602F8" w:rsidRDefault="000C2AD2" w:rsidP="000C3FE3">
            <w:pPr>
              <w:pStyle w:val="Tabletext"/>
              <w:jc w:val="center"/>
            </w:pPr>
            <w:r w:rsidRPr="005602F8">
              <w:t>Sensitivity analysis</w:t>
            </w:r>
          </w:p>
        </w:tc>
        <w:tc>
          <w:tcPr>
            <w:tcW w:w="2268" w:type="dxa"/>
          </w:tcPr>
          <w:p w14:paraId="1C8714B7" w14:textId="77777777" w:rsidR="000C2AD2" w:rsidRPr="005602F8" w:rsidRDefault="000C2AD2" w:rsidP="000C3FE3">
            <w:pPr>
              <w:pStyle w:val="Tabletext"/>
              <w:jc w:val="center"/>
            </w:pPr>
            <w:r w:rsidRPr="005602F8">
              <w:t>Unadjusted Cox model</w:t>
            </w:r>
          </w:p>
        </w:tc>
        <w:tc>
          <w:tcPr>
            <w:tcW w:w="2784" w:type="dxa"/>
          </w:tcPr>
          <w:p w14:paraId="05327C8A" w14:textId="524E25B7" w:rsidR="000C2AD2" w:rsidRPr="005602F8" w:rsidRDefault="002F001A" w:rsidP="000C3FE3">
            <w:pPr>
              <w:pStyle w:val="Tabletext"/>
              <w:jc w:val="center"/>
            </w:pPr>
            <w:r w:rsidRPr="005602F8">
              <w:rPr>
                <w:b/>
              </w:rPr>
              <w:t>REDACTED</w:t>
            </w:r>
          </w:p>
        </w:tc>
      </w:tr>
      <w:tr w:rsidR="000C2AD2" w:rsidRPr="005602F8" w14:paraId="4BD38C13" w14:textId="77777777" w:rsidTr="000C3FE3">
        <w:trPr>
          <w:tblHeader/>
        </w:trPr>
        <w:tc>
          <w:tcPr>
            <w:tcW w:w="1838" w:type="dxa"/>
            <w:vMerge/>
          </w:tcPr>
          <w:p w14:paraId="475B7C8B" w14:textId="77777777" w:rsidR="000C2AD2" w:rsidRPr="005602F8" w:rsidRDefault="000C2AD2" w:rsidP="000C3FE3">
            <w:pPr>
              <w:pStyle w:val="Tabletext"/>
            </w:pPr>
          </w:p>
        </w:tc>
        <w:tc>
          <w:tcPr>
            <w:tcW w:w="2126" w:type="dxa"/>
            <w:vMerge/>
          </w:tcPr>
          <w:p w14:paraId="1BC5C4FA" w14:textId="77777777" w:rsidR="000C2AD2" w:rsidRPr="005602F8" w:rsidRDefault="000C2AD2" w:rsidP="000C3FE3">
            <w:pPr>
              <w:pStyle w:val="Tabletext"/>
              <w:jc w:val="center"/>
            </w:pPr>
          </w:p>
        </w:tc>
        <w:tc>
          <w:tcPr>
            <w:tcW w:w="2268" w:type="dxa"/>
          </w:tcPr>
          <w:p w14:paraId="0D22748E" w14:textId="77777777" w:rsidR="000C2AD2" w:rsidRPr="005602F8" w:rsidRDefault="000C2AD2" w:rsidP="000C3FE3">
            <w:pPr>
              <w:pStyle w:val="Tabletext"/>
              <w:jc w:val="center"/>
            </w:pPr>
            <w:r w:rsidRPr="005602F8">
              <w:t>Weighted Cox model</w:t>
            </w:r>
          </w:p>
        </w:tc>
        <w:tc>
          <w:tcPr>
            <w:tcW w:w="2784" w:type="dxa"/>
          </w:tcPr>
          <w:p w14:paraId="7DDE14DE" w14:textId="2436AEF5" w:rsidR="000C2AD2" w:rsidRPr="005602F8" w:rsidRDefault="002F001A" w:rsidP="000C3FE3">
            <w:pPr>
              <w:pStyle w:val="Tabletext"/>
              <w:jc w:val="center"/>
            </w:pPr>
            <w:r w:rsidRPr="005602F8">
              <w:rPr>
                <w:b/>
              </w:rPr>
              <w:t>REDACTED</w:t>
            </w:r>
          </w:p>
        </w:tc>
      </w:tr>
      <w:tr w:rsidR="000C2AD2" w:rsidRPr="005602F8" w14:paraId="7D4F8A69" w14:textId="77777777" w:rsidTr="000C3FE3">
        <w:trPr>
          <w:tblHeader/>
        </w:trPr>
        <w:tc>
          <w:tcPr>
            <w:tcW w:w="1838" w:type="dxa"/>
            <w:vMerge w:val="restart"/>
          </w:tcPr>
          <w:p w14:paraId="0DB17F76" w14:textId="77777777" w:rsidR="000C2AD2" w:rsidRPr="005602F8" w:rsidRDefault="000C2AD2" w:rsidP="000C3FE3">
            <w:pPr>
              <w:pStyle w:val="Tabletext"/>
            </w:pPr>
            <w:r w:rsidRPr="005602F8">
              <w:t>CLASP vs EVEREST-II</w:t>
            </w:r>
          </w:p>
        </w:tc>
        <w:tc>
          <w:tcPr>
            <w:tcW w:w="2126" w:type="dxa"/>
            <w:vMerge w:val="restart"/>
          </w:tcPr>
          <w:p w14:paraId="6D737B13" w14:textId="77777777" w:rsidR="000C2AD2" w:rsidRPr="005602F8" w:rsidRDefault="000C2AD2" w:rsidP="000C3FE3">
            <w:pPr>
              <w:pStyle w:val="Tabletext"/>
              <w:jc w:val="center"/>
            </w:pPr>
            <w:r w:rsidRPr="005602F8">
              <w:t>Base case</w:t>
            </w:r>
          </w:p>
        </w:tc>
        <w:tc>
          <w:tcPr>
            <w:tcW w:w="2268" w:type="dxa"/>
          </w:tcPr>
          <w:p w14:paraId="0245845D" w14:textId="77777777" w:rsidR="000C2AD2" w:rsidRPr="005602F8" w:rsidRDefault="000C2AD2" w:rsidP="000C3FE3">
            <w:pPr>
              <w:pStyle w:val="Tabletext"/>
              <w:jc w:val="center"/>
            </w:pPr>
            <w:r w:rsidRPr="005602F8">
              <w:t>Unadjusted Cox model</w:t>
            </w:r>
          </w:p>
        </w:tc>
        <w:tc>
          <w:tcPr>
            <w:tcW w:w="2784" w:type="dxa"/>
          </w:tcPr>
          <w:p w14:paraId="3FF38C06" w14:textId="7271E8BF" w:rsidR="000C2AD2" w:rsidRPr="005602F8" w:rsidRDefault="002F001A" w:rsidP="000C3FE3">
            <w:pPr>
              <w:pStyle w:val="Tabletext"/>
              <w:jc w:val="center"/>
            </w:pPr>
            <w:r w:rsidRPr="005602F8">
              <w:rPr>
                <w:b/>
              </w:rPr>
              <w:t>REDACTED</w:t>
            </w:r>
          </w:p>
        </w:tc>
      </w:tr>
      <w:tr w:rsidR="000C2AD2" w:rsidRPr="005602F8" w14:paraId="18EAF733" w14:textId="77777777" w:rsidTr="000C3FE3">
        <w:trPr>
          <w:tblHeader/>
        </w:trPr>
        <w:tc>
          <w:tcPr>
            <w:tcW w:w="1838" w:type="dxa"/>
            <w:vMerge/>
          </w:tcPr>
          <w:p w14:paraId="6F7DD2E1" w14:textId="77777777" w:rsidR="000C2AD2" w:rsidRPr="005602F8" w:rsidRDefault="000C2AD2" w:rsidP="000C3FE3">
            <w:pPr>
              <w:pStyle w:val="Tabletext"/>
            </w:pPr>
          </w:p>
        </w:tc>
        <w:tc>
          <w:tcPr>
            <w:tcW w:w="2126" w:type="dxa"/>
            <w:vMerge/>
          </w:tcPr>
          <w:p w14:paraId="491001F1" w14:textId="77777777" w:rsidR="000C2AD2" w:rsidRPr="005602F8" w:rsidRDefault="000C2AD2" w:rsidP="000C3FE3">
            <w:pPr>
              <w:pStyle w:val="Tabletext"/>
              <w:jc w:val="center"/>
            </w:pPr>
          </w:p>
        </w:tc>
        <w:tc>
          <w:tcPr>
            <w:tcW w:w="2268" w:type="dxa"/>
          </w:tcPr>
          <w:p w14:paraId="06274C4D" w14:textId="77777777" w:rsidR="000C2AD2" w:rsidRPr="005602F8" w:rsidRDefault="000C2AD2" w:rsidP="000C3FE3">
            <w:pPr>
              <w:pStyle w:val="Tabletext"/>
              <w:jc w:val="center"/>
            </w:pPr>
            <w:r w:rsidRPr="005602F8">
              <w:t>Weighted Cox model</w:t>
            </w:r>
          </w:p>
        </w:tc>
        <w:tc>
          <w:tcPr>
            <w:tcW w:w="2784" w:type="dxa"/>
          </w:tcPr>
          <w:p w14:paraId="2CA6DFF8" w14:textId="29758F6C" w:rsidR="000C2AD2" w:rsidRPr="005602F8" w:rsidRDefault="002F001A" w:rsidP="000C3FE3">
            <w:pPr>
              <w:pStyle w:val="Tabletext"/>
              <w:jc w:val="center"/>
            </w:pPr>
            <w:r w:rsidRPr="005602F8">
              <w:rPr>
                <w:b/>
              </w:rPr>
              <w:t>REDACTED</w:t>
            </w:r>
          </w:p>
        </w:tc>
      </w:tr>
      <w:tr w:rsidR="000C2AD2" w:rsidRPr="005602F8" w14:paraId="099801EB" w14:textId="77777777" w:rsidTr="000C3FE3">
        <w:trPr>
          <w:tblHeader/>
        </w:trPr>
        <w:tc>
          <w:tcPr>
            <w:tcW w:w="1838" w:type="dxa"/>
            <w:vMerge/>
          </w:tcPr>
          <w:p w14:paraId="091A2BA8" w14:textId="77777777" w:rsidR="000C2AD2" w:rsidRPr="005602F8" w:rsidRDefault="000C2AD2" w:rsidP="000C3FE3">
            <w:pPr>
              <w:pStyle w:val="Tabletext"/>
            </w:pPr>
          </w:p>
        </w:tc>
        <w:tc>
          <w:tcPr>
            <w:tcW w:w="2126" w:type="dxa"/>
            <w:vMerge w:val="restart"/>
          </w:tcPr>
          <w:p w14:paraId="4C09947D" w14:textId="77777777" w:rsidR="000C2AD2" w:rsidRPr="005602F8" w:rsidRDefault="000C2AD2" w:rsidP="000C3FE3">
            <w:pPr>
              <w:pStyle w:val="Tabletext"/>
              <w:jc w:val="center"/>
            </w:pPr>
            <w:r w:rsidRPr="005602F8">
              <w:t>Sensitivity analysis</w:t>
            </w:r>
          </w:p>
        </w:tc>
        <w:tc>
          <w:tcPr>
            <w:tcW w:w="2268" w:type="dxa"/>
          </w:tcPr>
          <w:p w14:paraId="26924BB0" w14:textId="77777777" w:rsidR="000C2AD2" w:rsidRPr="005602F8" w:rsidRDefault="000C2AD2" w:rsidP="000C3FE3">
            <w:pPr>
              <w:pStyle w:val="Tabletext"/>
              <w:jc w:val="center"/>
            </w:pPr>
            <w:r w:rsidRPr="005602F8">
              <w:t>Unadjusted Cox model</w:t>
            </w:r>
          </w:p>
        </w:tc>
        <w:tc>
          <w:tcPr>
            <w:tcW w:w="2784" w:type="dxa"/>
          </w:tcPr>
          <w:p w14:paraId="556E7554" w14:textId="78053153" w:rsidR="000C2AD2" w:rsidRPr="005602F8" w:rsidRDefault="002F001A" w:rsidP="000C3FE3">
            <w:pPr>
              <w:pStyle w:val="Tabletext"/>
              <w:jc w:val="center"/>
            </w:pPr>
            <w:r w:rsidRPr="005602F8">
              <w:rPr>
                <w:b/>
              </w:rPr>
              <w:t>REDACTED</w:t>
            </w:r>
          </w:p>
        </w:tc>
      </w:tr>
      <w:tr w:rsidR="000C2AD2" w:rsidRPr="005602F8" w14:paraId="7B66FC92" w14:textId="77777777" w:rsidTr="000C3FE3">
        <w:trPr>
          <w:tblHeader/>
        </w:trPr>
        <w:tc>
          <w:tcPr>
            <w:tcW w:w="1838" w:type="dxa"/>
            <w:vMerge/>
          </w:tcPr>
          <w:p w14:paraId="278E4527" w14:textId="77777777" w:rsidR="000C2AD2" w:rsidRPr="005602F8" w:rsidRDefault="000C2AD2" w:rsidP="000C3FE3">
            <w:pPr>
              <w:pStyle w:val="Tabletext"/>
            </w:pPr>
          </w:p>
        </w:tc>
        <w:tc>
          <w:tcPr>
            <w:tcW w:w="2126" w:type="dxa"/>
            <w:vMerge/>
          </w:tcPr>
          <w:p w14:paraId="17FFA62A" w14:textId="77777777" w:rsidR="000C2AD2" w:rsidRPr="005602F8" w:rsidRDefault="000C2AD2" w:rsidP="000C3FE3">
            <w:pPr>
              <w:pStyle w:val="Tabletext"/>
            </w:pPr>
          </w:p>
        </w:tc>
        <w:tc>
          <w:tcPr>
            <w:tcW w:w="2268" w:type="dxa"/>
          </w:tcPr>
          <w:p w14:paraId="45964730" w14:textId="77777777" w:rsidR="000C2AD2" w:rsidRPr="005602F8" w:rsidRDefault="000C2AD2" w:rsidP="000C3FE3">
            <w:pPr>
              <w:pStyle w:val="Tabletext"/>
              <w:jc w:val="center"/>
            </w:pPr>
            <w:r w:rsidRPr="005602F8">
              <w:t>Weighted Cox model</w:t>
            </w:r>
          </w:p>
        </w:tc>
        <w:tc>
          <w:tcPr>
            <w:tcW w:w="2784" w:type="dxa"/>
          </w:tcPr>
          <w:p w14:paraId="3135E38A" w14:textId="67D3E726" w:rsidR="000C2AD2" w:rsidRPr="005602F8" w:rsidRDefault="002F001A" w:rsidP="000C3FE3">
            <w:pPr>
              <w:pStyle w:val="Tabletext"/>
              <w:jc w:val="center"/>
            </w:pPr>
            <w:r w:rsidRPr="005602F8">
              <w:rPr>
                <w:b/>
              </w:rPr>
              <w:t>REDACTED</w:t>
            </w:r>
          </w:p>
        </w:tc>
      </w:tr>
    </w:tbl>
    <w:p w14:paraId="38F46C45" w14:textId="77777777" w:rsidR="000C2AD2" w:rsidRPr="005602F8" w:rsidRDefault="000C2AD2" w:rsidP="00AF7538">
      <w:pPr>
        <w:pStyle w:val="Tablenotes"/>
      </w:pPr>
      <w:r w:rsidRPr="005602F8">
        <w:t>MAIC=matched adjusted indirect comparison; CI=confidence interval</w:t>
      </w:r>
    </w:p>
    <w:p w14:paraId="13EA5708" w14:textId="78F8B381" w:rsidR="000C2AD2" w:rsidRPr="005602F8" w:rsidRDefault="000C2AD2" w:rsidP="00AF7538">
      <w:pPr>
        <w:pStyle w:val="Tablenotes"/>
      </w:pPr>
      <w:r w:rsidRPr="005602F8">
        <w:t>Source: ADAR</w:t>
      </w:r>
    </w:p>
    <w:p w14:paraId="5A45DB59" w14:textId="7967D866" w:rsidR="00AD31A3" w:rsidRPr="00C33883" w:rsidRDefault="000C2AD2" w:rsidP="00A05B98">
      <w:pPr>
        <w:spacing w:after="240"/>
        <w:rPr>
          <w:highlight w:val="red"/>
        </w:rPr>
      </w:pPr>
      <w:r w:rsidRPr="005602F8">
        <w:t>The commentary noted discrepancies i</w:t>
      </w:r>
      <w:r w:rsidR="002F001A" w:rsidRPr="005602F8">
        <w:t>n</w:t>
      </w:r>
      <w:r w:rsidRPr="005602F8">
        <w:t xml:space="preserve"> the </w:t>
      </w:r>
      <w:r w:rsidR="002F001A" w:rsidRPr="005602F8">
        <w:rPr>
          <w:b/>
          <w:bCs/>
        </w:rPr>
        <w:t>REDACTED</w:t>
      </w:r>
      <w:r w:rsidR="002F001A" w:rsidRPr="005602F8">
        <w:rPr>
          <w:rStyle w:val="FootnoteReference"/>
          <w:b/>
          <w:bCs/>
        </w:rPr>
        <w:footnoteReference w:id="17"/>
      </w:r>
      <w:r w:rsidR="002F001A" w:rsidRPr="005602F8">
        <w:rPr>
          <w:b/>
          <w:bCs/>
        </w:rPr>
        <w:t xml:space="preserve">. </w:t>
      </w:r>
      <w:r w:rsidRPr="005602F8">
        <w:t>The commentary considered this discrepancy added uncertainty to the hazard ratio values (</w:t>
      </w:r>
      <w:r w:rsidRPr="005602F8">
        <w:fldChar w:fldCharType="begin"/>
      </w:r>
      <w:r w:rsidRPr="005602F8">
        <w:instrText xml:space="preserve"> REF _Ref81407378 \h </w:instrText>
      </w:r>
      <w:r w:rsidR="00A26E82" w:rsidRPr="005602F8">
        <w:instrText xml:space="preserve"> \* MERGEFORMAT </w:instrText>
      </w:r>
      <w:r w:rsidRPr="005602F8">
        <w:fldChar w:fldCharType="separate"/>
      </w:r>
      <w:r w:rsidRPr="005602F8">
        <w:t xml:space="preserve">Table </w:t>
      </w:r>
      <w:r w:rsidRPr="005602F8">
        <w:rPr>
          <w:noProof/>
        </w:rPr>
        <w:t>3</w:t>
      </w:r>
      <w:r w:rsidRPr="005602F8">
        <w:fldChar w:fldCharType="end"/>
      </w:r>
      <w:r w:rsidRPr="005602F8">
        <w:t xml:space="preserve">). The pre-ESC response addressed the discrepancy </w:t>
      </w:r>
      <w:r w:rsidR="002F001A" w:rsidRPr="005602F8">
        <w:rPr>
          <w:b/>
          <w:bCs/>
        </w:rPr>
        <w:t xml:space="preserve">REDACTED. </w:t>
      </w:r>
      <w:r w:rsidRPr="005602F8">
        <w:t>The effective sample size (ESS) is the number of independent non-weighted individuals that would be required to give an estimate with the same precision as the weighted sample estimate. The number of</w:t>
      </w:r>
      <w:r w:rsidRPr="00D82DA4">
        <w:t xml:space="preserve"> patients at the start of the Kaplan-Meier plot in the weighted population is equivalent to the sum of the weights. This will be different to the ESS.</w:t>
      </w:r>
    </w:p>
    <w:p w14:paraId="27C9BC3C" w14:textId="2180E454" w:rsidR="00577645" w:rsidRPr="00D82DA4" w:rsidRDefault="00E964F0" w:rsidP="00BD5242">
      <w:pPr>
        <w:pStyle w:val="Heading2"/>
      </w:pPr>
      <w:r w:rsidRPr="00D82DA4">
        <w:t>Major Adverse Events</w:t>
      </w:r>
    </w:p>
    <w:p w14:paraId="4136F9E4" w14:textId="0EE6B3C9" w:rsidR="00635481" w:rsidRPr="005602F8" w:rsidRDefault="00E964F0" w:rsidP="00635481">
      <w:r w:rsidRPr="005602F8">
        <w:t>The commentary noted that differences in the MAE definitions for each of the studies (CLASP, COAPT and EVEREST-II) may make it difficult to draw conclusions about the comparative MAE rates. The key differences in MAE definitions are summarised in</w:t>
      </w:r>
      <w:r w:rsidR="000F39B8" w:rsidRPr="005602F8">
        <w:t xml:space="preserve"> </w:t>
      </w:r>
      <w:r w:rsidR="000F39B8" w:rsidRPr="005602F8">
        <w:fldChar w:fldCharType="begin"/>
      </w:r>
      <w:r w:rsidR="000F39B8" w:rsidRPr="005602F8">
        <w:instrText xml:space="preserve"> REF _Ref94711466 \h </w:instrText>
      </w:r>
      <w:r w:rsidR="005602F8" w:rsidRPr="005602F8">
        <w:instrText xml:space="preserve"> \* MERGEFORMAT </w:instrText>
      </w:r>
      <w:r w:rsidR="000F39B8" w:rsidRPr="005602F8">
        <w:fldChar w:fldCharType="separate"/>
      </w:r>
      <w:r w:rsidR="000F39B8" w:rsidRPr="005602F8">
        <w:t xml:space="preserve">Table </w:t>
      </w:r>
      <w:r w:rsidR="000F39B8" w:rsidRPr="005602F8">
        <w:rPr>
          <w:noProof/>
        </w:rPr>
        <w:t>5</w:t>
      </w:r>
      <w:r w:rsidR="000F39B8" w:rsidRPr="005602F8">
        <w:fldChar w:fldCharType="end"/>
      </w:r>
      <w:r w:rsidR="00DE24DD" w:rsidRPr="005602F8">
        <w:t xml:space="preserve">. </w:t>
      </w:r>
      <w:r w:rsidRPr="005602F8">
        <w:t xml:space="preserve">Stroke and myocardial infarction were also compared separately in the ADAR with </w:t>
      </w:r>
      <w:r w:rsidR="00317BA0" w:rsidRPr="005602F8">
        <w:rPr>
          <w:b/>
          <w:bCs/>
        </w:rPr>
        <w:t xml:space="preserve">REDACTION </w:t>
      </w:r>
      <w:r w:rsidRPr="005602F8">
        <w:t>found between treatments, although low event rates were observed in each of the three studies. With low event rates for some of the common components of the MAEs (death, stroke, MI) it may be difficult to draw conclusions about the comparative MAE rates.</w:t>
      </w:r>
    </w:p>
    <w:p w14:paraId="787B4BBF" w14:textId="5EDFB610" w:rsidR="005859F7" w:rsidRPr="005859F7" w:rsidRDefault="00826E98" w:rsidP="005859F7">
      <w:pPr>
        <w:spacing w:before="240"/>
      </w:pPr>
      <w:r w:rsidRPr="005602F8">
        <w:t xml:space="preserve">In the EVEREST </w:t>
      </w:r>
      <w:proofErr w:type="spellStart"/>
      <w:r w:rsidRPr="005602F8">
        <w:t>MitraClip</w:t>
      </w:r>
      <w:proofErr w:type="spellEnd"/>
      <w:r w:rsidRPr="005602F8">
        <w:t xml:space="preserve"> population transfusions comprised the largest single component of the major adverse events at 30 days,</w:t>
      </w:r>
      <w:r w:rsidRPr="005602F8">
        <w:rPr>
          <w:rStyle w:val="FootnoteReference"/>
        </w:rPr>
        <w:footnoteReference w:id="18"/>
      </w:r>
      <w:r w:rsidRPr="005602F8">
        <w:t xml:space="preserve"> with other events occurring at 5%, </w:t>
      </w:r>
      <w:r w:rsidR="00317BA0" w:rsidRPr="005602F8">
        <w:rPr>
          <w:b/>
          <w:bCs/>
        </w:rPr>
        <w:t xml:space="preserve">REDACTED </w:t>
      </w:r>
      <w:r w:rsidRPr="005602F8">
        <w:t>to the rate reported for the weighted CLASP population. Th</w:t>
      </w:r>
      <w:r w:rsidR="00E738DA" w:rsidRPr="005602F8">
        <w:t>e</w:t>
      </w:r>
      <w:r w:rsidRPr="005602F8">
        <w:t xml:space="preserve"> commentary noted it may not be reasonable to compare the MAE rates between the CLASP and EVEREST </w:t>
      </w:r>
      <w:proofErr w:type="spellStart"/>
      <w:r w:rsidRPr="005602F8">
        <w:t>MitraClip</w:t>
      </w:r>
      <w:proofErr w:type="spellEnd"/>
      <w:r w:rsidRPr="005602F8">
        <w:t xml:space="preserve"> populations. </w:t>
      </w:r>
      <w:bookmarkStart w:id="18" w:name="_Ref86131470"/>
      <w:r w:rsidR="005859F7">
        <w:rPr>
          <w:rFonts w:ascii="Arial Narrow" w:hAnsi="Arial Narrow"/>
          <w:b/>
          <w:bCs/>
          <w:sz w:val="20"/>
        </w:rPr>
        <w:br w:type="page"/>
      </w:r>
    </w:p>
    <w:p w14:paraId="3C2F826A" w14:textId="251E4A7C" w:rsidR="000F39B8" w:rsidRDefault="000F39B8" w:rsidP="000F39B8">
      <w:pPr>
        <w:pStyle w:val="Caption"/>
      </w:pPr>
      <w:bookmarkStart w:id="19" w:name="_Ref94711466"/>
      <w:bookmarkStart w:id="20" w:name="_Ref94711460"/>
      <w:bookmarkEnd w:id="18"/>
      <w:r>
        <w:lastRenderedPageBreak/>
        <w:t xml:space="preserve">Table </w:t>
      </w:r>
      <w:r w:rsidR="00002063">
        <w:fldChar w:fldCharType="begin"/>
      </w:r>
      <w:r w:rsidR="00002063">
        <w:instrText xml:space="preserve"> SEQ Table \* ARABIC </w:instrText>
      </w:r>
      <w:r w:rsidR="00002063">
        <w:fldChar w:fldCharType="separate"/>
      </w:r>
      <w:r>
        <w:rPr>
          <w:noProof/>
        </w:rPr>
        <w:t>5</w:t>
      </w:r>
      <w:r w:rsidR="00002063">
        <w:rPr>
          <w:noProof/>
        </w:rPr>
        <w:fldChar w:fldCharType="end"/>
      </w:r>
      <w:bookmarkEnd w:id="19"/>
      <w:r>
        <w:t xml:space="preserve"> </w:t>
      </w:r>
      <w:r w:rsidRPr="00350C14">
        <w:t>Comparison of MAE definitions for each study</w:t>
      </w:r>
      <w:bookmarkEnd w:id="20"/>
    </w:p>
    <w:tbl>
      <w:tblPr>
        <w:tblStyle w:val="TableGrid1"/>
        <w:tblW w:w="0" w:type="auto"/>
        <w:tblInd w:w="0" w:type="dxa"/>
        <w:tblLook w:val="04A0" w:firstRow="1" w:lastRow="0" w:firstColumn="1" w:lastColumn="0" w:noHBand="0" w:noVBand="1"/>
        <w:tblDescription w:val="Comparison of MAE definitions for each study"/>
      </w:tblPr>
      <w:tblGrid>
        <w:gridCol w:w="3005"/>
        <w:gridCol w:w="3005"/>
        <w:gridCol w:w="3006"/>
      </w:tblGrid>
      <w:tr w:rsidR="005602F8" w:rsidRPr="005602F8" w14:paraId="43E16DF3" w14:textId="77777777" w:rsidTr="00302CD8">
        <w:trPr>
          <w:tblHeader/>
        </w:trPr>
        <w:tc>
          <w:tcPr>
            <w:tcW w:w="3005" w:type="dxa"/>
          </w:tcPr>
          <w:p w14:paraId="3EECA731" w14:textId="77777777" w:rsidR="00E964F0" w:rsidRPr="005602F8" w:rsidRDefault="00E964F0" w:rsidP="00302CD8">
            <w:pPr>
              <w:pStyle w:val="TableHeading"/>
            </w:pPr>
            <w:r w:rsidRPr="005602F8">
              <w:t>CLASP</w:t>
            </w:r>
          </w:p>
        </w:tc>
        <w:tc>
          <w:tcPr>
            <w:tcW w:w="3005" w:type="dxa"/>
          </w:tcPr>
          <w:p w14:paraId="17D6D6F3" w14:textId="77777777" w:rsidR="00E964F0" w:rsidRPr="005602F8" w:rsidRDefault="00E964F0" w:rsidP="00302CD8">
            <w:pPr>
              <w:pStyle w:val="TableHeading"/>
            </w:pPr>
            <w:r w:rsidRPr="005602F8">
              <w:t>COAPT</w:t>
            </w:r>
          </w:p>
        </w:tc>
        <w:tc>
          <w:tcPr>
            <w:tcW w:w="3006" w:type="dxa"/>
          </w:tcPr>
          <w:p w14:paraId="2800DB15" w14:textId="77777777" w:rsidR="00E964F0" w:rsidRPr="005602F8" w:rsidRDefault="00E964F0" w:rsidP="00302CD8">
            <w:pPr>
              <w:pStyle w:val="TableHeading"/>
            </w:pPr>
            <w:r w:rsidRPr="005602F8">
              <w:t>EVEREST-II</w:t>
            </w:r>
          </w:p>
        </w:tc>
      </w:tr>
      <w:tr w:rsidR="005602F8" w:rsidRPr="005602F8" w14:paraId="5A1EC885" w14:textId="77777777" w:rsidTr="00302CD8">
        <w:tc>
          <w:tcPr>
            <w:tcW w:w="3005" w:type="dxa"/>
          </w:tcPr>
          <w:p w14:paraId="3A43DB65" w14:textId="77777777" w:rsidR="00E964F0" w:rsidRPr="005602F8" w:rsidRDefault="00E964F0" w:rsidP="00302CD8">
            <w:pPr>
              <w:pStyle w:val="Tabletext"/>
            </w:pPr>
            <w:r w:rsidRPr="005602F8">
              <w:t>Cardiovascular mortality</w:t>
            </w:r>
          </w:p>
        </w:tc>
        <w:tc>
          <w:tcPr>
            <w:tcW w:w="3005" w:type="dxa"/>
          </w:tcPr>
          <w:p w14:paraId="58447C8B" w14:textId="77777777" w:rsidR="00E964F0" w:rsidRPr="005602F8" w:rsidRDefault="00E964F0" w:rsidP="00302CD8">
            <w:pPr>
              <w:pStyle w:val="Tabletext"/>
            </w:pPr>
            <w:r w:rsidRPr="005602F8">
              <w:t>-</w:t>
            </w:r>
          </w:p>
        </w:tc>
        <w:tc>
          <w:tcPr>
            <w:tcW w:w="3006" w:type="dxa"/>
          </w:tcPr>
          <w:p w14:paraId="566ACBF1" w14:textId="77777777" w:rsidR="00E964F0" w:rsidRPr="005602F8" w:rsidRDefault="00E964F0" w:rsidP="00302CD8">
            <w:pPr>
              <w:pStyle w:val="Tabletext"/>
            </w:pPr>
            <w:r w:rsidRPr="005602F8">
              <w:t>-</w:t>
            </w:r>
          </w:p>
        </w:tc>
      </w:tr>
      <w:tr w:rsidR="005602F8" w:rsidRPr="005602F8" w14:paraId="315509A3" w14:textId="77777777" w:rsidTr="00302CD8">
        <w:tc>
          <w:tcPr>
            <w:tcW w:w="3005" w:type="dxa"/>
          </w:tcPr>
          <w:p w14:paraId="69FF8CB3" w14:textId="77777777" w:rsidR="00E964F0" w:rsidRPr="005602F8" w:rsidRDefault="00E964F0" w:rsidP="00302CD8">
            <w:pPr>
              <w:pStyle w:val="Tabletext"/>
            </w:pPr>
            <w:r w:rsidRPr="005602F8">
              <w:t>-</w:t>
            </w:r>
          </w:p>
        </w:tc>
        <w:tc>
          <w:tcPr>
            <w:tcW w:w="3005" w:type="dxa"/>
          </w:tcPr>
          <w:p w14:paraId="0BC5AEEF" w14:textId="77777777" w:rsidR="00E964F0" w:rsidRPr="005602F8" w:rsidRDefault="00E964F0" w:rsidP="00302CD8">
            <w:pPr>
              <w:pStyle w:val="Tabletext"/>
            </w:pPr>
            <w:r w:rsidRPr="005602F8">
              <w:t>Death from any cause</w:t>
            </w:r>
          </w:p>
        </w:tc>
        <w:tc>
          <w:tcPr>
            <w:tcW w:w="3006" w:type="dxa"/>
          </w:tcPr>
          <w:p w14:paraId="39D4BCA0" w14:textId="77777777" w:rsidR="00E964F0" w:rsidRPr="005602F8" w:rsidRDefault="00E964F0" w:rsidP="00302CD8">
            <w:pPr>
              <w:pStyle w:val="Tabletext"/>
            </w:pPr>
            <w:r w:rsidRPr="005602F8">
              <w:t>Death</w:t>
            </w:r>
          </w:p>
        </w:tc>
      </w:tr>
      <w:tr w:rsidR="005602F8" w:rsidRPr="005602F8" w14:paraId="11D51465" w14:textId="77777777" w:rsidTr="00302CD8">
        <w:tc>
          <w:tcPr>
            <w:tcW w:w="3005" w:type="dxa"/>
          </w:tcPr>
          <w:p w14:paraId="265F7EF1" w14:textId="77777777" w:rsidR="00E964F0" w:rsidRPr="005602F8" w:rsidRDefault="00E964F0" w:rsidP="00302CD8">
            <w:pPr>
              <w:pStyle w:val="Tabletext"/>
            </w:pPr>
            <w:r w:rsidRPr="005602F8">
              <w:t>Stroke</w:t>
            </w:r>
          </w:p>
        </w:tc>
        <w:tc>
          <w:tcPr>
            <w:tcW w:w="3005" w:type="dxa"/>
          </w:tcPr>
          <w:p w14:paraId="3895BD64" w14:textId="77777777" w:rsidR="00E964F0" w:rsidRPr="005602F8" w:rsidRDefault="00E964F0" w:rsidP="00302CD8">
            <w:pPr>
              <w:pStyle w:val="Tabletext"/>
            </w:pPr>
            <w:r w:rsidRPr="005602F8">
              <w:t>Stroke</w:t>
            </w:r>
          </w:p>
        </w:tc>
        <w:tc>
          <w:tcPr>
            <w:tcW w:w="3006" w:type="dxa"/>
          </w:tcPr>
          <w:p w14:paraId="638F7700" w14:textId="77777777" w:rsidR="00E964F0" w:rsidRPr="005602F8" w:rsidRDefault="00E964F0" w:rsidP="00302CD8">
            <w:pPr>
              <w:pStyle w:val="Tabletext"/>
            </w:pPr>
            <w:r w:rsidRPr="005602F8">
              <w:t>Stroke</w:t>
            </w:r>
          </w:p>
        </w:tc>
      </w:tr>
      <w:tr w:rsidR="005602F8" w:rsidRPr="005602F8" w14:paraId="7147C702" w14:textId="77777777" w:rsidTr="00302CD8">
        <w:tc>
          <w:tcPr>
            <w:tcW w:w="3005" w:type="dxa"/>
          </w:tcPr>
          <w:p w14:paraId="367C0E8E" w14:textId="77777777" w:rsidR="00E964F0" w:rsidRPr="005602F8" w:rsidRDefault="00E964F0" w:rsidP="00302CD8">
            <w:pPr>
              <w:pStyle w:val="Tabletext"/>
            </w:pPr>
            <w:r w:rsidRPr="005602F8">
              <w:t>Myocardial infarction</w:t>
            </w:r>
          </w:p>
        </w:tc>
        <w:tc>
          <w:tcPr>
            <w:tcW w:w="3005" w:type="dxa"/>
          </w:tcPr>
          <w:p w14:paraId="50472956" w14:textId="77777777" w:rsidR="00E964F0" w:rsidRPr="005602F8" w:rsidRDefault="00E964F0" w:rsidP="00302CD8">
            <w:pPr>
              <w:pStyle w:val="Tabletext"/>
            </w:pPr>
            <w:r w:rsidRPr="005602F8">
              <w:t>Myocardial infarction</w:t>
            </w:r>
          </w:p>
        </w:tc>
        <w:tc>
          <w:tcPr>
            <w:tcW w:w="3006" w:type="dxa"/>
          </w:tcPr>
          <w:p w14:paraId="5509BA95" w14:textId="77777777" w:rsidR="00E964F0" w:rsidRPr="005602F8" w:rsidRDefault="00E964F0" w:rsidP="00302CD8">
            <w:pPr>
              <w:pStyle w:val="Tabletext"/>
            </w:pPr>
            <w:r w:rsidRPr="005602F8">
              <w:t>Myocardial infarction</w:t>
            </w:r>
          </w:p>
        </w:tc>
      </w:tr>
      <w:tr w:rsidR="005602F8" w:rsidRPr="005602F8" w14:paraId="2433E4DB" w14:textId="77777777" w:rsidTr="00302CD8">
        <w:tc>
          <w:tcPr>
            <w:tcW w:w="3005" w:type="dxa"/>
          </w:tcPr>
          <w:p w14:paraId="69AA929B" w14:textId="77777777" w:rsidR="00E964F0" w:rsidRPr="005602F8" w:rsidRDefault="00E964F0" w:rsidP="00302CD8">
            <w:pPr>
              <w:pStyle w:val="Tabletext"/>
            </w:pPr>
            <w:r w:rsidRPr="005602F8">
              <w:t>New need for renal replacement therapy</w:t>
            </w:r>
          </w:p>
        </w:tc>
        <w:tc>
          <w:tcPr>
            <w:tcW w:w="3005" w:type="dxa"/>
          </w:tcPr>
          <w:p w14:paraId="4FC74050" w14:textId="77777777" w:rsidR="00E964F0" w:rsidRPr="005602F8" w:rsidRDefault="00E964F0" w:rsidP="00302CD8">
            <w:pPr>
              <w:pStyle w:val="Tabletext"/>
            </w:pPr>
            <w:r w:rsidRPr="005602F8">
              <w:t>-</w:t>
            </w:r>
          </w:p>
        </w:tc>
        <w:tc>
          <w:tcPr>
            <w:tcW w:w="3006" w:type="dxa"/>
          </w:tcPr>
          <w:p w14:paraId="29FB2E81" w14:textId="77777777" w:rsidR="00E964F0" w:rsidRPr="005602F8" w:rsidRDefault="00E964F0" w:rsidP="00302CD8">
            <w:pPr>
              <w:pStyle w:val="Tabletext"/>
            </w:pPr>
            <w:r w:rsidRPr="005602F8">
              <w:t>Renal failure</w:t>
            </w:r>
          </w:p>
        </w:tc>
      </w:tr>
      <w:tr w:rsidR="005602F8" w:rsidRPr="005602F8" w14:paraId="6D7B0042" w14:textId="77777777" w:rsidTr="00302CD8">
        <w:tc>
          <w:tcPr>
            <w:tcW w:w="3005" w:type="dxa"/>
          </w:tcPr>
          <w:p w14:paraId="75DF5ECD" w14:textId="77777777" w:rsidR="00E964F0" w:rsidRPr="005602F8" w:rsidRDefault="00E964F0" w:rsidP="00302CD8">
            <w:pPr>
              <w:pStyle w:val="Tabletext"/>
            </w:pPr>
            <w:r w:rsidRPr="005602F8">
              <w:t>Severe bleeding (major, extensive, life-threatening, or fatal)</w:t>
            </w:r>
          </w:p>
        </w:tc>
        <w:tc>
          <w:tcPr>
            <w:tcW w:w="3005" w:type="dxa"/>
          </w:tcPr>
          <w:p w14:paraId="1544D5FC" w14:textId="77777777" w:rsidR="00E964F0" w:rsidRPr="005602F8" w:rsidRDefault="00E964F0" w:rsidP="00302CD8">
            <w:pPr>
              <w:pStyle w:val="Tabletext"/>
            </w:pPr>
            <w:r w:rsidRPr="005602F8">
              <w:t>-</w:t>
            </w:r>
          </w:p>
        </w:tc>
        <w:tc>
          <w:tcPr>
            <w:tcW w:w="3006" w:type="dxa"/>
          </w:tcPr>
          <w:p w14:paraId="0CD1F39A" w14:textId="77777777" w:rsidR="00E964F0" w:rsidRPr="005602F8" w:rsidRDefault="00E964F0" w:rsidP="00302CD8">
            <w:pPr>
              <w:pStyle w:val="Tabletext"/>
            </w:pPr>
          </w:p>
        </w:tc>
      </w:tr>
      <w:tr w:rsidR="005602F8" w:rsidRPr="005602F8" w14:paraId="319FF205" w14:textId="77777777" w:rsidTr="00302CD8">
        <w:tc>
          <w:tcPr>
            <w:tcW w:w="3005" w:type="dxa"/>
          </w:tcPr>
          <w:p w14:paraId="22C5CF5A" w14:textId="77777777" w:rsidR="00E964F0" w:rsidRPr="005602F8" w:rsidRDefault="00E964F0" w:rsidP="00302CD8">
            <w:pPr>
              <w:pStyle w:val="Tabletext"/>
            </w:pPr>
            <w:r w:rsidRPr="005602F8">
              <w:t>Reintervention for study device-related complications</w:t>
            </w:r>
          </w:p>
        </w:tc>
        <w:tc>
          <w:tcPr>
            <w:tcW w:w="3005" w:type="dxa"/>
          </w:tcPr>
          <w:p w14:paraId="19B06E6A" w14:textId="77777777" w:rsidR="00E964F0" w:rsidRPr="005602F8" w:rsidRDefault="00E964F0" w:rsidP="00302CD8">
            <w:pPr>
              <w:pStyle w:val="Tabletext"/>
            </w:pPr>
            <w:r w:rsidRPr="005602F8">
              <w:t>Nonelective cardiovascular surgery for study device-related complications</w:t>
            </w:r>
          </w:p>
        </w:tc>
        <w:tc>
          <w:tcPr>
            <w:tcW w:w="3006" w:type="dxa"/>
          </w:tcPr>
          <w:p w14:paraId="20888D42" w14:textId="77777777" w:rsidR="00E964F0" w:rsidRPr="005602F8" w:rsidRDefault="00E964F0" w:rsidP="00302CD8">
            <w:pPr>
              <w:pStyle w:val="Tabletext"/>
            </w:pPr>
            <w:r w:rsidRPr="005602F8">
              <w:t xml:space="preserve">Reoperation for failed mitral valve surgery </w:t>
            </w:r>
            <w:r w:rsidRPr="005602F8">
              <w:br/>
              <w:t>Nonelective cardiovascular surgery for adverse events</w:t>
            </w:r>
          </w:p>
        </w:tc>
      </w:tr>
      <w:tr w:rsidR="005602F8" w:rsidRPr="005602F8" w14:paraId="32A50EB6" w14:textId="77777777" w:rsidTr="00302CD8">
        <w:tc>
          <w:tcPr>
            <w:tcW w:w="3005" w:type="dxa"/>
          </w:tcPr>
          <w:p w14:paraId="601489DF" w14:textId="77777777" w:rsidR="00E964F0" w:rsidRPr="005602F8" w:rsidRDefault="00E964F0" w:rsidP="00302CD8">
            <w:pPr>
              <w:pStyle w:val="Tabletext"/>
            </w:pPr>
            <w:r w:rsidRPr="005602F8">
              <w:t>-</w:t>
            </w:r>
          </w:p>
        </w:tc>
        <w:tc>
          <w:tcPr>
            <w:tcW w:w="3005" w:type="dxa"/>
          </w:tcPr>
          <w:p w14:paraId="0EFA2AF9" w14:textId="77777777" w:rsidR="00E964F0" w:rsidRPr="005602F8" w:rsidRDefault="00E964F0" w:rsidP="00302CD8">
            <w:pPr>
              <w:pStyle w:val="Tabletext"/>
            </w:pPr>
            <w:r w:rsidRPr="005602F8">
              <w:t>-</w:t>
            </w:r>
          </w:p>
        </w:tc>
        <w:tc>
          <w:tcPr>
            <w:tcW w:w="3006" w:type="dxa"/>
          </w:tcPr>
          <w:p w14:paraId="2E4F48B5" w14:textId="77777777" w:rsidR="00E964F0" w:rsidRPr="005602F8" w:rsidRDefault="00E964F0" w:rsidP="00302CD8">
            <w:pPr>
              <w:pStyle w:val="Tabletext"/>
            </w:pPr>
            <w:r w:rsidRPr="005602F8">
              <w:t>Deep wound infection</w:t>
            </w:r>
          </w:p>
        </w:tc>
      </w:tr>
      <w:tr w:rsidR="005602F8" w:rsidRPr="005602F8" w14:paraId="2254EE59" w14:textId="77777777" w:rsidTr="00302CD8">
        <w:tc>
          <w:tcPr>
            <w:tcW w:w="3005" w:type="dxa"/>
          </w:tcPr>
          <w:p w14:paraId="0132367C" w14:textId="77777777" w:rsidR="00E964F0" w:rsidRPr="005602F8" w:rsidRDefault="00E964F0" w:rsidP="00302CD8">
            <w:pPr>
              <w:pStyle w:val="Tabletext"/>
            </w:pPr>
            <w:r w:rsidRPr="005602F8">
              <w:t>-</w:t>
            </w:r>
          </w:p>
        </w:tc>
        <w:tc>
          <w:tcPr>
            <w:tcW w:w="3005" w:type="dxa"/>
          </w:tcPr>
          <w:p w14:paraId="7E60E8C4" w14:textId="77777777" w:rsidR="00E964F0" w:rsidRPr="005602F8" w:rsidRDefault="00E964F0" w:rsidP="00302CD8">
            <w:pPr>
              <w:pStyle w:val="Tabletext"/>
            </w:pPr>
            <w:r w:rsidRPr="005602F8">
              <w:t>-</w:t>
            </w:r>
          </w:p>
        </w:tc>
        <w:tc>
          <w:tcPr>
            <w:tcW w:w="3006" w:type="dxa"/>
          </w:tcPr>
          <w:p w14:paraId="66CEB079" w14:textId="77777777" w:rsidR="00E964F0" w:rsidRPr="005602F8" w:rsidRDefault="00E964F0" w:rsidP="00302CD8">
            <w:pPr>
              <w:pStyle w:val="Tabletext"/>
            </w:pPr>
            <w:r w:rsidRPr="005602F8">
              <w:t>Mechanical ventilation for more than 48 hours</w:t>
            </w:r>
          </w:p>
        </w:tc>
      </w:tr>
      <w:tr w:rsidR="005602F8" w:rsidRPr="005602F8" w14:paraId="33647ECB" w14:textId="77777777" w:rsidTr="00302CD8">
        <w:tc>
          <w:tcPr>
            <w:tcW w:w="3005" w:type="dxa"/>
          </w:tcPr>
          <w:p w14:paraId="2F487E63" w14:textId="77777777" w:rsidR="00E964F0" w:rsidRPr="005602F8" w:rsidRDefault="00E964F0" w:rsidP="00302CD8">
            <w:pPr>
              <w:pStyle w:val="Tabletext"/>
            </w:pPr>
            <w:r w:rsidRPr="005602F8">
              <w:t>-</w:t>
            </w:r>
          </w:p>
        </w:tc>
        <w:tc>
          <w:tcPr>
            <w:tcW w:w="3005" w:type="dxa"/>
          </w:tcPr>
          <w:p w14:paraId="0B255C55" w14:textId="77777777" w:rsidR="00E964F0" w:rsidRPr="005602F8" w:rsidRDefault="00E964F0" w:rsidP="00302CD8">
            <w:pPr>
              <w:pStyle w:val="Tabletext"/>
            </w:pPr>
            <w:r w:rsidRPr="005602F8">
              <w:t>-</w:t>
            </w:r>
          </w:p>
        </w:tc>
        <w:tc>
          <w:tcPr>
            <w:tcW w:w="3006" w:type="dxa"/>
          </w:tcPr>
          <w:p w14:paraId="3353DD7B" w14:textId="77777777" w:rsidR="00E964F0" w:rsidRPr="005602F8" w:rsidRDefault="00E964F0" w:rsidP="00302CD8">
            <w:pPr>
              <w:pStyle w:val="Tabletext"/>
            </w:pPr>
            <w:r w:rsidRPr="005602F8">
              <w:t>Gastrointestinal complications requiring surgery</w:t>
            </w:r>
          </w:p>
        </w:tc>
      </w:tr>
      <w:tr w:rsidR="005602F8" w:rsidRPr="005602F8" w14:paraId="16A9B500" w14:textId="77777777" w:rsidTr="00302CD8">
        <w:tc>
          <w:tcPr>
            <w:tcW w:w="3005" w:type="dxa"/>
          </w:tcPr>
          <w:p w14:paraId="3160F3AF" w14:textId="77777777" w:rsidR="00E964F0" w:rsidRPr="005602F8" w:rsidRDefault="00E964F0" w:rsidP="00302CD8">
            <w:pPr>
              <w:pStyle w:val="Tabletext"/>
            </w:pPr>
            <w:r w:rsidRPr="005602F8">
              <w:t>-</w:t>
            </w:r>
          </w:p>
        </w:tc>
        <w:tc>
          <w:tcPr>
            <w:tcW w:w="3005" w:type="dxa"/>
          </w:tcPr>
          <w:p w14:paraId="6F71546B" w14:textId="77777777" w:rsidR="00E964F0" w:rsidRPr="005602F8" w:rsidRDefault="00E964F0" w:rsidP="00302CD8">
            <w:pPr>
              <w:pStyle w:val="Tabletext"/>
            </w:pPr>
            <w:r w:rsidRPr="005602F8">
              <w:t>-</w:t>
            </w:r>
          </w:p>
        </w:tc>
        <w:tc>
          <w:tcPr>
            <w:tcW w:w="3006" w:type="dxa"/>
          </w:tcPr>
          <w:p w14:paraId="69C07086" w14:textId="77777777" w:rsidR="00E964F0" w:rsidRPr="005602F8" w:rsidRDefault="00E964F0" w:rsidP="00302CD8">
            <w:pPr>
              <w:pStyle w:val="Tabletext"/>
            </w:pPr>
            <w:r w:rsidRPr="005602F8">
              <w:t>New-onset permanent atrial fibrillation</w:t>
            </w:r>
          </w:p>
        </w:tc>
      </w:tr>
      <w:tr w:rsidR="005602F8" w:rsidRPr="005602F8" w14:paraId="2F329EFB" w14:textId="77777777" w:rsidTr="00302CD8">
        <w:tc>
          <w:tcPr>
            <w:tcW w:w="3005" w:type="dxa"/>
          </w:tcPr>
          <w:p w14:paraId="07917F32" w14:textId="77777777" w:rsidR="00E964F0" w:rsidRPr="005602F8" w:rsidRDefault="00E964F0" w:rsidP="00302CD8">
            <w:pPr>
              <w:pStyle w:val="Tabletext"/>
            </w:pPr>
            <w:r w:rsidRPr="005602F8">
              <w:t>-</w:t>
            </w:r>
          </w:p>
        </w:tc>
        <w:tc>
          <w:tcPr>
            <w:tcW w:w="3005" w:type="dxa"/>
          </w:tcPr>
          <w:p w14:paraId="73C94B7F" w14:textId="77777777" w:rsidR="00E964F0" w:rsidRPr="005602F8" w:rsidRDefault="00E964F0" w:rsidP="00302CD8">
            <w:pPr>
              <w:pStyle w:val="Tabletext"/>
            </w:pPr>
            <w:r w:rsidRPr="005602F8">
              <w:t>-</w:t>
            </w:r>
          </w:p>
        </w:tc>
        <w:tc>
          <w:tcPr>
            <w:tcW w:w="3006" w:type="dxa"/>
          </w:tcPr>
          <w:p w14:paraId="0C623908" w14:textId="77777777" w:rsidR="00E964F0" w:rsidRPr="005602F8" w:rsidRDefault="00E964F0" w:rsidP="00302CD8">
            <w:pPr>
              <w:pStyle w:val="Tabletext"/>
            </w:pPr>
            <w:r w:rsidRPr="005602F8">
              <w:t>Septicaemia</w:t>
            </w:r>
          </w:p>
        </w:tc>
      </w:tr>
      <w:tr w:rsidR="005602F8" w:rsidRPr="005602F8" w14:paraId="1091F96C" w14:textId="77777777" w:rsidTr="00302CD8">
        <w:tc>
          <w:tcPr>
            <w:tcW w:w="3005" w:type="dxa"/>
          </w:tcPr>
          <w:p w14:paraId="4409CA11" w14:textId="77777777" w:rsidR="00E964F0" w:rsidRPr="005602F8" w:rsidRDefault="00E964F0" w:rsidP="00302CD8">
            <w:pPr>
              <w:pStyle w:val="Tabletext"/>
            </w:pPr>
          </w:p>
        </w:tc>
        <w:tc>
          <w:tcPr>
            <w:tcW w:w="3005" w:type="dxa"/>
          </w:tcPr>
          <w:p w14:paraId="4699C192" w14:textId="77777777" w:rsidR="00E964F0" w:rsidRPr="005602F8" w:rsidRDefault="00E964F0" w:rsidP="00302CD8">
            <w:pPr>
              <w:pStyle w:val="Tabletext"/>
            </w:pPr>
          </w:p>
        </w:tc>
        <w:tc>
          <w:tcPr>
            <w:tcW w:w="3006" w:type="dxa"/>
          </w:tcPr>
          <w:p w14:paraId="13A3DE40" w14:textId="77777777" w:rsidR="00E964F0" w:rsidRPr="005602F8" w:rsidRDefault="00E964F0" w:rsidP="00302CD8">
            <w:pPr>
              <w:pStyle w:val="Tabletext"/>
            </w:pPr>
            <w:r w:rsidRPr="005602F8">
              <w:t>Transfusion of 2 units or more of blood</w:t>
            </w:r>
          </w:p>
        </w:tc>
      </w:tr>
    </w:tbl>
    <w:p w14:paraId="3BD82884" w14:textId="231674F2" w:rsidR="00551063" w:rsidRDefault="00E964F0" w:rsidP="00AF7538">
      <w:pPr>
        <w:pStyle w:val="Tablenotes"/>
      </w:pPr>
      <w:bookmarkStart w:id="21" w:name="_Hlk78982988"/>
      <w:r w:rsidRPr="005602F8">
        <w:t>Source: ADAR commentary</w:t>
      </w:r>
      <w:bookmarkEnd w:id="21"/>
    </w:p>
    <w:p w14:paraId="156E054A" w14:textId="5DC3B968" w:rsidR="009006B8" w:rsidRPr="0098131C" w:rsidRDefault="009006B8" w:rsidP="009006B8">
      <w:pPr>
        <w:pStyle w:val="Caption"/>
      </w:pPr>
      <w:bookmarkStart w:id="22" w:name="_Ref86131540"/>
      <w:r w:rsidRPr="0098131C">
        <w:t xml:space="preserve">Table </w:t>
      </w:r>
      <w:r w:rsidR="00002063">
        <w:fldChar w:fldCharType="begin"/>
      </w:r>
      <w:r w:rsidR="00002063">
        <w:instrText xml:space="preserve"> SEQ Table \* ARABIC </w:instrText>
      </w:r>
      <w:r w:rsidR="00002063">
        <w:fldChar w:fldCharType="separate"/>
      </w:r>
      <w:r w:rsidR="000F39B8" w:rsidRPr="0098131C">
        <w:rPr>
          <w:noProof/>
        </w:rPr>
        <w:t>6</w:t>
      </w:r>
      <w:r w:rsidR="00002063">
        <w:rPr>
          <w:noProof/>
        </w:rPr>
        <w:fldChar w:fldCharType="end"/>
      </w:r>
      <w:bookmarkEnd w:id="22"/>
      <w:r w:rsidRPr="0098131C">
        <w:t xml:space="preserve"> Odds ratios and 95% </w:t>
      </w:r>
      <w:proofErr w:type="gramStart"/>
      <w:r w:rsidRPr="0098131C">
        <w:t>CI's</w:t>
      </w:r>
      <w:proofErr w:type="gramEnd"/>
      <w:r w:rsidRPr="0098131C">
        <w:t xml:space="preserve"> for the comparison of MAE by 30 days of follow-up for CLASP (PASCAL) vs COAPT (</w:t>
      </w:r>
      <w:proofErr w:type="spellStart"/>
      <w:r w:rsidRPr="0098131C">
        <w:t>MitraClip</w:t>
      </w:r>
      <w:proofErr w:type="spellEnd"/>
      <w:r w:rsidRPr="0098131C">
        <w:t>)</w:t>
      </w:r>
    </w:p>
    <w:tbl>
      <w:tblPr>
        <w:tblStyle w:val="TableGrid27"/>
        <w:tblW w:w="0" w:type="auto"/>
        <w:tblLook w:val="04A0" w:firstRow="1" w:lastRow="0" w:firstColumn="1" w:lastColumn="0" w:noHBand="0" w:noVBand="1"/>
        <w:tblDescription w:val="Odds ratios and 95% CI's for the comparison of MAE by 30 days of follow-up for CLASP (PASCAL) vs COAPT (MitraClip)"/>
      </w:tblPr>
      <w:tblGrid>
        <w:gridCol w:w="3397"/>
        <w:gridCol w:w="3016"/>
        <w:gridCol w:w="2603"/>
      </w:tblGrid>
      <w:tr w:rsidR="00551063" w:rsidRPr="00317BA0" w14:paraId="4A6FD152" w14:textId="77777777" w:rsidTr="007F6B5B">
        <w:trPr>
          <w:tblHeader/>
        </w:trPr>
        <w:tc>
          <w:tcPr>
            <w:tcW w:w="3397" w:type="dxa"/>
          </w:tcPr>
          <w:p w14:paraId="6E9710FD" w14:textId="77777777" w:rsidR="00551063" w:rsidRPr="0098131C" w:rsidRDefault="00551063" w:rsidP="00302CD8">
            <w:pPr>
              <w:pStyle w:val="TableHeading"/>
            </w:pPr>
            <w:r w:rsidRPr="0098131C">
              <w:t>Matching</w:t>
            </w:r>
          </w:p>
        </w:tc>
        <w:tc>
          <w:tcPr>
            <w:tcW w:w="3016" w:type="dxa"/>
          </w:tcPr>
          <w:p w14:paraId="3473AD3A" w14:textId="77777777" w:rsidR="00551063" w:rsidRPr="0098131C" w:rsidRDefault="00551063" w:rsidP="00302CD8">
            <w:pPr>
              <w:pStyle w:val="TableHeading"/>
              <w:jc w:val="center"/>
            </w:pPr>
            <w:r w:rsidRPr="0098131C">
              <w:t>Method</w:t>
            </w:r>
          </w:p>
        </w:tc>
        <w:tc>
          <w:tcPr>
            <w:tcW w:w="2603" w:type="dxa"/>
          </w:tcPr>
          <w:p w14:paraId="54C95286" w14:textId="436E0CBA" w:rsidR="00551063" w:rsidRPr="0098131C" w:rsidRDefault="00E36F6B" w:rsidP="00302CD8">
            <w:pPr>
              <w:pStyle w:val="TableHeading"/>
              <w:jc w:val="center"/>
            </w:pPr>
            <w:r w:rsidRPr="0098131C">
              <w:t>Odds</w:t>
            </w:r>
            <w:r w:rsidR="00551063" w:rsidRPr="0098131C">
              <w:t xml:space="preserve"> ratio (95% CI)</w:t>
            </w:r>
          </w:p>
        </w:tc>
      </w:tr>
      <w:tr w:rsidR="00551063" w:rsidRPr="00317BA0" w14:paraId="35DDED6B" w14:textId="77777777" w:rsidTr="007F6B5B">
        <w:trPr>
          <w:tblHeader/>
        </w:trPr>
        <w:tc>
          <w:tcPr>
            <w:tcW w:w="3397" w:type="dxa"/>
            <w:vMerge w:val="restart"/>
          </w:tcPr>
          <w:p w14:paraId="3EBE0D2F" w14:textId="77777777" w:rsidR="00551063" w:rsidRPr="0098131C" w:rsidRDefault="00551063" w:rsidP="00302CD8">
            <w:pPr>
              <w:pStyle w:val="Tabletext"/>
              <w:keepNext/>
            </w:pPr>
            <w:r w:rsidRPr="0098131C">
              <w:t>Base case</w:t>
            </w:r>
          </w:p>
        </w:tc>
        <w:tc>
          <w:tcPr>
            <w:tcW w:w="3016" w:type="dxa"/>
          </w:tcPr>
          <w:p w14:paraId="1C0C881D" w14:textId="77777777" w:rsidR="00551063" w:rsidRPr="0098131C" w:rsidRDefault="00551063" w:rsidP="00302CD8">
            <w:pPr>
              <w:pStyle w:val="Tabletext"/>
              <w:keepNext/>
              <w:jc w:val="center"/>
            </w:pPr>
            <w:r w:rsidRPr="0098131C">
              <w:t>Unadjusted regression model</w:t>
            </w:r>
          </w:p>
        </w:tc>
        <w:tc>
          <w:tcPr>
            <w:tcW w:w="2603" w:type="dxa"/>
          </w:tcPr>
          <w:p w14:paraId="27CE7151" w14:textId="5DB7AC83" w:rsidR="00551063" w:rsidRPr="0098131C" w:rsidRDefault="00317BA0" w:rsidP="00302CD8">
            <w:pPr>
              <w:pStyle w:val="Tabletext"/>
              <w:keepNext/>
              <w:jc w:val="center"/>
            </w:pPr>
            <w:r>
              <w:rPr>
                <w:b/>
                <w:bCs/>
              </w:rPr>
              <w:t>REDACTED</w:t>
            </w:r>
          </w:p>
        </w:tc>
      </w:tr>
      <w:tr w:rsidR="00551063" w:rsidRPr="00317BA0" w14:paraId="43582726" w14:textId="77777777" w:rsidTr="007F6B5B">
        <w:trPr>
          <w:tblHeader/>
        </w:trPr>
        <w:tc>
          <w:tcPr>
            <w:tcW w:w="3397" w:type="dxa"/>
            <w:vMerge/>
          </w:tcPr>
          <w:p w14:paraId="1DE9F62B" w14:textId="77777777" w:rsidR="00551063" w:rsidRPr="0098131C" w:rsidRDefault="00551063" w:rsidP="00302CD8">
            <w:pPr>
              <w:pStyle w:val="Tabletext"/>
            </w:pPr>
          </w:p>
        </w:tc>
        <w:tc>
          <w:tcPr>
            <w:tcW w:w="3016" w:type="dxa"/>
          </w:tcPr>
          <w:p w14:paraId="3395905C" w14:textId="77777777" w:rsidR="00551063" w:rsidRPr="0098131C" w:rsidRDefault="00551063" w:rsidP="00302CD8">
            <w:pPr>
              <w:pStyle w:val="Tabletext"/>
              <w:jc w:val="center"/>
            </w:pPr>
            <w:r w:rsidRPr="0098131C">
              <w:t>Weighted regression model</w:t>
            </w:r>
          </w:p>
        </w:tc>
        <w:tc>
          <w:tcPr>
            <w:tcW w:w="2603" w:type="dxa"/>
          </w:tcPr>
          <w:p w14:paraId="0BCFF0DE" w14:textId="619A6495" w:rsidR="00551063" w:rsidRPr="0098131C" w:rsidRDefault="00317BA0" w:rsidP="00302CD8">
            <w:pPr>
              <w:pStyle w:val="Tabletext"/>
              <w:jc w:val="center"/>
            </w:pPr>
            <w:r>
              <w:rPr>
                <w:b/>
                <w:bCs/>
              </w:rPr>
              <w:t>REDACTED</w:t>
            </w:r>
          </w:p>
        </w:tc>
      </w:tr>
      <w:tr w:rsidR="00551063" w:rsidRPr="00317BA0" w14:paraId="51470106" w14:textId="77777777" w:rsidTr="007F6B5B">
        <w:trPr>
          <w:tblHeader/>
        </w:trPr>
        <w:tc>
          <w:tcPr>
            <w:tcW w:w="3397" w:type="dxa"/>
            <w:vMerge w:val="restart"/>
          </w:tcPr>
          <w:p w14:paraId="27E2C6FB" w14:textId="77777777" w:rsidR="00551063" w:rsidRPr="0098131C" w:rsidRDefault="00551063" w:rsidP="00302CD8">
            <w:pPr>
              <w:pStyle w:val="Tabletext"/>
            </w:pPr>
            <w:r w:rsidRPr="0098131C">
              <w:t>Sensitivity analysis</w:t>
            </w:r>
          </w:p>
        </w:tc>
        <w:tc>
          <w:tcPr>
            <w:tcW w:w="3016" w:type="dxa"/>
          </w:tcPr>
          <w:p w14:paraId="41F84D6C" w14:textId="77777777" w:rsidR="00551063" w:rsidRPr="0098131C" w:rsidRDefault="00551063" w:rsidP="00302CD8">
            <w:pPr>
              <w:pStyle w:val="Tabletext"/>
              <w:jc w:val="center"/>
            </w:pPr>
            <w:r w:rsidRPr="0098131C">
              <w:t>Unadjusted regression model</w:t>
            </w:r>
          </w:p>
        </w:tc>
        <w:tc>
          <w:tcPr>
            <w:tcW w:w="2603" w:type="dxa"/>
          </w:tcPr>
          <w:p w14:paraId="6DBEF196" w14:textId="286A0306" w:rsidR="00551063" w:rsidRPr="0098131C" w:rsidRDefault="00317BA0" w:rsidP="00302CD8">
            <w:pPr>
              <w:pStyle w:val="Tabletext"/>
              <w:jc w:val="center"/>
            </w:pPr>
            <w:r>
              <w:rPr>
                <w:b/>
                <w:bCs/>
              </w:rPr>
              <w:t>REDACTED</w:t>
            </w:r>
          </w:p>
        </w:tc>
      </w:tr>
      <w:tr w:rsidR="00551063" w:rsidRPr="00317BA0" w14:paraId="4757F5A8" w14:textId="77777777" w:rsidTr="007F6B5B">
        <w:trPr>
          <w:tblHeader/>
        </w:trPr>
        <w:tc>
          <w:tcPr>
            <w:tcW w:w="3397" w:type="dxa"/>
            <w:vMerge/>
          </w:tcPr>
          <w:p w14:paraId="2BFF34FF" w14:textId="77777777" w:rsidR="00551063" w:rsidRPr="0098131C" w:rsidRDefault="00551063" w:rsidP="00302CD8">
            <w:pPr>
              <w:pStyle w:val="Tabletext"/>
            </w:pPr>
          </w:p>
        </w:tc>
        <w:tc>
          <w:tcPr>
            <w:tcW w:w="3016" w:type="dxa"/>
          </w:tcPr>
          <w:p w14:paraId="78A0F11A" w14:textId="77777777" w:rsidR="00551063" w:rsidRPr="0098131C" w:rsidRDefault="00551063" w:rsidP="00302CD8">
            <w:pPr>
              <w:pStyle w:val="Tabletext"/>
              <w:jc w:val="center"/>
            </w:pPr>
            <w:r w:rsidRPr="0098131C">
              <w:t>Weighted regression model</w:t>
            </w:r>
          </w:p>
        </w:tc>
        <w:tc>
          <w:tcPr>
            <w:tcW w:w="2603" w:type="dxa"/>
          </w:tcPr>
          <w:p w14:paraId="514E63D0" w14:textId="70932513" w:rsidR="00551063" w:rsidRPr="0098131C" w:rsidRDefault="00317BA0" w:rsidP="00302CD8">
            <w:pPr>
              <w:pStyle w:val="Tabletext"/>
              <w:jc w:val="center"/>
            </w:pPr>
            <w:r>
              <w:rPr>
                <w:b/>
                <w:bCs/>
              </w:rPr>
              <w:t>REDACTED</w:t>
            </w:r>
          </w:p>
        </w:tc>
      </w:tr>
      <w:tr w:rsidR="001D13DD" w:rsidRPr="00317BA0" w14:paraId="26D771D4" w14:textId="77777777" w:rsidTr="007F6B5B">
        <w:trPr>
          <w:tblHeader/>
        </w:trPr>
        <w:tc>
          <w:tcPr>
            <w:tcW w:w="3397" w:type="dxa"/>
          </w:tcPr>
          <w:p w14:paraId="4EC82B14" w14:textId="235C9F51" w:rsidR="001D13DD" w:rsidRPr="0098131C" w:rsidRDefault="007F6B5B" w:rsidP="00302CD8">
            <w:pPr>
              <w:pStyle w:val="Tabletext"/>
              <w:rPr>
                <w:i/>
                <w:iCs/>
              </w:rPr>
            </w:pPr>
            <w:r w:rsidRPr="0098131C">
              <w:rPr>
                <w:i/>
                <w:iCs/>
              </w:rPr>
              <w:t xml:space="preserve">Pre-ESC response - </w:t>
            </w:r>
            <w:r w:rsidR="001D13DD" w:rsidRPr="0098131C">
              <w:rPr>
                <w:i/>
                <w:iCs/>
              </w:rPr>
              <w:t xml:space="preserve">Base case </w:t>
            </w:r>
            <w:r w:rsidRPr="0098131C">
              <w:rPr>
                <w:i/>
                <w:iCs/>
                <w:vertAlign w:val="superscript"/>
              </w:rPr>
              <w:t>a</w:t>
            </w:r>
          </w:p>
        </w:tc>
        <w:tc>
          <w:tcPr>
            <w:tcW w:w="3016" w:type="dxa"/>
          </w:tcPr>
          <w:p w14:paraId="702986B7" w14:textId="2E4AA08A" w:rsidR="001D13DD" w:rsidRPr="0098131C" w:rsidRDefault="001D13DD" w:rsidP="00302CD8">
            <w:pPr>
              <w:pStyle w:val="Tabletext"/>
              <w:jc w:val="center"/>
              <w:rPr>
                <w:i/>
                <w:iCs/>
              </w:rPr>
            </w:pPr>
            <w:r w:rsidRPr="0098131C">
              <w:rPr>
                <w:i/>
                <w:iCs/>
              </w:rPr>
              <w:t>Weighted regression model</w:t>
            </w:r>
          </w:p>
        </w:tc>
        <w:tc>
          <w:tcPr>
            <w:tcW w:w="2603" w:type="dxa"/>
          </w:tcPr>
          <w:p w14:paraId="0421FC44" w14:textId="304763D6" w:rsidR="001D13DD" w:rsidRPr="0098131C" w:rsidRDefault="00317BA0" w:rsidP="00302CD8">
            <w:pPr>
              <w:pStyle w:val="Tabletext"/>
              <w:jc w:val="center"/>
              <w:rPr>
                <w:i/>
                <w:iCs/>
              </w:rPr>
            </w:pPr>
            <w:r>
              <w:rPr>
                <w:b/>
                <w:bCs/>
              </w:rPr>
              <w:t>REDACTED</w:t>
            </w:r>
          </w:p>
        </w:tc>
      </w:tr>
      <w:tr w:rsidR="001D13DD" w:rsidRPr="000F39B8" w14:paraId="742C26E5" w14:textId="77777777" w:rsidTr="007F6B5B">
        <w:trPr>
          <w:tblHeader/>
        </w:trPr>
        <w:tc>
          <w:tcPr>
            <w:tcW w:w="3397" w:type="dxa"/>
          </w:tcPr>
          <w:p w14:paraId="02EBE886" w14:textId="62557A91" w:rsidR="001D13DD" w:rsidRPr="0098131C" w:rsidRDefault="007F6B5B" w:rsidP="00302CD8">
            <w:pPr>
              <w:pStyle w:val="Tabletext"/>
              <w:rPr>
                <w:i/>
                <w:iCs/>
              </w:rPr>
            </w:pPr>
            <w:r w:rsidRPr="0098131C">
              <w:rPr>
                <w:i/>
                <w:iCs/>
              </w:rPr>
              <w:t>Pre-ESC response</w:t>
            </w:r>
            <w:r w:rsidRPr="0098131C">
              <w:rPr>
                <w:i/>
                <w:iCs/>
                <w:vertAlign w:val="superscript"/>
              </w:rPr>
              <w:t xml:space="preserve"> </w:t>
            </w:r>
            <w:r w:rsidRPr="0098131C">
              <w:rPr>
                <w:i/>
                <w:iCs/>
              </w:rPr>
              <w:t xml:space="preserve">- </w:t>
            </w:r>
            <w:r w:rsidR="001D13DD" w:rsidRPr="0098131C">
              <w:rPr>
                <w:i/>
                <w:iCs/>
              </w:rPr>
              <w:t>Sensitivity analysis</w:t>
            </w:r>
            <w:r w:rsidRPr="0098131C">
              <w:rPr>
                <w:i/>
                <w:iCs/>
                <w:vertAlign w:val="superscript"/>
              </w:rPr>
              <w:t xml:space="preserve"> a</w:t>
            </w:r>
          </w:p>
        </w:tc>
        <w:tc>
          <w:tcPr>
            <w:tcW w:w="3016" w:type="dxa"/>
          </w:tcPr>
          <w:p w14:paraId="2F441746" w14:textId="7FFD9BE8" w:rsidR="001D13DD" w:rsidRPr="0098131C" w:rsidRDefault="001D13DD" w:rsidP="00302CD8">
            <w:pPr>
              <w:pStyle w:val="Tabletext"/>
              <w:jc w:val="center"/>
              <w:rPr>
                <w:i/>
                <w:iCs/>
              </w:rPr>
            </w:pPr>
            <w:r w:rsidRPr="0098131C">
              <w:rPr>
                <w:i/>
                <w:iCs/>
              </w:rPr>
              <w:t>Weighted regression model</w:t>
            </w:r>
          </w:p>
        </w:tc>
        <w:tc>
          <w:tcPr>
            <w:tcW w:w="2603" w:type="dxa"/>
          </w:tcPr>
          <w:p w14:paraId="623DB3EB" w14:textId="2F66F74F" w:rsidR="001D13DD" w:rsidRPr="0098131C" w:rsidRDefault="00DA06E0" w:rsidP="00302CD8">
            <w:pPr>
              <w:pStyle w:val="Tabletext"/>
              <w:jc w:val="center"/>
              <w:rPr>
                <w:b/>
                <w:bCs/>
                <w:i/>
                <w:iCs/>
              </w:rPr>
            </w:pPr>
            <w:r>
              <w:rPr>
                <w:b/>
                <w:bCs/>
              </w:rPr>
              <w:t>REDACTED</w:t>
            </w:r>
          </w:p>
        </w:tc>
      </w:tr>
    </w:tbl>
    <w:p w14:paraId="048DEA85" w14:textId="6CB4FE6C" w:rsidR="00E009E0" w:rsidRPr="00350002" w:rsidRDefault="00E009E0" w:rsidP="00AF7538">
      <w:pPr>
        <w:pStyle w:val="Tablenotes"/>
      </w:pPr>
      <w:r w:rsidRPr="00350002">
        <w:t xml:space="preserve">a Supplementary analysis by applicant following commentary </w:t>
      </w:r>
      <w:r w:rsidRPr="00350002">
        <w:rPr>
          <w:i/>
          <w:iCs/>
        </w:rPr>
        <w:t>in italics</w:t>
      </w:r>
      <w:r w:rsidRPr="00350002">
        <w:t xml:space="preserve">. Reconstructed CLASP MAE definition: </w:t>
      </w:r>
      <w:r w:rsidR="00D27712" w:rsidRPr="00350002">
        <w:rPr>
          <w:b/>
          <w:bCs/>
        </w:rPr>
        <w:t>REDACTED</w:t>
      </w:r>
      <w:r w:rsidR="00D27712" w:rsidRPr="00350002" w:rsidDel="00D27712">
        <w:t xml:space="preserve"> </w:t>
      </w:r>
      <w:r w:rsidRPr="00350002">
        <w:t xml:space="preserve">compared against the secondary </w:t>
      </w:r>
      <w:proofErr w:type="gramStart"/>
      <w:r w:rsidRPr="00350002">
        <w:t>end-point</w:t>
      </w:r>
      <w:proofErr w:type="gramEnd"/>
      <w:r w:rsidRPr="00350002">
        <w:t xml:space="preserve"> from the COAPT</w:t>
      </w:r>
      <w:r w:rsidRPr="00350002">
        <w:rPr>
          <w:sz w:val="14"/>
          <w:szCs w:val="14"/>
        </w:rPr>
        <w:t xml:space="preserve"> </w:t>
      </w:r>
      <w:r w:rsidRPr="00350002">
        <w:t>study: death from any cause, stroke, myocardial infarction, and nonelective cardiovascular surgery for a device-related complication</w:t>
      </w:r>
    </w:p>
    <w:p w14:paraId="124EA2FF" w14:textId="3ADD22CF" w:rsidR="005859F7" w:rsidRPr="005602F8" w:rsidRDefault="00551063" w:rsidP="00AF7538">
      <w:pPr>
        <w:pStyle w:val="Tablenotes"/>
      </w:pPr>
      <w:r w:rsidRPr="005602F8">
        <w:t xml:space="preserve">Source: ADAR commentary </w:t>
      </w:r>
      <w:bookmarkStart w:id="23" w:name="_Ref86131551"/>
      <w:r w:rsidR="005859F7" w:rsidRPr="005602F8">
        <w:br w:type="page"/>
      </w:r>
    </w:p>
    <w:p w14:paraId="1E03F191" w14:textId="777DDA53" w:rsidR="009006B8" w:rsidRPr="005602F8" w:rsidRDefault="009006B8" w:rsidP="009006B8">
      <w:pPr>
        <w:pStyle w:val="Caption"/>
      </w:pPr>
      <w:r w:rsidRPr="005602F8">
        <w:lastRenderedPageBreak/>
        <w:t xml:space="preserve">Table </w:t>
      </w:r>
      <w:r w:rsidR="00002063">
        <w:fldChar w:fldCharType="begin"/>
      </w:r>
      <w:r w:rsidR="00002063">
        <w:instrText xml:space="preserve"> SEQ Table \* ARABIC </w:instrText>
      </w:r>
      <w:r w:rsidR="00002063">
        <w:fldChar w:fldCharType="separate"/>
      </w:r>
      <w:r w:rsidR="000F39B8" w:rsidRPr="005602F8">
        <w:rPr>
          <w:noProof/>
        </w:rPr>
        <w:t>7</w:t>
      </w:r>
      <w:r w:rsidR="00002063">
        <w:rPr>
          <w:noProof/>
        </w:rPr>
        <w:fldChar w:fldCharType="end"/>
      </w:r>
      <w:bookmarkEnd w:id="23"/>
      <w:r w:rsidRPr="005602F8">
        <w:t xml:space="preserve"> Odds ratios and 95% </w:t>
      </w:r>
      <w:proofErr w:type="gramStart"/>
      <w:r w:rsidRPr="005602F8">
        <w:t>CI's</w:t>
      </w:r>
      <w:proofErr w:type="gramEnd"/>
      <w:r w:rsidRPr="005602F8">
        <w:t xml:space="preserve"> for the comparison of MAE by 30 days of follow-up for CLASP (PASCAL) vs EVEREST-II (</w:t>
      </w:r>
      <w:proofErr w:type="spellStart"/>
      <w:r w:rsidRPr="005602F8">
        <w:t>MitraClip</w:t>
      </w:r>
      <w:proofErr w:type="spellEnd"/>
      <w:r w:rsidRPr="005602F8">
        <w:t>)</w:t>
      </w:r>
    </w:p>
    <w:tbl>
      <w:tblPr>
        <w:tblStyle w:val="TableGrid27"/>
        <w:tblW w:w="0" w:type="auto"/>
        <w:tblLook w:val="04A0" w:firstRow="1" w:lastRow="0" w:firstColumn="1" w:lastColumn="0" w:noHBand="0" w:noVBand="1"/>
        <w:tblDescription w:val="Odds ratios and 95% CI's for the comparison of MAE by 30 days of follow-up for CLASP (PASCAL) vs EVEREST-II (MitraClip)"/>
      </w:tblPr>
      <w:tblGrid>
        <w:gridCol w:w="2992"/>
        <w:gridCol w:w="3421"/>
        <w:gridCol w:w="2603"/>
      </w:tblGrid>
      <w:tr w:rsidR="005602F8" w:rsidRPr="005602F8" w14:paraId="36891225" w14:textId="77777777" w:rsidTr="00E36F6B">
        <w:tc>
          <w:tcPr>
            <w:tcW w:w="2992" w:type="dxa"/>
          </w:tcPr>
          <w:p w14:paraId="32B15D15" w14:textId="77777777" w:rsidR="00577645" w:rsidRPr="005602F8" w:rsidRDefault="00577645" w:rsidP="00302CD8">
            <w:pPr>
              <w:pStyle w:val="TableHeading"/>
            </w:pPr>
            <w:r w:rsidRPr="005602F8">
              <w:t>Matching</w:t>
            </w:r>
          </w:p>
        </w:tc>
        <w:tc>
          <w:tcPr>
            <w:tcW w:w="3421" w:type="dxa"/>
          </w:tcPr>
          <w:p w14:paraId="594CB330" w14:textId="77777777" w:rsidR="00577645" w:rsidRPr="005602F8" w:rsidRDefault="00577645" w:rsidP="00E36F6B">
            <w:pPr>
              <w:pStyle w:val="TableHeading"/>
              <w:jc w:val="center"/>
            </w:pPr>
            <w:r w:rsidRPr="005602F8">
              <w:t>Method</w:t>
            </w:r>
          </w:p>
        </w:tc>
        <w:tc>
          <w:tcPr>
            <w:tcW w:w="2603" w:type="dxa"/>
          </w:tcPr>
          <w:p w14:paraId="6E8319FE" w14:textId="02D1A73B" w:rsidR="00577645" w:rsidRPr="005602F8" w:rsidRDefault="00E36F6B" w:rsidP="00E36F6B">
            <w:pPr>
              <w:pStyle w:val="TableHeading"/>
              <w:jc w:val="center"/>
            </w:pPr>
            <w:r w:rsidRPr="005602F8">
              <w:t>Odds</w:t>
            </w:r>
            <w:r w:rsidR="00577645" w:rsidRPr="005602F8">
              <w:t xml:space="preserve"> ratio (95% CI)</w:t>
            </w:r>
          </w:p>
        </w:tc>
      </w:tr>
      <w:tr w:rsidR="005602F8" w:rsidRPr="005602F8" w14:paraId="05D3404E" w14:textId="77777777" w:rsidTr="00302CD8">
        <w:tc>
          <w:tcPr>
            <w:tcW w:w="2992" w:type="dxa"/>
            <w:vMerge w:val="restart"/>
          </w:tcPr>
          <w:p w14:paraId="4389EC6F" w14:textId="77777777" w:rsidR="00577645" w:rsidRPr="005602F8" w:rsidRDefault="00577645" w:rsidP="00302CD8">
            <w:pPr>
              <w:pStyle w:val="Tabletext"/>
            </w:pPr>
            <w:r w:rsidRPr="005602F8">
              <w:t>Base case</w:t>
            </w:r>
          </w:p>
        </w:tc>
        <w:tc>
          <w:tcPr>
            <w:tcW w:w="3421" w:type="dxa"/>
          </w:tcPr>
          <w:p w14:paraId="1D4033BF" w14:textId="77777777" w:rsidR="00577645" w:rsidRPr="005602F8" w:rsidRDefault="00577645" w:rsidP="00302CD8">
            <w:pPr>
              <w:pStyle w:val="Tabletext"/>
            </w:pPr>
            <w:r w:rsidRPr="005602F8">
              <w:t>Unadjusted regression model</w:t>
            </w:r>
          </w:p>
        </w:tc>
        <w:tc>
          <w:tcPr>
            <w:tcW w:w="2603" w:type="dxa"/>
          </w:tcPr>
          <w:p w14:paraId="430DDC8F" w14:textId="07C196F9" w:rsidR="00577645" w:rsidRPr="005602F8" w:rsidRDefault="00317BA0" w:rsidP="00302CD8">
            <w:pPr>
              <w:pStyle w:val="Tabletext"/>
              <w:jc w:val="center"/>
            </w:pPr>
            <w:r w:rsidRPr="005602F8">
              <w:rPr>
                <w:b/>
                <w:bCs/>
              </w:rPr>
              <w:t>REDACTED</w:t>
            </w:r>
          </w:p>
        </w:tc>
      </w:tr>
      <w:tr w:rsidR="005602F8" w:rsidRPr="005602F8" w14:paraId="7CC45B3B" w14:textId="77777777" w:rsidTr="00302CD8">
        <w:tc>
          <w:tcPr>
            <w:tcW w:w="2992" w:type="dxa"/>
            <w:vMerge/>
          </w:tcPr>
          <w:p w14:paraId="1456A876" w14:textId="77777777" w:rsidR="00577645" w:rsidRPr="005602F8" w:rsidRDefault="00577645" w:rsidP="00302CD8">
            <w:pPr>
              <w:pStyle w:val="Tabletext"/>
            </w:pPr>
          </w:p>
        </w:tc>
        <w:tc>
          <w:tcPr>
            <w:tcW w:w="3421" w:type="dxa"/>
          </w:tcPr>
          <w:p w14:paraId="5B896C37" w14:textId="77777777" w:rsidR="00577645" w:rsidRPr="005602F8" w:rsidRDefault="00577645" w:rsidP="00302CD8">
            <w:pPr>
              <w:pStyle w:val="Tabletext"/>
            </w:pPr>
            <w:r w:rsidRPr="005602F8">
              <w:t>Weighted regression model</w:t>
            </w:r>
          </w:p>
        </w:tc>
        <w:tc>
          <w:tcPr>
            <w:tcW w:w="2603" w:type="dxa"/>
          </w:tcPr>
          <w:p w14:paraId="42096068" w14:textId="2A146D8E" w:rsidR="00577645" w:rsidRPr="005602F8" w:rsidRDefault="00317BA0" w:rsidP="00302CD8">
            <w:pPr>
              <w:pStyle w:val="Tabletext"/>
              <w:jc w:val="center"/>
            </w:pPr>
            <w:r w:rsidRPr="005602F8">
              <w:rPr>
                <w:b/>
                <w:bCs/>
              </w:rPr>
              <w:t>REDACTED</w:t>
            </w:r>
          </w:p>
        </w:tc>
      </w:tr>
      <w:tr w:rsidR="005602F8" w:rsidRPr="005602F8" w14:paraId="15AB1899" w14:textId="77777777" w:rsidTr="00302CD8">
        <w:tc>
          <w:tcPr>
            <w:tcW w:w="2992" w:type="dxa"/>
            <w:vMerge w:val="restart"/>
          </w:tcPr>
          <w:p w14:paraId="13ECE464" w14:textId="77777777" w:rsidR="00577645" w:rsidRPr="005602F8" w:rsidRDefault="00577645" w:rsidP="00302CD8">
            <w:pPr>
              <w:pStyle w:val="Tabletext"/>
            </w:pPr>
            <w:r w:rsidRPr="005602F8">
              <w:t>Sensitivity analysis</w:t>
            </w:r>
          </w:p>
        </w:tc>
        <w:tc>
          <w:tcPr>
            <w:tcW w:w="3421" w:type="dxa"/>
          </w:tcPr>
          <w:p w14:paraId="020290D8" w14:textId="77777777" w:rsidR="00577645" w:rsidRPr="005602F8" w:rsidRDefault="00577645" w:rsidP="00302CD8">
            <w:pPr>
              <w:pStyle w:val="Tabletext"/>
            </w:pPr>
            <w:r w:rsidRPr="005602F8">
              <w:t>Unadjusted regression model</w:t>
            </w:r>
          </w:p>
        </w:tc>
        <w:tc>
          <w:tcPr>
            <w:tcW w:w="2603" w:type="dxa"/>
          </w:tcPr>
          <w:p w14:paraId="377B7102" w14:textId="13C3565F" w:rsidR="00577645" w:rsidRPr="005602F8" w:rsidRDefault="00317BA0" w:rsidP="00302CD8">
            <w:pPr>
              <w:pStyle w:val="Tabletext"/>
              <w:jc w:val="center"/>
            </w:pPr>
            <w:r w:rsidRPr="005602F8">
              <w:rPr>
                <w:b/>
                <w:bCs/>
              </w:rPr>
              <w:t>REDACTED</w:t>
            </w:r>
          </w:p>
        </w:tc>
      </w:tr>
      <w:tr w:rsidR="005602F8" w:rsidRPr="005602F8" w14:paraId="27CE1090" w14:textId="77777777" w:rsidTr="00302CD8">
        <w:tc>
          <w:tcPr>
            <w:tcW w:w="2992" w:type="dxa"/>
            <w:vMerge/>
          </w:tcPr>
          <w:p w14:paraId="5FDB58E8" w14:textId="77777777" w:rsidR="00577645" w:rsidRPr="005602F8" w:rsidRDefault="00577645" w:rsidP="00302CD8">
            <w:pPr>
              <w:pStyle w:val="Tabletext"/>
            </w:pPr>
          </w:p>
        </w:tc>
        <w:tc>
          <w:tcPr>
            <w:tcW w:w="3421" w:type="dxa"/>
          </w:tcPr>
          <w:p w14:paraId="7CEEA660" w14:textId="77777777" w:rsidR="00577645" w:rsidRPr="005602F8" w:rsidRDefault="00577645" w:rsidP="00302CD8">
            <w:pPr>
              <w:pStyle w:val="Tabletext"/>
            </w:pPr>
            <w:r w:rsidRPr="005602F8">
              <w:t>Weighted regression model</w:t>
            </w:r>
          </w:p>
        </w:tc>
        <w:tc>
          <w:tcPr>
            <w:tcW w:w="2603" w:type="dxa"/>
          </w:tcPr>
          <w:p w14:paraId="6A71B8DE" w14:textId="5F944390" w:rsidR="00577645" w:rsidRPr="005602F8" w:rsidRDefault="00317BA0" w:rsidP="00302CD8">
            <w:pPr>
              <w:pStyle w:val="Tabletext"/>
              <w:jc w:val="center"/>
            </w:pPr>
            <w:r w:rsidRPr="005602F8">
              <w:rPr>
                <w:b/>
                <w:bCs/>
              </w:rPr>
              <w:t>REDACTED</w:t>
            </w:r>
          </w:p>
        </w:tc>
      </w:tr>
      <w:tr w:rsidR="005602F8" w:rsidRPr="005602F8" w14:paraId="68C5E12A" w14:textId="77777777" w:rsidTr="00302CD8">
        <w:tc>
          <w:tcPr>
            <w:tcW w:w="2992" w:type="dxa"/>
          </w:tcPr>
          <w:p w14:paraId="27FE8231" w14:textId="469E7274" w:rsidR="007F6B5B" w:rsidRPr="005602F8" w:rsidRDefault="007F6B5B" w:rsidP="007F6B5B">
            <w:pPr>
              <w:pStyle w:val="Tabletext"/>
            </w:pPr>
            <w:r w:rsidRPr="005602F8">
              <w:rPr>
                <w:i/>
                <w:iCs/>
              </w:rPr>
              <w:t xml:space="preserve">Pre-ESC response - Base case </w:t>
            </w:r>
            <w:r w:rsidRPr="005602F8">
              <w:rPr>
                <w:i/>
                <w:iCs/>
                <w:vertAlign w:val="superscript"/>
              </w:rPr>
              <w:t>a</w:t>
            </w:r>
          </w:p>
        </w:tc>
        <w:tc>
          <w:tcPr>
            <w:tcW w:w="3421" w:type="dxa"/>
          </w:tcPr>
          <w:p w14:paraId="69D565CB" w14:textId="382FF67F" w:rsidR="007F6B5B" w:rsidRPr="005602F8" w:rsidRDefault="007F6B5B" w:rsidP="007F6B5B">
            <w:pPr>
              <w:pStyle w:val="Tabletext"/>
            </w:pPr>
            <w:r w:rsidRPr="005602F8">
              <w:rPr>
                <w:i/>
                <w:iCs/>
              </w:rPr>
              <w:t>Weighted regression model</w:t>
            </w:r>
          </w:p>
        </w:tc>
        <w:tc>
          <w:tcPr>
            <w:tcW w:w="2603" w:type="dxa"/>
          </w:tcPr>
          <w:p w14:paraId="3AAF0E57" w14:textId="46598BAD" w:rsidR="007F6B5B" w:rsidRPr="005602F8" w:rsidRDefault="00317BA0" w:rsidP="007F6B5B">
            <w:pPr>
              <w:pStyle w:val="Tabletext"/>
              <w:jc w:val="center"/>
              <w:rPr>
                <w:i/>
                <w:iCs/>
              </w:rPr>
            </w:pPr>
            <w:r w:rsidRPr="005602F8">
              <w:rPr>
                <w:b/>
                <w:bCs/>
              </w:rPr>
              <w:t>REDACTED</w:t>
            </w:r>
          </w:p>
        </w:tc>
      </w:tr>
      <w:tr w:rsidR="005602F8" w:rsidRPr="005602F8" w14:paraId="0550F6AD" w14:textId="77777777" w:rsidTr="00302CD8">
        <w:tc>
          <w:tcPr>
            <w:tcW w:w="2992" w:type="dxa"/>
          </w:tcPr>
          <w:p w14:paraId="05013F38" w14:textId="6AB294AD" w:rsidR="007F6B5B" w:rsidRPr="005602F8" w:rsidRDefault="007F6B5B" w:rsidP="007F6B5B">
            <w:pPr>
              <w:pStyle w:val="Tabletext"/>
            </w:pPr>
            <w:r w:rsidRPr="005602F8">
              <w:rPr>
                <w:i/>
                <w:iCs/>
              </w:rPr>
              <w:t>Pre-ESC response</w:t>
            </w:r>
            <w:r w:rsidRPr="005602F8">
              <w:rPr>
                <w:i/>
                <w:iCs/>
                <w:vertAlign w:val="superscript"/>
              </w:rPr>
              <w:t xml:space="preserve"> </w:t>
            </w:r>
            <w:r w:rsidRPr="005602F8">
              <w:rPr>
                <w:i/>
                <w:iCs/>
              </w:rPr>
              <w:t>- Sensitivity analysis</w:t>
            </w:r>
            <w:r w:rsidRPr="005602F8">
              <w:rPr>
                <w:i/>
                <w:iCs/>
                <w:vertAlign w:val="superscript"/>
              </w:rPr>
              <w:t xml:space="preserve"> a</w:t>
            </w:r>
          </w:p>
        </w:tc>
        <w:tc>
          <w:tcPr>
            <w:tcW w:w="3421" w:type="dxa"/>
          </w:tcPr>
          <w:p w14:paraId="1BE2EDDC" w14:textId="4270201D" w:rsidR="007F6B5B" w:rsidRPr="005602F8" w:rsidRDefault="007F6B5B" w:rsidP="007F6B5B">
            <w:pPr>
              <w:pStyle w:val="Tabletext"/>
            </w:pPr>
            <w:r w:rsidRPr="005602F8">
              <w:rPr>
                <w:i/>
                <w:iCs/>
              </w:rPr>
              <w:t>Weighted regression model</w:t>
            </w:r>
          </w:p>
        </w:tc>
        <w:tc>
          <w:tcPr>
            <w:tcW w:w="2603" w:type="dxa"/>
          </w:tcPr>
          <w:p w14:paraId="6BCBD255" w14:textId="3FF6061F" w:rsidR="007F6B5B" w:rsidRPr="005602F8" w:rsidRDefault="00317BA0" w:rsidP="007F6B5B">
            <w:pPr>
              <w:pStyle w:val="Tabletext"/>
              <w:jc w:val="center"/>
              <w:rPr>
                <w:i/>
                <w:iCs/>
              </w:rPr>
            </w:pPr>
            <w:r w:rsidRPr="005602F8">
              <w:rPr>
                <w:b/>
                <w:bCs/>
              </w:rPr>
              <w:t>REDACTED</w:t>
            </w:r>
          </w:p>
        </w:tc>
      </w:tr>
    </w:tbl>
    <w:p w14:paraId="6A8F5636" w14:textId="69A8084A" w:rsidR="00E009E0" w:rsidRPr="005602F8" w:rsidRDefault="00E009E0" w:rsidP="00AF7538">
      <w:pPr>
        <w:pStyle w:val="Tablenotes"/>
      </w:pPr>
      <w:r w:rsidRPr="005602F8">
        <w:t xml:space="preserve">a Supplementary analysis </w:t>
      </w:r>
      <w:r w:rsidR="007F6B5B" w:rsidRPr="005602F8">
        <w:t>in the pre-ESC response</w:t>
      </w:r>
      <w:r w:rsidR="00CC2FCC" w:rsidRPr="005602F8">
        <w:t xml:space="preserve">, excluding </w:t>
      </w:r>
      <w:r w:rsidR="00317BA0" w:rsidRPr="005602F8">
        <w:rPr>
          <w:b/>
          <w:bCs/>
        </w:rPr>
        <w:t>REDACTED</w:t>
      </w:r>
    </w:p>
    <w:p w14:paraId="69924AD7" w14:textId="64936491" w:rsidR="00551063" w:rsidRPr="005602F8" w:rsidRDefault="00577645" w:rsidP="00AF7538">
      <w:pPr>
        <w:pStyle w:val="Tablenotes"/>
        <w:rPr>
          <w:i/>
          <w:iCs/>
        </w:rPr>
      </w:pPr>
      <w:r w:rsidRPr="005602F8">
        <w:t>Source: ADAR commentary</w:t>
      </w:r>
      <w:r w:rsidR="00C947C9" w:rsidRPr="005602F8">
        <w:t xml:space="preserve">, </w:t>
      </w:r>
      <w:r w:rsidR="00C947C9" w:rsidRPr="005602F8">
        <w:rPr>
          <w:i/>
          <w:iCs/>
        </w:rPr>
        <w:t>pre-ESC response</w:t>
      </w:r>
      <w:r w:rsidRPr="005602F8">
        <w:t xml:space="preserve"> </w:t>
      </w:r>
    </w:p>
    <w:p w14:paraId="69EF91EA" w14:textId="35658EEB" w:rsidR="006C0C53" w:rsidRPr="005602F8" w:rsidRDefault="0035722E" w:rsidP="003922FD">
      <w:r w:rsidRPr="005602F8">
        <w:t xml:space="preserve">In response to the differences in MAE definitions noted by the commentary, the </w:t>
      </w:r>
      <w:r w:rsidR="00BD2E8F" w:rsidRPr="005602F8">
        <w:t>pre-ESC response</w:t>
      </w:r>
      <w:r w:rsidRPr="005602F8">
        <w:t xml:space="preserve"> performed an additional analysis suggested by the </w:t>
      </w:r>
      <w:r w:rsidR="00CF4C2C" w:rsidRPr="005602F8">
        <w:t xml:space="preserve">commentary </w:t>
      </w:r>
      <w:r w:rsidRPr="005602F8">
        <w:t>in the MAIC</w:t>
      </w:r>
      <w:r w:rsidR="00317BA0" w:rsidRPr="005602F8">
        <w:t xml:space="preserve"> </w:t>
      </w:r>
      <w:r w:rsidRPr="005602F8">
        <w:t>using a “reconstructed” CLASP MAE, defined as:</w:t>
      </w:r>
      <w:r w:rsidR="00D27712" w:rsidRPr="005602F8">
        <w:t xml:space="preserve"> </w:t>
      </w:r>
      <w:r w:rsidR="00D27712" w:rsidRPr="005602F8">
        <w:rPr>
          <w:b/>
          <w:bCs/>
        </w:rPr>
        <w:t>REDACTED</w:t>
      </w:r>
      <w:bookmarkStart w:id="24" w:name="_Ref97192901"/>
      <w:r w:rsidR="00D27712" w:rsidRPr="005602F8">
        <w:rPr>
          <w:rStyle w:val="FootnoteReference"/>
        </w:rPr>
        <w:footnoteReference w:id="19"/>
      </w:r>
      <w:bookmarkEnd w:id="24"/>
      <w:r w:rsidR="00D27712" w:rsidRPr="005602F8">
        <w:t xml:space="preserve">. </w:t>
      </w:r>
      <w:r w:rsidRPr="005602F8">
        <w:t xml:space="preserve">The MAE variables from the CLASP </w:t>
      </w:r>
      <w:r w:rsidRPr="005602F8">
        <w:rPr>
          <w:szCs w:val="24"/>
        </w:rPr>
        <w:t>data</w:t>
      </w:r>
      <w:r w:rsidR="00E60444" w:rsidRPr="005602F8">
        <w:rPr>
          <w:szCs w:val="24"/>
        </w:rPr>
        <w:t xml:space="preserve"> (</w:t>
      </w:r>
      <w:r w:rsidR="00E60444" w:rsidRPr="005602F8">
        <w:rPr>
          <w:szCs w:val="24"/>
        </w:rPr>
        <w:fldChar w:fldCharType="begin"/>
      </w:r>
      <w:r w:rsidR="00E60444" w:rsidRPr="005602F8">
        <w:rPr>
          <w:szCs w:val="24"/>
        </w:rPr>
        <w:instrText xml:space="preserve"> REF _Ref86131470 \h </w:instrText>
      </w:r>
      <w:r w:rsidR="00072539" w:rsidRPr="005602F8">
        <w:rPr>
          <w:szCs w:val="24"/>
        </w:rPr>
        <w:instrText xml:space="preserve"> \* MERGEFORMAT </w:instrText>
      </w:r>
      <w:r w:rsidR="00E60444" w:rsidRPr="005602F8">
        <w:rPr>
          <w:szCs w:val="24"/>
        </w:rPr>
      </w:r>
      <w:r w:rsidR="00E60444" w:rsidRPr="005602F8">
        <w:rPr>
          <w:szCs w:val="24"/>
        </w:rPr>
        <w:fldChar w:fldCharType="separate"/>
      </w:r>
      <w:r w:rsidR="00072539" w:rsidRPr="005602F8">
        <w:rPr>
          <w:szCs w:val="24"/>
        </w:rPr>
        <w:t xml:space="preserve">Table </w:t>
      </w:r>
      <w:r w:rsidR="00072539" w:rsidRPr="005602F8">
        <w:rPr>
          <w:noProof/>
          <w:szCs w:val="24"/>
        </w:rPr>
        <w:t>5</w:t>
      </w:r>
      <w:r w:rsidR="00E60444" w:rsidRPr="005602F8">
        <w:rPr>
          <w:szCs w:val="24"/>
        </w:rPr>
        <w:fldChar w:fldCharType="end"/>
      </w:r>
      <w:r w:rsidR="00E60444" w:rsidRPr="005602F8">
        <w:rPr>
          <w:szCs w:val="24"/>
        </w:rPr>
        <w:t>)</w:t>
      </w:r>
      <w:r w:rsidRPr="005602F8">
        <w:rPr>
          <w:szCs w:val="24"/>
        </w:rPr>
        <w:t>,</w:t>
      </w:r>
      <w:r w:rsidRPr="005602F8">
        <w:rPr>
          <w:sz w:val="28"/>
          <w:szCs w:val="22"/>
        </w:rPr>
        <w:t xml:space="preserve"> </w:t>
      </w:r>
      <w:r w:rsidRPr="005602F8">
        <w:t xml:space="preserve">were compared against the secondary </w:t>
      </w:r>
      <w:proofErr w:type="gramStart"/>
      <w:r w:rsidRPr="005602F8">
        <w:t>end-point</w:t>
      </w:r>
      <w:proofErr w:type="gramEnd"/>
      <w:r w:rsidRPr="005602F8">
        <w:t xml:space="preserve"> from the COAPT</w:t>
      </w:r>
      <w:r w:rsidRPr="005602F8">
        <w:rPr>
          <w:sz w:val="14"/>
          <w:szCs w:val="14"/>
        </w:rPr>
        <w:t xml:space="preserve"> </w:t>
      </w:r>
      <w:r w:rsidRPr="005602F8">
        <w:t>study: death from any cause, stroke, myocardial infarction, and nonelective cardiovascular surgery for a device-related complication</w:t>
      </w:r>
      <w:r w:rsidRPr="005602F8">
        <w:rPr>
          <w:b/>
          <w:bCs/>
          <w:i/>
          <w:iCs/>
        </w:rPr>
        <w:t>.</w:t>
      </w:r>
      <w:r w:rsidR="006B0CB3" w:rsidRPr="005602F8">
        <w:rPr>
          <w:i/>
          <w:iCs/>
        </w:rPr>
        <w:t xml:space="preserve"> </w:t>
      </w:r>
      <w:r w:rsidR="006B0CB3" w:rsidRPr="005602F8">
        <w:t xml:space="preserve">The percentage of patients with an MAE </w:t>
      </w:r>
      <w:r w:rsidR="00F33807" w:rsidRPr="005602F8">
        <w:t xml:space="preserve">by 30 days of follow up using the ADAR definition of MAE and the reconstructed MAE rate are shown in </w:t>
      </w:r>
      <w:r w:rsidR="00F33807" w:rsidRPr="005602F8">
        <w:fldChar w:fldCharType="begin"/>
      </w:r>
      <w:r w:rsidR="00F33807" w:rsidRPr="005602F8">
        <w:instrText xml:space="preserve"> REF _Ref86135545 \h </w:instrText>
      </w:r>
      <w:r w:rsidR="00BD3EBD" w:rsidRPr="005602F8">
        <w:instrText xml:space="preserve"> \* MERGEFORMAT </w:instrText>
      </w:r>
      <w:r w:rsidR="00F33807" w:rsidRPr="005602F8">
        <w:fldChar w:fldCharType="separate"/>
      </w:r>
      <w:r w:rsidR="00072539" w:rsidRPr="005602F8">
        <w:t xml:space="preserve">Table </w:t>
      </w:r>
      <w:r w:rsidR="00072539" w:rsidRPr="005602F8">
        <w:rPr>
          <w:noProof/>
        </w:rPr>
        <w:t>8</w:t>
      </w:r>
      <w:r w:rsidR="00F33807" w:rsidRPr="005602F8">
        <w:fldChar w:fldCharType="end"/>
      </w:r>
      <w:r w:rsidR="00F33807" w:rsidRPr="005602F8">
        <w:t xml:space="preserve">. In the FMR population there were </w:t>
      </w:r>
      <w:r w:rsidR="0063579E">
        <w:rPr>
          <w:b/>
          <w:bCs/>
        </w:rPr>
        <w:t>REDACTED</w:t>
      </w:r>
      <w:r w:rsidR="00E36F6B" w:rsidRPr="005602F8">
        <w:t xml:space="preserve"> between PASCAL and </w:t>
      </w:r>
      <w:proofErr w:type="spellStart"/>
      <w:r w:rsidR="00E36F6B" w:rsidRPr="005602F8">
        <w:t>MitraClip</w:t>
      </w:r>
      <w:proofErr w:type="spellEnd"/>
      <w:r w:rsidR="00E36F6B" w:rsidRPr="005602F8">
        <w:t xml:space="preserve"> </w:t>
      </w:r>
      <w:r w:rsidR="00F33807" w:rsidRPr="005602F8">
        <w:t xml:space="preserve">using the reconstructed MAE rates </w:t>
      </w:r>
      <w:r w:rsidR="00E36F6B" w:rsidRPr="005602F8">
        <w:t>(</w:t>
      </w:r>
      <w:r w:rsidR="009006B8" w:rsidRPr="005602F8">
        <w:fldChar w:fldCharType="begin"/>
      </w:r>
      <w:r w:rsidR="009006B8" w:rsidRPr="005602F8">
        <w:instrText xml:space="preserve"> REF _Ref86131540 \h </w:instrText>
      </w:r>
      <w:r w:rsidR="00BD3EBD" w:rsidRPr="005602F8">
        <w:instrText xml:space="preserve"> \* MERGEFORMAT </w:instrText>
      </w:r>
      <w:r w:rsidR="009006B8" w:rsidRPr="005602F8">
        <w:fldChar w:fldCharType="separate"/>
      </w:r>
      <w:r w:rsidR="00072539" w:rsidRPr="005602F8">
        <w:t xml:space="preserve">Table </w:t>
      </w:r>
      <w:r w:rsidR="00072539" w:rsidRPr="005602F8">
        <w:rPr>
          <w:noProof/>
        </w:rPr>
        <w:t>6</w:t>
      </w:r>
      <w:r w:rsidR="009006B8" w:rsidRPr="005602F8">
        <w:fldChar w:fldCharType="end"/>
      </w:r>
      <w:r w:rsidR="00E36F6B" w:rsidRPr="005602F8">
        <w:t xml:space="preserve">). </w:t>
      </w:r>
    </w:p>
    <w:p w14:paraId="4A72DB34" w14:textId="6381E37C" w:rsidR="004D057A" w:rsidRPr="00066481" w:rsidRDefault="004D057A" w:rsidP="003922FD">
      <w:pPr>
        <w:pStyle w:val="Caption"/>
        <w:spacing w:before="240"/>
        <w:rPr>
          <w:highlight w:val="red"/>
        </w:rPr>
      </w:pPr>
      <w:bookmarkStart w:id="25" w:name="_Ref86135545"/>
      <w:r w:rsidRPr="00571C21">
        <w:t xml:space="preserve">Table </w:t>
      </w:r>
      <w:r w:rsidR="00002063">
        <w:fldChar w:fldCharType="begin"/>
      </w:r>
      <w:r w:rsidR="00002063">
        <w:instrText xml:space="preserve"> SEQ Table \* ARABIC </w:instrText>
      </w:r>
      <w:r w:rsidR="00002063">
        <w:fldChar w:fldCharType="separate"/>
      </w:r>
      <w:r w:rsidR="000F39B8" w:rsidRPr="00571C21">
        <w:rPr>
          <w:noProof/>
        </w:rPr>
        <w:t>8</w:t>
      </w:r>
      <w:r w:rsidR="00002063">
        <w:rPr>
          <w:noProof/>
        </w:rPr>
        <w:fldChar w:fldCharType="end"/>
      </w:r>
      <w:bookmarkEnd w:id="25"/>
      <w:r w:rsidRPr="00571C21">
        <w:t xml:space="preserve"> Percentage of patients with an MAE by 30 days of follow-up</w:t>
      </w:r>
    </w:p>
    <w:tbl>
      <w:tblPr>
        <w:tblStyle w:val="TableGrid25"/>
        <w:tblW w:w="5000" w:type="pct"/>
        <w:tblLook w:val="04A0" w:firstRow="1" w:lastRow="0" w:firstColumn="1" w:lastColumn="0" w:noHBand="0" w:noVBand="1"/>
        <w:tblDescription w:val="Percentage of patients with an MAE by 30 days of follow-up"/>
      </w:tblPr>
      <w:tblGrid>
        <w:gridCol w:w="1627"/>
        <w:gridCol w:w="1628"/>
        <w:gridCol w:w="3758"/>
        <w:gridCol w:w="2003"/>
      </w:tblGrid>
      <w:tr w:rsidR="004D057A" w:rsidRPr="00066481" w14:paraId="54C321D5" w14:textId="77777777" w:rsidTr="00AF7538">
        <w:trPr>
          <w:tblHeader/>
        </w:trPr>
        <w:tc>
          <w:tcPr>
            <w:tcW w:w="902" w:type="pct"/>
          </w:tcPr>
          <w:p w14:paraId="37080D5D" w14:textId="77777777" w:rsidR="004D057A" w:rsidRPr="00571C21" w:rsidRDefault="004D057A" w:rsidP="004D057A">
            <w:pPr>
              <w:pStyle w:val="TableHeading"/>
            </w:pPr>
            <w:bookmarkStart w:id="26" w:name="_Hlk78976055"/>
            <w:r w:rsidRPr="00571C21">
              <w:t xml:space="preserve">MAIC </w:t>
            </w:r>
          </w:p>
        </w:tc>
        <w:tc>
          <w:tcPr>
            <w:tcW w:w="903" w:type="pct"/>
          </w:tcPr>
          <w:p w14:paraId="4AF58014" w14:textId="77777777" w:rsidR="004D057A" w:rsidRPr="00571C21" w:rsidRDefault="004D057A" w:rsidP="004D057A">
            <w:pPr>
              <w:pStyle w:val="TableHeading"/>
              <w:jc w:val="center"/>
            </w:pPr>
            <w:r w:rsidRPr="00571C21">
              <w:t>Matching</w:t>
            </w:r>
          </w:p>
        </w:tc>
        <w:tc>
          <w:tcPr>
            <w:tcW w:w="2084" w:type="pct"/>
          </w:tcPr>
          <w:p w14:paraId="473F4A32" w14:textId="77777777" w:rsidR="004D057A" w:rsidRPr="00571C21" w:rsidRDefault="004D057A" w:rsidP="004D057A">
            <w:pPr>
              <w:pStyle w:val="TableHeading"/>
              <w:jc w:val="center"/>
            </w:pPr>
            <w:r w:rsidRPr="00571C21">
              <w:t>CLASP (PASCAL) weighted, %</w:t>
            </w:r>
          </w:p>
        </w:tc>
        <w:tc>
          <w:tcPr>
            <w:tcW w:w="1111" w:type="pct"/>
          </w:tcPr>
          <w:p w14:paraId="620E2C37" w14:textId="336DC3FA" w:rsidR="004D057A" w:rsidRPr="00571C21" w:rsidRDefault="004D057A" w:rsidP="004D057A">
            <w:pPr>
              <w:pStyle w:val="TableHeading"/>
              <w:jc w:val="center"/>
            </w:pPr>
            <w:r w:rsidRPr="00571C21">
              <w:t>MitraClip, %</w:t>
            </w:r>
          </w:p>
        </w:tc>
      </w:tr>
      <w:bookmarkEnd w:id="26"/>
      <w:tr w:rsidR="00AF7538" w:rsidRPr="005602F8" w14:paraId="7F42B460" w14:textId="77777777" w:rsidTr="00AF7538">
        <w:tc>
          <w:tcPr>
            <w:tcW w:w="902" w:type="pct"/>
            <w:vMerge w:val="restart"/>
          </w:tcPr>
          <w:p w14:paraId="5CF5B8C7" w14:textId="1921D921" w:rsidR="00AF7538" w:rsidRPr="005602F8" w:rsidRDefault="00AF7538" w:rsidP="00AF7538">
            <w:pPr>
              <w:pStyle w:val="Tabletext"/>
              <w:keepNext/>
            </w:pPr>
            <w:r w:rsidRPr="005602F8">
              <w:t>CLASP vs COAPT</w:t>
            </w:r>
          </w:p>
        </w:tc>
        <w:tc>
          <w:tcPr>
            <w:tcW w:w="903" w:type="pct"/>
          </w:tcPr>
          <w:p w14:paraId="59BE804F" w14:textId="77777777" w:rsidR="00AF7538" w:rsidRPr="005602F8" w:rsidRDefault="00AF7538" w:rsidP="00AF7538">
            <w:pPr>
              <w:pStyle w:val="Tabletext"/>
              <w:keepNext/>
              <w:jc w:val="center"/>
            </w:pPr>
            <w:r w:rsidRPr="005602F8">
              <w:t>Base-case analysis</w:t>
            </w:r>
          </w:p>
        </w:tc>
        <w:tc>
          <w:tcPr>
            <w:tcW w:w="2084" w:type="pct"/>
          </w:tcPr>
          <w:p w14:paraId="7C4D449E" w14:textId="0C0EA77F" w:rsidR="00AF7538" w:rsidRPr="005602F8" w:rsidRDefault="00AF7538" w:rsidP="00AF7538">
            <w:pPr>
              <w:pStyle w:val="Tabletext"/>
              <w:keepNext/>
              <w:jc w:val="center"/>
            </w:pPr>
            <w:r w:rsidRPr="005602F8">
              <w:rPr>
                <w:b/>
                <w:bCs/>
              </w:rPr>
              <w:t>REDACTED</w:t>
            </w:r>
            <w:r w:rsidR="005602F8" w:rsidRPr="005602F8">
              <w:rPr>
                <w:b/>
                <w:bCs/>
              </w:rPr>
              <w:t> </w:t>
            </w:r>
            <w:r w:rsidR="005D247C" w:rsidRPr="005602F8">
              <w:rPr>
                <w:rStyle w:val="FootnoteReference"/>
              </w:rPr>
              <w:footnoteReference w:id="20"/>
            </w:r>
          </w:p>
        </w:tc>
        <w:tc>
          <w:tcPr>
            <w:tcW w:w="1111" w:type="pct"/>
            <w:vAlign w:val="center"/>
          </w:tcPr>
          <w:p w14:paraId="3B4E4D25" w14:textId="62193325" w:rsidR="00AF7538" w:rsidRPr="005602F8" w:rsidRDefault="00AF7538" w:rsidP="00AF7538">
            <w:pPr>
              <w:pStyle w:val="Tabletext"/>
              <w:keepNext/>
              <w:jc w:val="center"/>
            </w:pPr>
            <w:r w:rsidRPr="005602F8">
              <w:t xml:space="preserve">2.98 </w:t>
            </w:r>
          </w:p>
          <w:p w14:paraId="45F26613" w14:textId="7BCC0B4C" w:rsidR="00AF7538" w:rsidRPr="005602F8" w:rsidRDefault="00AF7538" w:rsidP="00AF7538">
            <w:pPr>
              <w:pStyle w:val="Tabletext"/>
              <w:keepNext/>
              <w:jc w:val="center"/>
              <w:rPr>
                <w:vertAlign w:val="superscript"/>
              </w:rPr>
            </w:pPr>
            <w:r w:rsidRPr="005602F8">
              <w:t xml:space="preserve">3.07 (9/293) </w:t>
            </w:r>
            <w:r w:rsidRPr="005602F8">
              <w:rPr>
                <w:vertAlign w:val="superscript"/>
              </w:rPr>
              <w:t>a</w:t>
            </w:r>
          </w:p>
        </w:tc>
      </w:tr>
      <w:tr w:rsidR="00AF7538" w:rsidRPr="005602F8" w14:paraId="4C3B1D8B" w14:textId="77777777" w:rsidTr="0036225A">
        <w:tc>
          <w:tcPr>
            <w:tcW w:w="902" w:type="pct"/>
            <w:vMerge/>
          </w:tcPr>
          <w:p w14:paraId="3D0EC009" w14:textId="77777777" w:rsidR="00AF7538" w:rsidRPr="005602F8" w:rsidRDefault="00AF7538" w:rsidP="00AF7538">
            <w:pPr>
              <w:pStyle w:val="Tabletext"/>
            </w:pPr>
          </w:p>
        </w:tc>
        <w:tc>
          <w:tcPr>
            <w:tcW w:w="903" w:type="pct"/>
          </w:tcPr>
          <w:p w14:paraId="79E9E82A" w14:textId="77777777" w:rsidR="00AF7538" w:rsidRPr="005602F8" w:rsidRDefault="00AF7538" w:rsidP="00AF7538">
            <w:pPr>
              <w:pStyle w:val="Tabletext"/>
              <w:jc w:val="center"/>
            </w:pPr>
            <w:r w:rsidRPr="005602F8">
              <w:t>Sensitivity analysis</w:t>
            </w:r>
          </w:p>
        </w:tc>
        <w:tc>
          <w:tcPr>
            <w:tcW w:w="2084" w:type="pct"/>
          </w:tcPr>
          <w:p w14:paraId="1D7C9DBA" w14:textId="22640FE1" w:rsidR="00AF7538" w:rsidRPr="005602F8" w:rsidRDefault="00AF7538" w:rsidP="00AF7538">
            <w:pPr>
              <w:pStyle w:val="Tabletext"/>
              <w:jc w:val="center"/>
              <w:rPr>
                <w:i/>
                <w:iCs/>
              </w:rPr>
            </w:pPr>
            <w:r w:rsidRPr="005602F8">
              <w:rPr>
                <w:b/>
                <w:bCs/>
              </w:rPr>
              <w:t>REDACTED</w:t>
            </w:r>
          </w:p>
        </w:tc>
        <w:tc>
          <w:tcPr>
            <w:tcW w:w="1111" w:type="pct"/>
          </w:tcPr>
          <w:p w14:paraId="50BBB5D2" w14:textId="07CEA490" w:rsidR="00AF7538" w:rsidRPr="005602F8" w:rsidRDefault="00AF7538" w:rsidP="00AF7538">
            <w:pPr>
              <w:pStyle w:val="Tabletext"/>
              <w:jc w:val="center"/>
              <w:rPr>
                <w:i/>
                <w:iCs/>
              </w:rPr>
            </w:pPr>
            <w:r w:rsidRPr="005602F8">
              <w:rPr>
                <w:i/>
                <w:iCs/>
              </w:rPr>
              <w:t>NR</w:t>
            </w:r>
          </w:p>
        </w:tc>
      </w:tr>
      <w:tr w:rsidR="00AF7538" w:rsidRPr="005602F8" w14:paraId="7E732A26" w14:textId="77777777" w:rsidTr="0036225A">
        <w:tc>
          <w:tcPr>
            <w:tcW w:w="902" w:type="pct"/>
            <w:vMerge/>
          </w:tcPr>
          <w:p w14:paraId="65D9538E" w14:textId="77777777" w:rsidR="00AF7538" w:rsidRPr="005602F8" w:rsidRDefault="00AF7538" w:rsidP="00AF7538">
            <w:pPr>
              <w:pStyle w:val="Tabletext"/>
            </w:pPr>
          </w:p>
        </w:tc>
        <w:tc>
          <w:tcPr>
            <w:tcW w:w="903" w:type="pct"/>
          </w:tcPr>
          <w:p w14:paraId="5D675EC1" w14:textId="13424ECB" w:rsidR="00AF7538" w:rsidRPr="005602F8" w:rsidRDefault="00AF7538" w:rsidP="00AF7538">
            <w:pPr>
              <w:pStyle w:val="Tabletext"/>
              <w:jc w:val="center"/>
              <w:rPr>
                <w:i/>
                <w:iCs/>
              </w:rPr>
            </w:pPr>
            <w:r w:rsidRPr="005602F8">
              <w:rPr>
                <w:i/>
                <w:iCs/>
              </w:rPr>
              <w:t xml:space="preserve">Pre-ESC response </w:t>
            </w:r>
            <w:r w:rsidRPr="005602F8">
              <w:rPr>
                <w:i/>
                <w:iCs/>
                <w:vertAlign w:val="superscript"/>
              </w:rPr>
              <w:t>b</w:t>
            </w:r>
          </w:p>
        </w:tc>
        <w:tc>
          <w:tcPr>
            <w:tcW w:w="2084" w:type="pct"/>
          </w:tcPr>
          <w:p w14:paraId="61AAE8BB" w14:textId="0C48415E" w:rsidR="00AF7538" w:rsidRPr="005602F8" w:rsidRDefault="00AF7538" w:rsidP="00AF7538">
            <w:pPr>
              <w:pStyle w:val="Tabletext"/>
              <w:jc w:val="center"/>
              <w:rPr>
                <w:i/>
                <w:iCs/>
              </w:rPr>
            </w:pPr>
            <w:r w:rsidRPr="005602F8">
              <w:rPr>
                <w:b/>
                <w:bCs/>
              </w:rPr>
              <w:t>REDACTED</w:t>
            </w:r>
          </w:p>
        </w:tc>
        <w:tc>
          <w:tcPr>
            <w:tcW w:w="1111" w:type="pct"/>
          </w:tcPr>
          <w:p w14:paraId="74AF26DF" w14:textId="1B6A0FD0" w:rsidR="00AF7538" w:rsidRPr="005602F8" w:rsidRDefault="00AF7538" w:rsidP="00AF7538">
            <w:pPr>
              <w:pStyle w:val="Tabletext"/>
              <w:jc w:val="center"/>
              <w:rPr>
                <w:i/>
                <w:iCs/>
              </w:rPr>
            </w:pPr>
            <w:r w:rsidRPr="005602F8">
              <w:rPr>
                <w:i/>
                <w:iCs/>
              </w:rPr>
              <w:t>2.98</w:t>
            </w:r>
          </w:p>
        </w:tc>
      </w:tr>
      <w:tr w:rsidR="00AF7538" w:rsidRPr="005602F8" w14:paraId="310ED78C" w14:textId="77777777" w:rsidTr="0036225A">
        <w:tc>
          <w:tcPr>
            <w:tcW w:w="902" w:type="pct"/>
            <w:vMerge/>
          </w:tcPr>
          <w:p w14:paraId="097DCFB8" w14:textId="77777777" w:rsidR="00AF7538" w:rsidRPr="005602F8" w:rsidRDefault="00AF7538" w:rsidP="00AF7538">
            <w:pPr>
              <w:pStyle w:val="Tabletext"/>
            </w:pPr>
          </w:p>
        </w:tc>
        <w:tc>
          <w:tcPr>
            <w:tcW w:w="903" w:type="pct"/>
          </w:tcPr>
          <w:p w14:paraId="3A96726D" w14:textId="3A985594" w:rsidR="00AF7538" w:rsidRPr="005602F8" w:rsidRDefault="00AF7538" w:rsidP="00AF7538">
            <w:pPr>
              <w:pStyle w:val="Tabletext"/>
              <w:jc w:val="center"/>
              <w:rPr>
                <w:i/>
                <w:iCs/>
              </w:rPr>
            </w:pPr>
            <w:r w:rsidRPr="005602F8">
              <w:rPr>
                <w:i/>
                <w:iCs/>
              </w:rPr>
              <w:t xml:space="preserve">Pre-ESC response </w:t>
            </w:r>
            <w:r w:rsidRPr="005602F8">
              <w:rPr>
                <w:i/>
                <w:iCs/>
                <w:vertAlign w:val="superscript"/>
              </w:rPr>
              <w:t>b</w:t>
            </w:r>
            <w:r w:rsidRPr="005602F8">
              <w:rPr>
                <w:i/>
                <w:iCs/>
              </w:rPr>
              <w:t xml:space="preserve"> (Sensitivity analysis)</w:t>
            </w:r>
          </w:p>
        </w:tc>
        <w:tc>
          <w:tcPr>
            <w:tcW w:w="2084" w:type="pct"/>
          </w:tcPr>
          <w:p w14:paraId="38B09C5C" w14:textId="5B2A59F9" w:rsidR="00AF7538" w:rsidRPr="005602F8" w:rsidRDefault="00AF7538" w:rsidP="00AF7538">
            <w:pPr>
              <w:pStyle w:val="Tabletext"/>
              <w:jc w:val="center"/>
              <w:rPr>
                <w:i/>
                <w:iCs/>
              </w:rPr>
            </w:pPr>
            <w:r w:rsidRPr="005602F8">
              <w:rPr>
                <w:b/>
                <w:bCs/>
              </w:rPr>
              <w:t>REDACTED</w:t>
            </w:r>
          </w:p>
        </w:tc>
        <w:tc>
          <w:tcPr>
            <w:tcW w:w="1111" w:type="pct"/>
          </w:tcPr>
          <w:p w14:paraId="6A6B4A50" w14:textId="4EED65AB" w:rsidR="00AF7538" w:rsidRPr="005602F8" w:rsidRDefault="00AF7538" w:rsidP="00AF7538">
            <w:pPr>
              <w:pStyle w:val="Tabletext"/>
              <w:jc w:val="center"/>
              <w:rPr>
                <w:i/>
                <w:iCs/>
              </w:rPr>
            </w:pPr>
            <w:r w:rsidRPr="005602F8">
              <w:rPr>
                <w:i/>
                <w:iCs/>
              </w:rPr>
              <w:t>2.98</w:t>
            </w:r>
          </w:p>
        </w:tc>
      </w:tr>
      <w:tr w:rsidR="00AF7538" w:rsidRPr="005602F8" w14:paraId="030D3A8E" w14:textId="77777777" w:rsidTr="0036225A">
        <w:tc>
          <w:tcPr>
            <w:tcW w:w="902" w:type="pct"/>
            <w:vMerge w:val="restart"/>
          </w:tcPr>
          <w:p w14:paraId="12E938B0" w14:textId="77777777" w:rsidR="00AF7538" w:rsidRPr="005602F8" w:rsidRDefault="00AF7538" w:rsidP="00AF7538">
            <w:pPr>
              <w:pStyle w:val="Tabletext"/>
            </w:pPr>
            <w:r w:rsidRPr="005602F8">
              <w:t>CLASP vs EVEREST-II</w:t>
            </w:r>
          </w:p>
        </w:tc>
        <w:tc>
          <w:tcPr>
            <w:tcW w:w="903" w:type="pct"/>
          </w:tcPr>
          <w:p w14:paraId="18306D97" w14:textId="77777777" w:rsidR="00AF7538" w:rsidRPr="005602F8" w:rsidRDefault="00AF7538" w:rsidP="00AF7538">
            <w:pPr>
              <w:pStyle w:val="Tabletext"/>
              <w:jc w:val="center"/>
            </w:pPr>
            <w:r w:rsidRPr="005602F8">
              <w:t>Base-case analysis</w:t>
            </w:r>
          </w:p>
        </w:tc>
        <w:tc>
          <w:tcPr>
            <w:tcW w:w="2084" w:type="pct"/>
          </w:tcPr>
          <w:p w14:paraId="14E8EF6F" w14:textId="48D9B951" w:rsidR="00AF7538" w:rsidRPr="005602F8" w:rsidRDefault="00AF7538" w:rsidP="00AF7538">
            <w:pPr>
              <w:pStyle w:val="Tabletext"/>
              <w:jc w:val="center"/>
            </w:pPr>
            <w:r w:rsidRPr="005602F8">
              <w:rPr>
                <w:b/>
                <w:bCs/>
              </w:rPr>
              <w:t>REDACTED</w:t>
            </w:r>
          </w:p>
        </w:tc>
        <w:tc>
          <w:tcPr>
            <w:tcW w:w="1111" w:type="pct"/>
          </w:tcPr>
          <w:p w14:paraId="473623EE" w14:textId="6783C172" w:rsidR="00AF7538" w:rsidRPr="005602F8" w:rsidRDefault="00AF7538" w:rsidP="00AF7538">
            <w:pPr>
              <w:pStyle w:val="Tabletext"/>
              <w:jc w:val="center"/>
            </w:pPr>
            <w:r w:rsidRPr="005602F8">
              <w:t>15.00</w:t>
            </w:r>
          </w:p>
        </w:tc>
      </w:tr>
      <w:tr w:rsidR="00AF7538" w:rsidRPr="005602F8" w14:paraId="61ABACF9" w14:textId="77777777" w:rsidTr="0036225A">
        <w:tc>
          <w:tcPr>
            <w:tcW w:w="902" w:type="pct"/>
            <w:vMerge/>
          </w:tcPr>
          <w:p w14:paraId="1872B7AB" w14:textId="77777777" w:rsidR="00AF7538" w:rsidRPr="005602F8" w:rsidRDefault="00AF7538" w:rsidP="00AF7538">
            <w:pPr>
              <w:pStyle w:val="Tabletext"/>
            </w:pPr>
          </w:p>
        </w:tc>
        <w:tc>
          <w:tcPr>
            <w:tcW w:w="903" w:type="pct"/>
          </w:tcPr>
          <w:p w14:paraId="03FCC8D5" w14:textId="497D5704" w:rsidR="00AF7538" w:rsidRPr="005602F8" w:rsidRDefault="00AF7538" w:rsidP="00AF7538">
            <w:pPr>
              <w:pStyle w:val="Tabletext"/>
              <w:jc w:val="center"/>
            </w:pPr>
            <w:r w:rsidRPr="005602F8">
              <w:t>Sensitivity analysis</w:t>
            </w:r>
          </w:p>
        </w:tc>
        <w:tc>
          <w:tcPr>
            <w:tcW w:w="2084" w:type="pct"/>
          </w:tcPr>
          <w:p w14:paraId="13B13F37" w14:textId="6158B116" w:rsidR="00AF7538" w:rsidRPr="005602F8" w:rsidRDefault="00AF7538" w:rsidP="00AF7538">
            <w:pPr>
              <w:pStyle w:val="Tabletext"/>
              <w:jc w:val="center"/>
            </w:pPr>
            <w:r w:rsidRPr="005602F8">
              <w:rPr>
                <w:b/>
                <w:bCs/>
              </w:rPr>
              <w:t>REDACTED</w:t>
            </w:r>
          </w:p>
        </w:tc>
        <w:tc>
          <w:tcPr>
            <w:tcW w:w="1111" w:type="pct"/>
          </w:tcPr>
          <w:p w14:paraId="11D2DE6D" w14:textId="44A10FDA" w:rsidR="00AF7538" w:rsidRPr="005602F8" w:rsidRDefault="00AF7538" w:rsidP="00AF7538">
            <w:pPr>
              <w:pStyle w:val="Tabletext"/>
              <w:jc w:val="center"/>
            </w:pPr>
            <w:r w:rsidRPr="005602F8">
              <w:t>15.00</w:t>
            </w:r>
          </w:p>
        </w:tc>
      </w:tr>
      <w:tr w:rsidR="00AF7538" w:rsidRPr="005602F8" w14:paraId="79544DCC" w14:textId="77777777" w:rsidTr="0036225A">
        <w:tc>
          <w:tcPr>
            <w:tcW w:w="902" w:type="pct"/>
            <w:vMerge/>
          </w:tcPr>
          <w:p w14:paraId="23F5FFD7" w14:textId="77777777" w:rsidR="00AF7538" w:rsidRPr="005602F8" w:rsidRDefault="00AF7538" w:rsidP="00AF7538">
            <w:pPr>
              <w:pStyle w:val="Tabletext"/>
            </w:pPr>
          </w:p>
        </w:tc>
        <w:tc>
          <w:tcPr>
            <w:tcW w:w="903" w:type="pct"/>
          </w:tcPr>
          <w:p w14:paraId="2F64A6B6" w14:textId="2A449B9C" w:rsidR="00AF7538" w:rsidRPr="005602F8" w:rsidRDefault="00AF7538" w:rsidP="00AF7538">
            <w:pPr>
              <w:pStyle w:val="Tabletext"/>
              <w:jc w:val="center"/>
              <w:rPr>
                <w:vertAlign w:val="superscript"/>
              </w:rPr>
            </w:pPr>
            <w:r w:rsidRPr="005602F8">
              <w:rPr>
                <w:i/>
                <w:iCs/>
              </w:rPr>
              <w:t xml:space="preserve">Pre-ESC response </w:t>
            </w:r>
            <w:r w:rsidRPr="005602F8">
              <w:rPr>
                <w:i/>
                <w:iCs/>
                <w:vertAlign w:val="superscript"/>
              </w:rPr>
              <w:t>c</w:t>
            </w:r>
          </w:p>
        </w:tc>
        <w:tc>
          <w:tcPr>
            <w:tcW w:w="2084" w:type="pct"/>
          </w:tcPr>
          <w:p w14:paraId="435C5228" w14:textId="73D85C8E" w:rsidR="00AF7538" w:rsidRPr="005602F8" w:rsidRDefault="00AF7538" w:rsidP="00AF7538">
            <w:pPr>
              <w:pStyle w:val="Tabletext"/>
              <w:jc w:val="center"/>
              <w:rPr>
                <w:i/>
                <w:iCs/>
              </w:rPr>
            </w:pPr>
            <w:r w:rsidRPr="005602F8">
              <w:rPr>
                <w:b/>
                <w:bCs/>
              </w:rPr>
              <w:t>REDACTED</w:t>
            </w:r>
          </w:p>
        </w:tc>
        <w:tc>
          <w:tcPr>
            <w:tcW w:w="1111" w:type="pct"/>
          </w:tcPr>
          <w:p w14:paraId="47C8B1A8" w14:textId="0462396D" w:rsidR="00AF7538" w:rsidRPr="005602F8" w:rsidRDefault="00AF7538" w:rsidP="00AF7538">
            <w:pPr>
              <w:pStyle w:val="Tabletext"/>
              <w:jc w:val="center"/>
              <w:rPr>
                <w:i/>
                <w:iCs/>
              </w:rPr>
            </w:pPr>
            <w:r w:rsidRPr="005602F8">
              <w:rPr>
                <w:i/>
                <w:iCs/>
              </w:rPr>
              <w:t>5.00</w:t>
            </w:r>
          </w:p>
        </w:tc>
      </w:tr>
      <w:tr w:rsidR="00AF7538" w:rsidRPr="005602F8" w14:paraId="2DF3A688" w14:textId="77777777" w:rsidTr="0036225A">
        <w:tc>
          <w:tcPr>
            <w:tcW w:w="902" w:type="pct"/>
            <w:vMerge/>
          </w:tcPr>
          <w:p w14:paraId="2D8C0BF0" w14:textId="77777777" w:rsidR="00AF7538" w:rsidRPr="005602F8" w:rsidRDefault="00AF7538" w:rsidP="00AF7538">
            <w:pPr>
              <w:pStyle w:val="Tabletext"/>
            </w:pPr>
          </w:p>
        </w:tc>
        <w:tc>
          <w:tcPr>
            <w:tcW w:w="903" w:type="pct"/>
          </w:tcPr>
          <w:p w14:paraId="70B2D26D" w14:textId="396528FC" w:rsidR="00AF7538" w:rsidRPr="005602F8" w:rsidRDefault="00AF7538" w:rsidP="00AF7538">
            <w:pPr>
              <w:pStyle w:val="Tabletext"/>
              <w:jc w:val="center"/>
            </w:pPr>
            <w:r w:rsidRPr="005602F8">
              <w:rPr>
                <w:i/>
                <w:iCs/>
              </w:rPr>
              <w:t xml:space="preserve">Pre-ESC response </w:t>
            </w:r>
            <w:r w:rsidRPr="005602F8">
              <w:rPr>
                <w:i/>
                <w:iCs/>
                <w:vertAlign w:val="superscript"/>
              </w:rPr>
              <w:t>c</w:t>
            </w:r>
            <w:r w:rsidRPr="005602F8">
              <w:rPr>
                <w:i/>
                <w:iCs/>
              </w:rPr>
              <w:t xml:space="preserve"> (Sensitivity analysis)</w:t>
            </w:r>
          </w:p>
        </w:tc>
        <w:tc>
          <w:tcPr>
            <w:tcW w:w="2084" w:type="pct"/>
          </w:tcPr>
          <w:p w14:paraId="173F8115" w14:textId="27A027B0" w:rsidR="00AF7538" w:rsidRPr="005602F8" w:rsidRDefault="00AF7538" w:rsidP="00AF7538">
            <w:pPr>
              <w:pStyle w:val="Tabletext"/>
              <w:jc w:val="center"/>
            </w:pPr>
            <w:r w:rsidRPr="005602F8">
              <w:rPr>
                <w:b/>
                <w:bCs/>
              </w:rPr>
              <w:t>REDACTED</w:t>
            </w:r>
          </w:p>
        </w:tc>
        <w:tc>
          <w:tcPr>
            <w:tcW w:w="1111" w:type="pct"/>
          </w:tcPr>
          <w:p w14:paraId="7A47C23D" w14:textId="4ADA4AA0" w:rsidR="00AF7538" w:rsidRPr="005602F8" w:rsidRDefault="00AF7538" w:rsidP="00AF7538">
            <w:pPr>
              <w:pStyle w:val="Tabletext"/>
              <w:jc w:val="center"/>
              <w:rPr>
                <w:i/>
                <w:iCs/>
              </w:rPr>
            </w:pPr>
            <w:r w:rsidRPr="005602F8">
              <w:rPr>
                <w:i/>
                <w:iCs/>
              </w:rPr>
              <w:t>5.00</w:t>
            </w:r>
          </w:p>
        </w:tc>
      </w:tr>
    </w:tbl>
    <w:p w14:paraId="3264A2FA" w14:textId="4F68C3D7" w:rsidR="004D057A" w:rsidRPr="005602F8" w:rsidRDefault="007F6B5B" w:rsidP="00AF7538">
      <w:pPr>
        <w:pStyle w:val="Tablenotes"/>
      </w:pPr>
      <w:r w:rsidRPr="005602F8">
        <w:t xml:space="preserve">MAE = major adverse event; </w:t>
      </w:r>
      <w:r w:rsidR="004D057A" w:rsidRPr="005602F8">
        <w:t>MAIC=matched adjusted indirect comparison; NR=not reported</w:t>
      </w:r>
    </w:p>
    <w:p w14:paraId="67B6DAFC" w14:textId="17B86F1E" w:rsidR="00D600D9" w:rsidRPr="005602F8" w:rsidRDefault="00D600D9" w:rsidP="00AF7538">
      <w:pPr>
        <w:pStyle w:val="Tablenotes"/>
      </w:pPr>
      <w:r w:rsidRPr="005602F8">
        <w:t xml:space="preserve">a </w:t>
      </w:r>
      <w:proofErr w:type="gramStart"/>
      <w:r w:rsidRPr="005602F8">
        <w:t>Commentary corrections</w:t>
      </w:r>
      <w:proofErr w:type="gramEnd"/>
      <w:r w:rsidRPr="005602F8">
        <w:t xml:space="preserve"> to calculations</w:t>
      </w:r>
    </w:p>
    <w:p w14:paraId="4E50C44B" w14:textId="17E04460" w:rsidR="006B0CB3" w:rsidRPr="005602F8" w:rsidRDefault="00D600D9" w:rsidP="00AF7538">
      <w:pPr>
        <w:pStyle w:val="Tablenotes"/>
      </w:pPr>
      <w:r w:rsidRPr="005602F8">
        <w:t>b</w:t>
      </w:r>
      <w:r w:rsidR="006B0CB3" w:rsidRPr="005602F8">
        <w:t xml:space="preserve"> Reconstructed MAE rate from CLASP study, defined as</w:t>
      </w:r>
      <w:r w:rsidR="00DA06E0" w:rsidRPr="005602F8">
        <w:t xml:space="preserve"> </w:t>
      </w:r>
      <w:r w:rsidR="00DA06E0" w:rsidRPr="005602F8">
        <w:rPr>
          <w:b/>
          <w:bCs/>
        </w:rPr>
        <w:t>REDACTED</w:t>
      </w:r>
      <w:r w:rsidR="00AF7538" w:rsidRPr="005602F8">
        <w:rPr>
          <w:b/>
          <w:bCs/>
        </w:rPr>
        <w:t xml:space="preserve"> </w:t>
      </w:r>
      <w:r w:rsidR="00AF7538" w:rsidRPr="005602F8">
        <w:rPr>
          <w:b/>
          <w:bCs/>
          <w:vertAlign w:val="superscript"/>
        </w:rPr>
        <w:fldChar w:fldCharType="begin"/>
      </w:r>
      <w:r w:rsidR="00AF7538" w:rsidRPr="005602F8">
        <w:rPr>
          <w:b/>
          <w:bCs/>
          <w:vertAlign w:val="superscript"/>
        </w:rPr>
        <w:instrText xml:space="preserve"> NOTEREF _Ref97192901 \h  \* MERGEFORMAT </w:instrText>
      </w:r>
      <w:r w:rsidR="00AF7538" w:rsidRPr="005602F8">
        <w:rPr>
          <w:b/>
          <w:bCs/>
          <w:vertAlign w:val="superscript"/>
        </w:rPr>
      </w:r>
      <w:r w:rsidR="00AF7538" w:rsidRPr="005602F8">
        <w:rPr>
          <w:b/>
          <w:bCs/>
          <w:vertAlign w:val="superscript"/>
        </w:rPr>
        <w:fldChar w:fldCharType="separate"/>
      </w:r>
      <w:r w:rsidR="00AF7538" w:rsidRPr="005602F8">
        <w:rPr>
          <w:b/>
          <w:bCs/>
          <w:vertAlign w:val="superscript"/>
        </w:rPr>
        <w:t>18</w:t>
      </w:r>
      <w:r w:rsidR="00AF7538" w:rsidRPr="005602F8">
        <w:rPr>
          <w:b/>
          <w:bCs/>
          <w:vertAlign w:val="superscript"/>
        </w:rPr>
        <w:fldChar w:fldCharType="end"/>
      </w:r>
      <w:r w:rsidR="006B0CB3" w:rsidRPr="005602F8">
        <w:t xml:space="preserve">The MAE variables from the CLASP data, listed above, were compared against the secondary </w:t>
      </w:r>
      <w:proofErr w:type="gramStart"/>
      <w:r w:rsidR="006B0CB3" w:rsidRPr="005602F8">
        <w:t>end-point</w:t>
      </w:r>
      <w:proofErr w:type="gramEnd"/>
      <w:r w:rsidR="006B0CB3" w:rsidRPr="005602F8">
        <w:t xml:space="preserve"> from the COAPT</w:t>
      </w:r>
      <w:r w:rsidR="006B0CB3" w:rsidRPr="005602F8">
        <w:rPr>
          <w:sz w:val="14"/>
          <w:szCs w:val="14"/>
        </w:rPr>
        <w:t xml:space="preserve"> </w:t>
      </w:r>
      <w:r w:rsidR="006B0CB3" w:rsidRPr="005602F8">
        <w:t>study: death from any cause, stroke, myocardial infarction, and nonelective cardiovascular surgery for a device-related complication.</w:t>
      </w:r>
    </w:p>
    <w:p w14:paraId="5DBDD531" w14:textId="08059EC8" w:rsidR="006B0CB3" w:rsidRPr="005602F8" w:rsidRDefault="007F6B5B" w:rsidP="00AF7538">
      <w:pPr>
        <w:pStyle w:val="Tablenotes"/>
      </w:pPr>
      <w:r w:rsidRPr="005602F8">
        <w:t xml:space="preserve">c </w:t>
      </w:r>
      <w:r w:rsidR="006B0CB3" w:rsidRPr="005602F8">
        <w:t xml:space="preserve">Reconstructed MAE rate between CLASP and EVEREST-II study excluding </w:t>
      </w:r>
      <w:r w:rsidR="00DA06E0" w:rsidRPr="005602F8">
        <w:rPr>
          <w:b/>
          <w:bCs/>
        </w:rPr>
        <w:t>REDACTED</w:t>
      </w:r>
    </w:p>
    <w:p w14:paraId="26879970" w14:textId="25571AF0" w:rsidR="0035722E" w:rsidRPr="005602F8" w:rsidRDefault="006B0CB3" w:rsidP="005D247C">
      <w:pPr>
        <w:pStyle w:val="Tablenotes"/>
      </w:pPr>
      <w:r w:rsidRPr="005602F8">
        <w:t xml:space="preserve">Source: ADAR commentary </w:t>
      </w:r>
      <w:r w:rsidR="000D0BAE" w:rsidRPr="005602F8">
        <w:t>=</w:t>
      </w:r>
      <w:r w:rsidR="00D600D9" w:rsidRPr="005602F8">
        <w:rPr>
          <w:i/>
          <w:iCs/>
        </w:rPr>
        <w:t>and the pre-ESC response</w:t>
      </w:r>
      <w:r w:rsidRPr="005602F8">
        <w:t>.</w:t>
      </w:r>
    </w:p>
    <w:p w14:paraId="7B35DB18" w14:textId="47CD6A55" w:rsidR="007C2D6A" w:rsidRPr="005602F8" w:rsidRDefault="00826E98" w:rsidP="003922FD">
      <w:r w:rsidRPr="005602F8">
        <w:lastRenderedPageBreak/>
        <w:t>Due to the differences noted by the commentary between the CLASP and EVEREST</w:t>
      </w:r>
      <w:r w:rsidR="00F33807" w:rsidRPr="005602F8">
        <w:t>-</w:t>
      </w:r>
      <w:r w:rsidRPr="005602F8">
        <w:t xml:space="preserve">II MAE definitions, the applicant performed an additional analysis in the MAIC, excluding </w:t>
      </w:r>
      <w:r w:rsidR="00DA06E0" w:rsidRPr="005602F8">
        <w:rPr>
          <w:b/>
          <w:bCs/>
        </w:rPr>
        <w:t xml:space="preserve">REDACTED </w:t>
      </w:r>
      <w:r w:rsidRPr="005602F8">
        <w:t xml:space="preserve">for the EVEREST II definition. With </w:t>
      </w:r>
      <w:r w:rsidR="00DA06E0" w:rsidRPr="005602F8">
        <w:rPr>
          <w:b/>
          <w:bCs/>
        </w:rPr>
        <w:t xml:space="preserve">REDACTED </w:t>
      </w:r>
      <w:r w:rsidRPr="005602F8">
        <w:t xml:space="preserve">excluded, there were </w:t>
      </w:r>
      <w:r w:rsidR="00DA06E0" w:rsidRPr="005602F8">
        <w:rPr>
          <w:b/>
          <w:bCs/>
        </w:rPr>
        <w:t xml:space="preserve">REDACTED </w:t>
      </w:r>
      <w:r w:rsidRPr="005602F8">
        <w:t xml:space="preserve">differences in the odds of MAEs at 30 days for PASCAL vs </w:t>
      </w:r>
      <w:proofErr w:type="spellStart"/>
      <w:r w:rsidRPr="005602F8">
        <w:t>MitraClip</w:t>
      </w:r>
      <w:proofErr w:type="spellEnd"/>
      <w:r w:rsidRPr="005602F8">
        <w:t xml:space="preserve"> in the mixed DMR/FMR population</w:t>
      </w:r>
      <w:r w:rsidR="00FC2A34" w:rsidRPr="005602F8">
        <w:t xml:space="preserve"> (</w:t>
      </w:r>
      <w:r w:rsidR="009006B8" w:rsidRPr="005602F8">
        <w:fldChar w:fldCharType="begin"/>
      </w:r>
      <w:r w:rsidR="009006B8" w:rsidRPr="005602F8">
        <w:instrText xml:space="preserve"> REF _Ref86131551 \h </w:instrText>
      </w:r>
      <w:r w:rsidR="00BD3EBD" w:rsidRPr="005602F8">
        <w:instrText xml:space="preserve"> \* MERGEFORMAT </w:instrText>
      </w:r>
      <w:r w:rsidR="009006B8" w:rsidRPr="005602F8">
        <w:fldChar w:fldCharType="separate"/>
      </w:r>
      <w:r w:rsidR="00072539" w:rsidRPr="005602F8">
        <w:t xml:space="preserve">Table </w:t>
      </w:r>
      <w:r w:rsidR="00072539" w:rsidRPr="005602F8">
        <w:rPr>
          <w:noProof/>
        </w:rPr>
        <w:t>7</w:t>
      </w:r>
      <w:r w:rsidR="009006B8" w:rsidRPr="005602F8">
        <w:fldChar w:fldCharType="end"/>
      </w:r>
      <w:r w:rsidR="00FC2A34" w:rsidRPr="005602F8">
        <w:t>)</w:t>
      </w:r>
      <w:r w:rsidRPr="005602F8">
        <w:t xml:space="preserve">, either in the base case or </w:t>
      </w:r>
      <w:r w:rsidR="00FC2A34" w:rsidRPr="005602F8">
        <w:t>the sensitivity analysis (matching on FMR status only).</w:t>
      </w:r>
    </w:p>
    <w:p w14:paraId="56F2AE84" w14:textId="1D284E18" w:rsidR="00206760" w:rsidRPr="005602F8" w:rsidRDefault="00065623" w:rsidP="003922FD">
      <w:pPr>
        <w:pStyle w:val="Heading1"/>
        <w:numPr>
          <w:ilvl w:val="0"/>
          <w:numId w:val="13"/>
        </w:numPr>
        <w:spacing w:before="240" w:after="240"/>
        <w:ind w:hanging="720"/>
        <w:rPr>
          <w:rFonts w:ascii="Arial" w:hAnsi="Arial" w:cs="Arial"/>
        </w:rPr>
      </w:pPr>
      <w:r w:rsidRPr="003922FD">
        <w:rPr>
          <w:rFonts w:ascii="Arial" w:hAnsi="Arial" w:cs="Arial"/>
        </w:rPr>
        <w:t>Comparative effectiveness</w:t>
      </w:r>
    </w:p>
    <w:p w14:paraId="455FFCCB" w14:textId="0B5D79B8" w:rsidR="00021F44" w:rsidRPr="005602F8" w:rsidRDefault="006343C4" w:rsidP="008D262D">
      <w:pPr>
        <w:pStyle w:val="Heading2"/>
      </w:pPr>
      <w:r w:rsidRPr="005602F8">
        <w:t>MR severity</w:t>
      </w:r>
    </w:p>
    <w:p w14:paraId="7D59201E" w14:textId="1DBC1EA5" w:rsidR="009006B8" w:rsidRPr="005602F8" w:rsidRDefault="00302CD8" w:rsidP="003922FD">
      <w:r w:rsidRPr="005602F8">
        <w:t xml:space="preserve">The ADAR </w:t>
      </w:r>
      <w:r w:rsidR="00FC2A34" w:rsidRPr="005602F8">
        <w:t xml:space="preserve">commentary </w:t>
      </w:r>
      <w:r w:rsidRPr="005602F8">
        <w:t xml:space="preserve">presented distribution of MR </w:t>
      </w:r>
      <w:r w:rsidR="00155460" w:rsidRPr="005602F8">
        <w:t>severity</w:t>
      </w:r>
      <w:r w:rsidR="00FC2A34" w:rsidRPr="005602F8">
        <w:t xml:space="preserve"> dichotomised to MR Severity grade 2+ or lower</w:t>
      </w:r>
      <w:r w:rsidRPr="005602F8">
        <w:t xml:space="preserve"> at 24 months </w:t>
      </w:r>
      <w:r w:rsidR="00FC2A34" w:rsidRPr="005602F8">
        <w:t xml:space="preserve">and 12 months </w:t>
      </w:r>
      <w:r w:rsidRPr="005602F8">
        <w:t xml:space="preserve">of follow-up </w:t>
      </w:r>
      <w:r w:rsidR="00FC2A34" w:rsidRPr="005602F8">
        <w:t>for the respective MR populations (</w:t>
      </w:r>
      <w:r w:rsidR="009006B8" w:rsidRPr="005602F8">
        <w:fldChar w:fldCharType="begin"/>
      </w:r>
      <w:r w:rsidR="009006B8" w:rsidRPr="005602F8">
        <w:instrText xml:space="preserve"> REF _Ref86131578 \h </w:instrText>
      </w:r>
      <w:r w:rsidR="00BD3EBD" w:rsidRPr="005602F8">
        <w:instrText xml:space="preserve"> \* MERGEFORMAT </w:instrText>
      </w:r>
      <w:r w:rsidR="009006B8" w:rsidRPr="005602F8">
        <w:fldChar w:fldCharType="separate"/>
      </w:r>
      <w:r w:rsidR="00072539" w:rsidRPr="005602F8">
        <w:t xml:space="preserve">Table </w:t>
      </w:r>
      <w:r w:rsidR="00072539" w:rsidRPr="005602F8">
        <w:rPr>
          <w:noProof/>
        </w:rPr>
        <w:t>9</w:t>
      </w:r>
      <w:r w:rsidR="009006B8" w:rsidRPr="005602F8">
        <w:fldChar w:fldCharType="end"/>
      </w:r>
      <w:r w:rsidR="00FC2A34" w:rsidRPr="005602F8">
        <w:t>)</w:t>
      </w:r>
      <w:r w:rsidRPr="005602F8">
        <w:t>. Values for the unweighted CLASP (PASCAL) FMR population are added in for comparison</w:t>
      </w:r>
      <w:r w:rsidR="00FC2A34" w:rsidRPr="005602F8">
        <w:t xml:space="preserve"> (</w:t>
      </w:r>
      <w:r w:rsidR="009006B8" w:rsidRPr="005602F8">
        <w:fldChar w:fldCharType="begin"/>
      </w:r>
      <w:r w:rsidR="009006B8" w:rsidRPr="005602F8">
        <w:instrText xml:space="preserve"> REF _Ref86131578 \h </w:instrText>
      </w:r>
      <w:r w:rsidR="00BD3EBD" w:rsidRPr="005602F8">
        <w:instrText xml:space="preserve"> \* MERGEFORMAT </w:instrText>
      </w:r>
      <w:r w:rsidR="009006B8" w:rsidRPr="005602F8">
        <w:fldChar w:fldCharType="separate"/>
      </w:r>
      <w:r w:rsidR="00072539" w:rsidRPr="005602F8">
        <w:t xml:space="preserve">Table </w:t>
      </w:r>
      <w:r w:rsidR="00072539" w:rsidRPr="005602F8">
        <w:rPr>
          <w:noProof/>
        </w:rPr>
        <w:t>9</w:t>
      </w:r>
      <w:r w:rsidR="009006B8" w:rsidRPr="005602F8">
        <w:fldChar w:fldCharType="end"/>
      </w:r>
      <w:r w:rsidR="00FC2A34" w:rsidRPr="005602F8">
        <w:t>).</w:t>
      </w:r>
    </w:p>
    <w:p w14:paraId="21DFF810" w14:textId="27578C85" w:rsidR="009006B8" w:rsidRPr="005602F8" w:rsidRDefault="009006B8" w:rsidP="003922FD">
      <w:pPr>
        <w:pStyle w:val="Caption"/>
        <w:spacing w:before="240"/>
      </w:pPr>
      <w:bookmarkStart w:id="27" w:name="_Ref86131578"/>
      <w:r w:rsidRPr="005602F8">
        <w:t xml:space="preserve">Table </w:t>
      </w:r>
      <w:r w:rsidR="00002063">
        <w:fldChar w:fldCharType="begin"/>
      </w:r>
      <w:r w:rsidR="00002063">
        <w:instrText xml:space="preserve"> SEQ Table \* ARABIC </w:instrText>
      </w:r>
      <w:r w:rsidR="00002063">
        <w:fldChar w:fldCharType="separate"/>
      </w:r>
      <w:r w:rsidR="000F39B8" w:rsidRPr="005602F8">
        <w:rPr>
          <w:noProof/>
        </w:rPr>
        <w:t>9</w:t>
      </w:r>
      <w:r w:rsidR="00002063">
        <w:rPr>
          <w:noProof/>
        </w:rPr>
        <w:fldChar w:fldCharType="end"/>
      </w:r>
      <w:bookmarkEnd w:id="27"/>
      <w:r w:rsidRPr="005602F8">
        <w:t xml:space="preserve"> Percentage of patients with MR grade 2+ or lower</w:t>
      </w:r>
    </w:p>
    <w:tbl>
      <w:tblPr>
        <w:tblStyle w:val="TableGrid25"/>
        <w:tblW w:w="0" w:type="auto"/>
        <w:tblLayout w:type="fixed"/>
        <w:tblLook w:val="04A0" w:firstRow="1" w:lastRow="0" w:firstColumn="1" w:lastColumn="0" w:noHBand="0" w:noVBand="1"/>
        <w:tblDescription w:val="Percentage of patients with MR grade 2+ or lower"/>
      </w:tblPr>
      <w:tblGrid>
        <w:gridCol w:w="1555"/>
        <w:gridCol w:w="1701"/>
        <w:gridCol w:w="1134"/>
        <w:gridCol w:w="1701"/>
        <w:gridCol w:w="1701"/>
        <w:gridCol w:w="1224"/>
      </w:tblGrid>
      <w:tr w:rsidR="005602F8" w:rsidRPr="005602F8" w14:paraId="790EE971" w14:textId="77777777" w:rsidTr="00BD2E8F">
        <w:trPr>
          <w:tblHeader/>
        </w:trPr>
        <w:tc>
          <w:tcPr>
            <w:tcW w:w="1555" w:type="dxa"/>
          </w:tcPr>
          <w:p w14:paraId="2DC78B5E" w14:textId="090C11A5" w:rsidR="00FB1A74" w:rsidRPr="005602F8" w:rsidRDefault="00FB1A74" w:rsidP="007D213F">
            <w:pPr>
              <w:pStyle w:val="TableHeading"/>
              <w:jc w:val="center"/>
            </w:pPr>
            <w:r w:rsidRPr="005602F8">
              <w:t>MAIC</w:t>
            </w:r>
          </w:p>
        </w:tc>
        <w:tc>
          <w:tcPr>
            <w:tcW w:w="1701" w:type="dxa"/>
          </w:tcPr>
          <w:p w14:paraId="5B3A7129" w14:textId="35AEA37D" w:rsidR="00FB1A74" w:rsidRPr="005602F8" w:rsidRDefault="00FB1A74" w:rsidP="007D213F">
            <w:pPr>
              <w:pStyle w:val="TableHeading"/>
              <w:jc w:val="center"/>
            </w:pPr>
            <w:r w:rsidRPr="005602F8">
              <w:t>Matchin</w:t>
            </w:r>
            <w:r w:rsidR="007D213F" w:rsidRPr="005602F8">
              <w:t>g</w:t>
            </w:r>
          </w:p>
        </w:tc>
        <w:tc>
          <w:tcPr>
            <w:tcW w:w="1134" w:type="dxa"/>
          </w:tcPr>
          <w:p w14:paraId="6C140DD4" w14:textId="77777777" w:rsidR="00FB1A74" w:rsidRPr="005602F8" w:rsidRDefault="00FB1A74" w:rsidP="007D213F">
            <w:pPr>
              <w:pStyle w:val="TableHeading"/>
              <w:jc w:val="center"/>
            </w:pPr>
            <w:r w:rsidRPr="005602F8">
              <w:t>Follow-up</w:t>
            </w:r>
          </w:p>
        </w:tc>
        <w:tc>
          <w:tcPr>
            <w:tcW w:w="1701" w:type="dxa"/>
          </w:tcPr>
          <w:p w14:paraId="0510A4B5" w14:textId="77777777" w:rsidR="007D213F" w:rsidRPr="005602F8" w:rsidRDefault="00FB1A74" w:rsidP="007D213F">
            <w:pPr>
              <w:pStyle w:val="TableHeading"/>
              <w:rPr>
                <w:i/>
                <w:iCs/>
              </w:rPr>
            </w:pPr>
            <w:r w:rsidRPr="005602F8">
              <w:rPr>
                <w:i/>
                <w:iCs/>
              </w:rPr>
              <w:t>CLASP</w:t>
            </w:r>
            <w:r w:rsidR="007D213F" w:rsidRPr="005602F8">
              <w:rPr>
                <w:i/>
                <w:iCs/>
              </w:rPr>
              <w:t xml:space="preserve"> </w:t>
            </w:r>
            <w:r w:rsidRPr="005602F8">
              <w:rPr>
                <w:i/>
                <w:iCs/>
              </w:rPr>
              <w:t>(PASCAL)</w:t>
            </w:r>
          </w:p>
          <w:p w14:paraId="58637959" w14:textId="0211EF29" w:rsidR="00FB1A74" w:rsidRPr="005602F8" w:rsidRDefault="00FB1A74" w:rsidP="007D213F">
            <w:pPr>
              <w:pStyle w:val="TableHeading"/>
              <w:rPr>
                <w:i/>
                <w:iCs/>
              </w:rPr>
            </w:pPr>
            <w:r w:rsidRPr="005602F8">
              <w:rPr>
                <w:i/>
                <w:iCs/>
              </w:rPr>
              <w:t>unweighted, %</w:t>
            </w:r>
          </w:p>
        </w:tc>
        <w:tc>
          <w:tcPr>
            <w:tcW w:w="1701" w:type="dxa"/>
          </w:tcPr>
          <w:p w14:paraId="256ABB6F" w14:textId="77777777" w:rsidR="007D213F" w:rsidRPr="005602F8" w:rsidRDefault="00FB1A74" w:rsidP="007D213F">
            <w:pPr>
              <w:pStyle w:val="TableHeading"/>
              <w:jc w:val="center"/>
            </w:pPr>
            <w:r w:rsidRPr="005602F8">
              <w:t>CLASP (PASCAL)</w:t>
            </w:r>
          </w:p>
          <w:p w14:paraId="7B332491" w14:textId="56480EC0" w:rsidR="00FB1A74" w:rsidRPr="005602F8" w:rsidRDefault="00FB1A74" w:rsidP="007D213F">
            <w:pPr>
              <w:pStyle w:val="TableHeading"/>
              <w:jc w:val="center"/>
            </w:pPr>
            <w:r w:rsidRPr="005602F8">
              <w:t>weighted, %</w:t>
            </w:r>
          </w:p>
        </w:tc>
        <w:tc>
          <w:tcPr>
            <w:tcW w:w="1224" w:type="dxa"/>
          </w:tcPr>
          <w:p w14:paraId="740EDBB0" w14:textId="77777777" w:rsidR="00FB1A74" w:rsidRPr="005602F8" w:rsidRDefault="00FB1A74" w:rsidP="007D213F">
            <w:pPr>
              <w:pStyle w:val="TableHeading"/>
              <w:jc w:val="center"/>
            </w:pPr>
            <w:r w:rsidRPr="005602F8">
              <w:t>MitraClip, %</w:t>
            </w:r>
          </w:p>
        </w:tc>
      </w:tr>
      <w:tr w:rsidR="005602F8" w:rsidRPr="005602F8" w14:paraId="0BB0BF74" w14:textId="77777777" w:rsidTr="00BD2E8F">
        <w:trPr>
          <w:tblHeader/>
        </w:trPr>
        <w:tc>
          <w:tcPr>
            <w:tcW w:w="1555" w:type="dxa"/>
          </w:tcPr>
          <w:p w14:paraId="10492ED6" w14:textId="77777777" w:rsidR="00DF6F6E" w:rsidRPr="005602F8" w:rsidRDefault="00DF6F6E" w:rsidP="007D213F">
            <w:pPr>
              <w:pStyle w:val="TableHeading"/>
              <w:jc w:val="center"/>
            </w:pPr>
          </w:p>
        </w:tc>
        <w:tc>
          <w:tcPr>
            <w:tcW w:w="1701" w:type="dxa"/>
          </w:tcPr>
          <w:p w14:paraId="629671ED" w14:textId="77777777" w:rsidR="00DF6F6E" w:rsidRPr="005602F8" w:rsidRDefault="00DF6F6E" w:rsidP="007D213F">
            <w:pPr>
              <w:pStyle w:val="TableHeading"/>
              <w:jc w:val="center"/>
            </w:pPr>
          </w:p>
        </w:tc>
        <w:tc>
          <w:tcPr>
            <w:tcW w:w="1134" w:type="dxa"/>
          </w:tcPr>
          <w:p w14:paraId="409D750D" w14:textId="77777777" w:rsidR="00DF6F6E" w:rsidRPr="005602F8" w:rsidRDefault="00DF6F6E" w:rsidP="007D213F">
            <w:pPr>
              <w:pStyle w:val="TableHeading"/>
              <w:jc w:val="center"/>
            </w:pPr>
          </w:p>
        </w:tc>
        <w:tc>
          <w:tcPr>
            <w:tcW w:w="1701" w:type="dxa"/>
          </w:tcPr>
          <w:p w14:paraId="73A05966" w14:textId="77777777" w:rsidR="00DF6F6E" w:rsidRPr="005602F8" w:rsidRDefault="00DF6F6E" w:rsidP="007D213F">
            <w:pPr>
              <w:pStyle w:val="TableHeading"/>
              <w:rPr>
                <w:i/>
                <w:iCs/>
              </w:rPr>
            </w:pPr>
          </w:p>
        </w:tc>
        <w:tc>
          <w:tcPr>
            <w:tcW w:w="1701" w:type="dxa"/>
          </w:tcPr>
          <w:p w14:paraId="69928A8C" w14:textId="77777777" w:rsidR="00DF6F6E" w:rsidRPr="005602F8" w:rsidRDefault="00DF6F6E" w:rsidP="007D213F">
            <w:pPr>
              <w:pStyle w:val="TableHeading"/>
              <w:jc w:val="center"/>
            </w:pPr>
          </w:p>
        </w:tc>
        <w:tc>
          <w:tcPr>
            <w:tcW w:w="1224" w:type="dxa"/>
          </w:tcPr>
          <w:p w14:paraId="35DA1DA9" w14:textId="77777777" w:rsidR="00DF6F6E" w:rsidRPr="005602F8" w:rsidRDefault="00DF6F6E" w:rsidP="007D213F">
            <w:pPr>
              <w:pStyle w:val="TableHeading"/>
              <w:jc w:val="center"/>
            </w:pPr>
          </w:p>
        </w:tc>
      </w:tr>
      <w:tr w:rsidR="005602F8" w:rsidRPr="005602F8" w14:paraId="34C99444" w14:textId="77777777" w:rsidTr="00BD2E8F">
        <w:trPr>
          <w:tblHeader/>
        </w:trPr>
        <w:tc>
          <w:tcPr>
            <w:tcW w:w="1555" w:type="dxa"/>
            <w:vMerge w:val="restart"/>
          </w:tcPr>
          <w:p w14:paraId="4C1E93A7" w14:textId="23AFA739" w:rsidR="00FB1A74" w:rsidRPr="005602F8" w:rsidRDefault="00FB1A74" w:rsidP="008C5E8D">
            <w:pPr>
              <w:pStyle w:val="Tabletext"/>
            </w:pPr>
            <w:r w:rsidRPr="005602F8">
              <w:t>CLASP vs COA</w:t>
            </w:r>
            <w:r w:rsidR="00FC2A34" w:rsidRPr="005602F8">
              <w:t>P</w:t>
            </w:r>
            <w:r w:rsidRPr="005602F8">
              <w:t>T</w:t>
            </w:r>
          </w:p>
        </w:tc>
        <w:tc>
          <w:tcPr>
            <w:tcW w:w="1701" w:type="dxa"/>
          </w:tcPr>
          <w:p w14:paraId="4C135465" w14:textId="77777777" w:rsidR="00FB1A74" w:rsidRPr="005602F8" w:rsidRDefault="00FB1A74" w:rsidP="008C5E8D">
            <w:pPr>
              <w:pStyle w:val="Tabletext"/>
              <w:jc w:val="center"/>
            </w:pPr>
            <w:r w:rsidRPr="005602F8">
              <w:t>Base-case</w:t>
            </w:r>
          </w:p>
        </w:tc>
        <w:tc>
          <w:tcPr>
            <w:tcW w:w="1134" w:type="dxa"/>
            <w:vMerge w:val="restart"/>
          </w:tcPr>
          <w:p w14:paraId="1C9981A8" w14:textId="77777777" w:rsidR="00FB1A74" w:rsidRPr="005602F8" w:rsidRDefault="00FB1A74" w:rsidP="008C5E8D">
            <w:pPr>
              <w:pStyle w:val="Tabletext"/>
              <w:jc w:val="center"/>
            </w:pPr>
            <w:r w:rsidRPr="005602F8">
              <w:t>24 months</w:t>
            </w:r>
          </w:p>
        </w:tc>
        <w:tc>
          <w:tcPr>
            <w:tcW w:w="1701" w:type="dxa"/>
            <w:vMerge w:val="restart"/>
          </w:tcPr>
          <w:p w14:paraId="480FD123" w14:textId="77777777" w:rsidR="00FB1A74" w:rsidRPr="005602F8" w:rsidRDefault="00FB1A74" w:rsidP="008C5E8D">
            <w:pPr>
              <w:pStyle w:val="Tabletext"/>
              <w:jc w:val="center"/>
            </w:pPr>
            <w:r w:rsidRPr="005602F8">
              <w:t>95 (n=</w:t>
            </w:r>
            <w:proofErr w:type="gramStart"/>
            <w:r w:rsidRPr="005602F8">
              <w:t>19)*</w:t>
            </w:r>
            <w:proofErr w:type="gramEnd"/>
          </w:p>
        </w:tc>
        <w:tc>
          <w:tcPr>
            <w:tcW w:w="1701" w:type="dxa"/>
          </w:tcPr>
          <w:p w14:paraId="21D71404" w14:textId="2E750B88" w:rsidR="00FB1A74" w:rsidRPr="005602F8" w:rsidRDefault="00510EC3" w:rsidP="008C5E8D">
            <w:pPr>
              <w:pStyle w:val="Tabletext"/>
              <w:jc w:val="center"/>
            </w:pPr>
            <w:r w:rsidRPr="005602F8">
              <w:rPr>
                <w:b/>
                <w:bCs/>
              </w:rPr>
              <w:t>REDACTED</w:t>
            </w:r>
          </w:p>
        </w:tc>
        <w:tc>
          <w:tcPr>
            <w:tcW w:w="1224" w:type="dxa"/>
          </w:tcPr>
          <w:p w14:paraId="5327B14C" w14:textId="77777777" w:rsidR="00FB1A74" w:rsidRPr="005602F8" w:rsidRDefault="00FB1A74" w:rsidP="008C5E8D">
            <w:pPr>
              <w:pStyle w:val="Tabletext"/>
              <w:jc w:val="center"/>
            </w:pPr>
            <w:r w:rsidRPr="005602F8">
              <w:t>99.13</w:t>
            </w:r>
          </w:p>
        </w:tc>
      </w:tr>
      <w:tr w:rsidR="005602F8" w:rsidRPr="005602F8" w14:paraId="71299F16" w14:textId="77777777" w:rsidTr="00BD2E8F">
        <w:trPr>
          <w:tblHeader/>
        </w:trPr>
        <w:tc>
          <w:tcPr>
            <w:tcW w:w="1555" w:type="dxa"/>
            <w:vMerge/>
          </w:tcPr>
          <w:p w14:paraId="3449BE82" w14:textId="77777777" w:rsidR="00FB1A74" w:rsidRPr="005602F8" w:rsidRDefault="00FB1A74" w:rsidP="008C5E8D">
            <w:pPr>
              <w:pStyle w:val="Tabletext"/>
            </w:pPr>
          </w:p>
        </w:tc>
        <w:tc>
          <w:tcPr>
            <w:tcW w:w="1701" w:type="dxa"/>
          </w:tcPr>
          <w:p w14:paraId="0C1E57D9" w14:textId="77777777" w:rsidR="00FB1A74" w:rsidRPr="005602F8" w:rsidRDefault="00FB1A74" w:rsidP="008C5E8D">
            <w:pPr>
              <w:pStyle w:val="Tabletext"/>
              <w:jc w:val="center"/>
            </w:pPr>
            <w:r w:rsidRPr="005602F8">
              <w:t>Sensitivity analysis</w:t>
            </w:r>
          </w:p>
        </w:tc>
        <w:tc>
          <w:tcPr>
            <w:tcW w:w="1134" w:type="dxa"/>
            <w:vMerge/>
          </w:tcPr>
          <w:p w14:paraId="031CD26A" w14:textId="77777777" w:rsidR="00FB1A74" w:rsidRPr="005602F8" w:rsidRDefault="00FB1A74" w:rsidP="008C5E8D">
            <w:pPr>
              <w:pStyle w:val="Tabletext"/>
              <w:jc w:val="center"/>
            </w:pPr>
          </w:p>
        </w:tc>
        <w:tc>
          <w:tcPr>
            <w:tcW w:w="1701" w:type="dxa"/>
            <w:vMerge/>
          </w:tcPr>
          <w:p w14:paraId="03C0D0ED" w14:textId="77777777" w:rsidR="00FB1A74" w:rsidRPr="005602F8" w:rsidRDefault="00FB1A74" w:rsidP="008C5E8D">
            <w:pPr>
              <w:pStyle w:val="Tabletext"/>
              <w:jc w:val="center"/>
            </w:pPr>
          </w:p>
        </w:tc>
        <w:tc>
          <w:tcPr>
            <w:tcW w:w="1701" w:type="dxa"/>
          </w:tcPr>
          <w:p w14:paraId="171BD238" w14:textId="5B483347" w:rsidR="00FB1A74" w:rsidRPr="005602F8" w:rsidRDefault="00510EC3" w:rsidP="008C5E8D">
            <w:pPr>
              <w:pStyle w:val="Tabletext"/>
              <w:jc w:val="center"/>
            </w:pPr>
            <w:r w:rsidRPr="005602F8">
              <w:rPr>
                <w:b/>
                <w:bCs/>
              </w:rPr>
              <w:t>REDACTED</w:t>
            </w:r>
          </w:p>
        </w:tc>
        <w:tc>
          <w:tcPr>
            <w:tcW w:w="1224" w:type="dxa"/>
          </w:tcPr>
          <w:p w14:paraId="215C68B5" w14:textId="77777777" w:rsidR="00FB1A74" w:rsidRPr="005602F8" w:rsidRDefault="00FB1A74" w:rsidP="008C5E8D">
            <w:pPr>
              <w:pStyle w:val="Tabletext"/>
              <w:jc w:val="center"/>
            </w:pPr>
            <w:r w:rsidRPr="005602F8">
              <w:t>99.13</w:t>
            </w:r>
          </w:p>
        </w:tc>
      </w:tr>
      <w:tr w:rsidR="005602F8" w:rsidRPr="005602F8" w14:paraId="079B8951" w14:textId="77777777" w:rsidTr="00BD2E8F">
        <w:trPr>
          <w:tblHeader/>
        </w:trPr>
        <w:tc>
          <w:tcPr>
            <w:tcW w:w="1555" w:type="dxa"/>
            <w:vMerge w:val="restart"/>
          </w:tcPr>
          <w:p w14:paraId="64C90171" w14:textId="77777777" w:rsidR="00FB1A74" w:rsidRPr="005602F8" w:rsidRDefault="00FB1A74" w:rsidP="008C5E8D">
            <w:pPr>
              <w:pStyle w:val="Tabletext"/>
            </w:pPr>
            <w:r w:rsidRPr="005602F8">
              <w:t>CLASP vs EVEREST-II</w:t>
            </w:r>
          </w:p>
        </w:tc>
        <w:tc>
          <w:tcPr>
            <w:tcW w:w="1701" w:type="dxa"/>
          </w:tcPr>
          <w:p w14:paraId="0E494A9C" w14:textId="77777777" w:rsidR="00FB1A74" w:rsidRPr="005602F8" w:rsidRDefault="00FB1A74" w:rsidP="008C5E8D">
            <w:pPr>
              <w:pStyle w:val="Tabletext"/>
              <w:jc w:val="center"/>
            </w:pPr>
            <w:r w:rsidRPr="005602F8">
              <w:t>Base-case</w:t>
            </w:r>
          </w:p>
        </w:tc>
        <w:tc>
          <w:tcPr>
            <w:tcW w:w="1134" w:type="dxa"/>
            <w:vMerge w:val="restart"/>
          </w:tcPr>
          <w:p w14:paraId="2CBFEE22" w14:textId="77777777" w:rsidR="00FB1A74" w:rsidRPr="005602F8" w:rsidRDefault="00FB1A74" w:rsidP="008C5E8D">
            <w:pPr>
              <w:pStyle w:val="Tabletext"/>
              <w:jc w:val="center"/>
            </w:pPr>
            <w:r w:rsidRPr="005602F8">
              <w:t>12 months</w:t>
            </w:r>
          </w:p>
        </w:tc>
        <w:tc>
          <w:tcPr>
            <w:tcW w:w="1701" w:type="dxa"/>
            <w:vMerge w:val="restart"/>
          </w:tcPr>
          <w:p w14:paraId="5A1F4F50" w14:textId="77777777" w:rsidR="00FB1A74" w:rsidRPr="005602F8" w:rsidRDefault="00FB1A74" w:rsidP="008C5E8D">
            <w:pPr>
              <w:pStyle w:val="Tabletext"/>
              <w:jc w:val="center"/>
              <w:rPr>
                <w:vertAlign w:val="superscript"/>
              </w:rPr>
            </w:pPr>
            <w:r w:rsidRPr="005602F8">
              <w:t>100 (n=</w:t>
            </w:r>
            <w:proofErr w:type="gramStart"/>
            <w:r w:rsidRPr="005602F8">
              <w:t>36)</w:t>
            </w:r>
            <w:r w:rsidRPr="005602F8">
              <w:rPr>
                <w:vertAlign w:val="superscript"/>
              </w:rPr>
              <w:t>#</w:t>
            </w:r>
            <w:proofErr w:type="gramEnd"/>
          </w:p>
        </w:tc>
        <w:tc>
          <w:tcPr>
            <w:tcW w:w="1701" w:type="dxa"/>
          </w:tcPr>
          <w:p w14:paraId="7E329C68" w14:textId="7BE40095" w:rsidR="00FB1A74" w:rsidRPr="005602F8" w:rsidRDefault="00510EC3" w:rsidP="008C5E8D">
            <w:pPr>
              <w:pStyle w:val="Tabletext"/>
              <w:jc w:val="center"/>
            </w:pPr>
            <w:r w:rsidRPr="005602F8">
              <w:rPr>
                <w:b/>
                <w:bCs/>
              </w:rPr>
              <w:t>REDACTED</w:t>
            </w:r>
          </w:p>
        </w:tc>
        <w:tc>
          <w:tcPr>
            <w:tcW w:w="1224" w:type="dxa"/>
          </w:tcPr>
          <w:p w14:paraId="76A734A5" w14:textId="77777777" w:rsidR="00FB1A74" w:rsidRPr="005602F8" w:rsidRDefault="00FB1A74" w:rsidP="008C5E8D">
            <w:pPr>
              <w:pStyle w:val="Tabletext"/>
              <w:jc w:val="center"/>
            </w:pPr>
            <w:r w:rsidRPr="005602F8">
              <w:t>100</w:t>
            </w:r>
          </w:p>
        </w:tc>
      </w:tr>
      <w:tr w:rsidR="005602F8" w:rsidRPr="005602F8" w14:paraId="539D5CE7" w14:textId="77777777" w:rsidTr="00BD2E8F">
        <w:trPr>
          <w:tblHeader/>
        </w:trPr>
        <w:tc>
          <w:tcPr>
            <w:tcW w:w="1555" w:type="dxa"/>
            <w:vMerge/>
          </w:tcPr>
          <w:p w14:paraId="74EFA723" w14:textId="77777777" w:rsidR="00FB1A74" w:rsidRPr="005602F8" w:rsidRDefault="00FB1A74" w:rsidP="008C5E8D">
            <w:pPr>
              <w:pStyle w:val="Tabletext"/>
            </w:pPr>
          </w:p>
        </w:tc>
        <w:tc>
          <w:tcPr>
            <w:tcW w:w="1701" w:type="dxa"/>
          </w:tcPr>
          <w:p w14:paraId="28EBEB31" w14:textId="77777777" w:rsidR="00FB1A74" w:rsidRPr="005602F8" w:rsidRDefault="00FB1A74" w:rsidP="008C5E8D">
            <w:pPr>
              <w:pStyle w:val="Tabletext"/>
              <w:jc w:val="center"/>
            </w:pPr>
            <w:r w:rsidRPr="005602F8">
              <w:t>Sensitivity analysis</w:t>
            </w:r>
          </w:p>
        </w:tc>
        <w:tc>
          <w:tcPr>
            <w:tcW w:w="1134" w:type="dxa"/>
            <w:vMerge/>
          </w:tcPr>
          <w:p w14:paraId="7DAA8BD7" w14:textId="77777777" w:rsidR="00FB1A74" w:rsidRPr="005602F8" w:rsidRDefault="00FB1A74" w:rsidP="008C5E8D">
            <w:pPr>
              <w:pStyle w:val="Tabletext"/>
              <w:jc w:val="center"/>
            </w:pPr>
          </w:p>
        </w:tc>
        <w:tc>
          <w:tcPr>
            <w:tcW w:w="1701" w:type="dxa"/>
            <w:vMerge/>
          </w:tcPr>
          <w:p w14:paraId="12C3BD88" w14:textId="77777777" w:rsidR="00FB1A74" w:rsidRPr="005602F8" w:rsidRDefault="00FB1A74" w:rsidP="008C5E8D">
            <w:pPr>
              <w:pStyle w:val="Tabletext"/>
              <w:jc w:val="center"/>
            </w:pPr>
          </w:p>
        </w:tc>
        <w:tc>
          <w:tcPr>
            <w:tcW w:w="1701" w:type="dxa"/>
          </w:tcPr>
          <w:p w14:paraId="7A4AB8C9" w14:textId="74F75381" w:rsidR="00FB1A74" w:rsidRPr="005602F8" w:rsidRDefault="00510EC3" w:rsidP="008C5E8D">
            <w:pPr>
              <w:pStyle w:val="Tabletext"/>
              <w:jc w:val="center"/>
            </w:pPr>
            <w:r w:rsidRPr="005602F8">
              <w:rPr>
                <w:b/>
                <w:bCs/>
              </w:rPr>
              <w:t>REDACTED</w:t>
            </w:r>
          </w:p>
        </w:tc>
        <w:tc>
          <w:tcPr>
            <w:tcW w:w="1224" w:type="dxa"/>
          </w:tcPr>
          <w:p w14:paraId="1F9FE192" w14:textId="77777777" w:rsidR="00FB1A74" w:rsidRPr="005602F8" w:rsidRDefault="00FB1A74" w:rsidP="008C5E8D">
            <w:pPr>
              <w:pStyle w:val="Tabletext"/>
              <w:jc w:val="center"/>
            </w:pPr>
            <w:r w:rsidRPr="005602F8">
              <w:t>100</w:t>
            </w:r>
          </w:p>
        </w:tc>
      </w:tr>
    </w:tbl>
    <w:p w14:paraId="00D2E0E6" w14:textId="77777777" w:rsidR="00FB1A74" w:rsidRPr="005602F8" w:rsidRDefault="00FB1A74" w:rsidP="00AF7538">
      <w:pPr>
        <w:pStyle w:val="Tablenotes"/>
      </w:pPr>
      <w:r w:rsidRPr="005602F8">
        <w:t>*FMR population only</w:t>
      </w:r>
    </w:p>
    <w:p w14:paraId="350A9200" w14:textId="43F19CF2" w:rsidR="00FB1A74" w:rsidRPr="005602F8" w:rsidRDefault="00FB1A74" w:rsidP="00AF7538">
      <w:pPr>
        <w:pStyle w:val="Tablenotes"/>
      </w:pPr>
      <w:r w:rsidRPr="005602F8">
        <w:t>#Overall population</w:t>
      </w:r>
    </w:p>
    <w:p w14:paraId="271ED811" w14:textId="32AEB6E7" w:rsidR="00FB1A74" w:rsidRPr="005602F8" w:rsidRDefault="00FB1A74" w:rsidP="00AF7538">
      <w:pPr>
        <w:pStyle w:val="Tablenotes"/>
      </w:pPr>
      <w:r w:rsidRPr="005602F8">
        <w:t xml:space="preserve">Source: ADAR Commentary </w:t>
      </w:r>
    </w:p>
    <w:p w14:paraId="687F7454" w14:textId="38626643" w:rsidR="00012A1C" w:rsidRPr="005602F8" w:rsidRDefault="008D262D" w:rsidP="003922FD">
      <w:r w:rsidRPr="005602F8">
        <w:t xml:space="preserve">The results of the MAIC analysis suggested that at 24 months follow-up, in the FMR population a </w:t>
      </w:r>
      <w:r w:rsidR="00510EC3" w:rsidRPr="005602F8">
        <w:rPr>
          <w:b/>
          <w:bCs/>
        </w:rPr>
        <w:t xml:space="preserve">REDACTED </w:t>
      </w:r>
      <w:r w:rsidRPr="005602F8">
        <w:t>proportion of patients achieved MR grade 2+ or lower in the two populations (CLASP vs COAPT) (</w:t>
      </w:r>
      <w:r w:rsidR="009006B8" w:rsidRPr="005602F8">
        <w:fldChar w:fldCharType="begin"/>
      </w:r>
      <w:r w:rsidR="009006B8" w:rsidRPr="005602F8">
        <w:instrText xml:space="preserve"> REF _Ref86131578 \h </w:instrText>
      </w:r>
      <w:r w:rsidR="00BD3EBD" w:rsidRPr="005602F8">
        <w:instrText xml:space="preserve"> \* MERGEFORMAT </w:instrText>
      </w:r>
      <w:r w:rsidR="009006B8" w:rsidRPr="005602F8">
        <w:fldChar w:fldCharType="separate"/>
      </w:r>
      <w:r w:rsidR="00072539" w:rsidRPr="005602F8">
        <w:t xml:space="preserve">Table </w:t>
      </w:r>
      <w:r w:rsidR="00072539" w:rsidRPr="005602F8">
        <w:rPr>
          <w:noProof/>
        </w:rPr>
        <w:t>9</w:t>
      </w:r>
      <w:r w:rsidR="009006B8" w:rsidRPr="005602F8">
        <w:fldChar w:fldCharType="end"/>
      </w:r>
      <w:r w:rsidRPr="005602F8">
        <w:t xml:space="preserve">). In the mixed population, at 12 months follow-up, </w:t>
      </w:r>
      <w:r w:rsidR="00510EC3" w:rsidRPr="005602F8">
        <w:rPr>
          <w:b/>
          <w:bCs/>
        </w:rPr>
        <w:t>%redacted</w:t>
      </w:r>
      <w:r w:rsidR="00510EC3" w:rsidRPr="005602F8">
        <w:t xml:space="preserve"> </w:t>
      </w:r>
      <w:r w:rsidRPr="005602F8">
        <w:t>of patients in the CLASP and EVEREST-II populations achiev</w:t>
      </w:r>
      <w:r w:rsidR="00510EC3" w:rsidRPr="005602F8">
        <w:t>ed</w:t>
      </w:r>
      <w:r w:rsidRPr="005602F8">
        <w:t xml:space="preserve"> MR grade 2+ (</w:t>
      </w:r>
      <w:r w:rsidR="009006B8" w:rsidRPr="005602F8">
        <w:fldChar w:fldCharType="begin"/>
      </w:r>
      <w:r w:rsidR="009006B8" w:rsidRPr="005602F8">
        <w:instrText xml:space="preserve"> REF _Ref86131578 \h </w:instrText>
      </w:r>
      <w:r w:rsidR="00BD3EBD" w:rsidRPr="005602F8">
        <w:instrText xml:space="preserve"> \* MERGEFORMAT </w:instrText>
      </w:r>
      <w:r w:rsidR="009006B8" w:rsidRPr="005602F8">
        <w:fldChar w:fldCharType="separate"/>
      </w:r>
      <w:r w:rsidR="00072539" w:rsidRPr="005602F8">
        <w:t xml:space="preserve">Table </w:t>
      </w:r>
      <w:r w:rsidR="00072539" w:rsidRPr="005602F8">
        <w:rPr>
          <w:noProof/>
        </w:rPr>
        <w:t>9</w:t>
      </w:r>
      <w:r w:rsidR="009006B8" w:rsidRPr="005602F8">
        <w:fldChar w:fldCharType="end"/>
      </w:r>
      <w:r w:rsidRPr="005602F8">
        <w:t>).</w:t>
      </w:r>
    </w:p>
    <w:p w14:paraId="41568E3A" w14:textId="289147E2" w:rsidR="00FB1A74" w:rsidRPr="005602F8" w:rsidRDefault="006343C4" w:rsidP="003922FD">
      <w:pPr>
        <w:pStyle w:val="Heading2"/>
        <w:spacing w:before="240"/>
      </w:pPr>
      <w:r w:rsidRPr="005602F8">
        <w:t>NYHA class</w:t>
      </w:r>
      <w:r w:rsidR="00FB1A74" w:rsidRPr="005602F8">
        <w:t xml:space="preserve"> </w:t>
      </w:r>
    </w:p>
    <w:p w14:paraId="5C9E19B1" w14:textId="6EEF4FA9" w:rsidR="009006B8" w:rsidRPr="005602F8" w:rsidRDefault="009006B8" w:rsidP="009006B8">
      <w:pPr>
        <w:pStyle w:val="Caption"/>
      </w:pPr>
      <w:bookmarkStart w:id="28" w:name="_Ref86131634"/>
      <w:r w:rsidRPr="005602F8">
        <w:t xml:space="preserve">Table </w:t>
      </w:r>
      <w:r w:rsidR="00002063">
        <w:fldChar w:fldCharType="begin"/>
      </w:r>
      <w:r w:rsidR="00002063">
        <w:instrText xml:space="preserve"> SEQ Table \* ARABIC </w:instrText>
      </w:r>
      <w:r w:rsidR="00002063">
        <w:fldChar w:fldCharType="separate"/>
      </w:r>
      <w:r w:rsidR="000F39B8" w:rsidRPr="005602F8">
        <w:rPr>
          <w:noProof/>
        </w:rPr>
        <w:t>10</w:t>
      </w:r>
      <w:r w:rsidR="00002063">
        <w:rPr>
          <w:noProof/>
        </w:rPr>
        <w:fldChar w:fldCharType="end"/>
      </w:r>
      <w:bookmarkEnd w:id="28"/>
      <w:r w:rsidRPr="005602F8">
        <w:t xml:space="preserve"> Percentage of patients with NYHA class I or II</w:t>
      </w:r>
    </w:p>
    <w:tbl>
      <w:tblPr>
        <w:tblStyle w:val="TableGrid25"/>
        <w:tblW w:w="0" w:type="auto"/>
        <w:tblLayout w:type="fixed"/>
        <w:tblLook w:val="04A0" w:firstRow="1" w:lastRow="0" w:firstColumn="1" w:lastColumn="0" w:noHBand="0" w:noVBand="1"/>
        <w:tblDescription w:val="Percentage of patients with NYHA class I or II"/>
      </w:tblPr>
      <w:tblGrid>
        <w:gridCol w:w="1129"/>
        <w:gridCol w:w="1985"/>
        <w:gridCol w:w="1276"/>
        <w:gridCol w:w="1701"/>
        <w:gridCol w:w="1701"/>
        <w:gridCol w:w="1224"/>
      </w:tblGrid>
      <w:tr w:rsidR="005602F8" w:rsidRPr="005602F8" w14:paraId="03B02C8F" w14:textId="77777777" w:rsidTr="00BD2E8F">
        <w:trPr>
          <w:tblHeader/>
        </w:trPr>
        <w:tc>
          <w:tcPr>
            <w:tcW w:w="1129" w:type="dxa"/>
          </w:tcPr>
          <w:p w14:paraId="309B1034" w14:textId="1CCEF8BE" w:rsidR="00FB1A74" w:rsidRPr="005602F8" w:rsidRDefault="00FB1A74" w:rsidP="001C28F5">
            <w:pPr>
              <w:pStyle w:val="TableHeading"/>
              <w:jc w:val="center"/>
            </w:pPr>
            <w:r w:rsidRPr="005602F8">
              <w:t>MAIC</w:t>
            </w:r>
          </w:p>
        </w:tc>
        <w:tc>
          <w:tcPr>
            <w:tcW w:w="1985" w:type="dxa"/>
          </w:tcPr>
          <w:p w14:paraId="47C95928" w14:textId="5757C0A0" w:rsidR="00FB1A74" w:rsidRPr="005602F8" w:rsidRDefault="00FB1A74" w:rsidP="001C28F5">
            <w:pPr>
              <w:pStyle w:val="TableHeading"/>
              <w:jc w:val="center"/>
            </w:pPr>
            <w:r w:rsidRPr="005602F8">
              <w:t>Matchin</w:t>
            </w:r>
            <w:r w:rsidR="001C28F5" w:rsidRPr="005602F8">
              <w:t>g</w:t>
            </w:r>
          </w:p>
        </w:tc>
        <w:tc>
          <w:tcPr>
            <w:tcW w:w="1276" w:type="dxa"/>
          </w:tcPr>
          <w:p w14:paraId="126E2B33" w14:textId="77777777" w:rsidR="00FB1A74" w:rsidRPr="005602F8" w:rsidRDefault="00FB1A74" w:rsidP="001C28F5">
            <w:pPr>
              <w:pStyle w:val="TableHeading"/>
              <w:jc w:val="center"/>
            </w:pPr>
            <w:r w:rsidRPr="005602F8">
              <w:t>Follow-up</w:t>
            </w:r>
          </w:p>
        </w:tc>
        <w:tc>
          <w:tcPr>
            <w:tcW w:w="1701" w:type="dxa"/>
          </w:tcPr>
          <w:p w14:paraId="2989505D" w14:textId="77777777" w:rsidR="00190736" w:rsidRPr="005602F8" w:rsidRDefault="00FB1A74" w:rsidP="001C28F5">
            <w:pPr>
              <w:pStyle w:val="TableHeading"/>
              <w:jc w:val="center"/>
              <w:rPr>
                <w:i/>
                <w:iCs/>
              </w:rPr>
            </w:pPr>
            <w:r w:rsidRPr="005602F8">
              <w:rPr>
                <w:i/>
                <w:iCs/>
              </w:rPr>
              <w:t>CLASP (PASCAL)</w:t>
            </w:r>
          </w:p>
          <w:p w14:paraId="277C0AF0" w14:textId="4B29652B" w:rsidR="00FB1A74" w:rsidRPr="005602F8" w:rsidRDefault="00FB1A74" w:rsidP="001C28F5">
            <w:pPr>
              <w:pStyle w:val="TableHeading"/>
              <w:jc w:val="center"/>
              <w:rPr>
                <w:i/>
                <w:iCs/>
              </w:rPr>
            </w:pPr>
            <w:r w:rsidRPr="005602F8">
              <w:rPr>
                <w:i/>
                <w:iCs/>
              </w:rPr>
              <w:t>unweighted, %</w:t>
            </w:r>
          </w:p>
        </w:tc>
        <w:tc>
          <w:tcPr>
            <w:tcW w:w="1701" w:type="dxa"/>
          </w:tcPr>
          <w:p w14:paraId="185C7A68" w14:textId="0E1AFBCA" w:rsidR="00190736" w:rsidRPr="005602F8" w:rsidRDefault="00FB1A74" w:rsidP="001C28F5">
            <w:pPr>
              <w:pStyle w:val="TableHeading"/>
              <w:jc w:val="center"/>
            </w:pPr>
            <w:r w:rsidRPr="005602F8">
              <w:t>CLASP (PASCAL)</w:t>
            </w:r>
          </w:p>
          <w:p w14:paraId="5CBC50A2" w14:textId="13DCCACB" w:rsidR="00FB1A74" w:rsidRPr="005602F8" w:rsidRDefault="00FB1A74" w:rsidP="001C28F5">
            <w:pPr>
              <w:pStyle w:val="TableHeading"/>
              <w:jc w:val="center"/>
            </w:pPr>
            <w:r w:rsidRPr="005602F8">
              <w:t>weighted, %</w:t>
            </w:r>
          </w:p>
        </w:tc>
        <w:tc>
          <w:tcPr>
            <w:tcW w:w="1224" w:type="dxa"/>
          </w:tcPr>
          <w:p w14:paraId="3F6E4093" w14:textId="77777777" w:rsidR="00FB1A74" w:rsidRPr="005602F8" w:rsidRDefault="00FB1A74" w:rsidP="001C28F5">
            <w:pPr>
              <w:pStyle w:val="TableHeading"/>
              <w:jc w:val="center"/>
            </w:pPr>
            <w:r w:rsidRPr="005602F8">
              <w:t>MitraClip, %</w:t>
            </w:r>
          </w:p>
        </w:tc>
      </w:tr>
      <w:tr w:rsidR="005602F8" w:rsidRPr="005602F8" w14:paraId="54E41744" w14:textId="77777777" w:rsidTr="00BD2E8F">
        <w:tc>
          <w:tcPr>
            <w:tcW w:w="1129" w:type="dxa"/>
            <w:vMerge w:val="restart"/>
          </w:tcPr>
          <w:p w14:paraId="18AA25AB" w14:textId="61D9AC99" w:rsidR="00FB1A74" w:rsidRPr="005602F8" w:rsidRDefault="00FB1A74" w:rsidP="008C5E8D">
            <w:pPr>
              <w:pStyle w:val="Tabletext"/>
            </w:pPr>
            <w:r w:rsidRPr="005602F8">
              <w:t>CLASP vs COA</w:t>
            </w:r>
            <w:r w:rsidR="00FC2A34" w:rsidRPr="005602F8">
              <w:t>P</w:t>
            </w:r>
            <w:r w:rsidRPr="005602F8">
              <w:t>T</w:t>
            </w:r>
          </w:p>
        </w:tc>
        <w:tc>
          <w:tcPr>
            <w:tcW w:w="1985" w:type="dxa"/>
          </w:tcPr>
          <w:p w14:paraId="5273E20B" w14:textId="408FB922" w:rsidR="00FB1A74" w:rsidRPr="005602F8" w:rsidRDefault="00FB1A74" w:rsidP="008C5E8D">
            <w:pPr>
              <w:pStyle w:val="Tabletext"/>
              <w:jc w:val="center"/>
            </w:pPr>
            <w:r w:rsidRPr="005602F8">
              <w:t>Base-</w:t>
            </w:r>
            <w:r w:rsidR="001C28F5" w:rsidRPr="005602F8">
              <w:t>c</w:t>
            </w:r>
            <w:r w:rsidRPr="005602F8">
              <w:t>ase</w:t>
            </w:r>
          </w:p>
        </w:tc>
        <w:tc>
          <w:tcPr>
            <w:tcW w:w="1276" w:type="dxa"/>
            <w:vMerge w:val="restart"/>
          </w:tcPr>
          <w:p w14:paraId="42B3A06E" w14:textId="77777777" w:rsidR="00FB1A74" w:rsidRPr="005602F8" w:rsidRDefault="00FB1A74" w:rsidP="008C5E8D">
            <w:pPr>
              <w:pStyle w:val="Tabletext"/>
              <w:jc w:val="center"/>
            </w:pPr>
            <w:r w:rsidRPr="005602F8">
              <w:t>24 months</w:t>
            </w:r>
          </w:p>
        </w:tc>
        <w:tc>
          <w:tcPr>
            <w:tcW w:w="1701" w:type="dxa"/>
            <w:vMerge w:val="restart"/>
          </w:tcPr>
          <w:p w14:paraId="001E6D0A" w14:textId="77777777" w:rsidR="00FB1A74" w:rsidRPr="005602F8" w:rsidRDefault="00FB1A74" w:rsidP="008C5E8D">
            <w:pPr>
              <w:pStyle w:val="Tabletext"/>
              <w:jc w:val="center"/>
            </w:pPr>
            <w:r w:rsidRPr="005602F8">
              <w:t>88 (n=</w:t>
            </w:r>
            <w:proofErr w:type="gramStart"/>
            <w:r w:rsidRPr="005602F8">
              <w:t>24)*</w:t>
            </w:r>
            <w:proofErr w:type="gramEnd"/>
          </w:p>
        </w:tc>
        <w:tc>
          <w:tcPr>
            <w:tcW w:w="1701" w:type="dxa"/>
          </w:tcPr>
          <w:p w14:paraId="2A49BA47" w14:textId="31F9DDE0" w:rsidR="00FB1A74" w:rsidRPr="005602F8" w:rsidRDefault="00F40C93" w:rsidP="001C28F5">
            <w:pPr>
              <w:pStyle w:val="Tabletext"/>
              <w:jc w:val="center"/>
            </w:pPr>
            <w:r w:rsidRPr="005602F8">
              <w:rPr>
                <w:b/>
                <w:bCs/>
              </w:rPr>
              <w:t>REDACTED</w:t>
            </w:r>
          </w:p>
        </w:tc>
        <w:tc>
          <w:tcPr>
            <w:tcW w:w="1224" w:type="dxa"/>
          </w:tcPr>
          <w:p w14:paraId="697BFE9F" w14:textId="77777777" w:rsidR="00FB1A74" w:rsidRPr="005602F8" w:rsidRDefault="00FB1A74" w:rsidP="001C28F5">
            <w:pPr>
              <w:pStyle w:val="Tabletext"/>
              <w:jc w:val="center"/>
            </w:pPr>
            <w:r w:rsidRPr="005602F8">
              <w:t>66.67</w:t>
            </w:r>
          </w:p>
        </w:tc>
      </w:tr>
      <w:tr w:rsidR="005602F8" w:rsidRPr="005602F8" w14:paraId="30F53670" w14:textId="77777777" w:rsidTr="00BD2E8F">
        <w:trPr>
          <w:trHeight w:val="507"/>
        </w:trPr>
        <w:tc>
          <w:tcPr>
            <w:tcW w:w="1129" w:type="dxa"/>
            <w:vMerge/>
          </w:tcPr>
          <w:p w14:paraId="4D5D6F0F" w14:textId="77777777" w:rsidR="00FB1A74" w:rsidRPr="005602F8" w:rsidRDefault="00FB1A74" w:rsidP="008C5E8D">
            <w:pPr>
              <w:pStyle w:val="Tabletext"/>
            </w:pPr>
          </w:p>
        </w:tc>
        <w:tc>
          <w:tcPr>
            <w:tcW w:w="1985" w:type="dxa"/>
          </w:tcPr>
          <w:p w14:paraId="147A66BF" w14:textId="77777777" w:rsidR="00FB1A74" w:rsidRPr="005602F8" w:rsidRDefault="00FB1A74" w:rsidP="008C5E8D">
            <w:pPr>
              <w:pStyle w:val="Tabletext"/>
              <w:jc w:val="center"/>
            </w:pPr>
            <w:r w:rsidRPr="005602F8">
              <w:t>Sensitivity analysis</w:t>
            </w:r>
          </w:p>
        </w:tc>
        <w:tc>
          <w:tcPr>
            <w:tcW w:w="1276" w:type="dxa"/>
            <w:vMerge/>
          </w:tcPr>
          <w:p w14:paraId="36C46E20" w14:textId="77777777" w:rsidR="00FB1A74" w:rsidRPr="005602F8" w:rsidRDefault="00FB1A74" w:rsidP="008C5E8D">
            <w:pPr>
              <w:pStyle w:val="Tabletext"/>
              <w:jc w:val="center"/>
            </w:pPr>
          </w:p>
        </w:tc>
        <w:tc>
          <w:tcPr>
            <w:tcW w:w="1701" w:type="dxa"/>
            <w:vMerge/>
          </w:tcPr>
          <w:p w14:paraId="28C19911" w14:textId="77777777" w:rsidR="00FB1A74" w:rsidRPr="005602F8" w:rsidRDefault="00FB1A74" w:rsidP="008C5E8D">
            <w:pPr>
              <w:pStyle w:val="Tabletext"/>
              <w:jc w:val="center"/>
              <w:rPr>
                <w:i/>
                <w:iCs/>
              </w:rPr>
            </w:pPr>
          </w:p>
        </w:tc>
        <w:tc>
          <w:tcPr>
            <w:tcW w:w="1701" w:type="dxa"/>
          </w:tcPr>
          <w:p w14:paraId="2619FA0B" w14:textId="59C1A36E" w:rsidR="00FB1A74" w:rsidRPr="005602F8" w:rsidRDefault="00F40C93" w:rsidP="001C28F5">
            <w:pPr>
              <w:pStyle w:val="Tabletext"/>
              <w:jc w:val="center"/>
            </w:pPr>
            <w:r w:rsidRPr="005602F8">
              <w:rPr>
                <w:b/>
                <w:bCs/>
              </w:rPr>
              <w:t>REDACTED</w:t>
            </w:r>
          </w:p>
        </w:tc>
        <w:tc>
          <w:tcPr>
            <w:tcW w:w="1224" w:type="dxa"/>
          </w:tcPr>
          <w:p w14:paraId="4D9A3BCE" w14:textId="77777777" w:rsidR="00FB1A74" w:rsidRPr="005602F8" w:rsidRDefault="00FB1A74" w:rsidP="001C28F5">
            <w:pPr>
              <w:pStyle w:val="Tabletext"/>
              <w:jc w:val="center"/>
            </w:pPr>
            <w:r w:rsidRPr="005602F8">
              <w:t>66.67</w:t>
            </w:r>
          </w:p>
        </w:tc>
      </w:tr>
      <w:tr w:rsidR="005602F8" w:rsidRPr="005602F8" w14:paraId="53DAE373" w14:textId="77777777" w:rsidTr="00BD2E8F">
        <w:tc>
          <w:tcPr>
            <w:tcW w:w="1129" w:type="dxa"/>
            <w:vMerge w:val="restart"/>
          </w:tcPr>
          <w:p w14:paraId="4A36300B" w14:textId="77777777" w:rsidR="00FB1A74" w:rsidRPr="005602F8" w:rsidRDefault="00FB1A74" w:rsidP="008C5E8D">
            <w:pPr>
              <w:pStyle w:val="Tabletext"/>
            </w:pPr>
            <w:r w:rsidRPr="005602F8">
              <w:t>CLASP vs EVEREST-II</w:t>
            </w:r>
          </w:p>
        </w:tc>
        <w:tc>
          <w:tcPr>
            <w:tcW w:w="1985" w:type="dxa"/>
          </w:tcPr>
          <w:p w14:paraId="1BDDE92B" w14:textId="77777777" w:rsidR="00FB1A74" w:rsidRPr="005602F8" w:rsidRDefault="00FB1A74" w:rsidP="008C5E8D">
            <w:pPr>
              <w:pStyle w:val="Tabletext"/>
              <w:jc w:val="center"/>
            </w:pPr>
            <w:r w:rsidRPr="005602F8">
              <w:t>Base-case</w:t>
            </w:r>
          </w:p>
        </w:tc>
        <w:tc>
          <w:tcPr>
            <w:tcW w:w="1276" w:type="dxa"/>
            <w:vMerge w:val="restart"/>
          </w:tcPr>
          <w:p w14:paraId="2B46E1ED" w14:textId="77777777" w:rsidR="00FB1A74" w:rsidRPr="005602F8" w:rsidRDefault="00FB1A74" w:rsidP="008C5E8D">
            <w:pPr>
              <w:pStyle w:val="Tabletext"/>
              <w:jc w:val="center"/>
            </w:pPr>
            <w:r w:rsidRPr="005602F8">
              <w:t>12 months</w:t>
            </w:r>
          </w:p>
        </w:tc>
        <w:tc>
          <w:tcPr>
            <w:tcW w:w="1701" w:type="dxa"/>
            <w:vMerge w:val="restart"/>
          </w:tcPr>
          <w:p w14:paraId="595609A1" w14:textId="77777777" w:rsidR="00FB1A74" w:rsidRPr="005602F8" w:rsidRDefault="00FB1A74" w:rsidP="008C5E8D">
            <w:pPr>
              <w:pStyle w:val="Tabletext"/>
              <w:jc w:val="center"/>
              <w:rPr>
                <w:vertAlign w:val="superscript"/>
              </w:rPr>
            </w:pPr>
            <w:r w:rsidRPr="005602F8">
              <w:t>11 (n=</w:t>
            </w:r>
            <w:proofErr w:type="gramStart"/>
            <w:r w:rsidRPr="005602F8">
              <w:t>92)</w:t>
            </w:r>
            <w:r w:rsidRPr="005602F8">
              <w:rPr>
                <w:vertAlign w:val="superscript"/>
              </w:rPr>
              <w:t>#</w:t>
            </w:r>
            <w:proofErr w:type="gramEnd"/>
          </w:p>
        </w:tc>
        <w:tc>
          <w:tcPr>
            <w:tcW w:w="1701" w:type="dxa"/>
          </w:tcPr>
          <w:p w14:paraId="54BC38BC" w14:textId="74A7909E" w:rsidR="00FB1A74" w:rsidRPr="005602F8" w:rsidRDefault="00F40C93" w:rsidP="001C28F5">
            <w:pPr>
              <w:pStyle w:val="Tabletext"/>
              <w:jc w:val="center"/>
            </w:pPr>
            <w:r w:rsidRPr="005602F8">
              <w:rPr>
                <w:b/>
                <w:bCs/>
              </w:rPr>
              <w:t>REDACTED</w:t>
            </w:r>
          </w:p>
        </w:tc>
        <w:tc>
          <w:tcPr>
            <w:tcW w:w="1224" w:type="dxa"/>
          </w:tcPr>
          <w:p w14:paraId="53D95691" w14:textId="77777777" w:rsidR="00FB1A74" w:rsidRPr="005602F8" w:rsidRDefault="00FB1A74" w:rsidP="001C28F5">
            <w:pPr>
              <w:pStyle w:val="Tabletext"/>
              <w:jc w:val="center"/>
            </w:pPr>
            <w:r w:rsidRPr="005602F8">
              <w:t>98</w:t>
            </w:r>
          </w:p>
        </w:tc>
      </w:tr>
      <w:tr w:rsidR="005602F8" w:rsidRPr="005602F8" w14:paraId="6BB0D6DA" w14:textId="77777777" w:rsidTr="00BD2E8F">
        <w:tc>
          <w:tcPr>
            <w:tcW w:w="1129" w:type="dxa"/>
            <w:vMerge/>
          </w:tcPr>
          <w:p w14:paraId="0F548667" w14:textId="77777777" w:rsidR="00FB1A74" w:rsidRPr="005602F8" w:rsidRDefault="00FB1A74" w:rsidP="008C5E8D">
            <w:pPr>
              <w:pStyle w:val="Tabletext"/>
            </w:pPr>
          </w:p>
        </w:tc>
        <w:tc>
          <w:tcPr>
            <w:tcW w:w="1985" w:type="dxa"/>
          </w:tcPr>
          <w:p w14:paraId="38B4C5CE" w14:textId="77777777" w:rsidR="00FB1A74" w:rsidRPr="005602F8" w:rsidRDefault="00FB1A74" w:rsidP="008C5E8D">
            <w:pPr>
              <w:pStyle w:val="Tabletext"/>
              <w:jc w:val="center"/>
            </w:pPr>
            <w:r w:rsidRPr="005602F8">
              <w:t>Sensitivity analysis</w:t>
            </w:r>
          </w:p>
        </w:tc>
        <w:tc>
          <w:tcPr>
            <w:tcW w:w="1276" w:type="dxa"/>
            <w:vMerge/>
          </w:tcPr>
          <w:p w14:paraId="0A154602" w14:textId="77777777" w:rsidR="00FB1A74" w:rsidRPr="005602F8" w:rsidRDefault="00FB1A74" w:rsidP="008C5E8D">
            <w:pPr>
              <w:pStyle w:val="Tabletext"/>
              <w:jc w:val="center"/>
            </w:pPr>
          </w:p>
        </w:tc>
        <w:tc>
          <w:tcPr>
            <w:tcW w:w="1701" w:type="dxa"/>
            <w:vMerge/>
          </w:tcPr>
          <w:p w14:paraId="6D2B69DB" w14:textId="77777777" w:rsidR="00FB1A74" w:rsidRPr="005602F8" w:rsidRDefault="00FB1A74" w:rsidP="008C5E8D">
            <w:pPr>
              <w:pStyle w:val="Tabletext"/>
              <w:jc w:val="center"/>
            </w:pPr>
          </w:p>
        </w:tc>
        <w:tc>
          <w:tcPr>
            <w:tcW w:w="1701" w:type="dxa"/>
          </w:tcPr>
          <w:p w14:paraId="3588DA10" w14:textId="5B63FF8C" w:rsidR="00FB1A74" w:rsidRPr="005602F8" w:rsidRDefault="00F40C93" w:rsidP="001C28F5">
            <w:pPr>
              <w:pStyle w:val="Tabletext"/>
              <w:jc w:val="center"/>
            </w:pPr>
            <w:r w:rsidRPr="005602F8">
              <w:rPr>
                <w:b/>
                <w:bCs/>
              </w:rPr>
              <w:t>REDACTED</w:t>
            </w:r>
          </w:p>
        </w:tc>
        <w:tc>
          <w:tcPr>
            <w:tcW w:w="1224" w:type="dxa"/>
          </w:tcPr>
          <w:p w14:paraId="5E227A0B" w14:textId="77777777" w:rsidR="00FB1A74" w:rsidRPr="005602F8" w:rsidRDefault="00FB1A74" w:rsidP="001C28F5">
            <w:pPr>
              <w:pStyle w:val="Tabletext"/>
              <w:jc w:val="center"/>
            </w:pPr>
            <w:r w:rsidRPr="005602F8">
              <w:t>98</w:t>
            </w:r>
          </w:p>
        </w:tc>
      </w:tr>
    </w:tbl>
    <w:p w14:paraId="07AC02A7" w14:textId="77777777" w:rsidR="00FB1A74" w:rsidRPr="005602F8" w:rsidRDefault="00FB1A74" w:rsidP="00AF7538">
      <w:pPr>
        <w:pStyle w:val="Tablenotes"/>
      </w:pPr>
      <w:r w:rsidRPr="005602F8">
        <w:t>*FMR population only</w:t>
      </w:r>
    </w:p>
    <w:p w14:paraId="6CEE624F" w14:textId="7CE4F940" w:rsidR="00FB1A74" w:rsidRPr="005602F8" w:rsidRDefault="00FB1A74" w:rsidP="00AF7538">
      <w:pPr>
        <w:pStyle w:val="Tablenotes"/>
      </w:pPr>
      <w:r w:rsidRPr="005602F8">
        <w:t>#Overall population</w:t>
      </w:r>
    </w:p>
    <w:p w14:paraId="773B0029" w14:textId="264F8B55" w:rsidR="008D262D" w:rsidRPr="005602F8" w:rsidRDefault="008D262D" w:rsidP="00AF7538">
      <w:pPr>
        <w:pStyle w:val="Tablenotes"/>
      </w:pPr>
      <w:r w:rsidRPr="005602F8">
        <w:t xml:space="preserve">Source: ADAR Commentary </w:t>
      </w:r>
    </w:p>
    <w:p w14:paraId="7EF6613A" w14:textId="40DA7783" w:rsidR="001C28F5" w:rsidRPr="005602F8" w:rsidRDefault="008D262D" w:rsidP="003922FD">
      <w:r w:rsidRPr="005602F8">
        <w:t xml:space="preserve">The results of the MAIC analysis presented in the ADAR suggested that at 24 months follow-up, in the FMR population a </w:t>
      </w:r>
      <w:r w:rsidR="00F40C93" w:rsidRPr="005602F8">
        <w:rPr>
          <w:b/>
          <w:bCs/>
        </w:rPr>
        <w:t>REDACTED</w:t>
      </w:r>
      <w:r w:rsidRPr="005602F8">
        <w:t xml:space="preserve"> proportion of patients achieved </w:t>
      </w:r>
      <w:r w:rsidR="00FC2A34" w:rsidRPr="005602F8">
        <w:t>NYHA class 1 or II in</w:t>
      </w:r>
      <w:r w:rsidRPr="005602F8">
        <w:t xml:space="preserve"> the </w:t>
      </w:r>
      <w:r w:rsidR="00FC2A34" w:rsidRPr="005602F8">
        <w:t>CLASP</w:t>
      </w:r>
      <w:r w:rsidRPr="005602F8">
        <w:t xml:space="preserve"> population</w:t>
      </w:r>
      <w:r w:rsidR="00FC2A34" w:rsidRPr="005602F8">
        <w:t xml:space="preserve"> </w:t>
      </w:r>
      <w:r w:rsidRPr="005602F8">
        <w:t>(</w:t>
      </w:r>
      <w:r w:rsidR="009006B8" w:rsidRPr="005602F8">
        <w:fldChar w:fldCharType="begin"/>
      </w:r>
      <w:r w:rsidR="009006B8" w:rsidRPr="005602F8">
        <w:instrText xml:space="preserve"> REF _Ref86131634 \h </w:instrText>
      </w:r>
      <w:r w:rsidR="00BD3EBD" w:rsidRPr="005602F8">
        <w:instrText xml:space="preserve"> \* MERGEFORMAT </w:instrText>
      </w:r>
      <w:r w:rsidR="009006B8" w:rsidRPr="005602F8">
        <w:fldChar w:fldCharType="separate"/>
      </w:r>
      <w:r w:rsidR="00072539" w:rsidRPr="005602F8">
        <w:t xml:space="preserve">Table </w:t>
      </w:r>
      <w:r w:rsidR="00072539" w:rsidRPr="005602F8">
        <w:rPr>
          <w:noProof/>
        </w:rPr>
        <w:t>10</w:t>
      </w:r>
      <w:r w:rsidR="009006B8" w:rsidRPr="005602F8">
        <w:fldChar w:fldCharType="end"/>
      </w:r>
      <w:r w:rsidRPr="005602F8">
        <w:t xml:space="preserve">). In the mixed population, at 12 months follow-up, </w:t>
      </w:r>
      <w:r w:rsidR="00FC2A34" w:rsidRPr="005602F8">
        <w:t xml:space="preserve">proportion of patients achieved NYHA class 1 or II in the CLASP population appeared </w:t>
      </w:r>
      <w:r w:rsidR="00F40C93" w:rsidRPr="005602F8">
        <w:rPr>
          <w:b/>
          <w:bCs/>
        </w:rPr>
        <w:t xml:space="preserve">REDACTED </w:t>
      </w:r>
      <w:r w:rsidR="00FC2A34" w:rsidRPr="005602F8">
        <w:t xml:space="preserve">than in </w:t>
      </w:r>
      <w:proofErr w:type="spellStart"/>
      <w:r w:rsidR="00FC2A34" w:rsidRPr="005602F8">
        <w:t>MitraClip</w:t>
      </w:r>
      <w:proofErr w:type="spellEnd"/>
      <w:r w:rsidR="00FC2A34" w:rsidRPr="005602F8">
        <w:t xml:space="preserve"> arm (</w:t>
      </w:r>
      <w:r w:rsidR="009006B8" w:rsidRPr="005602F8">
        <w:fldChar w:fldCharType="begin"/>
      </w:r>
      <w:r w:rsidR="009006B8" w:rsidRPr="005602F8">
        <w:instrText xml:space="preserve"> REF _Ref86131634 \h </w:instrText>
      </w:r>
      <w:r w:rsidR="00BD3EBD" w:rsidRPr="005602F8">
        <w:instrText xml:space="preserve"> \* MERGEFORMAT </w:instrText>
      </w:r>
      <w:r w:rsidR="009006B8" w:rsidRPr="005602F8">
        <w:fldChar w:fldCharType="separate"/>
      </w:r>
      <w:r w:rsidR="00072539" w:rsidRPr="005602F8">
        <w:t xml:space="preserve">Table </w:t>
      </w:r>
      <w:r w:rsidR="00072539" w:rsidRPr="005602F8">
        <w:rPr>
          <w:noProof/>
        </w:rPr>
        <w:t>10</w:t>
      </w:r>
      <w:r w:rsidR="009006B8" w:rsidRPr="005602F8">
        <w:fldChar w:fldCharType="end"/>
      </w:r>
      <w:r w:rsidR="00FC2A34" w:rsidRPr="005602F8">
        <w:t>).</w:t>
      </w:r>
    </w:p>
    <w:p w14:paraId="1A2CC11E" w14:textId="6A103E28" w:rsidR="000632EF" w:rsidRPr="003922FD" w:rsidRDefault="00065623" w:rsidP="003922FD">
      <w:pPr>
        <w:pStyle w:val="Heading1"/>
        <w:numPr>
          <w:ilvl w:val="0"/>
          <w:numId w:val="13"/>
        </w:numPr>
        <w:spacing w:before="240" w:after="240"/>
        <w:ind w:hanging="720"/>
        <w:rPr>
          <w:rFonts w:ascii="Arial" w:hAnsi="Arial" w:cs="Arial"/>
        </w:rPr>
      </w:pPr>
      <w:r w:rsidRPr="003922FD">
        <w:rPr>
          <w:rFonts w:ascii="Arial" w:hAnsi="Arial" w:cs="Arial"/>
        </w:rPr>
        <w:lastRenderedPageBreak/>
        <w:t>Economic evaluation</w:t>
      </w:r>
    </w:p>
    <w:p w14:paraId="5C55C685" w14:textId="3DB4C0EE" w:rsidR="00682AEC" w:rsidRPr="005602F8" w:rsidRDefault="006343C4" w:rsidP="003922FD">
      <w:r w:rsidRPr="00021F44">
        <w:t xml:space="preserve">The economic evaluation is summarised in </w:t>
      </w:r>
      <w:r w:rsidR="009006B8">
        <w:fldChar w:fldCharType="begin"/>
      </w:r>
      <w:r w:rsidR="009006B8">
        <w:instrText xml:space="preserve"> REF _Ref86131708 \h </w:instrText>
      </w:r>
      <w:r w:rsidR="009006B8">
        <w:fldChar w:fldCharType="separate"/>
      </w:r>
      <w:r w:rsidR="00072539">
        <w:t xml:space="preserve">Table </w:t>
      </w:r>
      <w:r w:rsidR="00072539">
        <w:rPr>
          <w:noProof/>
        </w:rPr>
        <w:t>11</w:t>
      </w:r>
      <w:r w:rsidR="009006B8">
        <w:fldChar w:fldCharType="end"/>
      </w:r>
      <w:r w:rsidRPr="00021F44">
        <w:t xml:space="preserve">. A cost-minimisation analysis was presented on the </w:t>
      </w:r>
      <w:r w:rsidRPr="005602F8">
        <w:t xml:space="preserve">basis that PASCAL is non-inferior in safety and efficacy compared with </w:t>
      </w:r>
      <w:proofErr w:type="spellStart"/>
      <w:r w:rsidRPr="005602F8">
        <w:t>MitraClip</w:t>
      </w:r>
      <w:proofErr w:type="spellEnd"/>
      <w:r w:rsidR="00190736" w:rsidRPr="005602F8">
        <w:t>.</w:t>
      </w:r>
      <w:r w:rsidRPr="005602F8">
        <w:t xml:space="preserve"> </w:t>
      </w:r>
    </w:p>
    <w:p w14:paraId="41378217" w14:textId="5C692B16" w:rsidR="009006B8" w:rsidRPr="005602F8" w:rsidRDefault="009006B8" w:rsidP="003922FD">
      <w:pPr>
        <w:pStyle w:val="Caption"/>
        <w:spacing w:before="240"/>
      </w:pPr>
      <w:bookmarkStart w:id="29" w:name="_Ref86131708"/>
      <w:r w:rsidRPr="005602F8">
        <w:t xml:space="preserve">Table </w:t>
      </w:r>
      <w:r w:rsidR="00002063">
        <w:fldChar w:fldCharType="begin"/>
      </w:r>
      <w:r w:rsidR="00002063">
        <w:instrText xml:space="preserve"> SEQ Table \* ARABIC </w:instrText>
      </w:r>
      <w:r w:rsidR="00002063">
        <w:fldChar w:fldCharType="separate"/>
      </w:r>
      <w:r w:rsidR="000F39B8" w:rsidRPr="005602F8">
        <w:rPr>
          <w:noProof/>
        </w:rPr>
        <w:t>11</w:t>
      </w:r>
      <w:r w:rsidR="00002063">
        <w:rPr>
          <w:noProof/>
        </w:rPr>
        <w:fldChar w:fldCharType="end"/>
      </w:r>
      <w:bookmarkEnd w:id="29"/>
      <w:r w:rsidRPr="005602F8">
        <w:t xml:space="preserve"> Summary of the economic evaluation</w:t>
      </w:r>
    </w:p>
    <w:tbl>
      <w:tblPr>
        <w:tblStyle w:val="TableGrid1"/>
        <w:tblW w:w="5000" w:type="pct"/>
        <w:tblInd w:w="0" w:type="dxa"/>
        <w:tblLook w:val="01E0" w:firstRow="1" w:lastRow="1" w:firstColumn="1" w:lastColumn="1" w:noHBand="0" w:noVBand="0"/>
        <w:tblCaption w:val="Table 10 Summary of the economic evaluation"/>
        <w:tblDescription w:val="This table describes the key constructs of the economic evaluation that is provided in the assessment report."/>
      </w:tblPr>
      <w:tblGrid>
        <w:gridCol w:w="3114"/>
        <w:gridCol w:w="5902"/>
      </w:tblGrid>
      <w:tr w:rsidR="005602F8" w:rsidRPr="005602F8" w14:paraId="4A806203" w14:textId="77777777" w:rsidTr="001C28F5">
        <w:trPr>
          <w:trHeight w:val="20"/>
          <w:tblHeader/>
        </w:trPr>
        <w:tc>
          <w:tcPr>
            <w:tcW w:w="1727" w:type="pct"/>
            <w:tcBorders>
              <w:top w:val="single" w:sz="4" w:space="0" w:color="auto"/>
              <w:left w:val="single" w:sz="4" w:space="0" w:color="auto"/>
              <w:bottom w:val="single" w:sz="4" w:space="0" w:color="auto"/>
              <w:right w:val="single" w:sz="4" w:space="0" w:color="auto"/>
            </w:tcBorders>
          </w:tcPr>
          <w:p w14:paraId="6C6C5D55" w14:textId="77777777" w:rsidR="006343C4" w:rsidRPr="005602F8" w:rsidRDefault="006343C4" w:rsidP="00302CD8">
            <w:pPr>
              <w:pStyle w:val="Tabletext"/>
              <w:keepNext/>
              <w:rPr>
                <w:b/>
                <w:bCs/>
              </w:rPr>
            </w:pPr>
            <w:r w:rsidRPr="005602F8">
              <w:rPr>
                <w:b/>
                <w:bCs/>
              </w:rPr>
              <w:t>Perspective</w:t>
            </w:r>
          </w:p>
        </w:tc>
        <w:tc>
          <w:tcPr>
            <w:tcW w:w="3273" w:type="pct"/>
            <w:tcBorders>
              <w:top w:val="single" w:sz="4" w:space="0" w:color="auto"/>
              <w:left w:val="single" w:sz="4" w:space="0" w:color="auto"/>
              <w:bottom w:val="single" w:sz="4" w:space="0" w:color="auto"/>
              <w:right w:val="single" w:sz="4" w:space="0" w:color="auto"/>
            </w:tcBorders>
          </w:tcPr>
          <w:p w14:paraId="14458808" w14:textId="77777777" w:rsidR="006343C4" w:rsidRPr="005602F8" w:rsidRDefault="006343C4" w:rsidP="00302CD8">
            <w:pPr>
              <w:pStyle w:val="Tabletext"/>
              <w:keepNext/>
            </w:pPr>
            <w:r w:rsidRPr="005602F8">
              <w:t>Australian Healthcare System</w:t>
            </w:r>
          </w:p>
        </w:tc>
      </w:tr>
      <w:tr w:rsidR="005602F8" w:rsidRPr="005602F8" w14:paraId="1ACB68A4" w14:textId="77777777" w:rsidTr="001C28F5">
        <w:trPr>
          <w:trHeight w:val="20"/>
          <w:tblHeader/>
        </w:trPr>
        <w:tc>
          <w:tcPr>
            <w:tcW w:w="1727" w:type="pct"/>
            <w:tcBorders>
              <w:top w:val="single" w:sz="4" w:space="0" w:color="auto"/>
              <w:left w:val="single" w:sz="4" w:space="0" w:color="auto"/>
              <w:bottom w:val="single" w:sz="4" w:space="0" w:color="auto"/>
              <w:right w:val="single" w:sz="4" w:space="0" w:color="auto"/>
            </w:tcBorders>
          </w:tcPr>
          <w:p w14:paraId="3A3CF564" w14:textId="77777777" w:rsidR="006343C4" w:rsidRPr="005602F8" w:rsidRDefault="006343C4" w:rsidP="00302CD8">
            <w:pPr>
              <w:pStyle w:val="Tabletext"/>
              <w:keepNext/>
              <w:rPr>
                <w:b/>
                <w:bCs/>
              </w:rPr>
            </w:pPr>
            <w:r w:rsidRPr="005602F8">
              <w:rPr>
                <w:b/>
                <w:bCs/>
              </w:rPr>
              <w:t>Comparator</w:t>
            </w:r>
          </w:p>
        </w:tc>
        <w:tc>
          <w:tcPr>
            <w:tcW w:w="3273" w:type="pct"/>
            <w:tcBorders>
              <w:top w:val="single" w:sz="4" w:space="0" w:color="auto"/>
              <w:left w:val="single" w:sz="4" w:space="0" w:color="auto"/>
              <w:bottom w:val="single" w:sz="4" w:space="0" w:color="auto"/>
              <w:right w:val="single" w:sz="4" w:space="0" w:color="auto"/>
            </w:tcBorders>
          </w:tcPr>
          <w:p w14:paraId="4F9ED12C" w14:textId="77777777" w:rsidR="006343C4" w:rsidRPr="005602F8" w:rsidRDefault="006343C4" w:rsidP="00302CD8">
            <w:pPr>
              <w:pStyle w:val="Tabletext"/>
              <w:keepNext/>
            </w:pPr>
            <w:proofErr w:type="spellStart"/>
            <w:r w:rsidRPr="005602F8">
              <w:t>MitraClip</w:t>
            </w:r>
            <w:proofErr w:type="spellEnd"/>
          </w:p>
        </w:tc>
      </w:tr>
      <w:tr w:rsidR="005602F8" w:rsidRPr="005602F8" w14:paraId="7A30F848" w14:textId="77777777" w:rsidTr="001C28F5">
        <w:trPr>
          <w:trHeight w:val="20"/>
          <w:tblHeader/>
        </w:trPr>
        <w:tc>
          <w:tcPr>
            <w:tcW w:w="1727" w:type="pct"/>
            <w:tcBorders>
              <w:top w:val="single" w:sz="4" w:space="0" w:color="auto"/>
              <w:left w:val="single" w:sz="4" w:space="0" w:color="auto"/>
              <w:bottom w:val="single" w:sz="4" w:space="0" w:color="auto"/>
              <w:right w:val="single" w:sz="4" w:space="0" w:color="auto"/>
            </w:tcBorders>
          </w:tcPr>
          <w:p w14:paraId="087A2563" w14:textId="77777777" w:rsidR="006343C4" w:rsidRPr="005602F8" w:rsidRDefault="006343C4" w:rsidP="00302CD8">
            <w:pPr>
              <w:pStyle w:val="Tabletext"/>
              <w:rPr>
                <w:b/>
                <w:bCs/>
              </w:rPr>
            </w:pPr>
            <w:r w:rsidRPr="005602F8">
              <w:rPr>
                <w:b/>
                <w:bCs/>
              </w:rPr>
              <w:t>Type of economic evaluation</w:t>
            </w:r>
          </w:p>
        </w:tc>
        <w:tc>
          <w:tcPr>
            <w:tcW w:w="3273" w:type="pct"/>
            <w:tcBorders>
              <w:top w:val="single" w:sz="4" w:space="0" w:color="auto"/>
              <w:left w:val="single" w:sz="4" w:space="0" w:color="auto"/>
              <w:bottom w:val="single" w:sz="4" w:space="0" w:color="auto"/>
              <w:right w:val="single" w:sz="4" w:space="0" w:color="auto"/>
            </w:tcBorders>
          </w:tcPr>
          <w:p w14:paraId="50F8F738" w14:textId="77777777" w:rsidR="006343C4" w:rsidRPr="005602F8" w:rsidRDefault="006343C4" w:rsidP="00302CD8">
            <w:pPr>
              <w:pStyle w:val="Tabletext"/>
              <w:keepNext/>
            </w:pPr>
            <w:r w:rsidRPr="005602F8">
              <w:t>Cost-minimisation</w:t>
            </w:r>
          </w:p>
        </w:tc>
      </w:tr>
      <w:tr w:rsidR="005602F8" w:rsidRPr="005602F8" w14:paraId="69FDCED3" w14:textId="77777777" w:rsidTr="001C28F5">
        <w:trPr>
          <w:trHeight w:val="20"/>
          <w:tblHeader/>
        </w:trPr>
        <w:tc>
          <w:tcPr>
            <w:tcW w:w="1727" w:type="pct"/>
            <w:tcBorders>
              <w:top w:val="single" w:sz="4" w:space="0" w:color="auto"/>
              <w:left w:val="single" w:sz="4" w:space="0" w:color="auto"/>
              <w:bottom w:val="single" w:sz="4" w:space="0" w:color="auto"/>
              <w:right w:val="single" w:sz="4" w:space="0" w:color="auto"/>
            </w:tcBorders>
          </w:tcPr>
          <w:p w14:paraId="43B1D34C" w14:textId="77777777" w:rsidR="006343C4" w:rsidRPr="005602F8" w:rsidRDefault="006343C4" w:rsidP="00302CD8">
            <w:pPr>
              <w:pStyle w:val="Tabletext"/>
              <w:rPr>
                <w:b/>
                <w:bCs/>
              </w:rPr>
            </w:pPr>
            <w:r w:rsidRPr="005602F8">
              <w:rPr>
                <w:b/>
                <w:bCs/>
              </w:rPr>
              <w:t>Sources of evidence</w:t>
            </w:r>
          </w:p>
        </w:tc>
        <w:tc>
          <w:tcPr>
            <w:tcW w:w="3273" w:type="pct"/>
            <w:tcBorders>
              <w:top w:val="single" w:sz="4" w:space="0" w:color="auto"/>
              <w:left w:val="single" w:sz="4" w:space="0" w:color="auto"/>
              <w:bottom w:val="single" w:sz="4" w:space="0" w:color="auto"/>
              <w:right w:val="single" w:sz="4" w:space="0" w:color="auto"/>
            </w:tcBorders>
          </w:tcPr>
          <w:p w14:paraId="1803EF3E" w14:textId="77777777" w:rsidR="006343C4" w:rsidRPr="005602F8" w:rsidRDefault="006343C4" w:rsidP="00302CD8">
            <w:pPr>
              <w:pStyle w:val="Tabletext"/>
              <w:keepNext/>
            </w:pPr>
            <w:r w:rsidRPr="005602F8">
              <w:t>MAIC, identified literature (refer section B)</w:t>
            </w:r>
          </w:p>
        </w:tc>
      </w:tr>
      <w:tr w:rsidR="005602F8" w:rsidRPr="005602F8" w14:paraId="16C53AB9" w14:textId="77777777" w:rsidTr="001C28F5">
        <w:trPr>
          <w:trHeight w:val="20"/>
          <w:tblHeader/>
        </w:trPr>
        <w:tc>
          <w:tcPr>
            <w:tcW w:w="1727" w:type="pct"/>
            <w:tcBorders>
              <w:top w:val="single" w:sz="4" w:space="0" w:color="auto"/>
              <w:left w:val="single" w:sz="4" w:space="0" w:color="auto"/>
              <w:bottom w:val="single" w:sz="4" w:space="0" w:color="auto"/>
              <w:right w:val="single" w:sz="4" w:space="0" w:color="auto"/>
            </w:tcBorders>
            <w:hideMark/>
          </w:tcPr>
          <w:p w14:paraId="48F4626C" w14:textId="77777777" w:rsidR="006343C4" w:rsidRPr="005602F8" w:rsidRDefault="006343C4" w:rsidP="00302CD8">
            <w:pPr>
              <w:pStyle w:val="Tabletext"/>
              <w:rPr>
                <w:b/>
                <w:bCs/>
              </w:rPr>
            </w:pPr>
            <w:r w:rsidRPr="005602F8">
              <w:rPr>
                <w:b/>
                <w:bCs/>
              </w:rPr>
              <w:t>Time horizon</w:t>
            </w:r>
          </w:p>
        </w:tc>
        <w:tc>
          <w:tcPr>
            <w:tcW w:w="3273" w:type="pct"/>
            <w:tcBorders>
              <w:top w:val="single" w:sz="4" w:space="0" w:color="auto"/>
              <w:left w:val="single" w:sz="4" w:space="0" w:color="auto"/>
              <w:bottom w:val="single" w:sz="4" w:space="0" w:color="auto"/>
              <w:right w:val="single" w:sz="4" w:space="0" w:color="auto"/>
            </w:tcBorders>
            <w:hideMark/>
          </w:tcPr>
          <w:p w14:paraId="6270A70B" w14:textId="77777777" w:rsidR="006343C4" w:rsidRPr="005602F8" w:rsidRDefault="006343C4" w:rsidP="00302CD8">
            <w:pPr>
              <w:pStyle w:val="Tabletext"/>
              <w:keepNext/>
            </w:pPr>
            <w:r w:rsidRPr="005602F8">
              <w:t>30 days</w:t>
            </w:r>
          </w:p>
        </w:tc>
      </w:tr>
      <w:tr w:rsidR="005602F8" w:rsidRPr="005602F8" w14:paraId="6312ACC4" w14:textId="77777777" w:rsidTr="001C28F5">
        <w:trPr>
          <w:trHeight w:val="20"/>
          <w:tblHeader/>
        </w:trPr>
        <w:tc>
          <w:tcPr>
            <w:tcW w:w="1727" w:type="pct"/>
            <w:tcBorders>
              <w:top w:val="single" w:sz="4" w:space="0" w:color="auto"/>
              <w:left w:val="single" w:sz="4" w:space="0" w:color="auto"/>
              <w:bottom w:val="single" w:sz="4" w:space="0" w:color="auto"/>
              <w:right w:val="single" w:sz="4" w:space="0" w:color="auto"/>
            </w:tcBorders>
            <w:hideMark/>
          </w:tcPr>
          <w:p w14:paraId="276A8A00" w14:textId="77777777" w:rsidR="006343C4" w:rsidRPr="005602F8" w:rsidRDefault="006343C4" w:rsidP="00302CD8">
            <w:pPr>
              <w:pStyle w:val="Tabletext"/>
              <w:rPr>
                <w:b/>
                <w:bCs/>
              </w:rPr>
            </w:pPr>
            <w:r w:rsidRPr="005602F8">
              <w:rPr>
                <w:b/>
                <w:bCs/>
              </w:rPr>
              <w:t>Outcomes</w:t>
            </w:r>
          </w:p>
        </w:tc>
        <w:tc>
          <w:tcPr>
            <w:tcW w:w="3273" w:type="pct"/>
            <w:tcBorders>
              <w:top w:val="single" w:sz="4" w:space="0" w:color="auto"/>
              <w:left w:val="single" w:sz="4" w:space="0" w:color="auto"/>
              <w:bottom w:val="single" w:sz="4" w:space="0" w:color="auto"/>
              <w:right w:val="single" w:sz="4" w:space="0" w:color="auto"/>
            </w:tcBorders>
          </w:tcPr>
          <w:p w14:paraId="3D3CDDB8" w14:textId="4612D132" w:rsidR="006343C4" w:rsidRPr="00A40151" w:rsidRDefault="008B2FD5" w:rsidP="00302CD8">
            <w:pPr>
              <w:pStyle w:val="Tabletext"/>
              <w:keepNext/>
              <w:rPr>
                <w:b/>
                <w:bCs/>
              </w:rPr>
            </w:pPr>
            <w:r w:rsidRPr="00A40151">
              <w:rPr>
                <w:b/>
                <w:bCs/>
              </w:rPr>
              <w:t>REDACTED</w:t>
            </w:r>
          </w:p>
        </w:tc>
      </w:tr>
      <w:tr w:rsidR="005602F8" w:rsidRPr="005602F8" w14:paraId="4E3F37E3" w14:textId="77777777" w:rsidTr="001C28F5">
        <w:trPr>
          <w:trHeight w:val="20"/>
          <w:tblHeader/>
        </w:trPr>
        <w:tc>
          <w:tcPr>
            <w:tcW w:w="1727" w:type="pct"/>
            <w:tcBorders>
              <w:top w:val="single" w:sz="4" w:space="0" w:color="auto"/>
              <w:left w:val="single" w:sz="4" w:space="0" w:color="auto"/>
              <w:bottom w:val="single" w:sz="4" w:space="0" w:color="auto"/>
              <w:right w:val="single" w:sz="4" w:space="0" w:color="auto"/>
            </w:tcBorders>
            <w:hideMark/>
          </w:tcPr>
          <w:p w14:paraId="5E7ABBA2" w14:textId="77777777" w:rsidR="006343C4" w:rsidRPr="005602F8" w:rsidRDefault="006343C4" w:rsidP="00302CD8">
            <w:pPr>
              <w:pStyle w:val="Tabletext"/>
              <w:rPr>
                <w:b/>
                <w:bCs/>
              </w:rPr>
            </w:pPr>
            <w:r w:rsidRPr="005602F8">
              <w:rPr>
                <w:b/>
                <w:bCs/>
              </w:rPr>
              <w:t>Methods used to generate results</w:t>
            </w:r>
          </w:p>
        </w:tc>
        <w:tc>
          <w:tcPr>
            <w:tcW w:w="3273" w:type="pct"/>
            <w:tcBorders>
              <w:top w:val="single" w:sz="4" w:space="0" w:color="auto"/>
              <w:left w:val="single" w:sz="4" w:space="0" w:color="auto"/>
              <w:bottom w:val="single" w:sz="4" w:space="0" w:color="auto"/>
              <w:right w:val="single" w:sz="4" w:space="0" w:color="auto"/>
            </w:tcBorders>
          </w:tcPr>
          <w:p w14:paraId="257D2D4A" w14:textId="4C524307" w:rsidR="006343C4" w:rsidRPr="00A40151" w:rsidRDefault="008B2FD5" w:rsidP="00302CD8">
            <w:pPr>
              <w:pStyle w:val="Tabletext"/>
              <w:keepNext/>
              <w:rPr>
                <w:b/>
                <w:bCs/>
              </w:rPr>
            </w:pPr>
            <w:r w:rsidRPr="00A40151">
              <w:rPr>
                <w:b/>
                <w:bCs/>
              </w:rPr>
              <w:t>REDACTED</w:t>
            </w:r>
            <w:r w:rsidR="006343C4" w:rsidRPr="00A40151">
              <w:rPr>
                <w:b/>
                <w:bCs/>
              </w:rPr>
              <w:t xml:space="preserve"> </w:t>
            </w:r>
          </w:p>
        </w:tc>
      </w:tr>
      <w:tr w:rsidR="005602F8" w:rsidRPr="005602F8" w14:paraId="2D8AA3F5" w14:textId="77777777" w:rsidTr="001C28F5">
        <w:trPr>
          <w:trHeight w:val="20"/>
          <w:tblHeader/>
        </w:trPr>
        <w:tc>
          <w:tcPr>
            <w:tcW w:w="1727" w:type="pct"/>
            <w:tcBorders>
              <w:top w:val="single" w:sz="4" w:space="0" w:color="auto"/>
              <w:left w:val="single" w:sz="4" w:space="0" w:color="auto"/>
              <w:bottom w:val="single" w:sz="4" w:space="0" w:color="auto"/>
              <w:right w:val="single" w:sz="4" w:space="0" w:color="auto"/>
            </w:tcBorders>
          </w:tcPr>
          <w:p w14:paraId="6A4FEEA8" w14:textId="77777777" w:rsidR="006343C4" w:rsidRPr="005602F8" w:rsidRDefault="006343C4" w:rsidP="00302CD8">
            <w:pPr>
              <w:pStyle w:val="Tabletext"/>
              <w:rPr>
                <w:b/>
                <w:bCs/>
              </w:rPr>
            </w:pPr>
            <w:r w:rsidRPr="005602F8">
              <w:rPr>
                <w:b/>
                <w:bCs/>
              </w:rPr>
              <w:t>Discount rate</w:t>
            </w:r>
          </w:p>
        </w:tc>
        <w:tc>
          <w:tcPr>
            <w:tcW w:w="3273" w:type="pct"/>
            <w:tcBorders>
              <w:top w:val="single" w:sz="4" w:space="0" w:color="auto"/>
              <w:left w:val="single" w:sz="4" w:space="0" w:color="auto"/>
              <w:bottom w:val="single" w:sz="4" w:space="0" w:color="auto"/>
              <w:right w:val="single" w:sz="4" w:space="0" w:color="auto"/>
            </w:tcBorders>
          </w:tcPr>
          <w:p w14:paraId="17839227" w14:textId="77777777" w:rsidR="006343C4" w:rsidRPr="005602F8" w:rsidRDefault="006343C4" w:rsidP="00302CD8">
            <w:pPr>
              <w:pStyle w:val="Tabletext"/>
              <w:keepNext/>
            </w:pPr>
            <w:r w:rsidRPr="005602F8">
              <w:t>Not applicable</w:t>
            </w:r>
          </w:p>
        </w:tc>
      </w:tr>
      <w:tr w:rsidR="005602F8" w:rsidRPr="005602F8" w14:paraId="07B9E68E" w14:textId="77777777" w:rsidTr="001C28F5">
        <w:trPr>
          <w:trHeight w:val="20"/>
          <w:tblHeader/>
        </w:trPr>
        <w:tc>
          <w:tcPr>
            <w:tcW w:w="1727" w:type="pct"/>
            <w:tcBorders>
              <w:top w:val="single" w:sz="4" w:space="0" w:color="auto"/>
              <w:left w:val="single" w:sz="4" w:space="0" w:color="auto"/>
              <w:bottom w:val="single" w:sz="4" w:space="0" w:color="auto"/>
              <w:right w:val="single" w:sz="4" w:space="0" w:color="auto"/>
            </w:tcBorders>
            <w:hideMark/>
          </w:tcPr>
          <w:p w14:paraId="3AC0B3EA" w14:textId="77777777" w:rsidR="006343C4" w:rsidRPr="005602F8" w:rsidRDefault="006343C4" w:rsidP="00302CD8">
            <w:pPr>
              <w:pStyle w:val="Tabletext"/>
              <w:rPr>
                <w:b/>
                <w:bCs/>
              </w:rPr>
            </w:pPr>
            <w:r w:rsidRPr="005602F8">
              <w:rPr>
                <w:b/>
                <w:bCs/>
              </w:rPr>
              <w:t>Software packages used</w:t>
            </w:r>
          </w:p>
        </w:tc>
        <w:tc>
          <w:tcPr>
            <w:tcW w:w="3273" w:type="pct"/>
            <w:tcBorders>
              <w:top w:val="single" w:sz="4" w:space="0" w:color="auto"/>
              <w:left w:val="single" w:sz="4" w:space="0" w:color="auto"/>
              <w:bottom w:val="single" w:sz="4" w:space="0" w:color="auto"/>
              <w:right w:val="single" w:sz="4" w:space="0" w:color="auto"/>
            </w:tcBorders>
          </w:tcPr>
          <w:p w14:paraId="0DC2DD8B" w14:textId="77777777" w:rsidR="006343C4" w:rsidRPr="005602F8" w:rsidRDefault="006343C4" w:rsidP="00302CD8">
            <w:pPr>
              <w:pStyle w:val="Tabletext"/>
              <w:keepNext/>
            </w:pPr>
            <w:r w:rsidRPr="005602F8">
              <w:t>Microsoft Excel 365</w:t>
            </w:r>
          </w:p>
        </w:tc>
      </w:tr>
    </w:tbl>
    <w:p w14:paraId="01CE8CE3" w14:textId="77777777" w:rsidR="006343C4" w:rsidRPr="005602F8" w:rsidRDefault="006343C4" w:rsidP="00AF7538">
      <w:pPr>
        <w:pStyle w:val="Tablenotes"/>
      </w:pPr>
      <w:r w:rsidRPr="005602F8">
        <w:t>MI=mitral regurgitation; MAE=major adverse event; MAIC=matched adjusted indirect comparison</w:t>
      </w:r>
    </w:p>
    <w:p w14:paraId="6BFF95E3" w14:textId="2FF758DA" w:rsidR="006343C4" w:rsidRPr="005602F8" w:rsidRDefault="006343C4" w:rsidP="00AF7538">
      <w:pPr>
        <w:pStyle w:val="Tablenotes"/>
      </w:pPr>
      <w:r w:rsidRPr="005602F8">
        <w:t xml:space="preserve">Source: ADAR </w:t>
      </w:r>
    </w:p>
    <w:p w14:paraId="4B4B9B59" w14:textId="3F1871B8" w:rsidR="00F64E1A" w:rsidRPr="005602F8" w:rsidRDefault="00B2170E" w:rsidP="003922FD">
      <w:r w:rsidRPr="005602F8">
        <w:t xml:space="preserve">The ADAR reported the costs </w:t>
      </w:r>
      <w:r w:rsidR="000531A6" w:rsidRPr="005602F8">
        <w:t xml:space="preserve">of </w:t>
      </w:r>
      <w:r w:rsidRPr="005602F8">
        <w:t>the procedure</w:t>
      </w:r>
      <w:r w:rsidR="000A08D1" w:rsidRPr="005602F8">
        <w:t xml:space="preserve"> including prosthesis</w:t>
      </w:r>
      <w:r w:rsidRPr="005602F8">
        <w:t>, revision surgery costs and adverse event costs</w:t>
      </w:r>
      <w:r w:rsidR="000531A6" w:rsidRPr="005602F8">
        <w:t xml:space="preserve">. The cost minimisation considered that the cost of procedure including prosthesis would be </w:t>
      </w:r>
      <w:r w:rsidR="00F40C93" w:rsidRPr="005602F8">
        <w:rPr>
          <w:b/>
          <w:bCs/>
        </w:rPr>
        <w:t xml:space="preserve">REDACTED </w:t>
      </w:r>
      <w:r w:rsidR="000531A6" w:rsidRPr="005602F8">
        <w:t xml:space="preserve">for PASCAL and </w:t>
      </w:r>
      <w:proofErr w:type="spellStart"/>
      <w:r w:rsidR="000531A6" w:rsidRPr="005602F8">
        <w:t>MitraClip</w:t>
      </w:r>
      <w:proofErr w:type="spellEnd"/>
      <w:r w:rsidR="000531A6" w:rsidRPr="005602F8">
        <w:t xml:space="preserve">. The </w:t>
      </w:r>
      <w:r w:rsidR="00E77A7D" w:rsidRPr="005602F8">
        <w:t xml:space="preserve">expected </w:t>
      </w:r>
      <w:r w:rsidR="000531A6" w:rsidRPr="005602F8">
        <w:t xml:space="preserve">costs of </w:t>
      </w:r>
      <w:r w:rsidR="00E77A7D" w:rsidRPr="005602F8">
        <w:t xml:space="preserve">revision surgery and </w:t>
      </w:r>
      <w:r w:rsidR="000531A6" w:rsidRPr="005602F8">
        <w:t>adverse events</w:t>
      </w:r>
      <w:r w:rsidR="00861CC6" w:rsidRPr="005602F8">
        <w:t xml:space="preserve"> </w:t>
      </w:r>
      <w:r w:rsidR="00E77A7D" w:rsidRPr="005602F8">
        <w:t>had the potential to be</w:t>
      </w:r>
      <w:r w:rsidR="00F40C93" w:rsidRPr="005602F8">
        <w:t xml:space="preserve"> </w:t>
      </w:r>
      <w:r w:rsidR="00F40C93" w:rsidRPr="005602F8">
        <w:rPr>
          <w:b/>
          <w:bCs/>
        </w:rPr>
        <w:t>REDACTED</w:t>
      </w:r>
      <w:r w:rsidR="00E77A7D" w:rsidRPr="005602F8">
        <w:t>, as</w:t>
      </w:r>
      <w:r w:rsidR="000531A6" w:rsidRPr="005602F8">
        <w:t xml:space="preserve"> determined from the MAIC using rates of</w:t>
      </w:r>
      <w:r w:rsidR="00E60444" w:rsidRPr="005602F8">
        <w:t xml:space="preserve"> adverse</w:t>
      </w:r>
      <w:r w:rsidR="000531A6" w:rsidRPr="005602F8">
        <w:t xml:space="preserve"> events </w:t>
      </w:r>
      <w:r w:rsidRPr="005602F8">
        <w:t>at 30 days. The ADAR then used a weighted approach to determine the overall cost-minimised result, using a</w:t>
      </w:r>
      <w:r w:rsidR="0069572A" w:rsidRPr="005602F8">
        <w:t xml:space="preserve"> </w:t>
      </w:r>
      <w:r w:rsidR="0069572A" w:rsidRPr="005602F8">
        <w:rPr>
          <w:b/>
          <w:bCs/>
        </w:rPr>
        <w:t>%redacted</w:t>
      </w:r>
      <w:r w:rsidRPr="005602F8">
        <w:rPr>
          <w:b/>
          <w:bCs/>
        </w:rPr>
        <w:t xml:space="preserve"> </w:t>
      </w:r>
      <w:r w:rsidRPr="00A40151">
        <w:t>FMR to</w:t>
      </w:r>
      <w:r w:rsidRPr="005602F8">
        <w:rPr>
          <w:b/>
          <w:bCs/>
        </w:rPr>
        <w:t xml:space="preserve"> </w:t>
      </w:r>
      <w:r w:rsidR="0069572A" w:rsidRPr="005602F8">
        <w:rPr>
          <w:b/>
          <w:bCs/>
        </w:rPr>
        <w:t>%redacted</w:t>
      </w:r>
      <w:r w:rsidRPr="005602F8">
        <w:rPr>
          <w:b/>
          <w:bCs/>
        </w:rPr>
        <w:t xml:space="preserve"> </w:t>
      </w:r>
      <w:r w:rsidRPr="00A40151">
        <w:t>DMR split.</w:t>
      </w:r>
      <w:r w:rsidR="000759B3" w:rsidRPr="005602F8">
        <w:t xml:space="preserve"> </w:t>
      </w:r>
    </w:p>
    <w:p w14:paraId="3F1F4DA1" w14:textId="41DB91C6" w:rsidR="00982C50" w:rsidRPr="005602F8" w:rsidRDefault="00DE24DD" w:rsidP="003922FD">
      <w:pPr>
        <w:spacing w:before="240"/>
      </w:pPr>
      <w:r w:rsidRPr="005602F8">
        <w:fldChar w:fldCharType="begin"/>
      </w:r>
      <w:r w:rsidRPr="005602F8">
        <w:instrText xml:space="preserve"> REF _Ref86317204 \h </w:instrText>
      </w:r>
      <w:r w:rsidR="003922FD" w:rsidRPr="005602F8">
        <w:instrText xml:space="preserve"> \* MERGEFORMAT </w:instrText>
      </w:r>
      <w:r w:rsidRPr="005602F8">
        <w:fldChar w:fldCharType="separate"/>
      </w:r>
      <w:r w:rsidR="00072539" w:rsidRPr="005602F8">
        <w:t xml:space="preserve">Table </w:t>
      </w:r>
      <w:r w:rsidR="00072539" w:rsidRPr="005602F8">
        <w:rPr>
          <w:noProof/>
        </w:rPr>
        <w:t>12</w:t>
      </w:r>
      <w:r w:rsidRPr="005602F8">
        <w:fldChar w:fldCharType="end"/>
      </w:r>
      <w:r w:rsidRPr="005602F8">
        <w:t xml:space="preserve"> </w:t>
      </w:r>
      <w:r w:rsidR="00F64E1A" w:rsidRPr="005602F8">
        <w:t xml:space="preserve">and </w:t>
      </w:r>
      <w:r w:rsidRPr="005602F8">
        <w:fldChar w:fldCharType="begin"/>
      </w:r>
      <w:r w:rsidRPr="005602F8">
        <w:instrText xml:space="preserve"> REF _Ref86131921 \h </w:instrText>
      </w:r>
      <w:r w:rsidR="003922FD" w:rsidRPr="005602F8">
        <w:instrText xml:space="preserve"> \* MERGEFORMAT </w:instrText>
      </w:r>
      <w:r w:rsidRPr="005602F8">
        <w:fldChar w:fldCharType="separate"/>
      </w:r>
      <w:r w:rsidR="00072539" w:rsidRPr="005602F8">
        <w:t xml:space="preserve">Table </w:t>
      </w:r>
      <w:r w:rsidR="00072539" w:rsidRPr="005602F8">
        <w:rPr>
          <w:noProof/>
        </w:rPr>
        <w:t>13</w:t>
      </w:r>
      <w:r w:rsidRPr="005602F8">
        <w:fldChar w:fldCharType="end"/>
      </w:r>
      <w:r w:rsidRPr="005602F8">
        <w:t xml:space="preserve"> </w:t>
      </w:r>
      <w:r w:rsidR="00F64E1A" w:rsidRPr="005602F8">
        <w:t>present the results of the cost-minimisation analyses presented in the ADAR</w:t>
      </w:r>
      <w:r w:rsidR="00982C50" w:rsidRPr="005602F8">
        <w:t xml:space="preserve"> and the commentary, respectively</w:t>
      </w:r>
      <w:r w:rsidR="00F64E1A" w:rsidRPr="005602F8">
        <w:t xml:space="preserve">. The ADAR presented different results in the main body (presented in </w:t>
      </w:r>
      <w:r w:rsidR="00982C50" w:rsidRPr="005602F8">
        <w:fldChar w:fldCharType="begin"/>
      </w:r>
      <w:r w:rsidR="00982C50" w:rsidRPr="005602F8">
        <w:instrText xml:space="preserve"> REF _Ref86317204 \h </w:instrText>
      </w:r>
      <w:r w:rsidR="003922FD" w:rsidRPr="005602F8">
        <w:instrText xml:space="preserve"> \* MERGEFORMAT </w:instrText>
      </w:r>
      <w:r w:rsidR="00982C50" w:rsidRPr="005602F8">
        <w:fldChar w:fldCharType="separate"/>
      </w:r>
      <w:r w:rsidR="00072539" w:rsidRPr="005602F8">
        <w:t xml:space="preserve">Table </w:t>
      </w:r>
      <w:r w:rsidR="00072539" w:rsidRPr="005602F8">
        <w:rPr>
          <w:noProof/>
        </w:rPr>
        <w:t>12</w:t>
      </w:r>
      <w:r w:rsidR="00982C50" w:rsidRPr="005602F8">
        <w:fldChar w:fldCharType="end"/>
      </w:r>
      <w:r w:rsidR="00F64E1A" w:rsidRPr="005602F8">
        <w:t xml:space="preserve">) and the cost-minimisation </w:t>
      </w:r>
      <w:proofErr w:type="gramStart"/>
      <w:r w:rsidR="00F64E1A" w:rsidRPr="005602F8">
        <w:t xml:space="preserve">spreadsheet </w:t>
      </w:r>
      <w:r w:rsidR="00982C50" w:rsidRPr="005602F8">
        <w:t>based</w:t>
      </w:r>
      <w:proofErr w:type="gramEnd"/>
      <w:r w:rsidR="00982C50" w:rsidRPr="005602F8">
        <w:t xml:space="preserve"> commentary results </w:t>
      </w:r>
      <w:r w:rsidR="00F64E1A" w:rsidRPr="005602F8">
        <w:t>(</w:t>
      </w:r>
      <w:r w:rsidR="00F64E1A" w:rsidRPr="005602F8">
        <w:fldChar w:fldCharType="begin"/>
      </w:r>
      <w:r w:rsidR="00F64E1A" w:rsidRPr="005602F8">
        <w:instrText xml:space="preserve"> REF _Ref86131921 \h </w:instrText>
      </w:r>
      <w:r w:rsidR="003922FD" w:rsidRPr="005602F8">
        <w:instrText xml:space="preserve"> \* MERGEFORMAT </w:instrText>
      </w:r>
      <w:r w:rsidR="00F64E1A" w:rsidRPr="005602F8">
        <w:fldChar w:fldCharType="separate"/>
      </w:r>
      <w:r w:rsidR="00072539" w:rsidRPr="005602F8">
        <w:t xml:space="preserve">Table </w:t>
      </w:r>
      <w:r w:rsidR="00072539" w:rsidRPr="005602F8">
        <w:rPr>
          <w:noProof/>
        </w:rPr>
        <w:t>13</w:t>
      </w:r>
      <w:r w:rsidR="00F64E1A" w:rsidRPr="005602F8">
        <w:fldChar w:fldCharType="end"/>
      </w:r>
      <w:r w:rsidR="00F64E1A" w:rsidRPr="005602F8">
        <w:t>)</w:t>
      </w:r>
      <w:r w:rsidR="00982C50" w:rsidRPr="005602F8">
        <w:t>.</w:t>
      </w:r>
    </w:p>
    <w:p w14:paraId="00847B86" w14:textId="300E126F" w:rsidR="00982C50" w:rsidRPr="005602F8" w:rsidRDefault="00982C50" w:rsidP="005859F7">
      <w:pPr>
        <w:pStyle w:val="Caption"/>
        <w:spacing w:before="240"/>
      </w:pPr>
      <w:bookmarkStart w:id="30" w:name="_Ref86317204"/>
      <w:r w:rsidRPr="005602F8">
        <w:t xml:space="preserve">Table </w:t>
      </w:r>
      <w:r w:rsidR="00002063">
        <w:fldChar w:fldCharType="begin"/>
      </w:r>
      <w:r w:rsidR="00002063">
        <w:instrText xml:space="preserve"> SEQ Table \* ARABIC </w:instrText>
      </w:r>
      <w:r w:rsidR="00002063">
        <w:fldChar w:fldCharType="separate"/>
      </w:r>
      <w:r w:rsidR="000F39B8" w:rsidRPr="005602F8">
        <w:rPr>
          <w:noProof/>
        </w:rPr>
        <w:t>12</w:t>
      </w:r>
      <w:r w:rsidR="00002063">
        <w:rPr>
          <w:noProof/>
        </w:rPr>
        <w:fldChar w:fldCharType="end"/>
      </w:r>
      <w:bookmarkEnd w:id="30"/>
      <w:r w:rsidRPr="005602F8">
        <w:t xml:space="preserve"> Total weighted cost-minimised cost across both FMR and DMR populations from the ADAR</w:t>
      </w:r>
    </w:p>
    <w:tbl>
      <w:tblPr>
        <w:tblStyle w:val="TableGrid1"/>
        <w:tblW w:w="5000" w:type="pct"/>
        <w:tblInd w:w="0" w:type="dxa"/>
        <w:tblLook w:val="04A0" w:firstRow="1" w:lastRow="0" w:firstColumn="1" w:lastColumn="0" w:noHBand="0" w:noVBand="1"/>
        <w:tblDescription w:val="Total weighted cost-minimised cost across both FMR and DMR populations from the ADAR"/>
      </w:tblPr>
      <w:tblGrid>
        <w:gridCol w:w="4742"/>
        <w:gridCol w:w="2137"/>
        <w:gridCol w:w="2137"/>
      </w:tblGrid>
      <w:tr w:rsidR="005602F8" w:rsidRPr="005602F8" w14:paraId="45DF81E1" w14:textId="77777777" w:rsidTr="00DE24DD">
        <w:trPr>
          <w:trHeight w:val="290"/>
        </w:trPr>
        <w:tc>
          <w:tcPr>
            <w:tcW w:w="2630" w:type="pct"/>
            <w:noWrap/>
            <w:hideMark/>
          </w:tcPr>
          <w:p w14:paraId="758361DF" w14:textId="77777777" w:rsidR="00982C50" w:rsidRPr="005602F8" w:rsidRDefault="00982C50" w:rsidP="00DE24DD">
            <w:pPr>
              <w:pStyle w:val="Tabletext"/>
              <w:keepNext/>
              <w:keepLines/>
              <w:ind w:left="33"/>
              <w:rPr>
                <w:b/>
                <w:bCs/>
              </w:rPr>
            </w:pPr>
          </w:p>
        </w:tc>
        <w:tc>
          <w:tcPr>
            <w:tcW w:w="1185" w:type="pct"/>
            <w:hideMark/>
          </w:tcPr>
          <w:p w14:paraId="4C4EAFEF" w14:textId="77777777" w:rsidR="00982C50" w:rsidRPr="005602F8" w:rsidRDefault="00982C50" w:rsidP="00DE24DD">
            <w:pPr>
              <w:pStyle w:val="Tabletext"/>
              <w:keepNext/>
              <w:keepLines/>
              <w:ind w:left="33"/>
              <w:jc w:val="center"/>
              <w:rPr>
                <w:b/>
                <w:bCs/>
              </w:rPr>
            </w:pPr>
            <w:r w:rsidRPr="005602F8">
              <w:rPr>
                <w:b/>
                <w:bCs/>
              </w:rPr>
              <w:t>PASCAL</w:t>
            </w:r>
          </w:p>
        </w:tc>
        <w:tc>
          <w:tcPr>
            <w:tcW w:w="1185" w:type="pct"/>
            <w:hideMark/>
          </w:tcPr>
          <w:p w14:paraId="01C035E0" w14:textId="77777777" w:rsidR="00982C50" w:rsidRPr="005602F8" w:rsidRDefault="00982C50" w:rsidP="00DE24DD">
            <w:pPr>
              <w:pStyle w:val="Tabletext"/>
              <w:keepNext/>
              <w:keepLines/>
              <w:ind w:left="33"/>
              <w:jc w:val="center"/>
              <w:rPr>
                <w:b/>
                <w:bCs/>
              </w:rPr>
            </w:pPr>
            <w:proofErr w:type="spellStart"/>
            <w:r w:rsidRPr="005602F8">
              <w:rPr>
                <w:b/>
                <w:bCs/>
              </w:rPr>
              <w:t>MitraClip</w:t>
            </w:r>
            <w:proofErr w:type="spellEnd"/>
          </w:p>
        </w:tc>
      </w:tr>
      <w:tr w:rsidR="005602F8" w:rsidRPr="005602F8" w14:paraId="120FB18F" w14:textId="77777777" w:rsidTr="00DE24DD">
        <w:trPr>
          <w:trHeight w:val="290"/>
        </w:trPr>
        <w:tc>
          <w:tcPr>
            <w:tcW w:w="2630" w:type="pct"/>
            <w:noWrap/>
          </w:tcPr>
          <w:p w14:paraId="2A8674BA" w14:textId="77777777" w:rsidR="00982C50" w:rsidRPr="005602F8" w:rsidRDefault="00982C50" w:rsidP="00DE24DD">
            <w:pPr>
              <w:pStyle w:val="Tabletext"/>
              <w:keepNext/>
              <w:keepLines/>
              <w:ind w:left="33"/>
            </w:pPr>
            <w:r w:rsidRPr="005602F8">
              <w:t>Total cost FMR</w:t>
            </w:r>
          </w:p>
        </w:tc>
        <w:tc>
          <w:tcPr>
            <w:tcW w:w="1185" w:type="pct"/>
          </w:tcPr>
          <w:p w14:paraId="0338C1D7" w14:textId="54C794B0" w:rsidR="00982C50" w:rsidRPr="005602F8" w:rsidRDefault="003E5F02" w:rsidP="00DE24DD">
            <w:pPr>
              <w:pStyle w:val="Tabletext"/>
              <w:keepNext/>
              <w:keepLines/>
              <w:ind w:left="33"/>
              <w:jc w:val="center"/>
              <w:rPr>
                <w:b/>
                <w:bCs/>
              </w:rPr>
            </w:pPr>
            <w:r w:rsidRPr="005602F8">
              <w:rPr>
                <w:b/>
                <w:bCs/>
              </w:rPr>
              <w:t>$redacted</w:t>
            </w:r>
          </w:p>
        </w:tc>
        <w:tc>
          <w:tcPr>
            <w:tcW w:w="1185" w:type="pct"/>
          </w:tcPr>
          <w:p w14:paraId="33710669" w14:textId="07A0129C" w:rsidR="00982C50" w:rsidRPr="005602F8" w:rsidRDefault="003E5F02" w:rsidP="00DE24DD">
            <w:pPr>
              <w:pStyle w:val="Tabletext"/>
              <w:keepNext/>
              <w:keepLines/>
              <w:ind w:left="33"/>
              <w:jc w:val="center"/>
              <w:rPr>
                <w:b/>
                <w:bCs/>
              </w:rPr>
            </w:pPr>
            <w:r w:rsidRPr="005602F8">
              <w:rPr>
                <w:b/>
                <w:bCs/>
              </w:rPr>
              <w:t>$redacted</w:t>
            </w:r>
          </w:p>
        </w:tc>
      </w:tr>
      <w:tr w:rsidR="005602F8" w:rsidRPr="005602F8" w14:paraId="6A88ACA6" w14:textId="77777777" w:rsidTr="00DE24DD">
        <w:trPr>
          <w:trHeight w:val="290"/>
        </w:trPr>
        <w:tc>
          <w:tcPr>
            <w:tcW w:w="2630" w:type="pct"/>
            <w:noWrap/>
          </w:tcPr>
          <w:p w14:paraId="7F1B6308" w14:textId="77777777" w:rsidR="00982C50" w:rsidRPr="005602F8" w:rsidRDefault="00982C50" w:rsidP="00DE24DD">
            <w:pPr>
              <w:pStyle w:val="Tabletext"/>
              <w:keepNext/>
              <w:keepLines/>
              <w:ind w:left="33"/>
            </w:pPr>
            <w:r w:rsidRPr="005602F8">
              <w:t>Total cost DMR</w:t>
            </w:r>
          </w:p>
        </w:tc>
        <w:tc>
          <w:tcPr>
            <w:tcW w:w="1185" w:type="pct"/>
          </w:tcPr>
          <w:p w14:paraId="58B330ED" w14:textId="22F6A904" w:rsidR="00982C50" w:rsidRPr="005602F8" w:rsidRDefault="003E5F02" w:rsidP="00DE24DD">
            <w:pPr>
              <w:pStyle w:val="Tabletext"/>
              <w:keepNext/>
              <w:keepLines/>
              <w:ind w:left="33"/>
              <w:jc w:val="center"/>
            </w:pPr>
            <w:r w:rsidRPr="005602F8">
              <w:rPr>
                <w:b/>
                <w:bCs/>
              </w:rPr>
              <w:t>$redacted</w:t>
            </w:r>
          </w:p>
        </w:tc>
        <w:tc>
          <w:tcPr>
            <w:tcW w:w="1185" w:type="pct"/>
          </w:tcPr>
          <w:p w14:paraId="6D68DA39" w14:textId="6BBEB6B9" w:rsidR="00982C50" w:rsidRPr="005602F8" w:rsidRDefault="003E5F02" w:rsidP="00DE24DD">
            <w:pPr>
              <w:pStyle w:val="Tabletext"/>
              <w:keepNext/>
              <w:keepLines/>
              <w:ind w:left="33"/>
              <w:jc w:val="center"/>
            </w:pPr>
            <w:r w:rsidRPr="005602F8">
              <w:rPr>
                <w:b/>
                <w:bCs/>
              </w:rPr>
              <w:t>$redacted</w:t>
            </w:r>
          </w:p>
        </w:tc>
      </w:tr>
      <w:tr w:rsidR="005602F8" w:rsidRPr="005602F8" w14:paraId="6FDA5954" w14:textId="77777777" w:rsidTr="00DE24DD">
        <w:trPr>
          <w:trHeight w:val="290"/>
        </w:trPr>
        <w:tc>
          <w:tcPr>
            <w:tcW w:w="2630" w:type="pct"/>
            <w:noWrap/>
            <w:hideMark/>
          </w:tcPr>
          <w:p w14:paraId="18544488" w14:textId="3855A9C2" w:rsidR="00982C50" w:rsidRPr="005602F8" w:rsidRDefault="00982C50" w:rsidP="00DE24DD">
            <w:pPr>
              <w:pStyle w:val="Tabletext"/>
              <w:keepNext/>
              <w:keepLines/>
              <w:ind w:left="33"/>
            </w:pPr>
            <w:r w:rsidRPr="005602F8">
              <w:t xml:space="preserve">Total cost all MR </w:t>
            </w:r>
            <w:r w:rsidR="003C2BA2" w:rsidRPr="005602F8">
              <w:t>–</w:t>
            </w:r>
            <w:r w:rsidRPr="005602F8">
              <w:t xml:space="preserve"> weighted</w:t>
            </w:r>
            <w:r w:rsidR="003C2BA2" w:rsidRPr="005602F8">
              <w:t xml:space="preserve"> </w:t>
            </w:r>
            <w:r w:rsidRPr="005602F8">
              <w:rPr>
                <w:vertAlign w:val="superscript"/>
              </w:rPr>
              <w:t>a</w:t>
            </w:r>
          </w:p>
        </w:tc>
        <w:tc>
          <w:tcPr>
            <w:tcW w:w="1185" w:type="pct"/>
            <w:hideMark/>
          </w:tcPr>
          <w:p w14:paraId="73D5E248" w14:textId="0E74C0DC" w:rsidR="00982C50" w:rsidRPr="005602F8" w:rsidRDefault="003E5F02" w:rsidP="00DE24DD">
            <w:pPr>
              <w:pStyle w:val="Tabletext"/>
              <w:keepNext/>
              <w:keepLines/>
              <w:ind w:left="33"/>
              <w:jc w:val="center"/>
            </w:pPr>
            <w:r w:rsidRPr="005602F8">
              <w:rPr>
                <w:b/>
                <w:bCs/>
              </w:rPr>
              <w:t>$redacted</w:t>
            </w:r>
          </w:p>
        </w:tc>
        <w:tc>
          <w:tcPr>
            <w:tcW w:w="1185" w:type="pct"/>
            <w:hideMark/>
          </w:tcPr>
          <w:p w14:paraId="6F56CBEE" w14:textId="30176FE5" w:rsidR="00982C50" w:rsidRPr="005602F8" w:rsidRDefault="003E5F02" w:rsidP="00DE24DD">
            <w:pPr>
              <w:pStyle w:val="Tabletext"/>
              <w:keepNext/>
              <w:keepLines/>
              <w:ind w:left="33"/>
              <w:jc w:val="center"/>
            </w:pPr>
            <w:r w:rsidRPr="005602F8">
              <w:rPr>
                <w:b/>
                <w:bCs/>
              </w:rPr>
              <w:t>$redacted</w:t>
            </w:r>
          </w:p>
        </w:tc>
      </w:tr>
      <w:tr w:rsidR="005602F8" w:rsidRPr="005602F8" w14:paraId="19034C24" w14:textId="77777777" w:rsidTr="00DE24DD">
        <w:trPr>
          <w:trHeight w:val="290"/>
        </w:trPr>
        <w:tc>
          <w:tcPr>
            <w:tcW w:w="2630" w:type="pct"/>
            <w:noWrap/>
            <w:hideMark/>
          </w:tcPr>
          <w:p w14:paraId="26A1CCB3" w14:textId="77777777" w:rsidR="00982C50" w:rsidRPr="005602F8" w:rsidRDefault="00982C50" w:rsidP="00DE24DD">
            <w:pPr>
              <w:pStyle w:val="Tabletext"/>
              <w:keepNext/>
              <w:keepLines/>
              <w:ind w:left="33"/>
            </w:pPr>
            <w:r w:rsidRPr="005602F8">
              <w:t>Total incremental cost of PASCAL</w:t>
            </w:r>
          </w:p>
        </w:tc>
        <w:tc>
          <w:tcPr>
            <w:tcW w:w="1185" w:type="pct"/>
            <w:noWrap/>
            <w:hideMark/>
          </w:tcPr>
          <w:p w14:paraId="2836B922" w14:textId="0E2C71F8" w:rsidR="00982C50" w:rsidRPr="005602F8" w:rsidRDefault="003E5F02" w:rsidP="00DE24DD">
            <w:pPr>
              <w:pStyle w:val="Tabletext"/>
              <w:keepNext/>
              <w:keepLines/>
              <w:ind w:left="33"/>
              <w:jc w:val="center"/>
            </w:pPr>
            <w:r w:rsidRPr="005602F8">
              <w:rPr>
                <w:b/>
                <w:bCs/>
              </w:rPr>
              <w:t>$redacted</w:t>
            </w:r>
          </w:p>
        </w:tc>
        <w:tc>
          <w:tcPr>
            <w:tcW w:w="1185" w:type="pct"/>
          </w:tcPr>
          <w:p w14:paraId="5669197A" w14:textId="77777777" w:rsidR="00982C50" w:rsidRPr="005602F8" w:rsidRDefault="00982C50" w:rsidP="00DE24DD">
            <w:pPr>
              <w:pStyle w:val="Tabletext"/>
              <w:keepNext/>
              <w:keepLines/>
              <w:ind w:left="33"/>
              <w:jc w:val="center"/>
            </w:pPr>
          </w:p>
        </w:tc>
      </w:tr>
    </w:tbl>
    <w:p w14:paraId="2E8CCD5B" w14:textId="5A1CFF66" w:rsidR="00982C50" w:rsidRPr="005602F8" w:rsidRDefault="00982C50" w:rsidP="00AF7538">
      <w:pPr>
        <w:pStyle w:val="Tablenotes"/>
      </w:pPr>
      <w:r w:rsidRPr="005602F8">
        <w:t>a Weighting</w:t>
      </w:r>
      <w:r w:rsidRPr="005602F8">
        <w:rPr>
          <w:b/>
          <w:bCs/>
        </w:rPr>
        <w:t xml:space="preserve"> </w:t>
      </w:r>
      <w:r w:rsidR="003E5F02" w:rsidRPr="005602F8">
        <w:rPr>
          <w:b/>
          <w:bCs/>
        </w:rPr>
        <w:t>REDACTED</w:t>
      </w:r>
    </w:p>
    <w:p w14:paraId="6E72094F" w14:textId="257ED0C3" w:rsidR="009006B8" w:rsidRPr="005602F8" w:rsidRDefault="00982C50" w:rsidP="00AF7538">
      <w:pPr>
        <w:pStyle w:val="Tablenotes"/>
      </w:pPr>
      <w:r w:rsidRPr="005602F8">
        <w:t>Source: ADAR</w:t>
      </w:r>
    </w:p>
    <w:p w14:paraId="46F11B5B" w14:textId="6CA39BD2" w:rsidR="009006B8" w:rsidRPr="00DD3520" w:rsidRDefault="009006B8" w:rsidP="003922FD">
      <w:pPr>
        <w:pStyle w:val="Caption"/>
        <w:spacing w:before="240"/>
      </w:pPr>
      <w:bookmarkStart w:id="31" w:name="_Ref86131921"/>
      <w:r w:rsidRPr="00DD3520">
        <w:lastRenderedPageBreak/>
        <w:t xml:space="preserve">Table </w:t>
      </w:r>
      <w:r w:rsidR="00002063">
        <w:fldChar w:fldCharType="begin"/>
      </w:r>
      <w:r w:rsidR="00002063">
        <w:instrText xml:space="preserve"> SEQ Table \* ARABIC </w:instrText>
      </w:r>
      <w:r w:rsidR="00002063">
        <w:fldChar w:fldCharType="separate"/>
      </w:r>
      <w:r w:rsidR="000F39B8" w:rsidRPr="00DD3520">
        <w:rPr>
          <w:noProof/>
        </w:rPr>
        <w:t>13</w:t>
      </w:r>
      <w:r w:rsidR="00002063">
        <w:rPr>
          <w:noProof/>
        </w:rPr>
        <w:fldChar w:fldCharType="end"/>
      </w:r>
      <w:bookmarkEnd w:id="31"/>
      <w:r w:rsidRPr="00DD3520">
        <w:t xml:space="preserve"> Cost-minimised results as reported in the ADAR</w:t>
      </w:r>
      <w:r w:rsidR="00982C50" w:rsidRPr="00DD3520">
        <w:t xml:space="preserve"> commentary</w:t>
      </w:r>
    </w:p>
    <w:tbl>
      <w:tblPr>
        <w:tblStyle w:val="TableGrid1"/>
        <w:tblW w:w="5000" w:type="pct"/>
        <w:tblInd w:w="0" w:type="dxa"/>
        <w:tblLook w:val="04A0" w:firstRow="1" w:lastRow="0" w:firstColumn="1" w:lastColumn="0" w:noHBand="0" w:noVBand="1"/>
        <w:tblDescription w:val="Cost-minimised results as reported in the ADAR commentary"/>
      </w:tblPr>
      <w:tblGrid>
        <w:gridCol w:w="2940"/>
        <w:gridCol w:w="1508"/>
        <w:gridCol w:w="1508"/>
        <w:gridCol w:w="1544"/>
        <w:gridCol w:w="1506"/>
      </w:tblGrid>
      <w:tr w:rsidR="005602F8" w:rsidRPr="005602F8" w14:paraId="5FDAFB02" w14:textId="77777777" w:rsidTr="0069572A">
        <w:trPr>
          <w:trHeight w:val="315"/>
          <w:tblHeader/>
        </w:trPr>
        <w:tc>
          <w:tcPr>
            <w:tcW w:w="1633" w:type="pct"/>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333B201C" w14:textId="77777777" w:rsidR="00116629" w:rsidRPr="005602F8" w:rsidRDefault="00116629" w:rsidP="008C5E8D">
            <w:pPr>
              <w:keepNext/>
              <w:jc w:val="center"/>
              <w:rPr>
                <w:rFonts w:ascii="Arial Narrow" w:hAnsi="Arial Narrow" w:cs="Calibri"/>
              </w:rPr>
            </w:pPr>
            <w:r w:rsidRPr="005602F8">
              <w:rPr>
                <w:rFonts w:ascii="Arial Narrow" w:hAnsi="Arial Narrow" w:cs="Calibri"/>
              </w:rPr>
              <w:t> </w:t>
            </w:r>
          </w:p>
        </w:tc>
        <w:tc>
          <w:tcPr>
            <w:tcW w:w="1673" w:type="pct"/>
            <w:gridSpan w:val="2"/>
            <w:tcBorders>
              <w:top w:val="single" w:sz="8" w:space="0" w:color="auto"/>
              <w:left w:val="nil"/>
              <w:bottom w:val="single" w:sz="8" w:space="0" w:color="auto"/>
              <w:right w:val="single" w:sz="8" w:space="0" w:color="000000"/>
            </w:tcBorders>
            <w:shd w:val="clear" w:color="auto" w:fill="auto"/>
            <w:noWrap/>
            <w:vAlign w:val="bottom"/>
            <w:hideMark/>
          </w:tcPr>
          <w:p w14:paraId="7E4BB260" w14:textId="77777777" w:rsidR="00116629" w:rsidRPr="005602F8" w:rsidRDefault="00116629" w:rsidP="008C5E8D">
            <w:pPr>
              <w:keepNext/>
              <w:jc w:val="center"/>
              <w:rPr>
                <w:rFonts w:ascii="Arial Narrow" w:hAnsi="Arial Narrow" w:cs="Calibri"/>
                <w:b/>
                <w:bCs/>
              </w:rPr>
            </w:pPr>
            <w:r w:rsidRPr="005602F8">
              <w:rPr>
                <w:rFonts w:ascii="Arial Narrow" w:hAnsi="Arial Narrow" w:cs="Calibri"/>
                <w:b/>
                <w:bCs/>
              </w:rPr>
              <w:t>PASCAL</w:t>
            </w:r>
          </w:p>
        </w:tc>
        <w:tc>
          <w:tcPr>
            <w:tcW w:w="1693" w:type="pct"/>
            <w:gridSpan w:val="2"/>
            <w:tcBorders>
              <w:top w:val="single" w:sz="8" w:space="0" w:color="auto"/>
              <w:left w:val="nil"/>
              <w:bottom w:val="single" w:sz="8" w:space="0" w:color="auto"/>
              <w:right w:val="single" w:sz="8" w:space="0" w:color="000000"/>
            </w:tcBorders>
            <w:shd w:val="clear" w:color="auto" w:fill="auto"/>
            <w:noWrap/>
            <w:vAlign w:val="bottom"/>
            <w:hideMark/>
          </w:tcPr>
          <w:p w14:paraId="390715C5" w14:textId="77777777" w:rsidR="00116629" w:rsidRPr="005602F8" w:rsidRDefault="00116629" w:rsidP="008C5E8D">
            <w:pPr>
              <w:keepNext/>
              <w:jc w:val="center"/>
              <w:rPr>
                <w:rFonts w:ascii="Arial Narrow" w:hAnsi="Arial Narrow" w:cs="Calibri"/>
                <w:b/>
                <w:bCs/>
              </w:rPr>
            </w:pPr>
            <w:proofErr w:type="spellStart"/>
            <w:r w:rsidRPr="005602F8">
              <w:rPr>
                <w:rFonts w:ascii="Arial Narrow" w:hAnsi="Arial Narrow" w:cs="Calibri"/>
                <w:b/>
                <w:bCs/>
              </w:rPr>
              <w:t>MitraClip</w:t>
            </w:r>
            <w:proofErr w:type="spellEnd"/>
          </w:p>
        </w:tc>
      </w:tr>
      <w:tr w:rsidR="005602F8" w:rsidRPr="005602F8" w14:paraId="7408D77B" w14:textId="77777777" w:rsidTr="0069572A">
        <w:trPr>
          <w:trHeight w:val="315"/>
          <w:tblHeader/>
        </w:trPr>
        <w:tc>
          <w:tcPr>
            <w:tcW w:w="1633" w:type="pct"/>
            <w:vMerge/>
            <w:tcBorders>
              <w:top w:val="single" w:sz="8" w:space="0" w:color="auto"/>
              <w:left w:val="single" w:sz="8" w:space="0" w:color="auto"/>
              <w:bottom w:val="single" w:sz="4" w:space="0" w:color="000000"/>
              <w:right w:val="single" w:sz="8" w:space="0" w:color="auto"/>
            </w:tcBorders>
            <w:vAlign w:val="center"/>
            <w:hideMark/>
          </w:tcPr>
          <w:p w14:paraId="6EDC70C3" w14:textId="77777777" w:rsidR="00116629" w:rsidRPr="005602F8" w:rsidRDefault="00116629" w:rsidP="008C5E8D">
            <w:pPr>
              <w:keepNext/>
              <w:rPr>
                <w:rFonts w:ascii="Arial Narrow" w:hAnsi="Arial Narrow" w:cs="Calibri"/>
              </w:rPr>
            </w:pPr>
          </w:p>
        </w:tc>
        <w:tc>
          <w:tcPr>
            <w:tcW w:w="837" w:type="pct"/>
            <w:tcBorders>
              <w:top w:val="nil"/>
              <w:left w:val="nil"/>
              <w:bottom w:val="single" w:sz="8" w:space="0" w:color="auto"/>
              <w:right w:val="single" w:sz="8" w:space="0" w:color="auto"/>
            </w:tcBorders>
            <w:shd w:val="clear" w:color="auto" w:fill="auto"/>
            <w:noWrap/>
            <w:vAlign w:val="bottom"/>
            <w:hideMark/>
          </w:tcPr>
          <w:p w14:paraId="19DEDE68" w14:textId="77777777" w:rsidR="00116629" w:rsidRPr="005602F8" w:rsidRDefault="00116629" w:rsidP="008C5E8D">
            <w:pPr>
              <w:keepNext/>
              <w:jc w:val="center"/>
              <w:rPr>
                <w:rFonts w:ascii="Arial Narrow" w:hAnsi="Arial Narrow" w:cs="Calibri"/>
                <w:b/>
                <w:bCs/>
              </w:rPr>
            </w:pPr>
            <w:r w:rsidRPr="005602F8">
              <w:rPr>
                <w:rFonts w:ascii="Arial Narrow" w:hAnsi="Arial Narrow" w:cs="Calibri"/>
                <w:b/>
                <w:bCs/>
              </w:rPr>
              <w:t>FMR</w:t>
            </w:r>
          </w:p>
        </w:tc>
        <w:tc>
          <w:tcPr>
            <w:tcW w:w="837" w:type="pct"/>
            <w:tcBorders>
              <w:top w:val="nil"/>
              <w:left w:val="nil"/>
              <w:bottom w:val="single" w:sz="8" w:space="0" w:color="auto"/>
              <w:right w:val="single" w:sz="8" w:space="0" w:color="auto"/>
            </w:tcBorders>
            <w:shd w:val="clear" w:color="auto" w:fill="auto"/>
            <w:noWrap/>
            <w:vAlign w:val="bottom"/>
            <w:hideMark/>
          </w:tcPr>
          <w:p w14:paraId="1606EF1C" w14:textId="77777777" w:rsidR="00116629" w:rsidRPr="005602F8" w:rsidRDefault="00116629" w:rsidP="008C5E8D">
            <w:pPr>
              <w:keepNext/>
              <w:jc w:val="center"/>
              <w:rPr>
                <w:rFonts w:ascii="Arial Narrow" w:hAnsi="Arial Narrow" w:cs="Calibri"/>
                <w:b/>
                <w:bCs/>
              </w:rPr>
            </w:pPr>
            <w:r w:rsidRPr="005602F8">
              <w:rPr>
                <w:rFonts w:ascii="Arial Narrow" w:hAnsi="Arial Narrow" w:cs="Calibri"/>
                <w:b/>
                <w:bCs/>
              </w:rPr>
              <w:t>DMR</w:t>
            </w:r>
          </w:p>
        </w:tc>
        <w:tc>
          <w:tcPr>
            <w:tcW w:w="857" w:type="pct"/>
            <w:tcBorders>
              <w:top w:val="nil"/>
              <w:left w:val="nil"/>
              <w:bottom w:val="single" w:sz="8" w:space="0" w:color="auto"/>
              <w:right w:val="single" w:sz="8" w:space="0" w:color="auto"/>
            </w:tcBorders>
            <w:shd w:val="clear" w:color="auto" w:fill="auto"/>
            <w:noWrap/>
            <w:vAlign w:val="bottom"/>
            <w:hideMark/>
          </w:tcPr>
          <w:p w14:paraId="230FC8E9" w14:textId="77777777" w:rsidR="00116629" w:rsidRPr="005602F8" w:rsidRDefault="00116629" w:rsidP="008C5E8D">
            <w:pPr>
              <w:keepNext/>
              <w:jc w:val="center"/>
              <w:rPr>
                <w:rFonts w:ascii="Arial Narrow" w:hAnsi="Arial Narrow" w:cs="Calibri"/>
                <w:b/>
                <w:bCs/>
              </w:rPr>
            </w:pPr>
            <w:r w:rsidRPr="005602F8">
              <w:rPr>
                <w:rFonts w:ascii="Arial Narrow" w:hAnsi="Arial Narrow" w:cs="Calibri"/>
                <w:b/>
                <w:bCs/>
              </w:rPr>
              <w:t>FMR</w:t>
            </w:r>
          </w:p>
        </w:tc>
        <w:tc>
          <w:tcPr>
            <w:tcW w:w="837" w:type="pct"/>
            <w:tcBorders>
              <w:top w:val="nil"/>
              <w:left w:val="nil"/>
              <w:bottom w:val="single" w:sz="8" w:space="0" w:color="auto"/>
              <w:right w:val="single" w:sz="8" w:space="0" w:color="auto"/>
            </w:tcBorders>
            <w:shd w:val="clear" w:color="auto" w:fill="auto"/>
            <w:noWrap/>
            <w:vAlign w:val="bottom"/>
            <w:hideMark/>
          </w:tcPr>
          <w:p w14:paraId="2F9B4DEA" w14:textId="77777777" w:rsidR="00116629" w:rsidRPr="005602F8" w:rsidRDefault="00116629" w:rsidP="008C5E8D">
            <w:pPr>
              <w:keepNext/>
              <w:jc w:val="center"/>
              <w:rPr>
                <w:rFonts w:ascii="Arial Narrow" w:hAnsi="Arial Narrow" w:cs="Calibri"/>
                <w:b/>
                <w:bCs/>
              </w:rPr>
            </w:pPr>
            <w:r w:rsidRPr="005602F8">
              <w:rPr>
                <w:rFonts w:ascii="Arial Narrow" w:hAnsi="Arial Narrow" w:cs="Calibri"/>
                <w:b/>
                <w:bCs/>
              </w:rPr>
              <w:t xml:space="preserve"> DMR </w:t>
            </w:r>
          </w:p>
        </w:tc>
      </w:tr>
      <w:tr w:rsidR="005602F8" w:rsidRPr="005602F8" w14:paraId="37CF9652" w14:textId="77777777" w:rsidTr="0069572A">
        <w:trPr>
          <w:trHeight w:val="300"/>
          <w:tblHeader/>
        </w:trPr>
        <w:tc>
          <w:tcPr>
            <w:tcW w:w="1633" w:type="pct"/>
            <w:tcBorders>
              <w:top w:val="nil"/>
              <w:left w:val="single" w:sz="8" w:space="0" w:color="auto"/>
              <w:bottom w:val="single" w:sz="4" w:space="0" w:color="auto"/>
              <w:right w:val="single" w:sz="8" w:space="0" w:color="auto"/>
            </w:tcBorders>
            <w:shd w:val="clear" w:color="auto" w:fill="auto"/>
            <w:noWrap/>
            <w:vAlign w:val="bottom"/>
            <w:hideMark/>
          </w:tcPr>
          <w:p w14:paraId="123F82D9" w14:textId="7334F8D1" w:rsidR="00116629" w:rsidRPr="005602F8" w:rsidRDefault="00C57DCA" w:rsidP="008C5E8D">
            <w:pPr>
              <w:keepNext/>
              <w:rPr>
                <w:rFonts w:ascii="Arial Narrow" w:hAnsi="Arial Narrow" w:cs="Calibri"/>
              </w:rPr>
            </w:pPr>
            <w:r w:rsidRPr="005602F8">
              <w:rPr>
                <w:rFonts w:ascii="Arial Narrow" w:hAnsi="Arial Narrow" w:cs="Calibri"/>
              </w:rPr>
              <w:t>Redacted</w:t>
            </w:r>
          </w:p>
        </w:tc>
        <w:tc>
          <w:tcPr>
            <w:tcW w:w="837" w:type="pct"/>
            <w:tcBorders>
              <w:top w:val="nil"/>
              <w:left w:val="nil"/>
              <w:bottom w:val="single" w:sz="4" w:space="0" w:color="auto"/>
              <w:right w:val="single" w:sz="8" w:space="0" w:color="auto"/>
            </w:tcBorders>
            <w:shd w:val="clear" w:color="auto" w:fill="auto"/>
            <w:noWrap/>
            <w:vAlign w:val="bottom"/>
            <w:hideMark/>
          </w:tcPr>
          <w:p w14:paraId="298B675F" w14:textId="523A6E79" w:rsidR="00116629" w:rsidRPr="005602F8" w:rsidRDefault="0069572A" w:rsidP="008C5E8D">
            <w:pPr>
              <w:keepNext/>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37" w:type="pct"/>
            <w:tcBorders>
              <w:top w:val="nil"/>
              <w:left w:val="nil"/>
              <w:bottom w:val="single" w:sz="4" w:space="0" w:color="auto"/>
              <w:right w:val="single" w:sz="8" w:space="0" w:color="auto"/>
            </w:tcBorders>
            <w:shd w:val="clear" w:color="auto" w:fill="auto"/>
            <w:noWrap/>
            <w:vAlign w:val="bottom"/>
            <w:hideMark/>
          </w:tcPr>
          <w:p w14:paraId="64096540" w14:textId="26ACFE3C" w:rsidR="00116629" w:rsidRPr="005602F8" w:rsidRDefault="0069572A" w:rsidP="008C5E8D">
            <w:pPr>
              <w:keepNext/>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57" w:type="pct"/>
            <w:tcBorders>
              <w:top w:val="nil"/>
              <w:left w:val="nil"/>
              <w:bottom w:val="single" w:sz="4" w:space="0" w:color="auto"/>
              <w:right w:val="single" w:sz="8" w:space="0" w:color="auto"/>
            </w:tcBorders>
            <w:shd w:val="clear" w:color="auto" w:fill="auto"/>
            <w:noWrap/>
            <w:vAlign w:val="bottom"/>
            <w:hideMark/>
          </w:tcPr>
          <w:p w14:paraId="577E3BDD" w14:textId="55A21B50" w:rsidR="00116629" w:rsidRPr="005602F8" w:rsidRDefault="0069572A" w:rsidP="008C5E8D">
            <w:pPr>
              <w:keepNext/>
              <w:jc w:val="center"/>
              <w:rPr>
                <w:rFonts w:ascii="Arial Narrow" w:hAnsi="Arial Narrow" w:cs="Calibri"/>
                <w:b/>
                <w:bCs/>
                <w:sz w:val="18"/>
                <w:szCs w:val="18"/>
              </w:rPr>
            </w:pPr>
            <w:r w:rsidRPr="005602F8">
              <w:rPr>
                <w:rFonts w:ascii="Arial Narrow" w:hAnsi="Arial Narrow" w:cs="Calibri"/>
                <w:b/>
                <w:bCs/>
                <w:sz w:val="18"/>
                <w:szCs w:val="18"/>
              </w:rPr>
              <w:t>$redacted</w:t>
            </w:r>
            <w:r w:rsidRPr="005602F8" w:rsidDel="0069572A">
              <w:rPr>
                <w:rFonts w:ascii="Arial Narrow" w:hAnsi="Arial Narrow" w:cs="Calibri"/>
                <w:b/>
                <w:bCs/>
                <w:sz w:val="18"/>
                <w:szCs w:val="18"/>
              </w:rPr>
              <w:t xml:space="preserve"> </w:t>
            </w:r>
          </w:p>
        </w:tc>
        <w:tc>
          <w:tcPr>
            <w:tcW w:w="837" w:type="pct"/>
            <w:tcBorders>
              <w:top w:val="nil"/>
              <w:left w:val="nil"/>
              <w:bottom w:val="single" w:sz="4" w:space="0" w:color="auto"/>
              <w:right w:val="single" w:sz="8" w:space="0" w:color="auto"/>
            </w:tcBorders>
            <w:shd w:val="clear" w:color="auto" w:fill="auto"/>
            <w:noWrap/>
            <w:vAlign w:val="bottom"/>
            <w:hideMark/>
          </w:tcPr>
          <w:p w14:paraId="20CB718B" w14:textId="46FEABE5" w:rsidR="00116629" w:rsidRPr="005602F8" w:rsidRDefault="0069572A" w:rsidP="008C5E8D">
            <w:pPr>
              <w:keepNext/>
              <w:jc w:val="center"/>
              <w:rPr>
                <w:rFonts w:ascii="Arial Narrow" w:hAnsi="Arial Narrow" w:cs="Calibri"/>
                <w:b/>
                <w:bCs/>
                <w:sz w:val="18"/>
                <w:szCs w:val="18"/>
              </w:rPr>
            </w:pPr>
            <w:r w:rsidRPr="005602F8">
              <w:rPr>
                <w:rFonts w:ascii="Arial Narrow" w:hAnsi="Arial Narrow" w:cs="Calibri"/>
                <w:b/>
                <w:bCs/>
                <w:sz w:val="18"/>
                <w:szCs w:val="18"/>
              </w:rPr>
              <w:t>$redacted</w:t>
            </w:r>
          </w:p>
        </w:tc>
      </w:tr>
      <w:tr w:rsidR="005602F8" w:rsidRPr="005602F8" w14:paraId="40F56758" w14:textId="77777777" w:rsidTr="00C57DCA">
        <w:trPr>
          <w:trHeight w:val="300"/>
          <w:tblHeader/>
        </w:trPr>
        <w:tc>
          <w:tcPr>
            <w:tcW w:w="1633" w:type="pct"/>
            <w:tcBorders>
              <w:top w:val="nil"/>
              <w:left w:val="single" w:sz="8" w:space="0" w:color="auto"/>
              <w:bottom w:val="single" w:sz="4" w:space="0" w:color="auto"/>
              <w:right w:val="single" w:sz="8" w:space="0" w:color="auto"/>
            </w:tcBorders>
            <w:shd w:val="clear" w:color="auto" w:fill="auto"/>
            <w:noWrap/>
            <w:hideMark/>
          </w:tcPr>
          <w:p w14:paraId="31C6A3CD" w14:textId="3315563F" w:rsidR="00C57DCA" w:rsidRPr="005602F8" w:rsidRDefault="00C57DCA" w:rsidP="00C57DCA">
            <w:pPr>
              <w:rPr>
                <w:rFonts w:ascii="Arial Narrow" w:hAnsi="Arial Narrow" w:cs="Calibri"/>
              </w:rPr>
            </w:pPr>
            <w:r w:rsidRPr="005602F8">
              <w:rPr>
                <w:rFonts w:ascii="Arial Narrow" w:hAnsi="Arial Narrow" w:cs="Calibri"/>
              </w:rPr>
              <w:t>Redacted</w:t>
            </w:r>
          </w:p>
        </w:tc>
        <w:tc>
          <w:tcPr>
            <w:tcW w:w="837" w:type="pct"/>
            <w:tcBorders>
              <w:top w:val="nil"/>
              <w:left w:val="nil"/>
              <w:bottom w:val="single" w:sz="4" w:space="0" w:color="auto"/>
              <w:right w:val="single" w:sz="8" w:space="0" w:color="auto"/>
            </w:tcBorders>
            <w:shd w:val="clear" w:color="auto" w:fill="auto"/>
            <w:noWrap/>
            <w:vAlign w:val="bottom"/>
            <w:hideMark/>
          </w:tcPr>
          <w:p w14:paraId="2C86CB69" w14:textId="549A717F" w:rsidR="00C57DCA" w:rsidRPr="005602F8" w:rsidRDefault="00C57DCA" w:rsidP="00C57DCA">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37" w:type="pct"/>
            <w:tcBorders>
              <w:top w:val="nil"/>
              <w:left w:val="nil"/>
              <w:bottom w:val="single" w:sz="4" w:space="0" w:color="auto"/>
              <w:right w:val="single" w:sz="8" w:space="0" w:color="auto"/>
            </w:tcBorders>
            <w:shd w:val="clear" w:color="auto" w:fill="auto"/>
            <w:noWrap/>
            <w:vAlign w:val="bottom"/>
            <w:hideMark/>
          </w:tcPr>
          <w:p w14:paraId="4A36501D" w14:textId="44010155" w:rsidR="00C57DCA" w:rsidRPr="005602F8" w:rsidRDefault="00C57DCA" w:rsidP="00C57DCA">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57" w:type="pct"/>
            <w:tcBorders>
              <w:top w:val="nil"/>
              <w:left w:val="nil"/>
              <w:bottom w:val="single" w:sz="4" w:space="0" w:color="auto"/>
              <w:right w:val="single" w:sz="8" w:space="0" w:color="auto"/>
            </w:tcBorders>
            <w:shd w:val="clear" w:color="auto" w:fill="auto"/>
            <w:noWrap/>
            <w:vAlign w:val="bottom"/>
            <w:hideMark/>
          </w:tcPr>
          <w:p w14:paraId="20AC41A1" w14:textId="759CFECE" w:rsidR="00C57DCA" w:rsidRPr="005602F8" w:rsidRDefault="00C57DCA" w:rsidP="00C57DCA">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37" w:type="pct"/>
            <w:tcBorders>
              <w:top w:val="nil"/>
              <w:left w:val="nil"/>
              <w:bottom w:val="single" w:sz="4" w:space="0" w:color="auto"/>
              <w:right w:val="single" w:sz="8" w:space="0" w:color="auto"/>
            </w:tcBorders>
            <w:shd w:val="clear" w:color="auto" w:fill="auto"/>
            <w:noWrap/>
            <w:vAlign w:val="bottom"/>
            <w:hideMark/>
          </w:tcPr>
          <w:p w14:paraId="0B5E6FD8" w14:textId="22E81861" w:rsidR="00C57DCA" w:rsidRPr="005602F8" w:rsidRDefault="00C57DCA" w:rsidP="00C57DCA">
            <w:pPr>
              <w:jc w:val="center"/>
              <w:rPr>
                <w:rFonts w:ascii="Arial Narrow" w:hAnsi="Arial Narrow" w:cs="Calibri"/>
                <w:b/>
                <w:bCs/>
                <w:sz w:val="18"/>
                <w:szCs w:val="18"/>
              </w:rPr>
            </w:pPr>
            <w:r w:rsidRPr="005602F8">
              <w:rPr>
                <w:rFonts w:ascii="Arial Narrow" w:hAnsi="Arial Narrow" w:cs="Calibri"/>
                <w:b/>
                <w:bCs/>
                <w:sz w:val="18"/>
                <w:szCs w:val="18"/>
              </w:rPr>
              <w:t>$redacted</w:t>
            </w:r>
          </w:p>
        </w:tc>
      </w:tr>
      <w:tr w:rsidR="005602F8" w:rsidRPr="005602F8" w14:paraId="122088F9" w14:textId="77777777" w:rsidTr="00C57DCA">
        <w:trPr>
          <w:trHeight w:val="300"/>
          <w:tblHeader/>
        </w:trPr>
        <w:tc>
          <w:tcPr>
            <w:tcW w:w="1633" w:type="pct"/>
            <w:tcBorders>
              <w:top w:val="nil"/>
              <w:left w:val="single" w:sz="8" w:space="0" w:color="auto"/>
              <w:bottom w:val="single" w:sz="4" w:space="0" w:color="auto"/>
              <w:right w:val="single" w:sz="8" w:space="0" w:color="auto"/>
            </w:tcBorders>
            <w:shd w:val="clear" w:color="auto" w:fill="auto"/>
            <w:noWrap/>
            <w:hideMark/>
          </w:tcPr>
          <w:p w14:paraId="218A6573" w14:textId="3CFBF850" w:rsidR="00C57DCA" w:rsidRPr="005602F8" w:rsidRDefault="00C57DCA" w:rsidP="00C57DCA">
            <w:pPr>
              <w:rPr>
                <w:rFonts w:ascii="Arial Narrow" w:hAnsi="Arial Narrow" w:cs="Calibri"/>
              </w:rPr>
            </w:pPr>
            <w:r w:rsidRPr="005602F8">
              <w:rPr>
                <w:rFonts w:ascii="Arial Narrow" w:hAnsi="Arial Narrow" w:cs="Calibri"/>
              </w:rPr>
              <w:t>Redacted</w:t>
            </w:r>
          </w:p>
        </w:tc>
        <w:tc>
          <w:tcPr>
            <w:tcW w:w="837" w:type="pct"/>
            <w:tcBorders>
              <w:top w:val="nil"/>
              <w:left w:val="nil"/>
              <w:bottom w:val="single" w:sz="4" w:space="0" w:color="auto"/>
              <w:right w:val="single" w:sz="8" w:space="0" w:color="auto"/>
            </w:tcBorders>
            <w:shd w:val="clear" w:color="auto" w:fill="auto"/>
            <w:noWrap/>
            <w:vAlign w:val="bottom"/>
            <w:hideMark/>
          </w:tcPr>
          <w:p w14:paraId="5562B562" w14:textId="2971DBF2" w:rsidR="00C57DCA" w:rsidRPr="005602F8" w:rsidRDefault="00C57DCA" w:rsidP="00C57DCA">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37" w:type="pct"/>
            <w:tcBorders>
              <w:top w:val="nil"/>
              <w:left w:val="nil"/>
              <w:bottom w:val="single" w:sz="4" w:space="0" w:color="auto"/>
              <w:right w:val="single" w:sz="8" w:space="0" w:color="auto"/>
            </w:tcBorders>
            <w:shd w:val="clear" w:color="auto" w:fill="auto"/>
            <w:noWrap/>
            <w:vAlign w:val="bottom"/>
            <w:hideMark/>
          </w:tcPr>
          <w:p w14:paraId="46D54AD1" w14:textId="100FA650" w:rsidR="00C57DCA" w:rsidRPr="005602F8" w:rsidRDefault="00C57DCA" w:rsidP="00C57DCA">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57" w:type="pct"/>
            <w:tcBorders>
              <w:top w:val="nil"/>
              <w:left w:val="nil"/>
              <w:bottom w:val="single" w:sz="4" w:space="0" w:color="auto"/>
              <w:right w:val="single" w:sz="8" w:space="0" w:color="auto"/>
            </w:tcBorders>
            <w:shd w:val="clear" w:color="auto" w:fill="auto"/>
            <w:noWrap/>
            <w:vAlign w:val="bottom"/>
            <w:hideMark/>
          </w:tcPr>
          <w:p w14:paraId="7FA40213" w14:textId="436C04E8" w:rsidR="00C57DCA" w:rsidRPr="005602F8" w:rsidRDefault="00C57DCA" w:rsidP="00C57DCA">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37" w:type="pct"/>
            <w:tcBorders>
              <w:top w:val="nil"/>
              <w:left w:val="nil"/>
              <w:bottom w:val="single" w:sz="4" w:space="0" w:color="auto"/>
              <w:right w:val="single" w:sz="8" w:space="0" w:color="auto"/>
            </w:tcBorders>
            <w:shd w:val="clear" w:color="auto" w:fill="auto"/>
            <w:noWrap/>
            <w:vAlign w:val="bottom"/>
            <w:hideMark/>
          </w:tcPr>
          <w:p w14:paraId="51F07E0D" w14:textId="22051AD0" w:rsidR="00C57DCA" w:rsidRPr="005602F8" w:rsidRDefault="00C57DCA" w:rsidP="00C57DCA">
            <w:pPr>
              <w:jc w:val="center"/>
              <w:rPr>
                <w:rFonts w:ascii="Arial Narrow" w:hAnsi="Arial Narrow" w:cs="Calibri"/>
                <w:b/>
                <w:bCs/>
                <w:sz w:val="18"/>
                <w:szCs w:val="18"/>
              </w:rPr>
            </w:pPr>
            <w:r w:rsidRPr="005602F8">
              <w:rPr>
                <w:rFonts w:ascii="Arial Narrow" w:hAnsi="Arial Narrow" w:cs="Calibri"/>
                <w:b/>
                <w:bCs/>
                <w:sz w:val="18"/>
                <w:szCs w:val="18"/>
              </w:rPr>
              <w:t>$redacted</w:t>
            </w:r>
          </w:p>
        </w:tc>
      </w:tr>
      <w:tr w:rsidR="005602F8" w:rsidRPr="005602F8" w14:paraId="4286448A" w14:textId="77777777" w:rsidTr="00C57DCA">
        <w:trPr>
          <w:trHeight w:val="300"/>
          <w:tblHeader/>
        </w:trPr>
        <w:tc>
          <w:tcPr>
            <w:tcW w:w="1633" w:type="pct"/>
            <w:tcBorders>
              <w:top w:val="nil"/>
              <w:left w:val="single" w:sz="8" w:space="0" w:color="auto"/>
              <w:bottom w:val="single" w:sz="4" w:space="0" w:color="auto"/>
              <w:right w:val="single" w:sz="8" w:space="0" w:color="auto"/>
            </w:tcBorders>
            <w:shd w:val="clear" w:color="auto" w:fill="auto"/>
            <w:noWrap/>
            <w:hideMark/>
          </w:tcPr>
          <w:p w14:paraId="0533808B" w14:textId="6239A587" w:rsidR="00C57DCA" w:rsidRPr="005602F8" w:rsidRDefault="00C57DCA" w:rsidP="00C57DCA">
            <w:pPr>
              <w:rPr>
                <w:rFonts w:ascii="Arial Narrow" w:hAnsi="Arial Narrow" w:cs="Calibri"/>
              </w:rPr>
            </w:pPr>
            <w:r w:rsidRPr="005602F8">
              <w:rPr>
                <w:rFonts w:ascii="Arial Narrow" w:hAnsi="Arial Narrow" w:cs="Calibri"/>
              </w:rPr>
              <w:t>Redacted</w:t>
            </w:r>
          </w:p>
        </w:tc>
        <w:tc>
          <w:tcPr>
            <w:tcW w:w="837" w:type="pct"/>
            <w:tcBorders>
              <w:top w:val="nil"/>
              <w:left w:val="nil"/>
              <w:bottom w:val="single" w:sz="4" w:space="0" w:color="auto"/>
              <w:right w:val="single" w:sz="8" w:space="0" w:color="auto"/>
            </w:tcBorders>
            <w:shd w:val="clear" w:color="auto" w:fill="auto"/>
            <w:noWrap/>
            <w:vAlign w:val="bottom"/>
            <w:hideMark/>
          </w:tcPr>
          <w:p w14:paraId="23D6FDEF" w14:textId="589025BA" w:rsidR="00C57DCA" w:rsidRPr="005602F8" w:rsidRDefault="00C57DCA" w:rsidP="00C57DCA">
            <w:pPr>
              <w:jc w:val="center"/>
              <w:rPr>
                <w:rFonts w:ascii="Arial Narrow" w:hAnsi="Arial Narrow" w:cs="Calibri"/>
                <w:b/>
                <w:bCs/>
                <w:sz w:val="18"/>
                <w:szCs w:val="18"/>
              </w:rPr>
            </w:pPr>
            <w:r w:rsidRPr="005602F8">
              <w:rPr>
                <w:rFonts w:ascii="Arial Narrow" w:hAnsi="Arial Narrow" w:cs="Calibri"/>
                <w:b/>
                <w:bCs/>
              </w:rPr>
              <w:t>$</w:t>
            </w:r>
            <w:r w:rsidRPr="005602F8">
              <w:rPr>
                <w:rFonts w:ascii="Arial Narrow" w:hAnsi="Arial Narrow" w:cs="Calibri"/>
                <w:b/>
                <w:bCs/>
                <w:sz w:val="18"/>
                <w:szCs w:val="18"/>
              </w:rPr>
              <w:t>redacted</w:t>
            </w:r>
          </w:p>
        </w:tc>
        <w:tc>
          <w:tcPr>
            <w:tcW w:w="837" w:type="pct"/>
            <w:tcBorders>
              <w:top w:val="nil"/>
              <w:left w:val="nil"/>
              <w:bottom w:val="single" w:sz="4" w:space="0" w:color="auto"/>
              <w:right w:val="single" w:sz="8" w:space="0" w:color="auto"/>
            </w:tcBorders>
            <w:shd w:val="clear" w:color="auto" w:fill="auto"/>
            <w:noWrap/>
            <w:vAlign w:val="bottom"/>
            <w:hideMark/>
          </w:tcPr>
          <w:p w14:paraId="09D87E76" w14:textId="2D0429D0" w:rsidR="00C57DCA" w:rsidRPr="005602F8" w:rsidRDefault="00C57DCA" w:rsidP="00C57DCA">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57" w:type="pct"/>
            <w:tcBorders>
              <w:top w:val="nil"/>
              <w:left w:val="nil"/>
              <w:bottom w:val="single" w:sz="4" w:space="0" w:color="auto"/>
              <w:right w:val="single" w:sz="8" w:space="0" w:color="auto"/>
            </w:tcBorders>
            <w:shd w:val="clear" w:color="auto" w:fill="auto"/>
            <w:noWrap/>
            <w:vAlign w:val="bottom"/>
            <w:hideMark/>
          </w:tcPr>
          <w:p w14:paraId="51783707" w14:textId="13C4D0DB" w:rsidR="00C57DCA" w:rsidRPr="005602F8" w:rsidRDefault="00C57DCA" w:rsidP="00C57DCA">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37" w:type="pct"/>
            <w:tcBorders>
              <w:top w:val="nil"/>
              <w:left w:val="nil"/>
              <w:bottom w:val="single" w:sz="4" w:space="0" w:color="auto"/>
              <w:right w:val="single" w:sz="8" w:space="0" w:color="auto"/>
            </w:tcBorders>
            <w:shd w:val="clear" w:color="auto" w:fill="auto"/>
            <w:noWrap/>
            <w:vAlign w:val="bottom"/>
            <w:hideMark/>
          </w:tcPr>
          <w:p w14:paraId="0BE3F04C" w14:textId="008D0F32" w:rsidR="00C57DCA" w:rsidRPr="005602F8" w:rsidRDefault="00C57DCA" w:rsidP="00C57DCA">
            <w:pPr>
              <w:jc w:val="center"/>
              <w:rPr>
                <w:rFonts w:ascii="Arial Narrow" w:hAnsi="Arial Narrow" w:cs="Calibri"/>
                <w:b/>
                <w:bCs/>
                <w:sz w:val="18"/>
                <w:szCs w:val="18"/>
              </w:rPr>
            </w:pPr>
            <w:r w:rsidRPr="005602F8">
              <w:rPr>
                <w:rFonts w:ascii="Arial Narrow" w:hAnsi="Arial Narrow" w:cs="Calibri"/>
                <w:b/>
                <w:bCs/>
                <w:sz w:val="18"/>
                <w:szCs w:val="18"/>
              </w:rPr>
              <w:t>$redacted</w:t>
            </w:r>
          </w:p>
        </w:tc>
      </w:tr>
      <w:tr w:rsidR="005602F8" w:rsidRPr="005602F8" w14:paraId="625E5424" w14:textId="77777777" w:rsidTr="0069572A">
        <w:trPr>
          <w:trHeight w:val="315"/>
          <w:tblHeader/>
        </w:trPr>
        <w:tc>
          <w:tcPr>
            <w:tcW w:w="1633" w:type="pct"/>
            <w:tcBorders>
              <w:top w:val="nil"/>
              <w:left w:val="single" w:sz="8" w:space="0" w:color="auto"/>
              <w:bottom w:val="single" w:sz="4" w:space="0" w:color="auto"/>
              <w:right w:val="single" w:sz="8" w:space="0" w:color="auto"/>
            </w:tcBorders>
            <w:shd w:val="clear" w:color="auto" w:fill="auto"/>
            <w:noWrap/>
            <w:vAlign w:val="bottom"/>
            <w:hideMark/>
          </w:tcPr>
          <w:p w14:paraId="34002D10" w14:textId="77777777" w:rsidR="00116629" w:rsidRPr="005602F8" w:rsidRDefault="00116629" w:rsidP="008C5E8D">
            <w:pPr>
              <w:rPr>
                <w:rFonts w:ascii="Arial Narrow" w:hAnsi="Arial Narrow" w:cs="Calibri"/>
              </w:rPr>
            </w:pPr>
            <w:r w:rsidRPr="005602F8">
              <w:rPr>
                <w:rFonts w:ascii="Arial Narrow" w:hAnsi="Arial Narrow" w:cs="Calibri"/>
              </w:rPr>
              <w:t>Total cost</w:t>
            </w:r>
          </w:p>
        </w:tc>
        <w:tc>
          <w:tcPr>
            <w:tcW w:w="837" w:type="pct"/>
            <w:tcBorders>
              <w:top w:val="nil"/>
              <w:left w:val="nil"/>
              <w:bottom w:val="single" w:sz="8" w:space="0" w:color="auto"/>
              <w:right w:val="single" w:sz="8" w:space="0" w:color="auto"/>
            </w:tcBorders>
            <w:shd w:val="clear" w:color="auto" w:fill="auto"/>
            <w:noWrap/>
            <w:vAlign w:val="bottom"/>
            <w:hideMark/>
          </w:tcPr>
          <w:p w14:paraId="05CD8ADE" w14:textId="3E8C9607" w:rsidR="00116629" w:rsidRPr="005602F8" w:rsidRDefault="0069572A" w:rsidP="008C5E8D">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37" w:type="pct"/>
            <w:tcBorders>
              <w:top w:val="nil"/>
              <w:left w:val="nil"/>
              <w:bottom w:val="single" w:sz="8" w:space="0" w:color="auto"/>
              <w:right w:val="single" w:sz="8" w:space="0" w:color="auto"/>
            </w:tcBorders>
            <w:shd w:val="clear" w:color="auto" w:fill="auto"/>
            <w:noWrap/>
            <w:vAlign w:val="bottom"/>
            <w:hideMark/>
          </w:tcPr>
          <w:p w14:paraId="39552823" w14:textId="32647279" w:rsidR="00116629" w:rsidRPr="005602F8" w:rsidRDefault="0069572A" w:rsidP="008C5E8D">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57" w:type="pct"/>
            <w:tcBorders>
              <w:top w:val="nil"/>
              <w:left w:val="nil"/>
              <w:bottom w:val="single" w:sz="8" w:space="0" w:color="auto"/>
              <w:right w:val="single" w:sz="8" w:space="0" w:color="auto"/>
            </w:tcBorders>
            <w:shd w:val="clear" w:color="auto" w:fill="auto"/>
            <w:noWrap/>
            <w:vAlign w:val="bottom"/>
            <w:hideMark/>
          </w:tcPr>
          <w:p w14:paraId="12F1971E" w14:textId="5288486C" w:rsidR="00116629" w:rsidRPr="005602F8" w:rsidRDefault="0069572A" w:rsidP="008C5E8D">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37" w:type="pct"/>
            <w:tcBorders>
              <w:top w:val="nil"/>
              <w:left w:val="nil"/>
              <w:bottom w:val="single" w:sz="8" w:space="0" w:color="auto"/>
              <w:right w:val="single" w:sz="8" w:space="0" w:color="auto"/>
            </w:tcBorders>
            <w:shd w:val="clear" w:color="auto" w:fill="auto"/>
            <w:noWrap/>
            <w:vAlign w:val="bottom"/>
            <w:hideMark/>
          </w:tcPr>
          <w:p w14:paraId="593F098D" w14:textId="514F477A" w:rsidR="00116629" w:rsidRPr="005602F8" w:rsidRDefault="0069572A" w:rsidP="008C5E8D">
            <w:pPr>
              <w:jc w:val="center"/>
              <w:rPr>
                <w:rFonts w:ascii="Arial Narrow" w:hAnsi="Arial Narrow" w:cs="Calibri"/>
                <w:b/>
                <w:bCs/>
                <w:sz w:val="18"/>
                <w:szCs w:val="18"/>
              </w:rPr>
            </w:pPr>
            <w:r w:rsidRPr="005602F8">
              <w:rPr>
                <w:rFonts w:ascii="Arial Narrow" w:hAnsi="Arial Narrow" w:cs="Calibri"/>
                <w:b/>
                <w:bCs/>
                <w:sz w:val="18"/>
                <w:szCs w:val="18"/>
              </w:rPr>
              <w:t>$redacted</w:t>
            </w:r>
          </w:p>
        </w:tc>
      </w:tr>
      <w:tr w:rsidR="005602F8" w:rsidRPr="005602F8" w14:paraId="556E82A6" w14:textId="77777777" w:rsidTr="0069572A">
        <w:trPr>
          <w:trHeight w:val="315"/>
          <w:tblHeader/>
        </w:trPr>
        <w:tc>
          <w:tcPr>
            <w:tcW w:w="1633" w:type="pct"/>
            <w:tcBorders>
              <w:top w:val="nil"/>
              <w:left w:val="single" w:sz="8" w:space="0" w:color="auto"/>
              <w:bottom w:val="single" w:sz="4" w:space="0" w:color="auto"/>
              <w:right w:val="single" w:sz="8" w:space="0" w:color="auto"/>
            </w:tcBorders>
            <w:shd w:val="clear" w:color="auto" w:fill="auto"/>
            <w:noWrap/>
            <w:vAlign w:val="bottom"/>
            <w:hideMark/>
          </w:tcPr>
          <w:p w14:paraId="57CED4D3" w14:textId="77777777" w:rsidR="00116629" w:rsidRPr="005602F8" w:rsidRDefault="00116629" w:rsidP="008C5E8D">
            <w:pPr>
              <w:rPr>
                <w:rFonts w:ascii="Arial Narrow" w:hAnsi="Arial Narrow" w:cs="Calibri"/>
              </w:rPr>
            </w:pPr>
            <w:r w:rsidRPr="005602F8">
              <w:rPr>
                <w:rFonts w:ascii="Arial Narrow" w:hAnsi="Arial Narrow" w:cs="Calibri"/>
              </w:rPr>
              <w:t>Total costs (FMR + DMR weighted)</w:t>
            </w:r>
          </w:p>
        </w:tc>
        <w:tc>
          <w:tcPr>
            <w:tcW w:w="1673" w:type="pct"/>
            <w:gridSpan w:val="2"/>
            <w:tcBorders>
              <w:top w:val="single" w:sz="8" w:space="0" w:color="auto"/>
              <w:left w:val="nil"/>
              <w:bottom w:val="single" w:sz="8" w:space="0" w:color="auto"/>
              <w:right w:val="single" w:sz="8" w:space="0" w:color="000000"/>
            </w:tcBorders>
            <w:shd w:val="clear" w:color="auto" w:fill="auto"/>
            <w:noWrap/>
            <w:vAlign w:val="bottom"/>
            <w:hideMark/>
          </w:tcPr>
          <w:p w14:paraId="34C78423" w14:textId="6975F0E7" w:rsidR="00116629" w:rsidRPr="005602F8" w:rsidRDefault="0069572A" w:rsidP="008C5E8D">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1693" w:type="pct"/>
            <w:gridSpan w:val="2"/>
            <w:tcBorders>
              <w:top w:val="single" w:sz="8" w:space="0" w:color="auto"/>
              <w:left w:val="nil"/>
              <w:bottom w:val="single" w:sz="8" w:space="0" w:color="auto"/>
              <w:right w:val="single" w:sz="8" w:space="0" w:color="000000"/>
            </w:tcBorders>
            <w:shd w:val="clear" w:color="auto" w:fill="auto"/>
            <w:noWrap/>
            <w:vAlign w:val="bottom"/>
            <w:hideMark/>
          </w:tcPr>
          <w:p w14:paraId="6524F241" w14:textId="6CA7C919" w:rsidR="00116629" w:rsidRPr="005602F8" w:rsidRDefault="0069572A" w:rsidP="008C5E8D">
            <w:pPr>
              <w:jc w:val="center"/>
              <w:rPr>
                <w:rFonts w:ascii="Arial Narrow" w:hAnsi="Arial Narrow" w:cs="Calibri"/>
                <w:b/>
                <w:bCs/>
                <w:sz w:val="18"/>
                <w:szCs w:val="18"/>
              </w:rPr>
            </w:pPr>
            <w:r w:rsidRPr="005602F8">
              <w:rPr>
                <w:rFonts w:ascii="Arial Narrow" w:hAnsi="Arial Narrow" w:cs="Calibri"/>
                <w:b/>
                <w:bCs/>
                <w:sz w:val="18"/>
                <w:szCs w:val="18"/>
              </w:rPr>
              <w:t>$redacted</w:t>
            </w:r>
          </w:p>
        </w:tc>
      </w:tr>
      <w:tr w:rsidR="005602F8" w:rsidRPr="005602F8" w14:paraId="3EACCC53" w14:textId="77777777" w:rsidTr="0069572A">
        <w:trPr>
          <w:trHeight w:val="315"/>
          <w:tblHeader/>
        </w:trPr>
        <w:tc>
          <w:tcPr>
            <w:tcW w:w="1633" w:type="pct"/>
            <w:tcBorders>
              <w:top w:val="nil"/>
              <w:left w:val="single" w:sz="8" w:space="0" w:color="auto"/>
              <w:bottom w:val="single" w:sz="4" w:space="0" w:color="auto"/>
              <w:right w:val="single" w:sz="8" w:space="0" w:color="auto"/>
            </w:tcBorders>
            <w:shd w:val="clear" w:color="auto" w:fill="auto"/>
            <w:noWrap/>
            <w:vAlign w:val="bottom"/>
          </w:tcPr>
          <w:p w14:paraId="3B2ACBB0" w14:textId="47C75BD3" w:rsidR="00EA625B" w:rsidRPr="005602F8" w:rsidRDefault="00EA625B" w:rsidP="008C5E8D">
            <w:pPr>
              <w:rPr>
                <w:rFonts w:ascii="Arial Narrow" w:hAnsi="Arial Narrow" w:cs="Calibri"/>
              </w:rPr>
            </w:pPr>
            <w:r w:rsidRPr="005602F8">
              <w:rPr>
                <w:rFonts w:ascii="Arial Narrow" w:hAnsi="Arial Narrow" w:cs="Calibri"/>
                <w:b/>
                <w:bCs/>
              </w:rPr>
              <w:t>Incremental cost of PASCAL</w:t>
            </w:r>
          </w:p>
        </w:tc>
        <w:tc>
          <w:tcPr>
            <w:tcW w:w="3367" w:type="pct"/>
            <w:gridSpan w:val="4"/>
            <w:tcBorders>
              <w:top w:val="single" w:sz="8" w:space="0" w:color="auto"/>
              <w:left w:val="nil"/>
              <w:bottom w:val="single" w:sz="8" w:space="0" w:color="auto"/>
              <w:right w:val="single" w:sz="8" w:space="0" w:color="000000"/>
            </w:tcBorders>
            <w:shd w:val="clear" w:color="auto" w:fill="auto"/>
            <w:noWrap/>
            <w:vAlign w:val="bottom"/>
          </w:tcPr>
          <w:p w14:paraId="49E0586B" w14:textId="7BDAB598" w:rsidR="00EA625B" w:rsidRPr="005602F8" w:rsidRDefault="0069572A" w:rsidP="008C5E8D">
            <w:pPr>
              <w:jc w:val="center"/>
              <w:rPr>
                <w:rFonts w:ascii="Arial Narrow" w:hAnsi="Arial Narrow" w:cs="Calibri"/>
                <w:b/>
                <w:bCs/>
                <w:sz w:val="18"/>
                <w:szCs w:val="18"/>
              </w:rPr>
            </w:pPr>
            <w:r w:rsidRPr="005602F8">
              <w:rPr>
                <w:rFonts w:ascii="Arial Narrow" w:hAnsi="Arial Narrow" w:cs="Calibri"/>
                <w:b/>
                <w:bCs/>
                <w:sz w:val="18"/>
                <w:szCs w:val="18"/>
              </w:rPr>
              <w:t>$redacted</w:t>
            </w:r>
          </w:p>
        </w:tc>
      </w:tr>
      <w:tr w:rsidR="005602F8" w:rsidRPr="005602F8" w14:paraId="531FF800" w14:textId="6FED0951" w:rsidTr="0069572A">
        <w:trPr>
          <w:trHeight w:val="315"/>
          <w:tblHeader/>
        </w:trPr>
        <w:tc>
          <w:tcPr>
            <w:tcW w:w="1633" w:type="pct"/>
            <w:tcBorders>
              <w:top w:val="nil"/>
              <w:left w:val="single" w:sz="8" w:space="0" w:color="auto"/>
              <w:bottom w:val="single" w:sz="4" w:space="0" w:color="auto"/>
              <w:right w:val="single" w:sz="8" w:space="0" w:color="auto"/>
            </w:tcBorders>
            <w:shd w:val="clear" w:color="auto" w:fill="auto"/>
            <w:noWrap/>
            <w:vAlign w:val="center"/>
          </w:tcPr>
          <w:p w14:paraId="795734F8" w14:textId="09135C92" w:rsidR="00EA625B" w:rsidRPr="005602F8" w:rsidRDefault="00C57DCA" w:rsidP="00EA625B">
            <w:pPr>
              <w:rPr>
                <w:rFonts w:ascii="Arial Narrow" w:hAnsi="Arial Narrow" w:cs="Calibri"/>
                <w:i/>
                <w:iCs/>
                <w:vertAlign w:val="superscript"/>
              </w:rPr>
            </w:pPr>
            <w:r w:rsidRPr="005602F8">
              <w:rPr>
                <w:rFonts w:ascii="Arial Narrow" w:hAnsi="Arial Narrow" w:cs="Calibri"/>
              </w:rPr>
              <w:t>Redacted</w:t>
            </w:r>
          </w:p>
        </w:tc>
        <w:tc>
          <w:tcPr>
            <w:tcW w:w="837" w:type="pct"/>
            <w:tcBorders>
              <w:top w:val="single" w:sz="8" w:space="0" w:color="auto"/>
              <w:left w:val="nil"/>
              <w:bottom w:val="single" w:sz="8" w:space="0" w:color="auto"/>
              <w:right w:val="single" w:sz="8" w:space="0" w:color="000000"/>
            </w:tcBorders>
            <w:shd w:val="clear" w:color="auto" w:fill="auto"/>
            <w:noWrap/>
            <w:vAlign w:val="bottom"/>
          </w:tcPr>
          <w:p w14:paraId="22F22FE7" w14:textId="46D2FB0C" w:rsidR="00EA625B" w:rsidRPr="005602F8" w:rsidRDefault="0069572A" w:rsidP="00EA625B">
            <w:pPr>
              <w:jc w:val="center"/>
              <w:rPr>
                <w:rFonts w:ascii="Arial Narrow" w:hAnsi="Arial Narrow" w:cs="Calibri"/>
                <w:b/>
                <w:bCs/>
                <w:i/>
                <w:iCs/>
                <w:sz w:val="18"/>
                <w:szCs w:val="18"/>
              </w:rPr>
            </w:pPr>
            <w:r w:rsidRPr="005602F8">
              <w:rPr>
                <w:rFonts w:ascii="Arial Narrow" w:hAnsi="Arial Narrow" w:cs="Calibri"/>
                <w:b/>
                <w:bCs/>
                <w:sz w:val="18"/>
                <w:szCs w:val="18"/>
              </w:rPr>
              <w:t>$redacted</w:t>
            </w:r>
          </w:p>
        </w:tc>
        <w:tc>
          <w:tcPr>
            <w:tcW w:w="837" w:type="pct"/>
            <w:tcBorders>
              <w:top w:val="single" w:sz="8" w:space="0" w:color="auto"/>
              <w:left w:val="nil"/>
              <w:bottom w:val="single" w:sz="8" w:space="0" w:color="auto"/>
              <w:right w:val="single" w:sz="8" w:space="0" w:color="000000"/>
            </w:tcBorders>
            <w:shd w:val="clear" w:color="auto" w:fill="auto"/>
            <w:vAlign w:val="bottom"/>
          </w:tcPr>
          <w:p w14:paraId="2197FCC4" w14:textId="26F5C311" w:rsidR="00EA625B" w:rsidRPr="005602F8" w:rsidRDefault="0069572A" w:rsidP="00EA625B">
            <w:pPr>
              <w:jc w:val="center"/>
              <w:rPr>
                <w:rFonts w:ascii="Arial Narrow" w:hAnsi="Arial Narrow" w:cs="Calibri"/>
                <w:b/>
                <w:bCs/>
                <w:i/>
                <w:iCs/>
                <w:sz w:val="18"/>
                <w:szCs w:val="18"/>
              </w:rPr>
            </w:pPr>
            <w:r w:rsidRPr="005602F8">
              <w:rPr>
                <w:rFonts w:ascii="Arial Narrow" w:hAnsi="Arial Narrow" w:cs="Calibri"/>
                <w:b/>
                <w:bCs/>
                <w:sz w:val="18"/>
                <w:szCs w:val="18"/>
              </w:rPr>
              <w:t>$redacted</w:t>
            </w:r>
          </w:p>
        </w:tc>
        <w:tc>
          <w:tcPr>
            <w:tcW w:w="857" w:type="pct"/>
            <w:tcBorders>
              <w:top w:val="single" w:sz="8" w:space="0" w:color="auto"/>
              <w:left w:val="nil"/>
              <w:bottom w:val="single" w:sz="8" w:space="0" w:color="auto"/>
              <w:right w:val="single" w:sz="8" w:space="0" w:color="000000"/>
            </w:tcBorders>
            <w:shd w:val="clear" w:color="auto" w:fill="auto"/>
            <w:noWrap/>
            <w:vAlign w:val="bottom"/>
          </w:tcPr>
          <w:p w14:paraId="143A775D" w14:textId="3D49367F" w:rsidR="00EA625B" w:rsidRPr="005602F8" w:rsidRDefault="0069572A" w:rsidP="00EA625B">
            <w:pPr>
              <w:jc w:val="center"/>
              <w:rPr>
                <w:rFonts w:ascii="Arial Narrow" w:hAnsi="Arial Narrow" w:cs="Calibri"/>
                <w:b/>
                <w:bCs/>
                <w:sz w:val="18"/>
                <w:szCs w:val="18"/>
              </w:rPr>
            </w:pPr>
            <w:r w:rsidRPr="005602F8">
              <w:rPr>
                <w:rFonts w:ascii="Arial Narrow" w:hAnsi="Arial Narrow" w:cs="Calibri"/>
                <w:b/>
                <w:bCs/>
                <w:sz w:val="18"/>
                <w:szCs w:val="18"/>
              </w:rPr>
              <w:t>$redacted</w:t>
            </w:r>
          </w:p>
        </w:tc>
        <w:tc>
          <w:tcPr>
            <w:tcW w:w="837" w:type="pct"/>
            <w:tcBorders>
              <w:top w:val="single" w:sz="8" w:space="0" w:color="auto"/>
              <w:left w:val="nil"/>
              <w:bottom w:val="single" w:sz="8" w:space="0" w:color="auto"/>
              <w:right w:val="single" w:sz="8" w:space="0" w:color="000000"/>
            </w:tcBorders>
            <w:shd w:val="clear" w:color="auto" w:fill="auto"/>
            <w:vAlign w:val="bottom"/>
          </w:tcPr>
          <w:p w14:paraId="5EC8A99E" w14:textId="3CBC7F60" w:rsidR="00EA625B" w:rsidRPr="005602F8" w:rsidRDefault="0069572A" w:rsidP="00EA625B">
            <w:pPr>
              <w:jc w:val="center"/>
              <w:rPr>
                <w:rFonts w:ascii="Arial Narrow" w:hAnsi="Arial Narrow" w:cs="Calibri"/>
                <w:b/>
                <w:bCs/>
                <w:i/>
                <w:iCs/>
                <w:sz w:val="18"/>
                <w:szCs w:val="18"/>
              </w:rPr>
            </w:pPr>
            <w:r w:rsidRPr="005602F8">
              <w:rPr>
                <w:rFonts w:ascii="Arial Narrow" w:hAnsi="Arial Narrow" w:cs="Calibri"/>
                <w:b/>
                <w:bCs/>
                <w:sz w:val="18"/>
                <w:szCs w:val="18"/>
              </w:rPr>
              <w:t>$redacted</w:t>
            </w:r>
          </w:p>
        </w:tc>
      </w:tr>
      <w:tr w:rsidR="005602F8" w:rsidRPr="005602F8" w14:paraId="494B1E76" w14:textId="5C4E0DB4" w:rsidTr="0069572A">
        <w:trPr>
          <w:trHeight w:val="315"/>
          <w:tblHeader/>
        </w:trPr>
        <w:tc>
          <w:tcPr>
            <w:tcW w:w="1633" w:type="pct"/>
            <w:tcBorders>
              <w:top w:val="nil"/>
              <w:left w:val="single" w:sz="8" w:space="0" w:color="auto"/>
              <w:bottom w:val="single" w:sz="4" w:space="0" w:color="auto"/>
              <w:right w:val="single" w:sz="8" w:space="0" w:color="auto"/>
            </w:tcBorders>
            <w:shd w:val="clear" w:color="auto" w:fill="auto"/>
            <w:noWrap/>
            <w:vAlign w:val="center"/>
          </w:tcPr>
          <w:p w14:paraId="7E32EAB1" w14:textId="266F6C87" w:rsidR="00EA625B" w:rsidRPr="005602F8" w:rsidRDefault="00EA625B" w:rsidP="00EA625B">
            <w:pPr>
              <w:rPr>
                <w:rFonts w:ascii="Arial Narrow" w:hAnsi="Arial Narrow" w:cs="Calibri"/>
                <w:i/>
                <w:iCs/>
              </w:rPr>
            </w:pPr>
            <w:r w:rsidRPr="005602F8">
              <w:rPr>
                <w:rFonts w:ascii="Arial Narrow" w:hAnsi="Arial Narrow" w:cs="Calibri"/>
                <w:i/>
                <w:iCs/>
              </w:rPr>
              <w:t xml:space="preserve">Total costs including </w:t>
            </w:r>
            <w:proofErr w:type="spellStart"/>
            <w:r w:rsidRPr="005602F8">
              <w:rPr>
                <w:rFonts w:ascii="Arial Narrow" w:hAnsi="Arial Narrow" w:cs="Calibri"/>
                <w:i/>
                <w:iCs/>
              </w:rPr>
              <w:t>m</w:t>
            </w:r>
            <w:r w:rsidR="00C57DCA" w:rsidRPr="005602F8">
              <w:rPr>
                <w:rFonts w:ascii="Arial Narrow" w:hAnsi="Arial Narrow" w:cs="Calibri"/>
              </w:rPr>
              <w:t>Redacted</w:t>
            </w:r>
            <w:proofErr w:type="spellEnd"/>
          </w:p>
          <w:p w14:paraId="37BC9C18" w14:textId="7A983A17" w:rsidR="00EA625B" w:rsidRPr="005602F8" w:rsidRDefault="00EA625B" w:rsidP="00EA625B">
            <w:pPr>
              <w:rPr>
                <w:rFonts w:ascii="Arial Narrow" w:hAnsi="Arial Narrow" w:cs="Calibri"/>
                <w:i/>
                <w:iCs/>
              </w:rPr>
            </w:pPr>
            <w:r w:rsidRPr="005602F8">
              <w:rPr>
                <w:rFonts w:ascii="Arial Narrow" w:hAnsi="Arial Narrow" w:cs="Calibri"/>
                <w:i/>
                <w:iCs/>
              </w:rPr>
              <w:t>(FMR + DMR weighted)</w:t>
            </w:r>
            <w:r w:rsidR="00CF4C2C" w:rsidRPr="005602F8">
              <w:rPr>
                <w:rFonts w:ascii="Arial Narrow" w:hAnsi="Arial Narrow" w:cs="Calibri"/>
                <w:i/>
                <w:iCs/>
              </w:rPr>
              <w:t xml:space="preserve"> </w:t>
            </w:r>
          </w:p>
        </w:tc>
        <w:tc>
          <w:tcPr>
            <w:tcW w:w="1673" w:type="pct"/>
            <w:gridSpan w:val="2"/>
            <w:tcBorders>
              <w:top w:val="single" w:sz="8" w:space="0" w:color="auto"/>
              <w:left w:val="nil"/>
              <w:bottom w:val="single" w:sz="8" w:space="0" w:color="auto"/>
              <w:right w:val="single" w:sz="8" w:space="0" w:color="000000"/>
            </w:tcBorders>
            <w:shd w:val="clear" w:color="auto" w:fill="auto"/>
            <w:noWrap/>
            <w:vAlign w:val="center"/>
          </w:tcPr>
          <w:p w14:paraId="43845113" w14:textId="1BA34B0A" w:rsidR="00EA625B" w:rsidRPr="005602F8" w:rsidRDefault="0069572A">
            <w:pPr>
              <w:jc w:val="center"/>
              <w:rPr>
                <w:rFonts w:ascii="Arial Narrow" w:hAnsi="Arial Narrow" w:cs="Calibri"/>
                <w:b/>
                <w:bCs/>
                <w:i/>
                <w:iCs/>
                <w:sz w:val="18"/>
                <w:szCs w:val="18"/>
              </w:rPr>
            </w:pPr>
            <w:r w:rsidRPr="005602F8">
              <w:rPr>
                <w:rFonts w:ascii="Arial Narrow" w:hAnsi="Arial Narrow" w:cs="Calibri"/>
                <w:b/>
                <w:bCs/>
                <w:sz w:val="18"/>
                <w:szCs w:val="18"/>
              </w:rPr>
              <w:t>$redacted</w:t>
            </w:r>
          </w:p>
        </w:tc>
        <w:tc>
          <w:tcPr>
            <w:tcW w:w="1693" w:type="pct"/>
            <w:gridSpan w:val="2"/>
            <w:tcBorders>
              <w:top w:val="single" w:sz="8" w:space="0" w:color="auto"/>
              <w:left w:val="nil"/>
              <w:bottom w:val="single" w:sz="8" w:space="0" w:color="auto"/>
              <w:right w:val="single" w:sz="8" w:space="0" w:color="000000"/>
            </w:tcBorders>
            <w:shd w:val="clear" w:color="auto" w:fill="auto"/>
            <w:noWrap/>
            <w:vAlign w:val="center"/>
          </w:tcPr>
          <w:p w14:paraId="66724843" w14:textId="628289DC" w:rsidR="00EA625B" w:rsidRPr="005602F8" w:rsidRDefault="0069572A">
            <w:pPr>
              <w:jc w:val="center"/>
              <w:rPr>
                <w:rFonts w:ascii="Arial Narrow" w:hAnsi="Arial Narrow" w:cs="Calibri"/>
                <w:b/>
                <w:bCs/>
                <w:i/>
                <w:iCs/>
                <w:sz w:val="18"/>
                <w:szCs w:val="18"/>
              </w:rPr>
            </w:pPr>
            <w:r w:rsidRPr="005602F8">
              <w:rPr>
                <w:rFonts w:ascii="Arial Narrow" w:hAnsi="Arial Narrow" w:cs="Calibri"/>
                <w:b/>
                <w:bCs/>
                <w:sz w:val="18"/>
                <w:szCs w:val="18"/>
              </w:rPr>
              <w:t>$redacted</w:t>
            </w:r>
          </w:p>
        </w:tc>
      </w:tr>
      <w:tr w:rsidR="005602F8" w:rsidRPr="005602F8" w14:paraId="2DD9661D" w14:textId="13CEF636" w:rsidTr="00C57DCA">
        <w:trPr>
          <w:trHeight w:val="302"/>
          <w:tblHeader/>
        </w:trPr>
        <w:tc>
          <w:tcPr>
            <w:tcW w:w="1633" w:type="pct"/>
            <w:tcBorders>
              <w:top w:val="nil"/>
              <w:left w:val="single" w:sz="8" w:space="0" w:color="auto"/>
              <w:bottom w:val="single" w:sz="8" w:space="0" w:color="auto"/>
              <w:right w:val="single" w:sz="8" w:space="0" w:color="auto"/>
            </w:tcBorders>
            <w:shd w:val="clear" w:color="auto" w:fill="auto"/>
            <w:vAlign w:val="bottom"/>
            <w:hideMark/>
          </w:tcPr>
          <w:p w14:paraId="4D1BD5E4" w14:textId="2EA39AE4" w:rsidR="00116629" w:rsidRPr="005602F8" w:rsidRDefault="00116629" w:rsidP="008C5E8D">
            <w:pPr>
              <w:rPr>
                <w:rFonts w:ascii="Arial Narrow" w:hAnsi="Arial Narrow" w:cs="Calibri"/>
                <w:b/>
                <w:bCs/>
                <w:i/>
                <w:iCs/>
              </w:rPr>
            </w:pPr>
            <w:r w:rsidRPr="005602F8">
              <w:rPr>
                <w:rFonts w:ascii="Arial Narrow" w:hAnsi="Arial Narrow" w:cs="Calibri"/>
                <w:b/>
                <w:bCs/>
                <w:i/>
                <w:iCs/>
              </w:rPr>
              <w:t>Incremental cost of PASCAL</w:t>
            </w:r>
          </w:p>
          <w:p w14:paraId="0B970EBF" w14:textId="3893F033" w:rsidR="00EA625B" w:rsidRPr="005602F8" w:rsidRDefault="00EA625B" w:rsidP="008C5E8D">
            <w:pPr>
              <w:rPr>
                <w:rFonts w:ascii="Arial Narrow" w:hAnsi="Arial Narrow" w:cs="Calibri"/>
                <w:b/>
                <w:bCs/>
                <w:i/>
                <w:iCs/>
              </w:rPr>
            </w:pPr>
            <w:r w:rsidRPr="005602F8">
              <w:rPr>
                <w:rFonts w:ascii="Arial Narrow" w:hAnsi="Arial Narrow" w:cs="Calibri"/>
                <w:b/>
                <w:bCs/>
                <w:i/>
                <w:iCs/>
              </w:rPr>
              <w:t xml:space="preserve">(including </w:t>
            </w:r>
            <w:r w:rsidR="00C57DCA" w:rsidRPr="005602F8">
              <w:rPr>
                <w:rFonts w:ascii="Arial Narrow" w:hAnsi="Arial Narrow" w:cs="Calibri"/>
              </w:rPr>
              <w:t>Redacted</w:t>
            </w:r>
            <w:r w:rsidRPr="005602F8">
              <w:rPr>
                <w:rFonts w:ascii="Arial Narrow" w:hAnsi="Arial Narrow" w:cs="Calibri"/>
                <w:b/>
                <w:bCs/>
                <w:i/>
                <w:iCs/>
              </w:rPr>
              <w:t>)</w:t>
            </w:r>
            <w:r w:rsidR="00CF4C2C" w:rsidRPr="005602F8">
              <w:rPr>
                <w:rFonts w:ascii="Arial Narrow" w:hAnsi="Arial Narrow" w:cs="Calibri"/>
                <w:b/>
                <w:bCs/>
                <w:i/>
                <w:iCs/>
              </w:rPr>
              <w:t xml:space="preserve"> </w:t>
            </w:r>
          </w:p>
        </w:tc>
        <w:tc>
          <w:tcPr>
            <w:tcW w:w="3367" w:type="pct"/>
            <w:gridSpan w:val="4"/>
            <w:tcBorders>
              <w:top w:val="nil"/>
              <w:left w:val="nil"/>
              <w:bottom w:val="single" w:sz="8" w:space="0" w:color="auto"/>
              <w:right w:val="single" w:sz="8" w:space="0" w:color="000000"/>
            </w:tcBorders>
            <w:shd w:val="clear" w:color="auto" w:fill="auto"/>
            <w:noWrap/>
            <w:vAlign w:val="bottom"/>
            <w:hideMark/>
          </w:tcPr>
          <w:p w14:paraId="3D1D7334" w14:textId="1E72A66D" w:rsidR="00116629" w:rsidRPr="005602F8" w:rsidRDefault="0069572A" w:rsidP="0069572A">
            <w:pPr>
              <w:jc w:val="center"/>
              <w:rPr>
                <w:rFonts w:ascii="Arial Narrow" w:hAnsi="Arial Narrow" w:cs="Calibri"/>
                <w:b/>
                <w:bCs/>
                <w:i/>
                <w:iCs/>
                <w:sz w:val="18"/>
                <w:szCs w:val="18"/>
              </w:rPr>
            </w:pPr>
            <w:r w:rsidRPr="005602F8">
              <w:rPr>
                <w:rFonts w:ascii="Arial Narrow" w:hAnsi="Arial Narrow" w:cs="Calibri"/>
                <w:b/>
                <w:bCs/>
                <w:sz w:val="18"/>
                <w:szCs w:val="18"/>
              </w:rPr>
              <w:t>$redacted</w:t>
            </w:r>
          </w:p>
        </w:tc>
      </w:tr>
    </w:tbl>
    <w:p w14:paraId="292D518E" w14:textId="4884DDF1" w:rsidR="008322DC" w:rsidRPr="005602F8" w:rsidRDefault="008322DC" w:rsidP="00AF7538">
      <w:pPr>
        <w:pStyle w:val="Tablenotes"/>
      </w:pPr>
      <w:bookmarkStart w:id="32" w:name="_Ref81831320"/>
      <w:bookmarkStart w:id="33" w:name="_Toc82006342"/>
      <w:r w:rsidRPr="005602F8">
        <w:t xml:space="preserve">Source: ADAR commentary  </w:t>
      </w:r>
    </w:p>
    <w:p w14:paraId="4FD91D44" w14:textId="2BB8F246" w:rsidR="00BD2E8F" w:rsidRPr="005602F8" w:rsidRDefault="00116629" w:rsidP="00214CA1">
      <w:pPr>
        <w:spacing w:before="240"/>
        <w:rPr>
          <w:i/>
          <w:iCs/>
        </w:rPr>
      </w:pPr>
      <w:r w:rsidRPr="005602F8">
        <w:t xml:space="preserve">The total weighted cost for all MR (FMR and DMR) for PASCAL and </w:t>
      </w:r>
      <w:proofErr w:type="spellStart"/>
      <w:r w:rsidRPr="005602F8">
        <w:t>MitraClip</w:t>
      </w:r>
      <w:proofErr w:type="spellEnd"/>
      <w:r w:rsidRPr="005602F8">
        <w:t xml:space="preserve"> </w:t>
      </w:r>
      <w:proofErr w:type="gramStart"/>
      <w:r w:rsidRPr="005602F8">
        <w:t xml:space="preserve">are </w:t>
      </w:r>
      <w:r w:rsidR="00F70784" w:rsidRPr="005602F8" w:rsidDel="00F70784">
        <w:t xml:space="preserve"> </w:t>
      </w:r>
      <w:r w:rsidR="003E5F02" w:rsidRPr="005602F8">
        <w:rPr>
          <w:b/>
          <w:bCs/>
        </w:rPr>
        <w:t>$</w:t>
      </w:r>
      <w:proofErr w:type="gramEnd"/>
      <w:r w:rsidR="003E5F02" w:rsidRPr="005602F8">
        <w:rPr>
          <w:b/>
          <w:bCs/>
        </w:rPr>
        <w:t xml:space="preserve">redacted </w:t>
      </w:r>
      <w:r w:rsidRPr="005602F8">
        <w:t>and</w:t>
      </w:r>
      <w:r w:rsidR="003E5F02" w:rsidRPr="005602F8">
        <w:t xml:space="preserve"> </w:t>
      </w:r>
      <w:r w:rsidR="003E5F02" w:rsidRPr="005602F8">
        <w:rPr>
          <w:b/>
          <w:bCs/>
        </w:rPr>
        <w:t>$redacted</w:t>
      </w:r>
      <w:r w:rsidR="003E62EE">
        <w:rPr>
          <w:b/>
          <w:bCs/>
        </w:rPr>
        <w:t xml:space="preserve"> </w:t>
      </w:r>
      <w:r w:rsidRPr="005602F8">
        <w:t>(</w:t>
      </w:r>
      <w:r w:rsidR="00982C50" w:rsidRPr="005602F8">
        <w:fldChar w:fldCharType="begin"/>
      </w:r>
      <w:r w:rsidR="00982C50" w:rsidRPr="005602F8">
        <w:instrText xml:space="preserve"> REF _Ref86317204 \h </w:instrText>
      </w:r>
      <w:r w:rsidR="003922FD" w:rsidRPr="005602F8">
        <w:instrText xml:space="preserve"> \* MERGEFORMAT </w:instrText>
      </w:r>
      <w:r w:rsidR="00982C50" w:rsidRPr="005602F8">
        <w:fldChar w:fldCharType="separate"/>
      </w:r>
      <w:r w:rsidR="00072539" w:rsidRPr="005602F8">
        <w:t xml:space="preserve">Table </w:t>
      </w:r>
      <w:r w:rsidR="00072539" w:rsidRPr="005602F8">
        <w:rPr>
          <w:noProof/>
        </w:rPr>
        <w:t>12</w:t>
      </w:r>
      <w:r w:rsidR="00982C50" w:rsidRPr="005602F8">
        <w:fldChar w:fldCharType="end"/>
      </w:r>
      <w:r w:rsidRPr="005602F8">
        <w:t xml:space="preserve">). The total incremental cost of PASCAL to </w:t>
      </w:r>
      <w:proofErr w:type="spellStart"/>
      <w:r w:rsidRPr="005602F8">
        <w:t>MitraClip</w:t>
      </w:r>
      <w:proofErr w:type="spellEnd"/>
      <w:r w:rsidRPr="005602F8">
        <w:t xml:space="preserve"> using the weighted populations of all MRs </w:t>
      </w:r>
      <w:r w:rsidR="008322DC" w:rsidRPr="005602F8">
        <w:t xml:space="preserve">as </w:t>
      </w:r>
      <w:r w:rsidR="005C39CC" w:rsidRPr="005602F8">
        <w:t>presented in the main body of the ADAR</w:t>
      </w:r>
      <w:r w:rsidR="0042651E" w:rsidRPr="005602F8">
        <w:t xml:space="preserve"> </w:t>
      </w:r>
      <w:r w:rsidRPr="005602F8">
        <w:t xml:space="preserve">is </w:t>
      </w:r>
      <w:r w:rsidR="003E5F02" w:rsidRPr="005602F8">
        <w:rPr>
          <w:b/>
          <w:bCs/>
        </w:rPr>
        <w:t>$redacted</w:t>
      </w:r>
      <w:r w:rsidRPr="005602F8">
        <w:t xml:space="preserve">. </w:t>
      </w:r>
      <w:r w:rsidR="00DB4D6D" w:rsidRPr="005602F8">
        <w:t>The corresponding value reported in the ADAR</w:t>
      </w:r>
      <w:r w:rsidR="00982C50" w:rsidRPr="005602F8">
        <w:t xml:space="preserve"> commentary’s</w:t>
      </w:r>
      <w:r w:rsidR="005C39CC" w:rsidRPr="005602F8">
        <w:t xml:space="preserve"> cost-minimisation spreadsheet</w:t>
      </w:r>
      <w:r w:rsidR="00DB4D6D" w:rsidRPr="005602F8">
        <w:t xml:space="preserve"> was </w:t>
      </w:r>
      <w:r w:rsidR="003E5F02" w:rsidRPr="005602F8">
        <w:rPr>
          <w:b/>
          <w:bCs/>
        </w:rPr>
        <w:t>$redacted</w:t>
      </w:r>
      <w:r w:rsidR="00DB4D6D" w:rsidRPr="005602F8">
        <w:t xml:space="preserve"> (</w:t>
      </w:r>
      <w:r w:rsidR="00982C50" w:rsidRPr="005602F8">
        <w:fldChar w:fldCharType="begin"/>
      </w:r>
      <w:r w:rsidR="00982C50" w:rsidRPr="005602F8">
        <w:instrText xml:space="preserve"> REF _Ref86131921 \h </w:instrText>
      </w:r>
      <w:r w:rsidR="003922FD" w:rsidRPr="005602F8">
        <w:instrText xml:space="preserve"> \* MERGEFORMAT </w:instrText>
      </w:r>
      <w:r w:rsidR="00982C50" w:rsidRPr="005602F8">
        <w:fldChar w:fldCharType="separate"/>
      </w:r>
      <w:r w:rsidR="00072539" w:rsidRPr="005602F8">
        <w:t xml:space="preserve">Table </w:t>
      </w:r>
      <w:r w:rsidR="00072539" w:rsidRPr="005602F8">
        <w:rPr>
          <w:noProof/>
        </w:rPr>
        <w:t>13</w:t>
      </w:r>
      <w:r w:rsidR="00982C50" w:rsidRPr="005602F8">
        <w:fldChar w:fldCharType="end"/>
      </w:r>
      <w:r w:rsidR="00DB4D6D" w:rsidRPr="005602F8">
        <w:t>)</w:t>
      </w:r>
      <w:r w:rsidR="00882995" w:rsidRPr="005602F8">
        <w:t>.</w:t>
      </w:r>
      <w:r w:rsidR="00CF4C2C" w:rsidRPr="005602F8">
        <w:t xml:space="preserve"> </w:t>
      </w:r>
      <w:r w:rsidR="00882995" w:rsidRPr="005602F8">
        <w:t>The cost-minimisation spreadsheet did not include the cost</w:t>
      </w:r>
      <w:r w:rsidR="003E5F02" w:rsidRPr="005602F8">
        <w:t xml:space="preserve"> of</w:t>
      </w:r>
      <w:r w:rsidR="00882995" w:rsidRPr="005602F8">
        <w:t xml:space="preserve"> </w:t>
      </w:r>
      <w:r w:rsidR="003E5F02" w:rsidRPr="005602F8">
        <w:rPr>
          <w:b/>
          <w:bCs/>
        </w:rPr>
        <w:t>REDACTED</w:t>
      </w:r>
      <w:bookmarkStart w:id="34" w:name="_Ref97214875"/>
      <w:r w:rsidR="003E5F02" w:rsidRPr="005602F8">
        <w:rPr>
          <w:rStyle w:val="FootnoteReference"/>
          <w:b/>
          <w:bCs/>
        </w:rPr>
        <w:footnoteReference w:id="21"/>
      </w:r>
      <w:bookmarkEnd w:id="34"/>
      <w:r w:rsidR="003E5F02" w:rsidRPr="005602F8">
        <w:rPr>
          <w:b/>
          <w:bCs/>
        </w:rPr>
        <w:t xml:space="preserve">. </w:t>
      </w:r>
      <w:r w:rsidR="00882995" w:rsidRPr="005602F8">
        <w:t xml:space="preserve">Accounting for this cost </w:t>
      </w:r>
      <w:r w:rsidR="00D31540" w:rsidRPr="005602F8">
        <w:t>(</w:t>
      </w:r>
      <w:r w:rsidR="003E5F02" w:rsidRPr="005602F8">
        <w:rPr>
          <w:b/>
          <w:bCs/>
        </w:rPr>
        <w:t>$redacted)</w:t>
      </w:r>
      <w:r w:rsidR="003E5F02" w:rsidRPr="005602F8">
        <w:t xml:space="preserve"> </w:t>
      </w:r>
      <w:r w:rsidR="00882995" w:rsidRPr="005602F8">
        <w:t xml:space="preserve">resulted in an incremental cost of </w:t>
      </w:r>
      <w:r w:rsidR="003E5F02" w:rsidRPr="005602F8">
        <w:rPr>
          <w:b/>
          <w:bCs/>
        </w:rPr>
        <w:t xml:space="preserve">$redacted. </w:t>
      </w:r>
      <w:r w:rsidR="00882995" w:rsidRPr="005602F8">
        <w:t xml:space="preserve">The remaining difference in cost-minimisation results between the ADAR and the model spreadsheet appears to be driven by the different costs of </w:t>
      </w:r>
      <w:r w:rsidR="00C55706" w:rsidRPr="005602F8">
        <w:rPr>
          <w:b/>
          <w:bCs/>
        </w:rPr>
        <w:t>REDACTED</w:t>
      </w:r>
      <w:r w:rsidR="00C57DCA" w:rsidRPr="005602F8">
        <w:rPr>
          <w:b/>
          <w:bCs/>
          <w:vertAlign w:val="superscript"/>
        </w:rPr>
        <w:fldChar w:fldCharType="begin"/>
      </w:r>
      <w:r w:rsidR="00C57DCA" w:rsidRPr="005602F8">
        <w:rPr>
          <w:b/>
          <w:bCs/>
          <w:vertAlign w:val="superscript"/>
        </w:rPr>
        <w:instrText xml:space="preserve"> NOTEREF _Ref97214875 \h  \* MERGEFORMAT </w:instrText>
      </w:r>
      <w:r w:rsidR="00C57DCA" w:rsidRPr="005602F8">
        <w:rPr>
          <w:b/>
          <w:bCs/>
          <w:vertAlign w:val="superscript"/>
        </w:rPr>
      </w:r>
      <w:r w:rsidR="00C57DCA" w:rsidRPr="005602F8">
        <w:rPr>
          <w:b/>
          <w:bCs/>
          <w:vertAlign w:val="superscript"/>
        </w:rPr>
        <w:fldChar w:fldCharType="separate"/>
      </w:r>
      <w:r w:rsidR="00C57DCA" w:rsidRPr="005602F8">
        <w:rPr>
          <w:b/>
          <w:bCs/>
          <w:vertAlign w:val="superscript"/>
        </w:rPr>
        <w:t>20</w:t>
      </w:r>
      <w:r w:rsidR="00C57DCA" w:rsidRPr="005602F8">
        <w:rPr>
          <w:b/>
          <w:bCs/>
          <w:vertAlign w:val="superscript"/>
        </w:rPr>
        <w:fldChar w:fldCharType="end"/>
      </w:r>
      <w:r w:rsidR="00C55706" w:rsidRPr="005602F8">
        <w:rPr>
          <w:b/>
          <w:bCs/>
        </w:rPr>
        <w:t xml:space="preserve"> </w:t>
      </w:r>
      <w:r w:rsidR="00882995" w:rsidRPr="005602F8">
        <w:t>attributed to PASCAL when used for DMR.</w:t>
      </w:r>
    </w:p>
    <w:bookmarkEnd w:id="32"/>
    <w:bookmarkEnd w:id="33"/>
    <w:p w14:paraId="35D3ECFD" w14:textId="2CF38FF2" w:rsidR="005859F7" w:rsidRPr="005602F8" w:rsidRDefault="00B2170E" w:rsidP="005859F7">
      <w:pPr>
        <w:spacing w:before="240"/>
      </w:pPr>
      <w:r w:rsidRPr="005602F8">
        <w:t xml:space="preserve">The </w:t>
      </w:r>
      <w:r w:rsidR="008322DC" w:rsidRPr="005602F8">
        <w:t xml:space="preserve">ADAR and </w:t>
      </w:r>
      <w:r w:rsidRPr="005602F8">
        <w:t xml:space="preserve">commentary </w:t>
      </w:r>
      <w:r w:rsidR="00276310" w:rsidRPr="005602F8">
        <w:t xml:space="preserve">both </w:t>
      </w:r>
      <w:r w:rsidRPr="005602F8">
        <w:t>noted th</w:t>
      </w:r>
      <w:r w:rsidR="008322DC" w:rsidRPr="005602F8">
        <w:t xml:space="preserve">e potential for </w:t>
      </w:r>
      <w:r w:rsidRPr="005602F8">
        <w:t xml:space="preserve">double counting costs when </w:t>
      </w:r>
      <w:r w:rsidR="008E261A" w:rsidRPr="005602F8">
        <w:t xml:space="preserve">including </w:t>
      </w:r>
      <w:r w:rsidR="002C4660" w:rsidRPr="005602F8">
        <w:rPr>
          <w:b/>
          <w:bCs/>
        </w:rPr>
        <w:t>REDACTED</w:t>
      </w:r>
      <w:r w:rsidR="00C57DCA" w:rsidRPr="005602F8">
        <w:rPr>
          <w:b/>
          <w:bCs/>
        </w:rPr>
        <w:t xml:space="preserve"> </w:t>
      </w:r>
      <w:r w:rsidR="00C57DCA" w:rsidRPr="005602F8">
        <w:rPr>
          <w:rStyle w:val="FootnoteReference"/>
          <w:b/>
          <w:bCs/>
        </w:rPr>
        <w:fldChar w:fldCharType="begin"/>
      </w:r>
      <w:r w:rsidR="00C57DCA" w:rsidRPr="005602F8">
        <w:rPr>
          <w:b/>
          <w:bCs/>
          <w:vertAlign w:val="superscript"/>
        </w:rPr>
        <w:instrText xml:space="preserve"> NOTEREF _Ref97214875 \h </w:instrText>
      </w:r>
      <w:r w:rsidR="00C57DCA" w:rsidRPr="005602F8">
        <w:rPr>
          <w:rStyle w:val="FootnoteReference"/>
          <w:b/>
          <w:bCs/>
        </w:rPr>
        <w:instrText xml:space="preserve"> \* MERGEFORMAT </w:instrText>
      </w:r>
      <w:r w:rsidR="00C57DCA" w:rsidRPr="005602F8">
        <w:rPr>
          <w:rStyle w:val="FootnoteReference"/>
          <w:b/>
          <w:bCs/>
        </w:rPr>
      </w:r>
      <w:r w:rsidR="00C57DCA" w:rsidRPr="005602F8">
        <w:rPr>
          <w:rStyle w:val="FootnoteReference"/>
          <w:b/>
          <w:bCs/>
        </w:rPr>
        <w:fldChar w:fldCharType="separate"/>
      </w:r>
      <w:r w:rsidR="00C57DCA" w:rsidRPr="005602F8">
        <w:rPr>
          <w:b/>
          <w:bCs/>
          <w:vertAlign w:val="superscript"/>
        </w:rPr>
        <w:t>20</w:t>
      </w:r>
      <w:r w:rsidR="00C57DCA" w:rsidRPr="005602F8">
        <w:rPr>
          <w:rStyle w:val="FootnoteReference"/>
          <w:b/>
          <w:bCs/>
        </w:rPr>
        <w:fldChar w:fldCharType="end"/>
      </w:r>
      <w:r w:rsidR="00C55706" w:rsidRPr="005602F8">
        <w:rPr>
          <w:b/>
          <w:bCs/>
        </w:rPr>
        <w:t xml:space="preserve"> </w:t>
      </w:r>
      <w:r w:rsidRPr="005602F8">
        <w:t xml:space="preserve">as well as </w:t>
      </w:r>
      <w:r w:rsidR="008E261A" w:rsidRPr="005602F8">
        <w:t xml:space="preserve">separate </w:t>
      </w:r>
      <w:r w:rsidR="006368A4" w:rsidRPr="005602F8">
        <w:t>costs for</w:t>
      </w:r>
      <w:r w:rsidR="00A40151">
        <w:t xml:space="preserve"> </w:t>
      </w:r>
      <w:r w:rsidR="00C55706" w:rsidRPr="005602F8">
        <w:rPr>
          <w:b/>
          <w:bCs/>
        </w:rPr>
        <w:t>REDACTED</w:t>
      </w:r>
      <w:r w:rsidRPr="005602F8">
        <w:t>.</w:t>
      </w:r>
      <w:r w:rsidR="00882995" w:rsidRPr="005602F8">
        <w:t xml:space="preserve"> T</w:t>
      </w:r>
      <w:r w:rsidRPr="005602F8">
        <w:t>h</w:t>
      </w:r>
      <w:r w:rsidR="008322DC" w:rsidRPr="005602F8">
        <w:t>e</w:t>
      </w:r>
      <w:r w:rsidRPr="005602F8">
        <w:t xml:space="preserve"> commentary tested the impact of these parameters by setting the </w:t>
      </w:r>
      <w:r w:rsidR="002C4660" w:rsidRPr="005602F8">
        <w:rPr>
          <w:b/>
          <w:bCs/>
        </w:rPr>
        <w:t xml:space="preserve">REDACTED </w:t>
      </w:r>
      <w:r w:rsidRPr="005602F8">
        <w:t>to 0%, thus removing them from the analysis.</w:t>
      </w:r>
      <w:r w:rsidR="00882995" w:rsidRPr="005602F8">
        <w:t xml:space="preserve"> This resulted in the</w:t>
      </w:r>
      <w:r w:rsidRPr="005602F8">
        <w:t xml:space="preserve"> weighted cost of PASCAL compared with </w:t>
      </w:r>
      <w:proofErr w:type="spellStart"/>
      <w:r w:rsidRPr="005602F8">
        <w:t>MitraClip</w:t>
      </w:r>
      <w:proofErr w:type="spellEnd"/>
      <w:r w:rsidRPr="005602F8">
        <w:t xml:space="preserve"> increas</w:t>
      </w:r>
      <w:r w:rsidR="00882995" w:rsidRPr="005602F8">
        <w:t>ing</w:t>
      </w:r>
      <w:r w:rsidRPr="005602F8">
        <w:t xml:space="preserve"> from </w:t>
      </w:r>
      <w:r w:rsidR="002C4660" w:rsidRPr="005602F8">
        <w:rPr>
          <w:b/>
          <w:bCs/>
        </w:rPr>
        <w:t>$redacted</w:t>
      </w:r>
      <w:r w:rsidR="002C4660" w:rsidRPr="005602F8">
        <w:t xml:space="preserve"> </w:t>
      </w:r>
      <w:r w:rsidRPr="005602F8">
        <w:t xml:space="preserve">to </w:t>
      </w:r>
      <w:r w:rsidR="002C4660" w:rsidRPr="005602F8">
        <w:rPr>
          <w:b/>
          <w:bCs/>
        </w:rPr>
        <w:t>$redacted</w:t>
      </w:r>
      <w:r w:rsidR="002C4660" w:rsidRPr="005602F8">
        <w:t xml:space="preserve"> </w:t>
      </w:r>
      <w:r w:rsidR="00116629" w:rsidRPr="005602F8">
        <w:t>(</w:t>
      </w:r>
      <w:r w:rsidR="009006B8" w:rsidRPr="005602F8">
        <w:fldChar w:fldCharType="begin"/>
      </w:r>
      <w:r w:rsidR="009006B8" w:rsidRPr="005602F8">
        <w:instrText xml:space="preserve"> REF _Ref86131988 \h </w:instrText>
      </w:r>
      <w:r w:rsidR="00ED3444" w:rsidRPr="005602F8">
        <w:instrText xml:space="preserve"> \* MERGEFORMAT </w:instrText>
      </w:r>
      <w:r w:rsidR="009006B8" w:rsidRPr="005602F8">
        <w:fldChar w:fldCharType="separate"/>
      </w:r>
      <w:r w:rsidR="00072539" w:rsidRPr="005602F8">
        <w:t xml:space="preserve">Table </w:t>
      </w:r>
      <w:r w:rsidR="00072539" w:rsidRPr="005602F8">
        <w:rPr>
          <w:noProof/>
        </w:rPr>
        <w:t>14</w:t>
      </w:r>
      <w:r w:rsidR="009006B8" w:rsidRPr="005602F8">
        <w:fldChar w:fldCharType="end"/>
      </w:r>
      <w:r w:rsidR="00116629" w:rsidRPr="005602F8">
        <w:t>)</w:t>
      </w:r>
      <w:r w:rsidRPr="005602F8">
        <w:t>. Additionally,</w:t>
      </w:r>
      <w:r w:rsidR="006368A4" w:rsidRPr="005602F8">
        <w:t xml:space="preserve"> </w:t>
      </w:r>
      <w:r w:rsidR="0055597A" w:rsidRPr="005602F8">
        <w:t xml:space="preserve">removing the </w:t>
      </w:r>
      <w:r w:rsidR="002C4660" w:rsidRPr="005602F8">
        <w:rPr>
          <w:b/>
          <w:bCs/>
        </w:rPr>
        <w:t>REDACTED</w:t>
      </w:r>
      <w:r w:rsidR="00C57DCA" w:rsidRPr="005602F8">
        <w:rPr>
          <w:rStyle w:val="FootnoteReference"/>
        </w:rPr>
        <w:fldChar w:fldCharType="begin"/>
      </w:r>
      <w:r w:rsidR="00C57DCA" w:rsidRPr="005602F8">
        <w:rPr>
          <w:vertAlign w:val="superscript"/>
        </w:rPr>
        <w:instrText xml:space="preserve"> NOTEREF _Ref97214875 \h </w:instrText>
      </w:r>
      <w:r w:rsidR="00C57DCA" w:rsidRPr="005602F8">
        <w:rPr>
          <w:rStyle w:val="FootnoteReference"/>
        </w:rPr>
        <w:instrText xml:space="preserve"> \* MERGEFORMAT </w:instrText>
      </w:r>
      <w:r w:rsidR="00C57DCA" w:rsidRPr="005602F8">
        <w:rPr>
          <w:rStyle w:val="FootnoteReference"/>
        </w:rPr>
      </w:r>
      <w:r w:rsidR="00C57DCA" w:rsidRPr="005602F8">
        <w:rPr>
          <w:rStyle w:val="FootnoteReference"/>
        </w:rPr>
        <w:fldChar w:fldCharType="separate"/>
      </w:r>
      <w:r w:rsidR="00C57DCA" w:rsidRPr="005602F8">
        <w:rPr>
          <w:vertAlign w:val="superscript"/>
        </w:rPr>
        <w:t>20</w:t>
      </w:r>
      <w:r w:rsidR="00C57DCA" w:rsidRPr="005602F8">
        <w:rPr>
          <w:rStyle w:val="FootnoteReference"/>
        </w:rPr>
        <w:fldChar w:fldCharType="end"/>
      </w:r>
      <w:r w:rsidR="00BD2635">
        <w:t xml:space="preserve"> </w:t>
      </w:r>
      <w:r w:rsidR="0055597A" w:rsidRPr="005602F8">
        <w:t>to prevent double counting</w:t>
      </w:r>
      <w:r w:rsidRPr="005602F8">
        <w:t xml:space="preserve"> </w:t>
      </w:r>
      <w:r w:rsidR="0055597A" w:rsidRPr="005602F8">
        <w:t>result</w:t>
      </w:r>
      <w:r w:rsidR="00882995" w:rsidRPr="005602F8">
        <w:t>ed</w:t>
      </w:r>
      <w:r w:rsidR="0055597A" w:rsidRPr="005602F8">
        <w:t xml:space="preserve"> in a </w:t>
      </w:r>
      <w:r w:rsidR="002C4660" w:rsidRPr="005602F8">
        <w:rPr>
          <w:b/>
          <w:bCs/>
        </w:rPr>
        <w:t xml:space="preserve">REDACTED </w:t>
      </w:r>
      <w:r w:rsidRPr="005602F8">
        <w:t xml:space="preserve">of </w:t>
      </w:r>
      <w:r w:rsidR="002C4660" w:rsidRPr="005602F8">
        <w:rPr>
          <w:b/>
          <w:bCs/>
        </w:rPr>
        <w:t>$redacted</w:t>
      </w:r>
      <w:r w:rsidR="002C4660" w:rsidRPr="005602F8">
        <w:t xml:space="preserve"> </w:t>
      </w:r>
      <w:r w:rsidR="001B26F4" w:rsidRPr="005602F8">
        <w:t xml:space="preserve">with </w:t>
      </w:r>
      <w:r w:rsidRPr="005602F8">
        <w:t xml:space="preserve">PASCAL compared with </w:t>
      </w:r>
      <w:proofErr w:type="spellStart"/>
      <w:r w:rsidRPr="005602F8">
        <w:t>MitraClip</w:t>
      </w:r>
      <w:proofErr w:type="spellEnd"/>
      <w:r w:rsidR="00116629" w:rsidRPr="005602F8">
        <w:t xml:space="preserve"> (</w:t>
      </w:r>
      <w:r w:rsidR="009006B8" w:rsidRPr="005602F8">
        <w:fldChar w:fldCharType="begin"/>
      </w:r>
      <w:r w:rsidR="009006B8" w:rsidRPr="005602F8">
        <w:instrText xml:space="preserve"> REF _Ref86131988 \h </w:instrText>
      </w:r>
      <w:r w:rsidR="00ED3444" w:rsidRPr="005602F8">
        <w:instrText xml:space="preserve"> \* MERGEFORMAT </w:instrText>
      </w:r>
      <w:r w:rsidR="009006B8" w:rsidRPr="005602F8">
        <w:fldChar w:fldCharType="separate"/>
      </w:r>
      <w:r w:rsidR="00072539" w:rsidRPr="005602F8">
        <w:t xml:space="preserve">Table </w:t>
      </w:r>
      <w:r w:rsidR="00072539" w:rsidRPr="005602F8">
        <w:rPr>
          <w:noProof/>
        </w:rPr>
        <w:t>14</w:t>
      </w:r>
      <w:r w:rsidR="009006B8" w:rsidRPr="005602F8">
        <w:fldChar w:fldCharType="end"/>
      </w:r>
      <w:r w:rsidR="00116629" w:rsidRPr="005602F8">
        <w:t>)</w:t>
      </w:r>
      <w:r w:rsidRPr="005602F8">
        <w:t>.</w:t>
      </w:r>
      <w:r w:rsidR="009B42FC" w:rsidRPr="005602F8">
        <w:t xml:space="preserve"> </w:t>
      </w:r>
      <w:r w:rsidR="00481C77" w:rsidRPr="005602F8">
        <w:t xml:space="preserve">The </w:t>
      </w:r>
      <w:r w:rsidRPr="005602F8">
        <w:t xml:space="preserve">maximum additional cost </w:t>
      </w:r>
      <w:r w:rsidR="00DD30D1" w:rsidRPr="005602F8">
        <w:t xml:space="preserve">for PASCAL compared with </w:t>
      </w:r>
      <w:proofErr w:type="spellStart"/>
      <w:r w:rsidR="00DD30D1" w:rsidRPr="005602F8">
        <w:t>MitraClip</w:t>
      </w:r>
      <w:proofErr w:type="spellEnd"/>
      <w:r w:rsidR="00DD30D1" w:rsidRPr="005602F8">
        <w:t xml:space="preserve"> </w:t>
      </w:r>
      <w:r w:rsidRPr="005602F8">
        <w:t>in any scenario</w:t>
      </w:r>
      <w:r w:rsidR="00732E25" w:rsidRPr="005602F8">
        <w:t xml:space="preserve"> changing the value of</w:t>
      </w:r>
      <w:r w:rsidR="00481C77" w:rsidRPr="005602F8">
        <w:t xml:space="preserve"> the</w:t>
      </w:r>
      <w:r w:rsidR="00D15E0F" w:rsidRPr="005602F8">
        <w:t xml:space="preserve"> </w:t>
      </w:r>
      <w:r w:rsidR="00481C77" w:rsidRPr="005602F8">
        <w:t xml:space="preserve">parameters </w:t>
      </w:r>
      <w:r w:rsidRPr="005602F8">
        <w:t xml:space="preserve">was </w:t>
      </w:r>
      <w:r w:rsidR="002C4660" w:rsidRPr="005602F8">
        <w:rPr>
          <w:b/>
          <w:bCs/>
        </w:rPr>
        <w:t xml:space="preserve">$redacted </w:t>
      </w:r>
      <w:r w:rsidR="00116629" w:rsidRPr="005602F8">
        <w:t>(</w:t>
      </w:r>
      <w:r w:rsidR="009006B8" w:rsidRPr="005602F8">
        <w:fldChar w:fldCharType="begin"/>
      </w:r>
      <w:r w:rsidR="009006B8" w:rsidRPr="005602F8">
        <w:instrText xml:space="preserve"> REF _Ref86131988 \h </w:instrText>
      </w:r>
      <w:r w:rsidR="00ED3444" w:rsidRPr="005602F8">
        <w:instrText xml:space="preserve"> \* MERGEFORMAT </w:instrText>
      </w:r>
      <w:r w:rsidR="009006B8" w:rsidRPr="005602F8">
        <w:fldChar w:fldCharType="separate"/>
      </w:r>
      <w:r w:rsidR="00072539" w:rsidRPr="005602F8">
        <w:t xml:space="preserve">Table </w:t>
      </w:r>
      <w:r w:rsidR="00072539" w:rsidRPr="005602F8">
        <w:rPr>
          <w:noProof/>
        </w:rPr>
        <w:t>14</w:t>
      </w:r>
      <w:r w:rsidR="009006B8" w:rsidRPr="005602F8">
        <w:fldChar w:fldCharType="end"/>
      </w:r>
      <w:r w:rsidR="00116629" w:rsidRPr="005602F8">
        <w:t>)</w:t>
      </w:r>
      <w:r w:rsidRPr="005602F8">
        <w:t>.</w:t>
      </w:r>
      <w:bookmarkStart w:id="35" w:name="_Ref86131988"/>
      <w:r w:rsidR="005859F7" w:rsidRPr="005602F8">
        <w:br w:type="page"/>
      </w:r>
    </w:p>
    <w:p w14:paraId="7052C09B" w14:textId="6530237F" w:rsidR="009006B8" w:rsidRPr="005602F8" w:rsidRDefault="009006B8" w:rsidP="009006B8">
      <w:pPr>
        <w:pStyle w:val="Caption"/>
        <w:rPr>
          <w:color w:val="8064A2" w:themeColor="accent4"/>
          <w:vertAlign w:val="superscript"/>
        </w:rPr>
      </w:pPr>
      <w:r w:rsidRPr="005602F8">
        <w:lastRenderedPageBreak/>
        <w:t xml:space="preserve">Table </w:t>
      </w:r>
      <w:r w:rsidR="00002063">
        <w:fldChar w:fldCharType="begin"/>
      </w:r>
      <w:r w:rsidR="00002063">
        <w:instrText xml:space="preserve"> SEQ Table \* ARABIC </w:instrText>
      </w:r>
      <w:r w:rsidR="00002063">
        <w:fldChar w:fldCharType="separate"/>
      </w:r>
      <w:r w:rsidR="000F39B8" w:rsidRPr="005602F8">
        <w:rPr>
          <w:noProof/>
        </w:rPr>
        <w:t>14</w:t>
      </w:r>
      <w:r w:rsidR="00002063">
        <w:rPr>
          <w:noProof/>
        </w:rPr>
        <w:fldChar w:fldCharType="end"/>
      </w:r>
      <w:bookmarkEnd w:id="35"/>
      <w:r w:rsidRPr="005602F8">
        <w:t xml:space="preserve"> Independent assessment of costing parameters: removing </w:t>
      </w:r>
      <w:r w:rsidR="004C4746" w:rsidRPr="005602F8">
        <w:t>REDACTED</w:t>
      </w:r>
      <w:r w:rsidR="005602F8">
        <w:t> </w:t>
      </w:r>
      <w:r w:rsidR="005602F8" w:rsidRPr="005602F8">
        <w:rPr>
          <w:vertAlign w:val="superscript"/>
        </w:rPr>
        <w:fldChar w:fldCharType="begin"/>
      </w:r>
      <w:r w:rsidR="005602F8" w:rsidRPr="005602F8">
        <w:rPr>
          <w:vertAlign w:val="superscript"/>
        </w:rPr>
        <w:instrText xml:space="preserve"> NOTEREF _Ref97217802 \h </w:instrText>
      </w:r>
      <w:r w:rsidR="005602F8">
        <w:rPr>
          <w:vertAlign w:val="superscript"/>
        </w:rPr>
        <w:instrText xml:space="preserve"> \* MERGEFORMAT </w:instrText>
      </w:r>
      <w:r w:rsidR="005602F8" w:rsidRPr="005602F8">
        <w:rPr>
          <w:vertAlign w:val="superscript"/>
        </w:rPr>
      </w:r>
      <w:r w:rsidR="005602F8" w:rsidRPr="005602F8">
        <w:rPr>
          <w:vertAlign w:val="superscript"/>
        </w:rPr>
        <w:fldChar w:fldCharType="separate"/>
      </w:r>
      <w:r w:rsidR="005602F8" w:rsidRPr="005602F8">
        <w:rPr>
          <w:vertAlign w:val="superscript"/>
        </w:rPr>
        <w:t>21</w:t>
      </w:r>
      <w:r w:rsidR="005602F8" w:rsidRPr="005602F8">
        <w:rPr>
          <w:vertAlign w:val="superscript"/>
        </w:rPr>
        <w:fldChar w:fldCharType="end"/>
      </w:r>
      <w:r w:rsidR="004C4746" w:rsidRPr="005602F8">
        <w:rPr>
          <w:vertAlign w:val="superscript"/>
        </w:rPr>
        <w:t xml:space="preserve"> </w:t>
      </w:r>
      <w:r w:rsidRPr="005602F8">
        <w:t xml:space="preserve">or </w:t>
      </w:r>
      <w:r w:rsidR="004C4746" w:rsidRPr="005602F8">
        <w:t>REDACTED</w:t>
      </w:r>
      <w:r w:rsidRPr="005602F8">
        <w:t xml:space="preserve"> from the analysis</w:t>
      </w:r>
      <w:r w:rsidR="00212B19" w:rsidRPr="005602F8">
        <w:t xml:space="preserve"> </w:t>
      </w:r>
      <w:r w:rsidR="00212B19" w:rsidRPr="005602F8">
        <w:rPr>
          <w:vertAlign w:val="superscript"/>
        </w:rPr>
        <w:t>a</w:t>
      </w:r>
    </w:p>
    <w:tbl>
      <w:tblPr>
        <w:tblStyle w:val="MSACTable"/>
        <w:tblW w:w="0" w:type="auto"/>
        <w:tblLayout w:type="fixed"/>
        <w:tblLook w:val="04A0" w:firstRow="1" w:lastRow="0" w:firstColumn="1" w:lastColumn="0" w:noHBand="0" w:noVBand="1"/>
        <w:tblDescription w:val="Independent assessment of costing parameters: removing MAEs or stroke/MI/revision surgery from the analysis a"/>
      </w:tblPr>
      <w:tblGrid>
        <w:gridCol w:w="1271"/>
        <w:gridCol w:w="1134"/>
        <w:gridCol w:w="1134"/>
        <w:gridCol w:w="1134"/>
        <w:gridCol w:w="1134"/>
        <w:gridCol w:w="1064"/>
        <w:gridCol w:w="1043"/>
        <w:gridCol w:w="1102"/>
      </w:tblGrid>
      <w:tr w:rsidR="004D4EC9" w:rsidRPr="005602F8" w14:paraId="2E9DD113" w14:textId="46DA1938" w:rsidTr="00B06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7ED38E5" w14:textId="4FFDF87F" w:rsidR="00116629" w:rsidRPr="005602F8" w:rsidRDefault="00116629" w:rsidP="004C4746">
            <w:pPr>
              <w:pStyle w:val="Tablenotes"/>
            </w:pPr>
          </w:p>
        </w:tc>
        <w:tc>
          <w:tcPr>
            <w:tcW w:w="3402" w:type="dxa"/>
            <w:gridSpan w:val="3"/>
          </w:tcPr>
          <w:p w14:paraId="62AC995B" w14:textId="0650ED25" w:rsidR="00116629" w:rsidRPr="005602F8" w:rsidRDefault="00116629" w:rsidP="004C4746">
            <w:pPr>
              <w:pStyle w:val="Tablenotes"/>
              <w:cnfStyle w:val="100000000000" w:firstRow="1" w:lastRow="0" w:firstColumn="0" w:lastColumn="0" w:oddVBand="0" w:evenVBand="0" w:oddHBand="0" w:evenHBand="0" w:firstRowFirstColumn="0" w:firstRowLastColumn="0" w:lastRowFirstColumn="0" w:lastRowLastColumn="0"/>
            </w:pPr>
            <w:r w:rsidRPr="005602F8">
              <w:t>FMR</w:t>
            </w:r>
          </w:p>
        </w:tc>
        <w:tc>
          <w:tcPr>
            <w:tcW w:w="3241" w:type="dxa"/>
            <w:gridSpan w:val="3"/>
          </w:tcPr>
          <w:p w14:paraId="1284351E" w14:textId="2D7384F3" w:rsidR="00116629" w:rsidRPr="005602F8" w:rsidRDefault="00116629" w:rsidP="004C4746">
            <w:pPr>
              <w:pStyle w:val="Tablenotes"/>
              <w:cnfStyle w:val="100000000000" w:firstRow="1" w:lastRow="0" w:firstColumn="0" w:lastColumn="0" w:oddVBand="0" w:evenVBand="0" w:oddHBand="0" w:evenHBand="0" w:firstRowFirstColumn="0" w:firstRowLastColumn="0" w:lastRowFirstColumn="0" w:lastRowLastColumn="0"/>
            </w:pPr>
            <w:r w:rsidRPr="005602F8">
              <w:t>DMR</w:t>
            </w:r>
          </w:p>
        </w:tc>
        <w:tc>
          <w:tcPr>
            <w:tcW w:w="1102" w:type="dxa"/>
            <w:vMerge w:val="restart"/>
          </w:tcPr>
          <w:p w14:paraId="74F67971" w14:textId="1AFBBEF9" w:rsidR="00116629" w:rsidRPr="005602F8" w:rsidRDefault="00116629" w:rsidP="004C4746">
            <w:pPr>
              <w:pStyle w:val="Tablenotes"/>
              <w:cnfStyle w:val="100000000000" w:firstRow="1" w:lastRow="0" w:firstColumn="0" w:lastColumn="0" w:oddVBand="0" w:evenVBand="0" w:oddHBand="0" w:evenHBand="0" w:firstRowFirstColumn="0" w:firstRowLastColumn="0" w:lastRowFirstColumn="0" w:lastRowLastColumn="0"/>
            </w:pPr>
            <w:r w:rsidRPr="005602F8">
              <w:t>Weighted Difference</w:t>
            </w:r>
          </w:p>
        </w:tc>
      </w:tr>
      <w:tr w:rsidR="004C4746" w:rsidRPr="005602F8" w14:paraId="5C024CD0" w14:textId="192FEAAB" w:rsidTr="00B06C67">
        <w:tc>
          <w:tcPr>
            <w:cnfStyle w:val="001000000000" w:firstRow="0" w:lastRow="0" w:firstColumn="1" w:lastColumn="0" w:oddVBand="0" w:evenVBand="0" w:oddHBand="0" w:evenHBand="0" w:firstRowFirstColumn="0" w:firstRowLastColumn="0" w:lastRowFirstColumn="0" w:lastRowLastColumn="0"/>
            <w:tcW w:w="1271" w:type="dxa"/>
          </w:tcPr>
          <w:p w14:paraId="776A8477" w14:textId="3571FC2E" w:rsidR="00116629" w:rsidRPr="005602F8" w:rsidRDefault="00116629" w:rsidP="004C4746">
            <w:pPr>
              <w:pStyle w:val="Tablenotes"/>
            </w:pPr>
          </w:p>
        </w:tc>
        <w:tc>
          <w:tcPr>
            <w:tcW w:w="1134" w:type="dxa"/>
          </w:tcPr>
          <w:p w14:paraId="4C68BCC5" w14:textId="01E18B54" w:rsidR="00116629" w:rsidRPr="005602F8" w:rsidRDefault="00116629" w:rsidP="004C4746">
            <w:pPr>
              <w:pStyle w:val="Tablenotes"/>
              <w:cnfStyle w:val="000000000000" w:firstRow="0" w:lastRow="0" w:firstColumn="0" w:lastColumn="0" w:oddVBand="0" w:evenVBand="0" w:oddHBand="0" w:evenHBand="0" w:firstRowFirstColumn="0" w:firstRowLastColumn="0" w:lastRowFirstColumn="0" w:lastRowLastColumn="0"/>
              <w:rPr>
                <w:b/>
                <w:bCs/>
              </w:rPr>
            </w:pPr>
            <w:r w:rsidRPr="005602F8">
              <w:rPr>
                <w:b/>
                <w:bCs/>
              </w:rPr>
              <w:t>PASCAL</w:t>
            </w:r>
          </w:p>
        </w:tc>
        <w:tc>
          <w:tcPr>
            <w:tcW w:w="1134" w:type="dxa"/>
          </w:tcPr>
          <w:p w14:paraId="691EAF00" w14:textId="6727075C" w:rsidR="00116629" w:rsidRPr="005602F8" w:rsidRDefault="00116629" w:rsidP="004C4746">
            <w:pPr>
              <w:pStyle w:val="Tablenotes"/>
              <w:cnfStyle w:val="000000000000" w:firstRow="0" w:lastRow="0" w:firstColumn="0" w:lastColumn="0" w:oddVBand="0" w:evenVBand="0" w:oddHBand="0" w:evenHBand="0" w:firstRowFirstColumn="0" w:firstRowLastColumn="0" w:lastRowFirstColumn="0" w:lastRowLastColumn="0"/>
              <w:rPr>
                <w:b/>
                <w:bCs/>
              </w:rPr>
            </w:pPr>
            <w:proofErr w:type="spellStart"/>
            <w:r w:rsidRPr="005602F8">
              <w:rPr>
                <w:b/>
                <w:bCs/>
              </w:rPr>
              <w:t>MitraClip</w:t>
            </w:r>
            <w:proofErr w:type="spellEnd"/>
          </w:p>
        </w:tc>
        <w:tc>
          <w:tcPr>
            <w:tcW w:w="1134" w:type="dxa"/>
          </w:tcPr>
          <w:p w14:paraId="592C803F" w14:textId="714C54E9" w:rsidR="00116629" w:rsidRPr="005602F8" w:rsidRDefault="00116629" w:rsidP="004C4746">
            <w:pPr>
              <w:pStyle w:val="Tablenotes"/>
              <w:cnfStyle w:val="000000000000" w:firstRow="0" w:lastRow="0" w:firstColumn="0" w:lastColumn="0" w:oddVBand="0" w:evenVBand="0" w:oddHBand="0" w:evenHBand="0" w:firstRowFirstColumn="0" w:firstRowLastColumn="0" w:lastRowFirstColumn="0" w:lastRowLastColumn="0"/>
              <w:rPr>
                <w:b/>
                <w:bCs/>
              </w:rPr>
            </w:pPr>
            <w:r w:rsidRPr="005602F8">
              <w:rPr>
                <w:b/>
                <w:bCs/>
              </w:rPr>
              <w:t>Difference</w:t>
            </w:r>
          </w:p>
        </w:tc>
        <w:tc>
          <w:tcPr>
            <w:tcW w:w="1134" w:type="dxa"/>
          </w:tcPr>
          <w:p w14:paraId="1B40C449" w14:textId="1237F8AF" w:rsidR="00116629" w:rsidRPr="005602F8" w:rsidRDefault="00116629" w:rsidP="004C4746">
            <w:pPr>
              <w:pStyle w:val="Tablenotes"/>
              <w:cnfStyle w:val="000000000000" w:firstRow="0" w:lastRow="0" w:firstColumn="0" w:lastColumn="0" w:oddVBand="0" w:evenVBand="0" w:oddHBand="0" w:evenHBand="0" w:firstRowFirstColumn="0" w:firstRowLastColumn="0" w:lastRowFirstColumn="0" w:lastRowLastColumn="0"/>
              <w:rPr>
                <w:b/>
                <w:bCs/>
              </w:rPr>
            </w:pPr>
            <w:r w:rsidRPr="005602F8">
              <w:rPr>
                <w:b/>
                <w:bCs/>
              </w:rPr>
              <w:t>PASCAL</w:t>
            </w:r>
          </w:p>
        </w:tc>
        <w:tc>
          <w:tcPr>
            <w:tcW w:w="1064" w:type="dxa"/>
          </w:tcPr>
          <w:p w14:paraId="1EB6DE5E" w14:textId="69619EC3" w:rsidR="00116629" w:rsidRPr="005602F8" w:rsidRDefault="00116629" w:rsidP="004C4746">
            <w:pPr>
              <w:pStyle w:val="Tablenotes"/>
              <w:cnfStyle w:val="000000000000" w:firstRow="0" w:lastRow="0" w:firstColumn="0" w:lastColumn="0" w:oddVBand="0" w:evenVBand="0" w:oddHBand="0" w:evenHBand="0" w:firstRowFirstColumn="0" w:firstRowLastColumn="0" w:lastRowFirstColumn="0" w:lastRowLastColumn="0"/>
              <w:rPr>
                <w:b/>
                <w:bCs/>
              </w:rPr>
            </w:pPr>
            <w:proofErr w:type="spellStart"/>
            <w:r w:rsidRPr="005602F8">
              <w:rPr>
                <w:b/>
                <w:bCs/>
              </w:rPr>
              <w:t>MitraClip</w:t>
            </w:r>
            <w:proofErr w:type="spellEnd"/>
          </w:p>
        </w:tc>
        <w:tc>
          <w:tcPr>
            <w:tcW w:w="1043" w:type="dxa"/>
          </w:tcPr>
          <w:p w14:paraId="687D7850" w14:textId="6A7D5056" w:rsidR="00116629" w:rsidRPr="005602F8" w:rsidRDefault="00116629" w:rsidP="004C4746">
            <w:pPr>
              <w:pStyle w:val="Tablenotes"/>
              <w:cnfStyle w:val="000000000000" w:firstRow="0" w:lastRow="0" w:firstColumn="0" w:lastColumn="0" w:oddVBand="0" w:evenVBand="0" w:oddHBand="0" w:evenHBand="0" w:firstRowFirstColumn="0" w:firstRowLastColumn="0" w:lastRowFirstColumn="0" w:lastRowLastColumn="0"/>
              <w:rPr>
                <w:b/>
                <w:bCs/>
              </w:rPr>
            </w:pPr>
            <w:r w:rsidRPr="005602F8">
              <w:rPr>
                <w:b/>
                <w:bCs/>
              </w:rPr>
              <w:t>Difference</w:t>
            </w:r>
          </w:p>
        </w:tc>
        <w:tc>
          <w:tcPr>
            <w:tcW w:w="1102" w:type="dxa"/>
            <w:vMerge/>
          </w:tcPr>
          <w:p w14:paraId="307D8FCC" w14:textId="647FE2E2" w:rsidR="00116629" w:rsidRPr="005602F8" w:rsidRDefault="00116629" w:rsidP="004C4746">
            <w:pPr>
              <w:pStyle w:val="Tablenotes"/>
              <w:cnfStyle w:val="000000000000" w:firstRow="0" w:lastRow="0" w:firstColumn="0" w:lastColumn="0" w:oddVBand="0" w:evenVBand="0" w:oddHBand="0" w:evenHBand="0" w:firstRowFirstColumn="0" w:firstRowLastColumn="0" w:lastRowFirstColumn="0" w:lastRowLastColumn="0"/>
            </w:pPr>
          </w:p>
        </w:tc>
      </w:tr>
      <w:tr w:rsidR="004C4746" w:rsidRPr="005602F8" w14:paraId="0390AE48" w14:textId="04AA6017" w:rsidTr="00B06C67">
        <w:tc>
          <w:tcPr>
            <w:cnfStyle w:val="001000000000" w:firstRow="0" w:lastRow="0" w:firstColumn="1" w:lastColumn="0" w:oddVBand="0" w:evenVBand="0" w:oddHBand="0" w:evenHBand="0" w:firstRowFirstColumn="0" w:firstRowLastColumn="0" w:lastRowFirstColumn="0" w:lastRowLastColumn="0"/>
            <w:tcW w:w="1271" w:type="dxa"/>
          </w:tcPr>
          <w:p w14:paraId="5F49C13F" w14:textId="036E8C3F" w:rsidR="004C4746" w:rsidRPr="005602F8" w:rsidRDefault="004C4746" w:rsidP="004C4746">
            <w:pPr>
              <w:pStyle w:val="Tablenotes"/>
            </w:pPr>
            <w:r w:rsidRPr="005602F8">
              <w:t>Base case</w:t>
            </w:r>
          </w:p>
        </w:tc>
        <w:tc>
          <w:tcPr>
            <w:tcW w:w="1134" w:type="dxa"/>
          </w:tcPr>
          <w:p w14:paraId="2B876721" w14:textId="4A321AA6"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048C1D48" w14:textId="7F351CA1"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0E4C00CA" w14:textId="339853E3"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14C7109D" w14:textId="75D6E7A1"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64" w:type="dxa"/>
            <w:vAlign w:val="top"/>
          </w:tcPr>
          <w:p w14:paraId="33D51899" w14:textId="50810638"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43" w:type="dxa"/>
            <w:vAlign w:val="top"/>
          </w:tcPr>
          <w:p w14:paraId="111D7CF4" w14:textId="0CC8F593"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02" w:type="dxa"/>
            <w:vAlign w:val="top"/>
          </w:tcPr>
          <w:p w14:paraId="334F482D" w14:textId="1481B30A"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r>
      <w:tr w:rsidR="004C4746" w:rsidRPr="005602F8" w14:paraId="79C4C67D" w14:textId="06939266" w:rsidTr="00B06C67">
        <w:tc>
          <w:tcPr>
            <w:cnfStyle w:val="001000000000" w:firstRow="0" w:lastRow="0" w:firstColumn="1" w:lastColumn="0" w:oddVBand="0" w:evenVBand="0" w:oddHBand="0" w:evenHBand="0" w:firstRowFirstColumn="0" w:firstRowLastColumn="0" w:lastRowFirstColumn="0" w:lastRowLastColumn="0"/>
            <w:tcW w:w="1271" w:type="dxa"/>
          </w:tcPr>
          <w:p w14:paraId="607AC204" w14:textId="4EBE532C" w:rsidR="004C4746" w:rsidRPr="005602F8" w:rsidRDefault="004C4746" w:rsidP="004C4746">
            <w:pPr>
              <w:pStyle w:val="Tablenotes"/>
            </w:pPr>
            <w:r w:rsidRPr="005602F8">
              <w:t xml:space="preserve">Removing </w:t>
            </w:r>
            <w:r w:rsidR="00B06C67" w:rsidRPr="005602F8">
              <w:t>REDACTED</w:t>
            </w:r>
          </w:p>
        </w:tc>
        <w:tc>
          <w:tcPr>
            <w:tcW w:w="1134" w:type="dxa"/>
            <w:vAlign w:val="top"/>
          </w:tcPr>
          <w:p w14:paraId="607206B1" w14:textId="76899A95"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11779C14" w14:textId="17FC3553"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34AB74B2" w14:textId="419679E8"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30A8AACE" w14:textId="44CFA16E"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64" w:type="dxa"/>
            <w:vAlign w:val="top"/>
          </w:tcPr>
          <w:p w14:paraId="51AD6804" w14:textId="6C70E53B"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43" w:type="dxa"/>
            <w:vAlign w:val="top"/>
          </w:tcPr>
          <w:p w14:paraId="047C50BA" w14:textId="4216F455"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02" w:type="dxa"/>
            <w:vAlign w:val="top"/>
          </w:tcPr>
          <w:p w14:paraId="303198EF" w14:textId="05A829F0"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r>
      <w:tr w:rsidR="004C4746" w:rsidRPr="005602F8" w14:paraId="15DC205A" w14:textId="51AC40C3" w:rsidTr="00B06C67">
        <w:tc>
          <w:tcPr>
            <w:cnfStyle w:val="001000000000" w:firstRow="0" w:lastRow="0" w:firstColumn="1" w:lastColumn="0" w:oddVBand="0" w:evenVBand="0" w:oddHBand="0" w:evenHBand="0" w:firstRowFirstColumn="0" w:firstRowLastColumn="0" w:lastRowFirstColumn="0" w:lastRowLastColumn="0"/>
            <w:tcW w:w="1271" w:type="dxa"/>
          </w:tcPr>
          <w:p w14:paraId="0CFF960F" w14:textId="1F5D937D" w:rsidR="004C4746" w:rsidRPr="005602F8" w:rsidRDefault="004C4746" w:rsidP="004C4746">
            <w:pPr>
              <w:pStyle w:val="Tablenotes"/>
            </w:pPr>
            <w:r w:rsidRPr="005602F8">
              <w:t xml:space="preserve">Only including </w:t>
            </w:r>
            <w:r w:rsidR="00B06C67" w:rsidRPr="005602F8">
              <w:t>REDACTED</w:t>
            </w:r>
          </w:p>
        </w:tc>
        <w:tc>
          <w:tcPr>
            <w:tcW w:w="1134" w:type="dxa"/>
            <w:vAlign w:val="top"/>
          </w:tcPr>
          <w:p w14:paraId="442C7F9C" w14:textId="63EFD7D5"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7A286C6B" w14:textId="0337F3C7"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7BD44286" w14:textId="148FD444"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1909000D" w14:textId="6CCEE64E"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64" w:type="dxa"/>
            <w:vAlign w:val="top"/>
          </w:tcPr>
          <w:p w14:paraId="09539F75" w14:textId="5866389E"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43" w:type="dxa"/>
            <w:vAlign w:val="top"/>
          </w:tcPr>
          <w:p w14:paraId="68190FD6" w14:textId="6496F005"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02" w:type="dxa"/>
            <w:vAlign w:val="top"/>
          </w:tcPr>
          <w:p w14:paraId="248177C2" w14:textId="0D82DBDE"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r>
      <w:tr w:rsidR="004C4746" w:rsidRPr="005602F8" w14:paraId="415A36F6" w14:textId="11A49B9C" w:rsidTr="00B06C67">
        <w:tc>
          <w:tcPr>
            <w:cnfStyle w:val="001000000000" w:firstRow="0" w:lastRow="0" w:firstColumn="1" w:lastColumn="0" w:oddVBand="0" w:evenVBand="0" w:oddHBand="0" w:evenHBand="0" w:firstRowFirstColumn="0" w:firstRowLastColumn="0" w:lastRowFirstColumn="0" w:lastRowLastColumn="0"/>
            <w:tcW w:w="1271" w:type="dxa"/>
          </w:tcPr>
          <w:p w14:paraId="38D1CC20" w14:textId="4697ED6B" w:rsidR="004C4746" w:rsidRPr="005602F8" w:rsidRDefault="004C4746" w:rsidP="004C4746">
            <w:pPr>
              <w:pStyle w:val="Tablenotes"/>
            </w:pPr>
            <w:r w:rsidRPr="005602F8">
              <w:t xml:space="preserve">Revision of </w:t>
            </w:r>
            <w:proofErr w:type="spellStart"/>
            <w:r w:rsidRPr="005602F8">
              <w:t>MitraClip</w:t>
            </w:r>
            <w:proofErr w:type="spellEnd"/>
            <w:r w:rsidRPr="005602F8">
              <w:t xml:space="preserve"> cost</w:t>
            </w:r>
          </w:p>
        </w:tc>
        <w:tc>
          <w:tcPr>
            <w:tcW w:w="1134" w:type="dxa"/>
            <w:vAlign w:val="top"/>
          </w:tcPr>
          <w:p w14:paraId="6390C0A3" w14:textId="70398446"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433B2553" w14:textId="69946D36"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4F13C182" w14:textId="7E2E8D26"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43F388B2" w14:textId="5AE9F785"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64" w:type="dxa"/>
            <w:vAlign w:val="top"/>
          </w:tcPr>
          <w:p w14:paraId="70CFE0CA" w14:textId="3A715EED"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43" w:type="dxa"/>
            <w:vAlign w:val="top"/>
          </w:tcPr>
          <w:p w14:paraId="71EF9433" w14:textId="2A538849"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02" w:type="dxa"/>
            <w:vAlign w:val="top"/>
          </w:tcPr>
          <w:p w14:paraId="0F155B3F" w14:textId="61A0185B"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r>
      <w:tr w:rsidR="004C4746" w:rsidRPr="005602F8" w14:paraId="4E9DF7E8" w14:textId="5CBC72AA" w:rsidTr="00B06C67">
        <w:tc>
          <w:tcPr>
            <w:cnfStyle w:val="001000000000" w:firstRow="0" w:lastRow="0" w:firstColumn="1" w:lastColumn="0" w:oddVBand="0" w:evenVBand="0" w:oddHBand="0" w:evenHBand="0" w:firstRowFirstColumn="0" w:firstRowLastColumn="0" w:lastRowFirstColumn="0" w:lastRowLastColumn="0"/>
            <w:tcW w:w="1271" w:type="dxa"/>
          </w:tcPr>
          <w:p w14:paraId="3CFB4240" w14:textId="55D351F8" w:rsidR="004C4746" w:rsidRPr="005602F8" w:rsidRDefault="004C4746" w:rsidP="004C4746">
            <w:pPr>
              <w:pStyle w:val="Tablenotes"/>
            </w:pPr>
            <w:r w:rsidRPr="005602F8">
              <w:t xml:space="preserve">Revision of risk of </w:t>
            </w:r>
            <w:r w:rsidR="00B06C67" w:rsidRPr="005602F8">
              <w:t>REDACTION</w:t>
            </w:r>
            <w:r w:rsidRPr="005602F8">
              <w:t xml:space="preserve"> (PASCAL; FMR)</w:t>
            </w:r>
          </w:p>
        </w:tc>
        <w:tc>
          <w:tcPr>
            <w:tcW w:w="1134" w:type="dxa"/>
            <w:vAlign w:val="top"/>
          </w:tcPr>
          <w:p w14:paraId="0E2964A6" w14:textId="26FC7B0D"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6506EE26" w14:textId="3F09610A"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55EB0A56" w14:textId="65DC82C4"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34F8599D" w14:textId="579173A4"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64" w:type="dxa"/>
            <w:vAlign w:val="top"/>
          </w:tcPr>
          <w:p w14:paraId="3692A3BE" w14:textId="020E3DA3"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43" w:type="dxa"/>
            <w:vAlign w:val="top"/>
          </w:tcPr>
          <w:p w14:paraId="32A08358" w14:textId="775F4EA2"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02" w:type="dxa"/>
            <w:vAlign w:val="top"/>
          </w:tcPr>
          <w:p w14:paraId="52DBA035" w14:textId="1E589471"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r>
      <w:tr w:rsidR="004C4746" w:rsidRPr="005602F8" w14:paraId="0FF644E5" w14:textId="7AC9066F" w:rsidTr="00B06C67">
        <w:tc>
          <w:tcPr>
            <w:cnfStyle w:val="001000000000" w:firstRow="0" w:lastRow="0" w:firstColumn="1" w:lastColumn="0" w:oddVBand="0" w:evenVBand="0" w:oddHBand="0" w:evenHBand="0" w:firstRowFirstColumn="0" w:firstRowLastColumn="0" w:lastRowFirstColumn="0" w:lastRowLastColumn="0"/>
            <w:tcW w:w="1271" w:type="dxa"/>
          </w:tcPr>
          <w:p w14:paraId="1D3C5347" w14:textId="474379B5" w:rsidR="004C4746" w:rsidRPr="005602F8" w:rsidRDefault="004C4746" w:rsidP="004C4746">
            <w:pPr>
              <w:pStyle w:val="Tablenotes"/>
            </w:pPr>
            <w:r w:rsidRPr="005602F8">
              <w:t xml:space="preserve">Revision of risk of </w:t>
            </w:r>
            <w:r w:rsidR="00B06C67" w:rsidRPr="005602F8">
              <w:t>REDACTED</w:t>
            </w:r>
            <w:r w:rsidRPr="005602F8">
              <w:t xml:space="preserve"> (</w:t>
            </w:r>
            <w:proofErr w:type="spellStart"/>
            <w:r w:rsidRPr="005602F8">
              <w:t>MitraClip</w:t>
            </w:r>
            <w:proofErr w:type="spellEnd"/>
            <w:r w:rsidRPr="005602F8">
              <w:t>; FMR)</w:t>
            </w:r>
          </w:p>
        </w:tc>
        <w:tc>
          <w:tcPr>
            <w:tcW w:w="1134" w:type="dxa"/>
            <w:vAlign w:val="top"/>
          </w:tcPr>
          <w:p w14:paraId="2E539606" w14:textId="02A0F99D"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57AF25BE" w14:textId="74949BE0"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7547C163" w14:textId="042CE827"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5CD2EB39" w14:textId="49D2C974"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64" w:type="dxa"/>
            <w:vAlign w:val="top"/>
          </w:tcPr>
          <w:p w14:paraId="2296D814" w14:textId="36874434"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43" w:type="dxa"/>
            <w:vAlign w:val="top"/>
          </w:tcPr>
          <w:p w14:paraId="0FEC4019" w14:textId="7E50494A"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02" w:type="dxa"/>
            <w:vAlign w:val="top"/>
          </w:tcPr>
          <w:p w14:paraId="7563C7D6" w14:textId="6918AA3F"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r>
      <w:tr w:rsidR="004C4746" w:rsidRPr="005602F8" w14:paraId="2A1E6F42" w14:textId="77777777" w:rsidTr="00B06C67">
        <w:tc>
          <w:tcPr>
            <w:cnfStyle w:val="001000000000" w:firstRow="0" w:lastRow="0" w:firstColumn="1" w:lastColumn="0" w:oddVBand="0" w:evenVBand="0" w:oddHBand="0" w:evenHBand="0" w:firstRowFirstColumn="0" w:firstRowLastColumn="0" w:lastRowFirstColumn="0" w:lastRowLastColumn="0"/>
            <w:tcW w:w="1271" w:type="dxa"/>
          </w:tcPr>
          <w:p w14:paraId="75BDCB3F" w14:textId="72481138" w:rsidR="004C4746" w:rsidRPr="005602F8" w:rsidRDefault="004C4746" w:rsidP="004C4746">
            <w:pPr>
              <w:pStyle w:val="Tablenotes"/>
            </w:pPr>
            <w:r w:rsidRPr="005602F8">
              <w:t xml:space="preserve">Revision of risk of </w:t>
            </w:r>
            <w:r w:rsidR="00B06C67" w:rsidRPr="005602F8">
              <w:t>REDACTED</w:t>
            </w:r>
            <w:r w:rsidRPr="005602F8">
              <w:t xml:space="preserve"> (</w:t>
            </w:r>
            <w:proofErr w:type="spellStart"/>
            <w:r w:rsidRPr="005602F8">
              <w:t>MitraClip</w:t>
            </w:r>
            <w:proofErr w:type="spellEnd"/>
            <w:r w:rsidRPr="005602F8">
              <w:t>; FMR &amp; DMR)</w:t>
            </w:r>
          </w:p>
        </w:tc>
        <w:tc>
          <w:tcPr>
            <w:tcW w:w="1134" w:type="dxa"/>
            <w:vAlign w:val="top"/>
          </w:tcPr>
          <w:p w14:paraId="0D2B29B9" w14:textId="51C9857B"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4BEC5F2B" w14:textId="3B12AE81"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460BE0F8" w14:textId="56BD5724"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34" w:type="dxa"/>
            <w:vAlign w:val="top"/>
          </w:tcPr>
          <w:p w14:paraId="50C25698" w14:textId="38C4D679"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64" w:type="dxa"/>
            <w:vAlign w:val="top"/>
          </w:tcPr>
          <w:p w14:paraId="4A80F084" w14:textId="7264A3FD"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043" w:type="dxa"/>
            <w:vAlign w:val="top"/>
          </w:tcPr>
          <w:p w14:paraId="4F97D5FD" w14:textId="19F41E6B"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c>
          <w:tcPr>
            <w:tcW w:w="1102" w:type="dxa"/>
            <w:vAlign w:val="top"/>
          </w:tcPr>
          <w:p w14:paraId="0EF9232E" w14:textId="453FABF0" w:rsidR="004C4746" w:rsidRPr="005602F8" w:rsidRDefault="004C4746" w:rsidP="004C4746">
            <w:pPr>
              <w:pStyle w:val="Tablenotes"/>
              <w:cnfStyle w:val="000000000000" w:firstRow="0" w:lastRow="0" w:firstColumn="0" w:lastColumn="0" w:oddVBand="0" w:evenVBand="0" w:oddHBand="0" w:evenHBand="0" w:firstRowFirstColumn="0" w:firstRowLastColumn="0" w:lastRowFirstColumn="0" w:lastRowLastColumn="0"/>
            </w:pPr>
            <w:r w:rsidRPr="005602F8">
              <w:t>$Redacted</w:t>
            </w:r>
          </w:p>
        </w:tc>
      </w:tr>
    </w:tbl>
    <w:p w14:paraId="09FECDDB" w14:textId="36B3F173" w:rsidR="0042651E" w:rsidRPr="005602F8" w:rsidRDefault="0042651E" w:rsidP="00AF7538">
      <w:pPr>
        <w:pStyle w:val="Tablenotes"/>
      </w:pPr>
      <w:proofErr w:type="spellStart"/>
      <w:proofErr w:type="gramStart"/>
      <w:r w:rsidRPr="005602F8">
        <w:t>a</w:t>
      </w:r>
      <w:proofErr w:type="spellEnd"/>
      <w:r w:rsidRPr="005602F8">
        <w:t xml:space="preserve">  Excludes</w:t>
      </w:r>
      <w:proofErr w:type="gramEnd"/>
      <w:r w:rsidRPr="005602F8">
        <w:t xml:space="preserve"> the cost of </w:t>
      </w:r>
      <w:r w:rsidR="00B06C67" w:rsidRPr="00A40151">
        <w:rPr>
          <w:b/>
          <w:bCs/>
        </w:rPr>
        <w:t>REDACTED</w:t>
      </w:r>
      <w:r w:rsidRPr="00A40151">
        <w:rPr>
          <w:b/>
          <w:bCs/>
        </w:rPr>
        <w:t xml:space="preserve"> </w:t>
      </w:r>
    </w:p>
    <w:p w14:paraId="2573BC02" w14:textId="53F52A6C" w:rsidR="00E11D76" w:rsidRDefault="00116629" w:rsidP="00AF7538">
      <w:pPr>
        <w:pStyle w:val="Tablenotes"/>
      </w:pPr>
      <w:r w:rsidRPr="005602F8">
        <w:t>Source:</w:t>
      </w:r>
      <w:r w:rsidR="008322DC" w:rsidRPr="005602F8">
        <w:t xml:space="preserve"> ADAR commentary </w:t>
      </w:r>
    </w:p>
    <w:p w14:paraId="7D1F8969" w14:textId="16E5FEEC" w:rsidR="00276310" w:rsidRPr="00C66A16" w:rsidRDefault="00276310" w:rsidP="003922FD">
      <w:pPr>
        <w:rPr>
          <w:highlight w:val="cyan"/>
        </w:rPr>
      </w:pPr>
      <w:proofErr w:type="spellStart"/>
      <w:r w:rsidRPr="00965EF0">
        <w:t>MitraClip</w:t>
      </w:r>
      <w:proofErr w:type="spellEnd"/>
      <w:r w:rsidRPr="00965EF0">
        <w:t xml:space="preserve"> was not listed on the Prostheses List at the time of submission and has since been listed at a price of $26,386. </w:t>
      </w:r>
      <w:r>
        <w:t xml:space="preserve">Following the commentary report, the applicant performed an additional cost-minimisation analysis </w:t>
      </w:r>
      <w:r w:rsidRPr="007878B5">
        <w:t xml:space="preserve">using the </w:t>
      </w:r>
      <w:r w:rsidR="004D4EC9">
        <w:rPr>
          <w:b/>
          <w:bCs/>
        </w:rPr>
        <w:t>REDACTED</w:t>
      </w:r>
      <w:bookmarkStart w:id="36" w:name="_Ref97207377"/>
      <w:bookmarkStart w:id="37" w:name="_Ref97217802"/>
      <w:r w:rsidR="004D4EC9">
        <w:rPr>
          <w:rStyle w:val="FootnoteReference"/>
          <w:b/>
          <w:bCs/>
        </w:rPr>
        <w:footnoteReference w:id="22"/>
      </w:r>
      <w:bookmarkEnd w:id="36"/>
      <w:bookmarkEnd w:id="37"/>
      <w:r w:rsidR="004D4EC9">
        <w:rPr>
          <w:b/>
          <w:bCs/>
        </w:rPr>
        <w:t xml:space="preserve"> </w:t>
      </w:r>
      <w:r w:rsidRPr="0036225A">
        <w:t xml:space="preserve">and the cost of </w:t>
      </w:r>
      <w:proofErr w:type="spellStart"/>
      <w:r w:rsidRPr="0036225A">
        <w:t>MitraClip</w:t>
      </w:r>
      <w:proofErr w:type="spellEnd"/>
      <w:r w:rsidRPr="0036225A">
        <w:t xml:space="preserve"> and PASCAL as listed on the Prostheses List</w:t>
      </w:r>
      <w:r w:rsidR="00A40151">
        <w:t xml:space="preserve"> </w:t>
      </w:r>
      <w:r w:rsidR="004D4EC9">
        <w:t xml:space="preserve">to </w:t>
      </w:r>
      <w:r w:rsidRPr="007878B5">
        <w:t xml:space="preserve">inform the revised base case for this submission. The base case with these two amendments results in an incremental cost of PASCAL </w:t>
      </w:r>
      <w:r w:rsidR="004D4EC9">
        <w:t xml:space="preserve">of </w:t>
      </w:r>
      <w:r w:rsidR="004D4EC9">
        <w:rPr>
          <w:b/>
          <w:bCs/>
        </w:rPr>
        <w:t>$redacted</w:t>
      </w:r>
      <w:r w:rsidR="00A40151">
        <w:rPr>
          <w:b/>
          <w:bCs/>
        </w:rPr>
        <w:t xml:space="preserve"> </w:t>
      </w:r>
      <w:r w:rsidRPr="0036225A">
        <w:t>(</w:t>
      </w:r>
      <w:r w:rsidRPr="007878B5">
        <w:fldChar w:fldCharType="begin"/>
      </w:r>
      <w:r w:rsidRPr="00B06C67">
        <w:instrText xml:space="preserve"> REF _Ref86131961 \h </w:instrText>
      </w:r>
      <w:r w:rsidR="00C66A16" w:rsidRPr="00B06C67">
        <w:instrText xml:space="preserve"> \* MERGEFORMAT </w:instrText>
      </w:r>
      <w:r w:rsidRPr="007878B5">
        <w:fldChar w:fldCharType="separate"/>
      </w:r>
      <w:r w:rsidR="00072539" w:rsidRPr="007878B5">
        <w:t xml:space="preserve">Table </w:t>
      </w:r>
      <w:r w:rsidR="00072539" w:rsidRPr="007878B5">
        <w:rPr>
          <w:noProof/>
        </w:rPr>
        <w:t>15</w:t>
      </w:r>
      <w:r w:rsidRPr="007878B5">
        <w:fldChar w:fldCharType="end"/>
      </w:r>
      <w:r w:rsidRPr="00E11D76">
        <w:t>), when considering</w:t>
      </w:r>
      <w:r w:rsidRPr="00E11D76">
        <w:rPr>
          <w:color w:val="8064A2" w:themeColor="accent4"/>
        </w:rPr>
        <w:t xml:space="preserve"> </w:t>
      </w:r>
      <w:r w:rsidR="004D4EC9" w:rsidRPr="00E11D76">
        <w:rPr>
          <w:b/>
          <w:bCs/>
        </w:rPr>
        <w:t>REDACTED</w:t>
      </w:r>
      <w:r w:rsidR="00B06C67" w:rsidRPr="00B06C67">
        <w:rPr>
          <w:b/>
          <w:bCs/>
          <w:vertAlign w:val="superscript"/>
        </w:rPr>
        <w:fldChar w:fldCharType="begin"/>
      </w:r>
      <w:r w:rsidR="00B06C67" w:rsidRPr="0036225A">
        <w:rPr>
          <w:b/>
          <w:bCs/>
          <w:vertAlign w:val="superscript"/>
        </w:rPr>
        <w:instrText xml:space="preserve"> NOTEREF _Ref97207377 \h </w:instrText>
      </w:r>
      <w:r w:rsidR="00B06C67">
        <w:rPr>
          <w:b/>
          <w:bCs/>
          <w:vertAlign w:val="superscript"/>
        </w:rPr>
        <w:instrText xml:space="preserve"> \* MERGEFORMAT </w:instrText>
      </w:r>
      <w:r w:rsidR="00B06C67" w:rsidRPr="00B06C67">
        <w:rPr>
          <w:b/>
          <w:bCs/>
          <w:vertAlign w:val="superscript"/>
        </w:rPr>
      </w:r>
      <w:r w:rsidR="00B06C67" w:rsidRPr="00B06C67">
        <w:rPr>
          <w:b/>
          <w:bCs/>
          <w:vertAlign w:val="superscript"/>
        </w:rPr>
        <w:fldChar w:fldCharType="separate"/>
      </w:r>
      <w:r w:rsidR="00B06C67" w:rsidRPr="0036225A">
        <w:rPr>
          <w:b/>
          <w:bCs/>
          <w:vertAlign w:val="superscript"/>
        </w:rPr>
        <w:t>23</w:t>
      </w:r>
      <w:r w:rsidR="00B06C67" w:rsidRPr="00B06C67">
        <w:rPr>
          <w:b/>
          <w:bCs/>
          <w:vertAlign w:val="superscript"/>
        </w:rPr>
        <w:fldChar w:fldCharType="end"/>
      </w:r>
      <w:r w:rsidR="004D4EC9" w:rsidRPr="00E11D76">
        <w:rPr>
          <w:b/>
          <w:bCs/>
        </w:rPr>
        <w:t>.</w:t>
      </w:r>
    </w:p>
    <w:p w14:paraId="3DE78791" w14:textId="485BDD20" w:rsidR="00276310" w:rsidRPr="00CD3AA4" w:rsidRDefault="00276310" w:rsidP="003922FD">
      <w:pPr>
        <w:pStyle w:val="Caption"/>
        <w:spacing w:before="240"/>
      </w:pPr>
      <w:bookmarkStart w:id="38" w:name="_Ref86131961"/>
      <w:r w:rsidRPr="00E11D76">
        <w:t xml:space="preserve">Table </w:t>
      </w:r>
      <w:r w:rsidR="00002063">
        <w:fldChar w:fldCharType="begin"/>
      </w:r>
      <w:r w:rsidR="00002063">
        <w:instrText xml:space="preserve"> SEQ Table \* ARABIC </w:instrText>
      </w:r>
      <w:r w:rsidR="00002063">
        <w:fldChar w:fldCharType="separate"/>
      </w:r>
      <w:r w:rsidR="000F39B8" w:rsidRPr="00E11D76">
        <w:rPr>
          <w:noProof/>
        </w:rPr>
        <w:t>15</w:t>
      </w:r>
      <w:r w:rsidR="00002063">
        <w:rPr>
          <w:noProof/>
        </w:rPr>
        <w:fldChar w:fldCharType="end"/>
      </w:r>
      <w:bookmarkEnd w:id="38"/>
      <w:r w:rsidRPr="00E11D76">
        <w:t xml:space="preserve"> Results </w:t>
      </w:r>
      <w:r w:rsidRPr="00CD3AA4">
        <w:t xml:space="preserve">of the cost-minimisation analysis using the </w:t>
      </w:r>
      <w:r w:rsidR="00674354" w:rsidRPr="00CD3AA4">
        <w:t xml:space="preserve">REDACTED </w:t>
      </w:r>
      <w:r w:rsidRPr="00CD3AA4">
        <w:t xml:space="preserve">and published price of </w:t>
      </w:r>
      <w:proofErr w:type="spellStart"/>
      <w:r w:rsidRPr="00CD3AA4">
        <w:t>MitraClip</w:t>
      </w:r>
      <w:proofErr w:type="spellEnd"/>
    </w:p>
    <w:tbl>
      <w:tblPr>
        <w:tblStyle w:val="TableGrid"/>
        <w:tblW w:w="0" w:type="auto"/>
        <w:tblLook w:val="04A0" w:firstRow="1" w:lastRow="0" w:firstColumn="1" w:lastColumn="0" w:noHBand="0" w:noVBand="1"/>
        <w:tblDescription w:val="Results of the cost-minimisation analysis using the reconstructed MAE rate and published price of MitraClip"/>
      </w:tblPr>
      <w:tblGrid>
        <w:gridCol w:w="3005"/>
        <w:gridCol w:w="3005"/>
        <w:gridCol w:w="3006"/>
      </w:tblGrid>
      <w:tr w:rsidR="00CD3AA4" w:rsidRPr="00CD3AA4" w14:paraId="2BC3EB22" w14:textId="77777777" w:rsidTr="00682AEC">
        <w:tc>
          <w:tcPr>
            <w:tcW w:w="3005" w:type="dxa"/>
          </w:tcPr>
          <w:p w14:paraId="76489A6B" w14:textId="77777777" w:rsidR="00276310" w:rsidRPr="00CD3AA4" w:rsidRDefault="00276310" w:rsidP="0042651E">
            <w:pPr>
              <w:pStyle w:val="Tabletext"/>
            </w:pPr>
          </w:p>
        </w:tc>
        <w:tc>
          <w:tcPr>
            <w:tcW w:w="3005" w:type="dxa"/>
          </w:tcPr>
          <w:p w14:paraId="5A58E56B" w14:textId="77777777" w:rsidR="00276310" w:rsidRPr="00CD3AA4" w:rsidRDefault="00276310" w:rsidP="0042651E">
            <w:pPr>
              <w:pStyle w:val="Tabletext"/>
              <w:jc w:val="center"/>
              <w:rPr>
                <w:b/>
                <w:bCs/>
              </w:rPr>
            </w:pPr>
            <w:r w:rsidRPr="00CD3AA4">
              <w:rPr>
                <w:b/>
                <w:bCs/>
              </w:rPr>
              <w:t>PASCAL</w:t>
            </w:r>
          </w:p>
        </w:tc>
        <w:tc>
          <w:tcPr>
            <w:tcW w:w="3006" w:type="dxa"/>
          </w:tcPr>
          <w:p w14:paraId="1F661F1A" w14:textId="77777777" w:rsidR="00276310" w:rsidRPr="00CD3AA4" w:rsidRDefault="00276310" w:rsidP="0042651E">
            <w:pPr>
              <w:pStyle w:val="Tabletext"/>
              <w:jc w:val="center"/>
              <w:rPr>
                <w:b/>
                <w:bCs/>
              </w:rPr>
            </w:pPr>
            <w:proofErr w:type="spellStart"/>
            <w:r w:rsidRPr="00CD3AA4">
              <w:rPr>
                <w:b/>
                <w:bCs/>
              </w:rPr>
              <w:t>MitraClip</w:t>
            </w:r>
            <w:proofErr w:type="spellEnd"/>
          </w:p>
        </w:tc>
      </w:tr>
      <w:tr w:rsidR="00CD3AA4" w:rsidRPr="00CD3AA4" w14:paraId="7DC19659" w14:textId="77777777" w:rsidTr="00682AEC">
        <w:tc>
          <w:tcPr>
            <w:tcW w:w="3005" w:type="dxa"/>
          </w:tcPr>
          <w:p w14:paraId="16204428" w14:textId="77777777" w:rsidR="00276310" w:rsidRPr="00CD3AA4" w:rsidRDefault="00276310" w:rsidP="0042651E">
            <w:pPr>
              <w:pStyle w:val="Tabletext"/>
            </w:pPr>
            <w:r w:rsidRPr="00CD3AA4">
              <w:t>Total cost FMR</w:t>
            </w:r>
          </w:p>
        </w:tc>
        <w:tc>
          <w:tcPr>
            <w:tcW w:w="3005" w:type="dxa"/>
          </w:tcPr>
          <w:p w14:paraId="6EE36CF9" w14:textId="073EFDD4" w:rsidR="00276310" w:rsidRPr="00CD3AA4" w:rsidRDefault="00674354" w:rsidP="0042651E">
            <w:pPr>
              <w:pStyle w:val="Tabletext"/>
              <w:jc w:val="center"/>
              <w:rPr>
                <w:b/>
                <w:bCs/>
              </w:rPr>
            </w:pPr>
            <w:r w:rsidRPr="00CD3AA4">
              <w:rPr>
                <w:b/>
                <w:bCs/>
              </w:rPr>
              <w:t>$redacted</w:t>
            </w:r>
          </w:p>
        </w:tc>
        <w:tc>
          <w:tcPr>
            <w:tcW w:w="3006" w:type="dxa"/>
          </w:tcPr>
          <w:p w14:paraId="25D8805F" w14:textId="169C6265" w:rsidR="00276310" w:rsidRPr="00CD3AA4" w:rsidRDefault="00674354" w:rsidP="0042651E">
            <w:pPr>
              <w:pStyle w:val="Tabletext"/>
              <w:jc w:val="center"/>
            </w:pPr>
            <w:r w:rsidRPr="00CD3AA4">
              <w:rPr>
                <w:b/>
                <w:bCs/>
              </w:rPr>
              <w:t>$redacted</w:t>
            </w:r>
          </w:p>
        </w:tc>
      </w:tr>
      <w:tr w:rsidR="00CD3AA4" w:rsidRPr="00CD3AA4" w14:paraId="73AB181A" w14:textId="77777777" w:rsidTr="00682AEC">
        <w:tc>
          <w:tcPr>
            <w:tcW w:w="3005" w:type="dxa"/>
          </w:tcPr>
          <w:p w14:paraId="06B1CC5F" w14:textId="77777777" w:rsidR="00276310" w:rsidRPr="00CD3AA4" w:rsidRDefault="00276310" w:rsidP="0042651E">
            <w:pPr>
              <w:pStyle w:val="Tabletext"/>
            </w:pPr>
            <w:r w:rsidRPr="00CD3AA4">
              <w:t>Total cost DMR</w:t>
            </w:r>
          </w:p>
        </w:tc>
        <w:tc>
          <w:tcPr>
            <w:tcW w:w="3005" w:type="dxa"/>
          </w:tcPr>
          <w:p w14:paraId="6DFA0BAF" w14:textId="08776EE6" w:rsidR="00276310" w:rsidRPr="00CD3AA4" w:rsidRDefault="00674354" w:rsidP="0042651E">
            <w:pPr>
              <w:pStyle w:val="Tabletext"/>
              <w:jc w:val="center"/>
            </w:pPr>
            <w:r w:rsidRPr="00CD3AA4">
              <w:rPr>
                <w:b/>
                <w:bCs/>
              </w:rPr>
              <w:t>$redacted</w:t>
            </w:r>
          </w:p>
        </w:tc>
        <w:tc>
          <w:tcPr>
            <w:tcW w:w="3006" w:type="dxa"/>
          </w:tcPr>
          <w:p w14:paraId="2C9F3B1A" w14:textId="68E6157D" w:rsidR="00276310" w:rsidRPr="00CD3AA4" w:rsidRDefault="00674354" w:rsidP="0042651E">
            <w:pPr>
              <w:pStyle w:val="Tabletext"/>
              <w:jc w:val="center"/>
            </w:pPr>
            <w:r w:rsidRPr="00CD3AA4">
              <w:rPr>
                <w:b/>
                <w:bCs/>
              </w:rPr>
              <w:t>$redacted</w:t>
            </w:r>
          </w:p>
        </w:tc>
      </w:tr>
      <w:tr w:rsidR="00CD3AA4" w:rsidRPr="00CD3AA4" w14:paraId="66E84600" w14:textId="77777777" w:rsidTr="00682AEC">
        <w:tc>
          <w:tcPr>
            <w:tcW w:w="3005" w:type="dxa"/>
          </w:tcPr>
          <w:p w14:paraId="05C89E7A" w14:textId="77777777" w:rsidR="00276310" w:rsidRPr="00CD3AA4" w:rsidRDefault="00276310" w:rsidP="0042651E">
            <w:pPr>
              <w:pStyle w:val="Tabletext"/>
            </w:pPr>
            <w:r w:rsidRPr="00CD3AA4">
              <w:t>Total cost all MR – weighted</w:t>
            </w:r>
          </w:p>
        </w:tc>
        <w:tc>
          <w:tcPr>
            <w:tcW w:w="3005" w:type="dxa"/>
          </w:tcPr>
          <w:p w14:paraId="7C7459B3" w14:textId="5DD3557E" w:rsidR="00276310" w:rsidRPr="00CD3AA4" w:rsidRDefault="00674354" w:rsidP="0042651E">
            <w:pPr>
              <w:pStyle w:val="Tabletext"/>
              <w:jc w:val="center"/>
            </w:pPr>
            <w:r w:rsidRPr="00CD3AA4">
              <w:rPr>
                <w:b/>
                <w:bCs/>
              </w:rPr>
              <w:t>$redacted</w:t>
            </w:r>
          </w:p>
        </w:tc>
        <w:tc>
          <w:tcPr>
            <w:tcW w:w="3006" w:type="dxa"/>
          </w:tcPr>
          <w:p w14:paraId="16A22EC0" w14:textId="0F83B0FF" w:rsidR="00276310" w:rsidRPr="00CD3AA4" w:rsidRDefault="00674354" w:rsidP="0042651E">
            <w:pPr>
              <w:pStyle w:val="Tabletext"/>
              <w:jc w:val="center"/>
            </w:pPr>
            <w:r w:rsidRPr="00CD3AA4">
              <w:rPr>
                <w:b/>
                <w:bCs/>
              </w:rPr>
              <w:t>$redacted</w:t>
            </w:r>
          </w:p>
        </w:tc>
      </w:tr>
      <w:tr w:rsidR="00CD3AA4" w:rsidRPr="00CD3AA4" w14:paraId="6225D318" w14:textId="77777777" w:rsidTr="00682AEC">
        <w:tc>
          <w:tcPr>
            <w:tcW w:w="3005" w:type="dxa"/>
          </w:tcPr>
          <w:p w14:paraId="77D26E6D" w14:textId="77777777" w:rsidR="00276310" w:rsidRPr="00CD3AA4" w:rsidRDefault="00276310" w:rsidP="0042651E">
            <w:pPr>
              <w:pStyle w:val="Tabletext"/>
            </w:pPr>
            <w:r w:rsidRPr="00CD3AA4">
              <w:t>Total incremental cost of PASCAL</w:t>
            </w:r>
          </w:p>
        </w:tc>
        <w:tc>
          <w:tcPr>
            <w:tcW w:w="3005" w:type="dxa"/>
          </w:tcPr>
          <w:p w14:paraId="5EE3322C" w14:textId="4A29E188" w:rsidR="00276310" w:rsidRPr="00CD3AA4" w:rsidRDefault="00674354" w:rsidP="0042651E">
            <w:pPr>
              <w:pStyle w:val="Tabletext"/>
              <w:jc w:val="center"/>
            </w:pPr>
            <w:r w:rsidRPr="00CD3AA4">
              <w:rPr>
                <w:b/>
                <w:bCs/>
              </w:rPr>
              <w:t>$redacted</w:t>
            </w:r>
          </w:p>
        </w:tc>
        <w:tc>
          <w:tcPr>
            <w:tcW w:w="3006" w:type="dxa"/>
          </w:tcPr>
          <w:p w14:paraId="4D08B573" w14:textId="77777777" w:rsidR="00276310" w:rsidRPr="00CD3AA4" w:rsidRDefault="00276310" w:rsidP="0042651E">
            <w:pPr>
              <w:pStyle w:val="Tabletext"/>
              <w:jc w:val="center"/>
            </w:pPr>
          </w:p>
        </w:tc>
      </w:tr>
    </w:tbl>
    <w:p w14:paraId="4BF14411" w14:textId="2E3BE53D" w:rsidR="00276310" w:rsidRPr="00CD3AA4" w:rsidRDefault="00276310" w:rsidP="00276310">
      <w:pPr>
        <w:jc w:val="both"/>
        <w:rPr>
          <w:rFonts w:ascii="Arial Narrow" w:hAnsi="Arial Narrow"/>
          <w:sz w:val="18"/>
          <w:szCs w:val="18"/>
        </w:rPr>
      </w:pPr>
      <w:r w:rsidRPr="00CD3AA4">
        <w:rPr>
          <w:rFonts w:ascii="Arial Narrow" w:hAnsi="Arial Narrow"/>
          <w:sz w:val="18"/>
          <w:szCs w:val="18"/>
        </w:rPr>
        <w:t xml:space="preserve">Source: </w:t>
      </w:r>
      <w:r w:rsidR="00A40151">
        <w:rPr>
          <w:rFonts w:ascii="Arial Narrow" w:hAnsi="Arial Narrow"/>
          <w:sz w:val="18"/>
          <w:szCs w:val="18"/>
        </w:rPr>
        <w:t>P</w:t>
      </w:r>
      <w:r w:rsidRPr="00CD3AA4">
        <w:rPr>
          <w:rFonts w:ascii="Arial Narrow" w:hAnsi="Arial Narrow"/>
          <w:sz w:val="18"/>
          <w:szCs w:val="18"/>
        </w:rPr>
        <w:t xml:space="preserve">re-ESC response </w:t>
      </w:r>
    </w:p>
    <w:p w14:paraId="4519492F" w14:textId="366282D4" w:rsidR="00136969" w:rsidRPr="003922FD" w:rsidRDefault="00065623" w:rsidP="003922FD">
      <w:pPr>
        <w:pStyle w:val="Heading1"/>
        <w:numPr>
          <w:ilvl w:val="0"/>
          <w:numId w:val="13"/>
        </w:numPr>
        <w:spacing w:before="240" w:after="240"/>
        <w:ind w:hanging="720"/>
        <w:rPr>
          <w:rFonts w:ascii="Arial" w:hAnsi="Arial" w:cs="Arial"/>
        </w:rPr>
      </w:pPr>
      <w:r w:rsidRPr="003922FD">
        <w:rPr>
          <w:rFonts w:ascii="Arial" w:hAnsi="Arial" w:cs="Arial"/>
        </w:rPr>
        <w:t>Financial/budgetary impacts</w:t>
      </w:r>
    </w:p>
    <w:p w14:paraId="2F071B41" w14:textId="11079C07" w:rsidR="00882995" w:rsidRPr="00CD3AA4" w:rsidRDefault="00F061E2" w:rsidP="003922FD">
      <w:r w:rsidRPr="00CD3AA4">
        <w:t xml:space="preserve">The ADAR stated an </w:t>
      </w:r>
      <w:r w:rsidR="00674354" w:rsidRPr="00CD3AA4">
        <w:rPr>
          <w:b/>
          <w:bCs/>
        </w:rPr>
        <w:t xml:space="preserve">REDACTED </w:t>
      </w:r>
      <w:r w:rsidRPr="00CD3AA4">
        <w:t xml:space="preserve">approach was used to estimate utilisation and financial consequences, however the results were </w:t>
      </w:r>
      <w:r w:rsidR="00EF13E4" w:rsidRPr="00CD3AA4">
        <w:rPr>
          <w:b/>
          <w:bCs/>
        </w:rPr>
        <w:t>REDACTED</w:t>
      </w:r>
      <w:r w:rsidR="00A40151">
        <w:rPr>
          <w:b/>
          <w:bCs/>
        </w:rPr>
        <w:t xml:space="preserve"> </w:t>
      </w:r>
      <w:r w:rsidRPr="00CD3AA4">
        <w:t xml:space="preserve">to the published numbers from the </w:t>
      </w:r>
      <w:hyperlink r:id="rId13" w:history="1">
        <w:proofErr w:type="spellStart"/>
        <w:r w:rsidRPr="00CD3AA4">
          <w:rPr>
            <w:rStyle w:val="Hyperlink"/>
            <w:color w:val="auto"/>
          </w:rPr>
          <w:t>MitraClip</w:t>
        </w:r>
        <w:proofErr w:type="spellEnd"/>
        <w:r w:rsidRPr="00CD3AA4">
          <w:rPr>
            <w:rStyle w:val="Hyperlink"/>
            <w:color w:val="auto"/>
          </w:rPr>
          <w:t xml:space="preserve"> Public Summary Document</w:t>
        </w:r>
      </w:hyperlink>
      <w:r w:rsidRPr="00CD3AA4">
        <w:t>, making it</w:t>
      </w:r>
      <w:r w:rsidR="000D35B2" w:rsidRPr="00CD3AA4">
        <w:t xml:space="preserve"> </w:t>
      </w:r>
      <w:r w:rsidR="000D35B2" w:rsidRPr="00CD3AA4">
        <w:rPr>
          <w:b/>
          <w:bCs/>
        </w:rPr>
        <w:t>REDACTED</w:t>
      </w:r>
      <w:r w:rsidRPr="00CD3AA4">
        <w:t xml:space="preserve"> approach</w:t>
      </w:r>
      <w:r w:rsidRPr="00CD3AA4">
        <w:rPr>
          <w:b/>
          <w:bCs/>
        </w:rPr>
        <w:t>.</w:t>
      </w:r>
      <w:r w:rsidR="00882995" w:rsidRPr="00CD3AA4">
        <w:t xml:space="preserve"> The ADAR assumed PASCAL would take a </w:t>
      </w:r>
      <w:r w:rsidR="00EF13E4" w:rsidRPr="00CD3AA4">
        <w:t>%</w:t>
      </w:r>
      <w:r w:rsidR="00EF13E4" w:rsidRPr="00CD3AA4">
        <w:rPr>
          <w:b/>
          <w:bCs/>
        </w:rPr>
        <w:t>redacted</w:t>
      </w:r>
      <w:r w:rsidR="00882995" w:rsidRPr="00CD3AA4">
        <w:t xml:space="preserve"> share of </w:t>
      </w:r>
      <w:proofErr w:type="spellStart"/>
      <w:r w:rsidR="00882995" w:rsidRPr="00CD3AA4">
        <w:t>MitraClip</w:t>
      </w:r>
      <w:proofErr w:type="spellEnd"/>
      <w:r w:rsidR="00882995" w:rsidRPr="00CD3AA4">
        <w:t xml:space="preserve">. The commentary considered this to be reasonable and conservative but noted that this assumption may underestimate the </w:t>
      </w:r>
      <w:r w:rsidR="00882995" w:rsidRPr="00CD3AA4">
        <w:lastRenderedPageBreak/>
        <w:t xml:space="preserve">effect of clinician preference for and familiarity with </w:t>
      </w:r>
      <w:proofErr w:type="spellStart"/>
      <w:r w:rsidR="00882995" w:rsidRPr="00CD3AA4">
        <w:t>MitraClip</w:t>
      </w:r>
      <w:proofErr w:type="spellEnd"/>
      <w:r w:rsidR="00882995" w:rsidRPr="00CD3AA4">
        <w:t xml:space="preserve"> due to it being first to market. This could result in the market share of PASCAL to be </w:t>
      </w:r>
      <w:r w:rsidR="000D35B2" w:rsidRPr="00CD3AA4">
        <w:rPr>
          <w:b/>
          <w:bCs/>
        </w:rPr>
        <w:t>REDACTED.</w:t>
      </w:r>
    </w:p>
    <w:p w14:paraId="03E4044E" w14:textId="023D52C5" w:rsidR="009006B8" w:rsidRPr="00CD3AA4" w:rsidRDefault="00882995" w:rsidP="003922FD">
      <w:pPr>
        <w:spacing w:before="240"/>
      </w:pPr>
      <w:r w:rsidRPr="00CD3AA4">
        <w:t xml:space="preserve">The commentary considered that it is unlikely that the introduction of PASCAL would increase the overall utilisation of mitral valve repair, and that any patient receiving PASCAL under the proposed restriction would have otherwise received </w:t>
      </w:r>
      <w:proofErr w:type="spellStart"/>
      <w:r w:rsidRPr="00CD3AA4">
        <w:t>MitraClip</w:t>
      </w:r>
      <w:proofErr w:type="spellEnd"/>
      <w:r w:rsidRPr="00CD3AA4">
        <w:t xml:space="preserve"> if PASCAL was not available. Therefore, the commentary considered the overall costs of </w:t>
      </w:r>
      <w:proofErr w:type="spellStart"/>
      <w:r w:rsidRPr="00CD3AA4">
        <w:t>MitraClip</w:t>
      </w:r>
      <w:proofErr w:type="spellEnd"/>
      <w:r w:rsidRPr="00CD3AA4">
        <w:t xml:space="preserve"> and PASCAL are</w:t>
      </w:r>
      <w:r w:rsidR="000D35B2" w:rsidRPr="00CD3AA4">
        <w:t xml:space="preserve"> </w:t>
      </w:r>
      <w:r w:rsidR="000D35B2" w:rsidRPr="00CD3AA4">
        <w:rPr>
          <w:b/>
          <w:bCs/>
        </w:rPr>
        <w:t>REDACTED.</w:t>
      </w:r>
      <w:r w:rsidR="000D35B2" w:rsidRPr="00CD3AA4">
        <w:t xml:space="preserve"> </w:t>
      </w:r>
      <w:r w:rsidRPr="00CD3AA4">
        <w:t xml:space="preserve">The estimated cost of PASCAL to the MBS is expected to be </w:t>
      </w:r>
      <w:r w:rsidR="000D35B2" w:rsidRPr="00CD3AA4">
        <w:rPr>
          <w:b/>
          <w:bCs/>
        </w:rPr>
        <w:t xml:space="preserve">REDACTED </w:t>
      </w:r>
      <w:r w:rsidRPr="00CD3AA4">
        <w:t>each year for the first five years (</w:t>
      </w:r>
      <w:r w:rsidRPr="00CD3AA4">
        <w:fldChar w:fldCharType="begin"/>
      </w:r>
      <w:r w:rsidRPr="00CD3AA4">
        <w:instrText xml:space="preserve"> REF _Ref86131979 \h </w:instrText>
      </w:r>
      <w:r w:rsidR="00B95265" w:rsidRPr="00CD3AA4">
        <w:instrText xml:space="preserve"> \* MERGEFORMAT </w:instrText>
      </w:r>
      <w:r w:rsidRPr="00CD3AA4">
        <w:fldChar w:fldCharType="separate"/>
      </w:r>
      <w:r w:rsidR="00072539" w:rsidRPr="00CD3AA4">
        <w:t xml:space="preserve">Table </w:t>
      </w:r>
      <w:r w:rsidR="00072539" w:rsidRPr="00CD3AA4">
        <w:rPr>
          <w:noProof/>
        </w:rPr>
        <w:t>16</w:t>
      </w:r>
      <w:r w:rsidRPr="00CD3AA4">
        <w:fldChar w:fldCharType="end"/>
      </w:r>
      <w:r w:rsidRPr="00CD3AA4">
        <w:t>).</w:t>
      </w:r>
    </w:p>
    <w:p w14:paraId="61C20D0B" w14:textId="394EC0C3" w:rsidR="009006B8" w:rsidRPr="00CD3AA4" w:rsidRDefault="009006B8" w:rsidP="003922FD">
      <w:pPr>
        <w:pStyle w:val="Caption"/>
        <w:spacing w:before="240"/>
      </w:pPr>
      <w:bookmarkStart w:id="39" w:name="_Ref86131979"/>
      <w:r w:rsidRPr="00CD3AA4">
        <w:t xml:space="preserve">Table </w:t>
      </w:r>
      <w:r w:rsidR="00002063">
        <w:fldChar w:fldCharType="begin"/>
      </w:r>
      <w:r w:rsidR="00002063">
        <w:instrText xml:space="preserve"> SEQ Table \* ARABIC </w:instrText>
      </w:r>
      <w:r w:rsidR="00002063">
        <w:fldChar w:fldCharType="separate"/>
      </w:r>
      <w:r w:rsidR="000F39B8" w:rsidRPr="00CD3AA4">
        <w:rPr>
          <w:noProof/>
        </w:rPr>
        <w:t>16</w:t>
      </w:r>
      <w:r w:rsidR="00002063">
        <w:rPr>
          <w:noProof/>
        </w:rPr>
        <w:fldChar w:fldCharType="end"/>
      </w:r>
      <w:bookmarkEnd w:id="39"/>
      <w:r w:rsidRPr="00CD3AA4">
        <w:t xml:space="preserve"> Total costs to the MBS associated with PASCAL</w:t>
      </w:r>
    </w:p>
    <w:tbl>
      <w:tblPr>
        <w:tblStyle w:val="TableGrid1"/>
        <w:tblW w:w="5000" w:type="pct"/>
        <w:tblInd w:w="0" w:type="dxa"/>
        <w:tblLook w:val="04A0" w:firstRow="1" w:lastRow="0" w:firstColumn="1" w:lastColumn="0" w:noHBand="0" w:noVBand="1"/>
        <w:tblCaption w:val="Table 15 Total costs to the MBS associated with XXX"/>
        <w:tblDescription w:val="This table provides a summary of the financial impact of the proposed new medical service over the next five years."/>
      </w:tblPr>
      <w:tblGrid>
        <w:gridCol w:w="2396"/>
        <w:gridCol w:w="1324"/>
        <w:gridCol w:w="1324"/>
        <w:gridCol w:w="1324"/>
        <w:gridCol w:w="1324"/>
        <w:gridCol w:w="1324"/>
      </w:tblGrid>
      <w:tr w:rsidR="00CD3AA4" w:rsidRPr="00CD3AA4" w14:paraId="564CFCB7" w14:textId="77777777" w:rsidTr="009006B8">
        <w:trPr>
          <w:trHeight w:val="300"/>
          <w:tblHeader/>
        </w:trPr>
        <w:tc>
          <w:tcPr>
            <w:tcW w:w="1329" w:type="pct"/>
            <w:tcBorders>
              <w:bottom w:val="single" w:sz="4" w:space="0" w:color="auto"/>
            </w:tcBorders>
            <w:shd w:val="clear" w:color="auto" w:fill="auto"/>
            <w:vAlign w:val="center"/>
          </w:tcPr>
          <w:p w14:paraId="6FE0E940" w14:textId="77777777" w:rsidR="004C57AE" w:rsidRPr="00CD3AA4" w:rsidRDefault="004C57AE" w:rsidP="008C5E8D">
            <w:pPr>
              <w:keepNext/>
              <w:tabs>
                <w:tab w:val="left" w:pos="851"/>
              </w:tabs>
              <w:spacing w:before="40" w:after="40"/>
              <w:rPr>
                <w:rFonts w:ascii="Arial Narrow" w:hAnsi="Arial Narrow"/>
                <w:b/>
              </w:rPr>
            </w:pPr>
            <w:r w:rsidRPr="00CD3AA4">
              <w:rPr>
                <w:rFonts w:ascii="Arial Narrow" w:hAnsi="Arial Narrow"/>
                <w:b/>
              </w:rPr>
              <w:t>-</w:t>
            </w:r>
          </w:p>
        </w:tc>
        <w:tc>
          <w:tcPr>
            <w:tcW w:w="734" w:type="pct"/>
            <w:tcBorders>
              <w:bottom w:val="single" w:sz="4" w:space="0" w:color="auto"/>
            </w:tcBorders>
            <w:vAlign w:val="center"/>
          </w:tcPr>
          <w:p w14:paraId="226138C8" w14:textId="77777777" w:rsidR="004C57AE" w:rsidRPr="00CD3AA4" w:rsidRDefault="004C57AE" w:rsidP="008C5E8D">
            <w:pPr>
              <w:keepNext/>
              <w:tabs>
                <w:tab w:val="left" w:pos="851"/>
              </w:tabs>
              <w:spacing w:before="40" w:after="40"/>
              <w:jc w:val="center"/>
              <w:rPr>
                <w:rFonts w:ascii="Arial Narrow" w:hAnsi="Arial Narrow"/>
                <w:b/>
              </w:rPr>
            </w:pPr>
            <w:r w:rsidRPr="00CD3AA4">
              <w:rPr>
                <w:rFonts w:ascii="Arial Narrow" w:hAnsi="Arial Narrow"/>
                <w:b/>
              </w:rPr>
              <w:t>2015-16</w:t>
            </w:r>
          </w:p>
        </w:tc>
        <w:tc>
          <w:tcPr>
            <w:tcW w:w="734" w:type="pct"/>
            <w:tcBorders>
              <w:bottom w:val="single" w:sz="4" w:space="0" w:color="auto"/>
            </w:tcBorders>
            <w:shd w:val="clear" w:color="auto" w:fill="auto"/>
            <w:vAlign w:val="center"/>
          </w:tcPr>
          <w:p w14:paraId="06CC264E" w14:textId="77777777" w:rsidR="004C57AE" w:rsidRPr="00CD3AA4" w:rsidRDefault="004C57AE" w:rsidP="008C5E8D">
            <w:pPr>
              <w:keepNext/>
              <w:tabs>
                <w:tab w:val="left" w:pos="851"/>
              </w:tabs>
              <w:spacing w:before="40" w:after="40"/>
              <w:jc w:val="center"/>
              <w:rPr>
                <w:rFonts w:ascii="Arial Narrow" w:hAnsi="Arial Narrow"/>
                <w:b/>
              </w:rPr>
            </w:pPr>
            <w:r w:rsidRPr="00CD3AA4">
              <w:rPr>
                <w:rFonts w:ascii="Arial Narrow" w:hAnsi="Arial Narrow"/>
                <w:b/>
              </w:rPr>
              <w:t>2016-17</w:t>
            </w:r>
          </w:p>
        </w:tc>
        <w:tc>
          <w:tcPr>
            <w:tcW w:w="734" w:type="pct"/>
            <w:tcBorders>
              <w:bottom w:val="single" w:sz="4" w:space="0" w:color="auto"/>
            </w:tcBorders>
            <w:shd w:val="clear" w:color="auto" w:fill="auto"/>
            <w:vAlign w:val="center"/>
          </w:tcPr>
          <w:p w14:paraId="60E6230D" w14:textId="77777777" w:rsidR="004C57AE" w:rsidRPr="00CD3AA4" w:rsidRDefault="004C57AE" w:rsidP="008C5E8D">
            <w:pPr>
              <w:keepNext/>
              <w:tabs>
                <w:tab w:val="left" w:pos="851"/>
              </w:tabs>
              <w:spacing w:before="40" w:after="40"/>
              <w:jc w:val="center"/>
              <w:rPr>
                <w:rFonts w:ascii="Arial Narrow" w:hAnsi="Arial Narrow"/>
                <w:b/>
              </w:rPr>
            </w:pPr>
            <w:r w:rsidRPr="00CD3AA4">
              <w:rPr>
                <w:rFonts w:ascii="Arial Narrow" w:hAnsi="Arial Narrow"/>
                <w:b/>
              </w:rPr>
              <w:t>2017-18</w:t>
            </w:r>
          </w:p>
        </w:tc>
        <w:tc>
          <w:tcPr>
            <w:tcW w:w="734" w:type="pct"/>
            <w:tcBorders>
              <w:bottom w:val="single" w:sz="4" w:space="0" w:color="auto"/>
            </w:tcBorders>
            <w:shd w:val="clear" w:color="auto" w:fill="auto"/>
            <w:vAlign w:val="center"/>
          </w:tcPr>
          <w:p w14:paraId="77DB83B5" w14:textId="77777777" w:rsidR="004C57AE" w:rsidRPr="00CD3AA4" w:rsidRDefault="004C57AE" w:rsidP="008C5E8D">
            <w:pPr>
              <w:keepNext/>
              <w:tabs>
                <w:tab w:val="left" w:pos="851"/>
              </w:tabs>
              <w:spacing w:before="40" w:after="40"/>
              <w:jc w:val="center"/>
              <w:rPr>
                <w:rFonts w:ascii="Arial Narrow" w:hAnsi="Arial Narrow"/>
                <w:b/>
              </w:rPr>
            </w:pPr>
            <w:r w:rsidRPr="00CD3AA4">
              <w:rPr>
                <w:rFonts w:ascii="Arial Narrow" w:hAnsi="Arial Narrow"/>
                <w:b/>
              </w:rPr>
              <w:t>2018-19</w:t>
            </w:r>
          </w:p>
        </w:tc>
        <w:tc>
          <w:tcPr>
            <w:tcW w:w="734" w:type="pct"/>
            <w:tcBorders>
              <w:bottom w:val="single" w:sz="4" w:space="0" w:color="auto"/>
            </w:tcBorders>
            <w:shd w:val="clear" w:color="auto" w:fill="auto"/>
            <w:vAlign w:val="center"/>
          </w:tcPr>
          <w:p w14:paraId="3B58BCBA" w14:textId="77777777" w:rsidR="004C57AE" w:rsidRPr="00CD3AA4" w:rsidRDefault="004C57AE" w:rsidP="008C5E8D">
            <w:pPr>
              <w:keepNext/>
              <w:tabs>
                <w:tab w:val="left" w:pos="851"/>
              </w:tabs>
              <w:spacing w:before="40" w:after="40"/>
              <w:jc w:val="center"/>
              <w:rPr>
                <w:rFonts w:ascii="Arial Narrow" w:hAnsi="Arial Narrow"/>
                <w:b/>
              </w:rPr>
            </w:pPr>
            <w:r w:rsidRPr="00CD3AA4">
              <w:rPr>
                <w:rFonts w:ascii="Arial Narrow" w:hAnsi="Arial Narrow"/>
                <w:b/>
              </w:rPr>
              <w:t>2019-20</w:t>
            </w:r>
          </w:p>
        </w:tc>
      </w:tr>
      <w:tr w:rsidR="00CD3AA4" w:rsidRPr="00CD3AA4" w14:paraId="3552AAF1" w14:textId="77777777" w:rsidTr="009006B8">
        <w:trPr>
          <w:trHeight w:val="300"/>
        </w:trPr>
        <w:tc>
          <w:tcPr>
            <w:tcW w:w="1329" w:type="pct"/>
            <w:tcBorders>
              <w:right w:val="nil"/>
            </w:tcBorders>
            <w:shd w:val="clear" w:color="auto" w:fill="auto"/>
          </w:tcPr>
          <w:p w14:paraId="6287EDD1" w14:textId="77777777" w:rsidR="004C57AE" w:rsidRPr="00CD3AA4" w:rsidRDefault="004C57AE" w:rsidP="008C5E8D">
            <w:pPr>
              <w:widowControl w:val="0"/>
              <w:tabs>
                <w:tab w:val="left" w:pos="851"/>
              </w:tabs>
              <w:spacing w:before="40" w:after="40"/>
              <w:jc w:val="both"/>
              <w:rPr>
                <w:rFonts w:ascii="Arial Narrow" w:hAnsi="Arial Narrow"/>
                <w:b/>
              </w:rPr>
            </w:pPr>
            <w:r w:rsidRPr="00CD3AA4">
              <w:rPr>
                <w:rFonts w:ascii="Arial Narrow" w:hAnsi="Arial Narrow"/>
                <w:b/>
              </w:rPr>
              <w:t>PASCAL</w:t>
            </w:r>
          </w:p>
        </w:tc>
        <w:tc>
          <w:tcPr>
            <w:tcW w:w="734" w:type="pct"/>
            <w:tcBorders>
              <w:left w:val="nil"/>
              <w:right w:val="nil"/>
            </w:tcBorders>
          </w:tcPr>
          <w:p w14:paraId="13BB5600" w14:textId="77777777" w:rsidR="004C57AE" w:rsidRPr="00CD3AA4" w:rsidRDefault="004C57AE" w:rsidP="008C5E8D">
            <w:pPr>
              <w:widowControl w:val="0"/>
              <w:spacing w:before="40" w:after="40"/>
              <w:jc w:val="right"/>
              <w:rPr>
                <w:rFonts w:ascii="Arial Narrow" w:hAnsi="Arial Narrow"/>
                <w:b/>
              </w:rPr>
            </w:pPr>
            <w:r w:rsidRPr="00CD3AA4">
              <w:rPr>
                <w:rFonts w:ascii="Arial Narrow" w:hAnsi="Arial Narrow"/>
                <w:b/>
              </w:rPr>
              <w:t>-</w:t>
            </w:r>
          </w:p>
        </w:tc>
        <w:tc>
          <w:tcPr>
            <w:tcW w:w="734" w:type="pct"/>
            <w:tcBorders>
              <w:left w:val="nil"/>
              <w:right w:val="nil"/>
            </w:tcBorders>
            <w:shd w:val="clear" w:color="auto" w:fill="auto"/>
          </w:tcPr>
          <w:p w14:paraId="14DF0722" w14:textId="77777777" w:rsidR="004C57AE" w:rsidRPr="00CD3AA4" w:rsidRDefault="004C57AE" w:rsidP="008C5E8D">
            <w:pPr>
              <w:widowControl w:val="0"/>
              <w:spacing w:before="40" w:after="40"/>
              <w:jc w:val="right"/>
              <w:rPr>
                <w:rFonts w:ascii="Arial Narrow" w:hAnsi="Arial Narrow"/>
                <w:b/>
              </w:rPr>
            </w:pPr>
            <w:r w:rsidRPr="00CD3AA4">
              <w:rPr>
                <w:rFonts w:ascii="Arial Narrow" w:hAnsi="Arial Narrow"/>
                <w:b/>
              </w:rPr>
              <w:t>-</w:t>
            </w:r>
          </w:p>
        </w:tc>
        <w:tc>
          <w:tcPr>
            <w:tcW w:w="734" w:type="pct"/>
            <w:tcBorders>
              <w:left w:val="nil"/>
              <w:right w:val="nil"/>
            </w:tcBorders>
            <w:shd w:val="clear" w:color="auto" w:fill="auto"/>
          </w:tcPr>
          <w:p w14:paraId="4B21619E" w14:textId="77777777" w:rsidR="004C57AE" w:rsidRPr="00CD3AA4" w:rsidRDefault="004C57AE" w:rsidP="008C5E8D">
            <w:pPr>
              <w:widowControl w:val="0"/>
              <w:spacing w:before="40" w:after="40"/>
              <w:jc w:val="right"/>
              <w:rPr>
                <w:rFonts w:ascii="Arial Narrow" w:hAnsi="Arial Narrow"/>
                <w:b/>
              </w:rPr>
            </w:pPr>
            <w:r w:rsidRPr="00CD3AA4">
              <w:rPr>
                <w:rFonts w:ascii="Arial Narrow" w:hAnsi="Arial Narrow"/>
                <w:b/>
              </w:rPr>
              <w:t>-</w:t>
            </w:r>
          </w:p>
        </w:tc>
        <w:tc>
          <w:tcPr>
            <w:tcW w:w="734" w:type="pct"/>
            <w:tcBorders>
              <w:left w:val="nil"/>
              <w:right w:val="nil"/>
            </w:tcBorders>
            <w:shd w:val="clear" w:color="auto" w:fill="auto"/>
          </w:tcPr>
          <w:p w14:paraId="5AAAC210" w14:textId="77777777" w:rsidR="004C57AE" w:rsidRPr="00CD3AA4" w:rsidRDefault="004C57AE" w:rsidP="008C5E8D">
            <w:pPr>
              <w:widowControl w:val="0"/>
              <w:spacing w:before="40" w:after="40"/>
              <w:jc w:val="right"/>
              <w:rPr>
                <w:rFonts w:ascii="Arial Narrow" w:hAnsi="Arial Narrow"/>
                <w:b/>
              </w:rPr>
            </w:pPr>
            <w:r w:rsidRPr="00CD3AA4">
              <w:rPr>
                <w:rFonts w:ascii="Arial Narrow" w:hAnsi="Arial Narrow"/>
                <w:b/>
              </w:rPr>
              <w:t>-</w:t>
            </w:r>
          </w:p>
        </w:tc>
        <w:tc>
          <w:tcPr>
            <w:tcW w:w="734" w:type="pct"/>
            <w:tcBorders>
              <w:left w:val="nil"/>
              <w:right w:val="nil"/>
            </w:tcBorders>
            <w:shd w:val="clear" w:color="auto" w:fill="auto"/>
          </w:tcPr>
          <w:p w14:paraId="63E3CD95" w14:textId="77777777" w:rsidR="004C57AE" w:rsidRPr="00CD3AA4" w:rsidRDefault="004C57AE" w:rsidP="008C5E8D">
            <w:pPr>
              <w:widowControl w:val="0"/>
              <w:spacing w:before="40" w:after="40"/>
              <w:jc w:val="right"/>
              <w:rPr>
                <w:rFonts w:ascii="Arial Narrow" w:hAnsi="Arial Narrow"/>
                <w:b/>
              </w:rPr>
            </w:pPr>
            <w:r w:rsidRPr="00CD3AA4">
              <w:rPr>
                <w:rFonts w:ascii="Arial Narrow" w:hAnsi="Arial Narrow"/>
                <w:b/>
              </w:rPr>
              <w:t>-</w:t>
            </w:r>
          </w:p>
        </w:tc>
      </w:tr>
      <w:tr w:rsidR="00CD3AA4" w:rsidRPr="00CD3AA4" w14:paraId="7CC984E0" w14:textId="77777777" w:rsidTr="007878B5">
        <w:trPr>
          <w:trHeight w:val="300"/>
        </w:trPr>
        <w:tc>
          <w:tcPr>
            <w:tcW w:w="1329" w:type="pct"/>
            <w:shd w:val="clear" w:color="auto" w:fill="auto"/>
          </w:tcPr>
          <w:p w14:paraId="3F74A2E9" w14:textId="43B92B84" w:rsidR="004C57AE" w:rsidRPr="00CD3AA4" w:rsidRDefault="004C57AE" w:rsidP="007878B5">
            <w:pPr>
              <w:widowControl w:val="0"/>
              <w:tabs>
                <w:tab w:val="left" w:pos="851"/>
              </w:tabs>
              <w:spacing w:before="40" w:after="40"/>
              <w:rPr>
                <w:rFonts w:ascii="Arial Narrow" w:hAnsi="Arial Narrow"/>
              </w:rPr>
            </w:pPr>
            <w:r w:rsidRPr="00CD3AA4">
              <w:rPr>
                <w:rFonts w:ascii="Arial Narrow" w:hAnsi="Arial Narrow"/>
              </w:rPr>
              <w:t>Number</w:t>
            </w:r>
            <w:r w:rsidR="000D35B2" w:rsidRPr="00CD3AA4">
              <w:rPr>
                <w:rFonts w:ascii="Arial Narrow" w:hAnsi="Arial Narrow"/>
              </w:rPr>
              <w:t xml:space="preserve"> </w:t>
            </w:r>
            <w:r w:rsidRPr="00CD3AA4">
              <w:rPr>
                <w:rFonts w:ascii="Arial Narrow" w:hAnsi="Arial Narrow"/>
              </w:rPr>
              <w:t>of services</w:t>
            </w:r>
          </w:p>
        </w:tc>
        <w:tc>
          <w:tcPr>
            <w:tcW w:w="734" w:type="pct"/>
          </w:tcPr>
          <w:p w14:paraId="789AA9CB" w14:textId="31C74AFC" w:rsidR="004C57AE" w:rsidRPr="00CD3AA4" w:rsidRDefault="000D35B2" w:rsidP="008C5E8D">
            <w:pPr>
              <w:widowControl w:val="0"/>
              <w:spacing w:before="40" w:after="40"/>
              <w:jc w:val="center"/>
              <w:rPr>
                <w:rFonts w:ascii="Arial Narrow" w:hAnsi="Arial Narrow"/>
                <w:sz w:val="18"/>
                <w:szCs w:val="18"/>
              </w:rPr>
            </w:pPr>
            <w:r w:rsidRPr="00CD3AA4">
              <w:rPr>
                <w:rFonts w:ascii="Arial Narrow" w:hAnsi="Arial Narrow"/>
                <w:b/>
                <w:bCs/>
                <w:sz w:val="18"/>
                <w:szCs w:val="18"/>
              </w:rPr>
              <w:t>redacted</w:t>
            </w:r>
          </w:p>
        </w:tc>
        <w:tc>
          <w:tcPr>
            <w:tcW w:w="734" w:type="pct"/>
            <w:shd w:val="clear" w:color="auto" w:fill="auto"/>
          </w:tcPr>
          <w:p w14:paraId="6070D930" w14:textId="45946BD4" w:rsidR="004C57AE" w:rsidRPr="00CD3AA4" w:rsidRDefault="000D35B2" w:rsidP="008C5E8D">
            <w:pPr>
              <w:widowControl w:val="0"/>
              <w:spacing w:before="40" w:after="40"/>
              <w:jc w:val="center"/>
              <w:rPr>
                <w:rFonts w:ascii="Arial Narrow" w:hAnsi="Arial Narrow"/>
                <w:sz w:val="18"/>
                <w:szCs w:val="18"/>
              </w:rPr>
            </w:pPr>
            <w:r w:rsidRPr="00CD3AA4">
              <w:rPr>
                <w:rFonts w:ascii="Arial Narrow" w:hAnsi="Arial Narrow"/>
                <w:b/>
                <w:bCs/>
                <w:sz w:val="18"/>
                <w:szCs w:val="18"/>
              </w:rPr>
              <w:t>redacted</w:t>
            </w:r>
          </w:p>
        </w:tc>
        <w:tc>
          <w:tcPr>
            <w:tcW w:w="734" w:type="pct"/>
            <w:shd w:val="clear" w:color="auto" w:fill="auto"/>
          </w:tcPr>
          <w:p w14:paraId="6448FDCC" w14:textId="69F98C63" w:rsidR="004C57AE" w:rsidRPr="00CD3AA4" w:rsidRDefault="000D35B2" w:rsidP="008C5E8D">
            <w:pPr>
              <w:widowControl w:val="0"/>
              <w:spacing w:before="40" w:after="40"/>
              <w:jc w:val="center"/>
              <w:rPr>
                <w:rFonts w:ascii="Arial Narrow" w:hAnsi="Arial Narrow"/>
                <w:sz w:val="18"/>
                <w:szCs w:val="18"/>
              </w:rPr>
            </w:pPr>
            <w:r w:rsidRPr="00CD3AA4">
              <w:rPr>
                <w:rFonts w:ascii="Arial Narrow" w:hAnsi="Arial Narrow"/>
                <w:b/>
                <w:bCs/>
                <w:sz w:val="18"/>
                <w:szCs w:val="18"/>
              </w:rPr>
              <w:t>redacted</w:t>
            </w:r>
          </w:p>
        </w:tc>
        <w:tc>
          <w:tcPr>
            <w:tcW w:w="734" w:type="pct"/>
            <w:shd w:val="clear" w:color="auto" w:fill="auto"/>
          </w:tcPr>
          <w:p w14:paraId="5F3D6282" w14:textId="258BB325" w:rsidR="004C57AE" w:rsidRPr="00CD3AA4" w:rsidRDefault="000D35B2" w:rsidP="008C5E8D">
            <w:pPr>
              <w:widowControl w:val="0"/>
              <w:spacing w:before="40" w:after="40"/>
              <w:jc w:val="center"/>
              <w:rPr>
                <w:rFonts w:ascii="Arial Narrow" w:hAnsi="Arial Narrow"/>
                <w:sz w:val="18"/>
                <w:szCs w:val="18"/>
              </w:rPr>
            </w:pPr>
            <w:r w:rsidRPr="00CD3AA4">
              <w:rPr>
                <w:rFonts w:ascii="Arial Narrow" w:hAnsi="Arial Narrow"/>
                <w:b/>
                <w:bCs/>
                <w:sz w:val="18"/>
                <w:szCs w:val="18"/>
              </w:rPr>
              <w:t>redacted</w:t>
            </w:r>
          </w:p>
        </w:tc>
        <w:tc>
          <w:tcPr>
            <w:tcW w:w="734" w:type="pct"/>
            <w:shd w:val="clear" w:color="auto" w:fill="auto"/>
          </w:tcPr>
          <w:p w14:paraId="50F9088A" w14:textId="7B644B9C" w:rsidR="004C57AE" w:rsidRPr="00CD3AA4" w:rsidRDefault="000D35B2" w:rsidP="008C5E8D">
            <w:pPr>
              <w:widowControl w:val="0"/>
              <w:spacing w:before="40" w:after="40"/>
              <w:jc w:val="center"/>
              <w:rPr>
                <w:rFonts w:ascii="Arial Narrow" w:hAnsi="Arial Narrow"/>
                <w:sz w:val="18"/>
                <w:szCs w:val="18"/>
              </w:rPr>
            </w:pPr>
            <w:r w:rsidRPr="00CD3AA4">
              <w:rPr>
                <w:rFonts w:ascii="Arial Narrow" w:hAnsi="Arial Narrow"/>
                <w:b/>
                <w:bCs/>
                <w:sz w:val="18"/>
                <w:szCs w:val="18"/>
              </w:rPr>
              <w:t>redacted</w:t>
            </w:r>
          </w:p>
        </w:tc>
      </w:tr>
      <w:tr w:rsidR="00CD3AA4" w:rsidRPr="00CD3AA4" w14:paraId="6AE88198" w14:textId="77777777" w:rsidTr="000D35B2">
        <w:trPr>
          <w:trHeight w:val="315"/>
        </w:trPr>
        <w:tc>
          <w:tcPr>
            <w:tcW w:w="1329" w:type="pct"/>
            <w:tcBorders>
              <w:bottom w:val="single" w:sz="4" w:space="0" w:color="auto"/>
            </w:tcBorders>
            <w:shd w:val="clear" w:color="auto" w:fill="auto"/>
          </w:tcPr>
          <w:p w14:paraId="59FB710C" w14:textId="77777777" w:rsidR="004C57AE" w:rsidRPr="00CD3AA4" w:rsidRDefault="004C57AE" w:rsidP="008C5E8D">
            <w:pPr>
              <w:widowControl w:val="0"/>
              <w:spacing w:before="40" w:after="40"/>
              <w:rPr>
                <w:rFonts w:ascii="Arial Narrow" w:hAnsi="Arial Narrow"/>
              </w:rPr>
            </w:pPr>
            <w:r w:rsidRPr="00CD3AA4">
              <w:rPr>
                <w:rFonts w:ascii="Arial Narrow" w:hAnsi="Arial Narrow"/>
              </w:rPr>
              <w:t>Sub-total cost</w:t>
            </w:r>
          </w:p>
        </w:tc>
        <w:tc>
          <w:tcPr>
            <w:tcW w:w="734" w:type="pct"/>
            <w:tcBorders>
              <w:bottom w:val="single" w:sz="4" w:space="0" w:color="auto"/>
            </w:tcBorders>
          </w:tcPr>
          <w:p w14:paraId="34003BE8" w14:textId="5CB14ABA" w:rsidR="004C57AE" w:rsidRPr="00CD3AA4" w:rsidRDefault="004C57AE">
            <w:pPr>
              <w:widowControl w:val="0"/>
              <w:spacing w:before="40" w:after="40"/>
              <w:jc w:val="center"/>
              <w:rPr>
                <w:rFonts w:ascii="Arial Narrow" w:hAnsi="Arial Narrow"/>
                <w:b/>
                <w:bCs/>
                <w:i/>
                <w:iCs/>
                <w:sz w:val="18"/>
                <w:szCs w:val="18"/>
              </w:rPr>
            </w:pPr>
            <w:r w:rsidRPr="00CD3AA4">
              <w:rPr>
                <w:rFonts w:ascii="Arial Narrow" w:hAnsi="Arial Narrow" w:cs="Arial Narrow"/>
                <w:b/>
                <w:bCs/>
                <w:sz w:val="18"/>
                <w:szCs w:val="18"/>
              </w:rPr>
              <w:t>$</w:t>
            </w:r>
            <w:r w:rsidR="000D35B2" w:rsidRPr="00CD3AA4">
              <w:rPr>
                <w:rFonts w:ascii="Arial Narrow" w:hAnsi="Arial Narrow" w:cs="Arial Narrow"/>
                <w:b/>
                <w:bCs/>
                <w:sz w:val="18"/>
                <w:szCs w:val="18"/>
              </w:rPr>
              <w:t>redacted</w:t>
            </w:r>
          </w:p>
        </w:tc>
        <w:tc>
          <w:tcPr>
            <w:tcW w:w="734" w:type="pct"/>
            <w:tcBorders>
              <w:bottom w:val="single" w:sz="4" w:space="0" w:color="auto"/>
            </w:tcBorders>
            <w:shd w:val="clear" w:color="auto" w:fill="auto"/>
          </w:tcPr>
          <w:p w14:paraId="1110B5A1" w14:textId="7EEE917C" w:rsidR="004C57AE" w:rsidRPr="00CD3AA4" w:rsidRDefault="000D35B2">
            <w:pPr>
              <w:widowControl w:val="0"/>
              <w:spacing w:before="40" w:after="40"/>
              <w:jc w:val="center"/>
              <w:rPr>
                <w:rFonts w:ascii="Arial Narrow" w:hAnsi="Arial Narrow"/>
                <w:b/>
                <w:bCs/>
                <w:i/>
                <w:iCs/>
                <w:sz w:val="18"/>
                <w:szCs w:val="18"/>
              </w:rPr>
            </w:pPr>
            <w:r w:rsidRPr="00CD3AA4">
              <w:rPr>
                <w:rFonts w:ascii="Arial Narrow" w:hAnsi="Arial Narrow" w:cs="Arial Narrow"/>
                <w:b/>
                <w:bCs/>
                <w:sz w:val="18"/>
                <w:szCs w:val="18"/>
              </w:rPr>
              <w:t>$redacted</w:t>
            </w:r>
          </w:p>
        </w:tc>
        <w:tc>
          <w:tcPr>
            <w:tcW w:w="734" w:type="pct"/>
            <w:tcBorders>
              <w:bottom w:val="single" w:sz="4" w:space="0" w:color="auto"/>
            </w:tcBorders>
            <w:shd w:val="clear" w:color="auto" w:fill="auto"/>
          </w:tcPr>
          <w:p w14:paraId="33FFEC49" w14:textId="0A04F6D0" w:rsidR="004C57AE" w:rsidRPr="00CD3AA4" w:rsidRDefault="000D35B2" w:rsidP="008C5E8D">
            <w:pPr>
              <w:widowControl w:val="0"/>
              <w:spacing w:before="40" w:after="40"/>
              <w:jc w:val="center"/>
              <w:rPr>
                <w:rFonts w:ascii="Arial Narrow" w:hAnsi="Arial Narrow"/>
                <w:i/>
                <w:iCs/>
                <w:sz w:val="18"/>
                <w:szCs w:val="18"/>
              </w:rPr>
            </w:pPr>
            <w:r w:rsidRPr="00CD3AA4">
              <w:rPr>
                <w:rFonts w:ascii="Arial Narrow" w:hAnsi="Arial Narrow" w:cs="Arial Narrow"/>
                <w:b/>
                <w:bCs/>
                <w:sz w:val="18"/>
                <w:szCs w:val="18"/>
              </w:rPr>
              <w:t>$redacted</w:t>
            </w:r>
          </w:p>
        </w:tc>
        <w:tc>
          <w:tcPr>
            <w:tcW w:w="734" w:type="pct"/>
            <w:tcBorders>
              <w:bottom w:val="single" w:sz="4" w:space="0" w:color="auto"/>
            </w:tcBorders>
            <w:shd w:val="clear" w:color="auto" w:fill="auto"/>
          </w:tcPr>
          <w:p w14:paraId="52045ED2" w14:textId="1B6E5BC1" w:rsidR="004C57AE" w:rsidRPr="00CD3AA4" w:rsidRDefault="000D35B2">
            <w:pPr>
              <w:widowControl w:val="0"/>
              <w:spacing w:before="40" w:after="40"/>
              <w:jc w:val="center"/>
              <w:rPr>
                <w:rFonts w:ascii="Arial Narrow" w:hAnsi="Arial Narrow"/>
                <w:i/>
                <w:iCs/>
                <w:sz w:val="18"/>
                <w:szCs w:val="18"/>
              </w:rPr>
            </w:pPr>
            <w:r w:rsidRPr="00CD3AA4">
              <w:rPr>
                <w:rFonts w:ascii="Arial Narrow" w:hAnsi="Arial Narrow" w:cs="Arial Narrow"/>
                <w:b/>
                <w:bCs/>
                <w:sz w:val="18"/>
                <w:szCs w:val="18"/>
              </w:rPr>
              <w:t>$redacted</w:t>
            </w:r>
          </w:p>
        </w:tc>
        <w:tc>
          <w:tcPr>
            <w:tcW w:w="734" w:type="pct"/>
            <w:tcBorders>
              <w:bottom w:val="single" w:sz="4" w:space="0" w:color="auto"/>
            </w:tcBorders>
            <w:shd w:val="clear" w:color="auto" w:fill="auto"/>
          </w:tcPr>
          <w:p w14:paraId="4F64D913" w14:textId="13FC0FA2" w:rsidR="004C57AE" w:rsidRPr="00CD3AA4" w:rsidRDefault="000D35B2" w:rsidP="008C5E8D">
            <w:pPr>
              <w:widowControl w:val="0"/>
              <w:spacing w:before="40" w:after="40"/>
              <w:jc w:val="center"/>
              <w:rPr>
                <w:rFonts w:ascii="Arial Narrow" w:hAnsi="Arial Narrow"/>
                <w:i/>
                <w:iCs/>
                <w:sz w:val="18"/>
                <w:szCs w:val="18"/>
              </w:rPr>
            </w:pPr>
            <w:r w:rsidRPr="00CD3AA4">
              <w:rPr>
                <w:rFonts w:ascii="Arial Narrow" w:hAnsi="Arial Narrow" w:cs="Arial Narrow"/>
                <w:b/>
                <w:bCs/>
                <w:sz w:val="18"/>
                <w:szCs w:val="18"/>
              </w:rPr>
              <w:t>$redacted</w:t>
            </w:r>
          </w:p>
        </w:tc>
      </w:tr>
      <w:tr w:rsidR="00CD3AA4" w:rsidRPr="00CD3AA4" w14:paraId="040CCCAC" w14:textId="77777777" w:rsidTr="007878B5">
        <w:trPr>
          <w:trHeight w:val="315"/>
        </w:trPr>
        <w:tc>
          <w:tcPr>
            <w:tcW w:w="1329" w:type="pct"/>
            <w:tcBorders>
              <w:bottom w:val="single" w:sz="4" w:space="0" w:color="auto"/>
            </w:tcBorders>
            <w:shd w:val="clear" w:color="auto" w:fill="auto"/>
          </w:tcPr>
          <w:p w14:paraId="74C0A04C" w14:textId="77777777" w:rsidR="004C57AE" w:rsidRPr="00CD3AA4" w:rsidRDefault="004C57AE" w:rsidP="008C5E8D">
            <w:pPr>
              <w:widowControl w:val="0"/>
              <w:spacing w:before="40" w:after="40"/>
              <w:rPr>
                <w:rFonts w:ascii="Arial Narrow" w:hAnsi="Arial Narrow"/>
              </w:rPr>
            </w:pPr>
            <w:r w:rsidRPr="00CD3AA4">
              <w:rPr>
                <w:rFonts w:ascii="Arial Narrow" w:hAnsi="Arial Narrow"/>
              </w:rPr>
              <w:t>Current Prices:</w:t>
            </w:r>
          </w:p>
          <w:p w14:paraId="1CD27C06" w14:textId="2DC1E7FA" w:rsidR="004C57AE" w:rsidRPr="00CD3AA4" w:rsidRDefault="004C57AE" w:rsidP="008C5E8D">
            <w:pPr>
              <w:widowControl w:val="0"/>
              <w:spacing w:before="40" w:after="40"/>
              <w:rPr>
                <w:rFonts w:ascii="Arial Narrow" w:hAnsi="Arial Narrow"/>
              </w:rPr>
            </w:pPr>
            <w:r w:rsidRPr="00CD3AA4">
              <w:rPr>
                <w:rFonts w:ascii="Arial Narrow" w:hAnsi="Arial Narrow"/>
              </w:rPr>
              <w:t>Full Benefit</w:t>
            </w:r>
            <w:r w:rsidR="003C2BA2" w:rsidRPr="00CD3AA4">
              <w:rPr>
                <w:rFonts w:ascii="Arial Narrow" w:hAnsi="Arial Narrow"/>
              </w:rPr>
              <w:t xml:space="preserve"> </w:t>
            </w:r>
            <w:r w:rsidRPr="00CD3AA4">
              <w:rPr>
                <w:rFonts w:ascii="Arial Narrow" w:hAnsi="Arial Narrow"/>
                <w:vertAlign w:val="superscript"/>
              </w:rPr>
              <w:t>a</w:t>
            </w:r>
            <w:r w:rsidRPr="00CD3AA4">
              <w:rPr>
                <w:rFonts w:ascii="Arial Narrow" w:hAnsi="Arial Narrow"/>
              </w:rPr>
              <w:t>:</w:t>
            </w:r>
          </w:p>
          <w:p w14:paraId="51ECA1C2" w14:textId="02ED2DA7" w:rsidR="004C57AE" w:rsidRPr="00CD3AA4" w:rsidRDefault="004C57AE" w:rsidP="008C5E8D">
            <w:pPr>
              <w:widowControl w:val="0"/>
              <w:spacing w:before="40" w:after="40"/>
              <w:rPr>
                <w:rFonts w:ascii="Arial Narrow" w:hAnsi="Arial Narrow"/>
              </w:rPr>
            </w:pPr>
            <w:r w:rsidRPr="00CD3AA4">
              <w:rPr>
                <w:rFonts w:ascii="Arial Narrow" w:hAnsi="Arial Narrow"/>
              </w:rPr>
              <w:t>75% Benefit</w:t>
            </w:r>
            <w:r w:rsidR="003C2BA2" w:rsidRPr="00CD3AA4">
              <w:rPr>
                <w:rFonts w:ascii="Arial Narrow" w:hAnsi="Arial Narrow"/>
              </w:rPr>
              <w:t xml:space="preserve"> </w:t>
            </w:r>
            <w:r w:rsidRPr="00CD3AA4">
              <w:rPr>
                <w:rFonts w:ascii="Arial Narrow" w:hAnsi="Arial Narrow"/>
                <w:vertAlign w:val="superscript"/>
              </w:rPr>
              <w:t>a</w:t>
            </w:r>
          </w:p>
        </w:tc>
        <w:tc>
          <w:tcPr>
            <w:tcW w:w="734" w:type="pct"/>
            <w:tcBorders>
              <w:bottom w:val="single" w:sz="4" w:space="0" w:color="auto"/>
            </w:tcBorders>
            <w:vAlign w:val="center"/>
          </w:tcPr>
          <w:p w14:paraId="58FA2377" w14:textId="3C78B944" w:rsidR="004C57AE" w:rsidRPr="00CD3AA4" w:rsidRDefault="004C57AE">
            <w:pPr>
              <w:widowControl w:val="0"/>
              <w:spacing w:before="40" w:after="40"/>
              <w:jc w:val="center"/>
              <w:rPr>
                <w:rFonts w:ascii="Arial Narrow" w:hAnsi="Arial Narrow"/>
                <w:b/>
                <w:bCs/>
                <w:sz w:val="18"/>
                <w:szCs w:val="18"/>
              </w:rPr>
            </w:pPr>
            <w:r w:rsidRPr="00CD3AA4">
              <w:rPr>
                <w:rFonts w:ascii="Arial Narrow" w:hAnsi="Arial Narrow"/>
                <w:b/>
                <w:bCs/>
                <w:sz w:val="18"/>
                <w:szCs w:val="18"/>
              </w:rPr>
              <w:t>$</w:t>
            </w:r>
            <w:r w:rsidR="000D35B2" w:rsidRPr="00CD3AA4">
              <w:rPr>
                <w:rFonts w:ascii="Arial Narrow" w:hAnsi="Arial Narrow"/>
                <w:b/>
                <w:bCs/>
                <w:sz w:val="18"/>
                <w:szCs w:val="18"/>
              </w:rPr>
              <w:t>redacted</w:t>
            </w:r>
          </w:p>
        </w:tc>
        <w:tc>
          <w:tcPr>
            <w:tcW w:w="734" w:type="pct"/>
            <w:tcBorders>
              <w:bottom w:val="single" w:sz="4" w:space="0" w:color="auto"/>
            </w:tcBorders>
            <w:shd w:val="clear" w:color="auto" w:fill="auto"/>
            <w:vAlign w:val="center"/>
          </w:tcPr>
          <w:p w14:paraId="2985458A" w14:textId="2C6C2D32" w:rsidR="004C57AE" w:rsidRPr="00CD3AA4" w:rsidRDefault="004C57AE">
            <w:pPr>
              <w:widowControl w:val="0"/>
              <w:spacing w:before="40" w:after="40"/>
              <w:jc w:val="center"/>
              <w:rPr>
                <w:rFonts w:ascii="Arial Narrow" w:hAnsi="Arial Narrow"/>
                <w:b/>
                <w:bCs/>
                <w:sz w:val="18"/>
                <w:szCs w:val="18"/>
              </w:rPr>
            </w:pPr>
            <w:r w:rsidRPr="00CD3AA4">
              <w:rPr>
                <w:rFonts w:ascii="Arial Narrow" w:hAnsi="Arial Narrow"/>
                <w:b/>
                <w:bCs/>
                <w:sz w:val="18"/>
                <w:szCs w:val="18"/>
              </w:rPr>
              <w:t>$</w:t>
            </w:r>
            <w:r w:rsidR="000D35B2" w:rsidRPr="00CD3AA4">
              <w:rPr>
                <w:rFonts w:ascii="Arial Narrow" w:hAnsi="Arial Narrow"/>
                <w:b/>
                <w:bCs/>
                <w:sz w:val="18"/>
                <w:szCs w:val="18"/>
              </w:rPr>
              <w:t>redacted</w:t>
            </w:r>
          </w:p>
        </w:tc>
        <w:tc>
          <w:tcPr>
            <w:tcW w:w="734" w:type="pct"/>
            <w:tcBorders>
              <w:bottom w:val="single" w:sz="4" w:space="0" w:color="auto"/>
            </w:tcBorders>
            <w:shd w:val="clear" w:color="auto" w:fill="auto"/>
            <w:vAlign w:val="center"/>
          </w:tcPr>
          <w:p w14:paraId="65E4FDD2" w14:textId="4353B6F4" w:rsidR="004C57AE" w:rsidRPr="00CD3AA4" w:rsidRDefault="000D35B2">
            <w:pPr>
              <w:widowControl w:val="0"/>
              <w:spacing w:before="40" w:after="40"/>
              <w:jc w:val="center"/>
              <w:rPr>
                <w:rFonts w:ascii="Arial Narrow" w:hAnsi="Arial Narrow"/>
                <w:b/>
                <w:bCs/>
                <w:sz w:val="18"/>
                <w:szCs w:val="18"/>
              </w:rPr>
            </w:pPr>
            <w:r w:rsidRPr="00CD3AA4">
              <w:rPr>
                <w:rFonts w:ascii="Arial Narrow" w:hAnsi="Arial Narrow"/>
                <w:b/>
                <w:bCs/>
                <w:sz w:val="18"/>
                <w:szCs w:val="18"/>
              </w:rPr>
              <w:t>$redacted</w:t>
            </w:r>
          </w:p>
        </w:tc>
        <w:tc>
          <w:tcPr>
            <w:tcW w:w="734" w:type="pct"/>
            <w:tcBorders>
              <w:bottom w:val="single" w:sz="4" w:space="0" w:color="auto"/>
            </w:tcBorders>
            <w:shd w:val="clear" w:color="auto" w:fill="auto"/>
            <w:vAlign w:val="center"/>
          </w:tcPr>
          <w:p w14:paraId="649A083D" w14:textId="2CA57B3C" w:rsidR="004C57AE" w:rsidRPr="00CD3AA4" w:rsidRDefault="004C57AE">
            <w:pPr>
              <w:widowControl w:val="0"/>
              <w:spacing w:before="40" w:after="40"/>
              <w:jc w:val="center"/>
              <w:rPr>
                <w:rFonts w:ascii="Arial Narrow" w:hAnsi="Arial Narrow"/>
                <w:b/>
                <w:bCs/>
                <w:sz w:val="18"/>
                <w:szCs w:val="18"/>
              </w:rPr>
            </w:pPr>
            <w:r w:rsidRPr="00CD3AA4">
              <w:rPr>
                <w:rFonts w:ascii="Arial Narrow" w:hAnsi="Arial Narrow"/>
                <w:b/>
                <w:bCs/>
                <w:sz w:val="18"/>
                <w:szCs w:val="18"/>
              </w:rPr>
              <w:t>$</w:t>
            </w:r>
            <w:r w:rsidR="000D35B2" w:rsidRPr="00CD3AA4">
              <w:rPr>
                <w:rFonts w:ascii="Arial Narrow" w:hAnsi="Arial Narrow"/>
                <w:b/>
                <w:bCs/>
                <w:sz w:val="18"/>
                <w:szCs w:val="18"/>
              </w:rPr>
              <w:t>redacted</w:t>
            </w:r>
          </w:p>
        </w:tc>
        <w:tc>
          <w:tcPr>
            <w:tcW w:w="734" w:type="pct"/>
            <w:tcBorders>
              <w:bottom w:val="single" w:sz="4" w:space="0" w:color="auto"/>
            </w:tcBorders>
            <w:shd w:val="clear" w:color="auto" w:fill="auto"/>
            <w:vAlign w:val="center"/>
          </w:tcPr>
          <w:p w14:paraId="66EBEDC0" w14:textId="3739E594" w:rsidR="004C57AE" w:rsidRPr="00CD3AA4" w:rsidRDefault="004C57AE">
            <w:pPr>
              <w:widowControl w:val="0"/>
              <w:spacing w:before="40" w:after="40"/>
              <w:jc w:val="center"/>
              <w:rPr>
                <w:rFonts w:ascii="Arial Narrow" w:hAnsi="Arial Narrow"/>
                <w:b/>
                <w:bCs/>
                <w:sz w:val="18"/>
                <w:szCs w:val="18"/>
              </w:rPr>
            </w:pPr>
            <w:r w:rsidRPr="00CD3AA4">
              <w:rPr>
                <w:rFonts w:ascii="Arial Narrow" w:hAnsi="Arial Narrow"/>
                <w:b/>
                <w:bCs/>
                <w:sz w:val="18"/>
                <w:szCs w:val="18"/>
              </w:rPr>
              <w:t>$</w:t>
            </w:r>
            <w:r w:rsidR="000D35B2" w:rsidRPr="00CD3AA4">
              <w:rPr>
                <w:rFonts w:ascii="Arial Narrow" w:hAnsi="Arial Narrow"/>
                <w:b/>
                <w:bCs/>
                <w:sz w:val="18"/>
                <w:szCs w:val="18"/>
              </w:rPr>
              <w:t>redacted</w:t>
            </w:r>
          </w:p>
        </w:tc>
      </w:tr>
    </w:tbl>
    <w:p w14:paraId="7A14A7DD" w14:textId="77777777" w:rsidR="004C57AE" w:rsidRPr="00CD3AA4" w:rsidRDefault="004C57AE" w:rsidP="00AF7538">
      <w:pPr>
        <w:pStyle w:val="Tablenotes"/>
        <w:rPr>
          <w:rStyle w:val="Emphasis"/>
          <w:rFonts w:ascii="Arial Narrow" w:hAnsi="Arial Narrow"/>
          <w:b/>
          <w:bCs/>
          <w:sz w:val="18"/>
          <w:szCs w:val="18"/>
        </w:rPr>
      </w:pPr>
      <w:r w:rsidRPr="00CD3AA4">
        <w:rPr>
          <w:rStyle w:val="Emphasis"/>
          <w:rFonts w:ascii="Arial Narrow" w:hAnsi="Arial Narrow"/>
          <w:i w:val="0"/>
          <w:iCs/>
          <w:sz w:val="18"/>
          <w:szCs w:val="18"/>
        </w:rPr>
        <w:t>a</w:t>
      </w:r>
      <w:r w:rsidRPr="00CD3AA4">
        <w:rPr>
          <w:rStyle w:val="Emphasis"/>
          <w:rFonts w:ascii="Arial Narrow" w:hAnsi="Arial Narrow"/>
          <w:b/>
          <w:bCs/>
          <w:sz w:val="18"/>
          <w:szCs w:val="18"/>
        </w:rPr>
        <w:t xml:space="preserve"> </w:t>
      </w:r>
      <w:r w:rsidRPr="00CD3AA4">
        <w:rPr>
          <w:rStyle w:val="Emphasis"/>
          <w:rFonts w:ascii="Arial Narrow" w:hAnsi="Arial Narrow"/>
          <w:i w:val="0"/>
          <w:iCs/>
          <w:sz w:val="18"/>
          <w:szCs w:val="18"/>
        </w:rPr>
        <w:t>3x MBS Items 6081 included</w:t>
      </w:r>
    </w:p>
    <w:p w14:paraId="0578D122" w14:textId="55311D3B" w:rsidR="004C57AE" w:rsidRPr="00CD3AA4" w:rsidRDefault="004C57AE" w:rsidP="00AF7538">
      <w:pPr>
        <w:pStyle w:val="Tablenotes"/>
      </w:pPr>
      <w:r w:rsidRPr="00CD3AA4">
        <w:t>Source:</w:t>
      </w:r>
      <w:r w:rsidR="00190736" w:rsidRPr="00CD3AA4">
        <w:t xml:space="preserve"> ADAR </w:t>
      </w:r>
    </w:p>
    <w:p w14:paraId="2A67DB96" w14:textId="26505F7D" w:rsidR="009006B8" w:rsidRPr="00CD3AA4" w:rsidRDefault="00FF218D" w:rsidP="003922FD">
      <w:r w:rsidRPr="00CD3AA4">
        <w:t>The</w:t>
      </w:r>
      <w:r w:rsidR="00190736" w:rsidRPr="00CD3AA4">
        <w:t xml:space="preserve"> commentary</w:t>
      </w:r>
      <w:r w:rsidRPr="00CD3AA4">
        <w:t xml:space="preserve"> revised hospital and prosthesis costs</w:t>
      </w:r>
      <w:r w:rsidR="00190736" w:rsidRPr="00CD3AA4">
        <w:t xml:space="preserve"> based on the </w:t>
      </w:r>
      <w:r w:rsidR="000D35B2" w:rsidRPr="00CD3AA4">
        <w:rPr>
          <w:b/>
          <w:bCs/>
        </w:rPr>
        <w:t xml:space="preserve">REDACTED </w:t>
      </w:r>
      <w:r w:rsidR="00E83D9E" w:rsidRPr="00CD3AA4">
        <w:t>share</w:t>
      </w:r>
      <w:r w:rsidR="00E83D9E" w:rsidRPr="00CD3AA4">
        <w:rPr>
          <w:b/>
          <w:bCs/>
        </w:rPr>
        <w:t xml:space="preserve"> </w:t>
      </w:r>
      <w:r w:rsidR="00190736" w:rsidRPr="00CD3AA4">
        <w:t xml:space="preserve">with </w:t>
      </w:r>
      <w:proofErr w:type="spellStart"/>
      <w:r w:rsidR="00190736" w:rsidRPr="00CD3AA4">
        <w:t>MitraClip</w:t>
      </w:r>
      <w:proofErr w:type="spellEnd"/>
      <w:r w:rsidRPr="00CD3AA4">
        <w:t xml:space="preserve"> over five years is shown in</w:t>
      </w:r>
      <w:r w:rsidR="00190736" w:rsidRPr="00CD3AA4">
        <w:t xml:space="preserve"> </w:t>
      </w:r>
      <w:r w:rsidR="009006B8" w:rsidRPr="00CD3AA4">
        <w:fldChar w:fldCharType="begin"/>
      </w:r>
      <w:r w:rsidR="009006B8" w:rsidRPr="00CD3AA4">
        <w:instrText xml:space="preserve"> REF _Ref86132032 \h </w:instrText>
      </w:r>
      <w:r w:rsidR="00B95265" w:rsidRPr="00CD3AA4">
        <w:instrText xml:space="preserve"> \* MERGEFORMAT </w:instrText>
      </w:r>
      <w:r w:rsidR="009006B8" w:rsidRPr="00CD3AA4">
        <w:fldChar w:fldCharType="separate"/>
      </w:r>
      <w:r w:rsidR="00072539" w:rsidRPr="00CD3AA4">
        <w:t xml:space="preserve">Table </w:t>
      </w:r>
      <w:r w:rsidR="00072539" w:rsidRPr="00CD3AA4">
        <w:rPr>
          <w:noProof/>
        </w:rPr>
        <w:t>17</w:t>
      </w:r>
      <w:r w:rsidR="009006B8" w:rsidRPr="00CD3AA4">
        <w:fldChar w:fldCharType="end"/>
      </w:r>
      <w:r w:rsidRPr="00CD3AA4">
        <w:t>.</w:t>
      </w:r>
    </w:p>
    <w:p w14:paraId="7575E653" w14:textId="07725075" w:rsidR="009006B8" w:rsidRPr="00CD3AA4" w:rsidRDefault="009006B8" w:rsidP="003922FD">
      <w:pPr>
        <w:pStyle w:val="Caption"/>
        <w:spacing w:before="240"/>
      </w:pPr>
      <w:bookmarkStart w:id="40" w:name="_Ref86132032"/>
      <w:r w:rsidRPr="00CD3AA4">
        <w:t xml:space="preserve">Table </w:t>
      </w:r>
      <w:r w:rsidR="00002063">
        <w:fldChar w:fldCharType="begin"/>
      </w:r>
      <w:r w:rsidR="00002063">
        <w:instrText xml:space="preserve"> SEQ Table \* ARABIC </w:instrText>
      </w:r>
      <w:r w:rsidR="00002063">
        <w:fldChar w:fldCharType="separate"/>
      </w:r>
      <w:r w:rsidR="000F39B8" w:rsidRPr="00CD3AA4">
        <w:rPr>
          <w:noProof/>
        </w:rPr>
        <w:t>17</w:t>
      </w:r>
      <w:r w:rsidR="00002063">
        <w:rPr>
          <w:noProof/>
        </w:rPr>
        <w:fldChar w:fldCharType="end"/>
      </w:r>
      <w:bookmarkEnd w:id="40"/>
      <w:r w:rsidRPr="00CD3AA4">
        <w:t xml:space="preserve"> </w:t>
      </w:r>
      <w:r w:rsidR="00214CA1" w:rsidRPr="00CD3AA4">
        <w:t>H</w:t>
      </w:r>
      <w:r w:rsidRPr="00CD3AA4">
        <w:t xml:space="preserve">ospital and prosthesis costs over 5 years based on </w:t>
      </w:r>
      <w:r w:rsidR="000D35B2" w:rsidRPr="00CD3AA4">
        <w:t>REDACTED</w:t>
      </w:r>
      <w:r w:rsidR="00E83D9E" w:rsidRPr="00CD3AA4">
        <w:t xml:space="preserve"> share with</w:t>
      </w:r>
      <w:r w:rsidRPr="00CD3AA4">
        <w:t xml:space="preserve"> </w:t>
      </w:r>
      <w:proofErr w:type="spellStart"/>
      <w:r w:rsidRPr="00CD3AA4">
        <w:t>MitraClip</w:t>
      </w:r>
      <w:proofErr w:type="spellEnd"/>
    </w:p>
    <w:tbl>
      <w:tblPr>
        <w:tblStyle w:val="TableGrid414"/>
        <w:tblW w:w="5000" w:type="pct"/>
        <w:tblLayout w:type="fixed"/>
        <w:tblLook w:val="0020" w:firstRow="1" w:lastRow="0" w:firstColumn="0" w:lastColumn="0" w:noHBand="0" w:noVBand="0"/>
        <w:tblDescription w:val="Hospital and prosthesis costs over 5 years based on 50% market share of MitraClip"/>
      </w:tblPr>
      <w:tblGrid>
        <w:gridCol w:w="2545"/>
        <w:gridCol w:w="1277"/>
        <w:gridCol w:w="1416"/>
        <w:gridCol w:w="1277"/>
        <w:gridCol w:w="1277"/>
        <w:gridCol w:w="1224"/>
      </w:tblGrid>
      <w:tr w:rsidR="00CD3AA4" w:rsidRPr="00CD3AA4" w14:paraId="5C4DE3D2" w14:textId="77777777" w:rsidTr="007878B5">
        <w:trPr>
          <w:trHeight w:val="94"/>
          <w:tblHeader/>
        </w:trPr>
        <w:tc>
          <w:tcPr>
            <w:tcW w:w="1412" w:type="pct"/>
          </w:tcPr>
          <w:p w14:paraId="3AC414CA" w14:textId="77777777" w:rsidR="00FF218D" w:rsidRPr="00CD3AA4" w:rsidRDefault="00FF218D" w:rsidP="008C5E8D">
            <w:pPr>
              <w:autoSpaceDE w:val="0"/>
              <w:autoSpaceDN w:val="0"/>
              <w:adjustRightInd w:val="0"/>
              <w:spacing w:before="40" w:after="40"/>
              <w:rPr>
                <w:rFonts w:ascii="Arial Narrow" w:hAnsi="Arial Narrow" w:cs="Arial Narrow"/>
                <w:b/>
                <w:sz w:val="20"/>
              </w:rPr>
            </w:pPr>
          </w:p>
        </w:tc>
        <w:tc>
          <w:tcPr>
            <w:tcW w:w="708" w:type="pct"/>
            <w:vAlign w:val="center"/>
          </w:tcPr>
          <w:p w14:paraId="0F5E6998" w14:textId="77777777" w:rsidR="00FF218D" w:rsidRPr="00CD3AA4" w:rsidRDefault="00FF218D" w:rsidP="008C5E8D">
            <w:pPr>
              <w:autoSpaceDE w:val="0"/>
              <w:autoSpaceDN w:val="0"/>
              <w:adjustRightInd w:val="0"/>
              <w:spacing w:before="40" w:after="40"/>
              <w:jc w:val="center"/>
              <w:rPr>
                <w:rFonts w:ascii="Arial Narrow" w:hAnsi="Arial Narrow" w:cs="Arial Narrow"/>
                <w:b/>
                <w:sz w:val="20"/>
              </w:rPr>
            </w:pPr>
            <w:r w:rsidRPr="00CD3AA4">
              <w:rPr>
                <w:rFonts w:ascii="Arial Narrow" w:hAnsi="Arial Narrow" w:cs="Arial Narrow"/>
                <w:b/>
                <w:sz w:val="20"/>
              </w:rPr>
              <w:t>Year 1</w:t>
            </w:r>
          </w:p>
        </w:tc>
        <w:tc>
          <w:tcPr>
            <w:tcW w:w="785" w:type="pct"/>
            <w:vAlign w:val="center"/>
          </w:tcPr>
          <w:p w14:paraId="3405A863" w14:textId="77777777" w:rsidR="00FF218D" w:rsidRPr="00CD3AA4" w:rsidRDefault="00FF218D" w:rsidP="008C5E8D">
            <w:pPr>
              <w:autoSpaceDE w:val="0"/>
              <w:autoSpaceDN w:val="0"/>
              <w:adjustRightInd w:val="0"/>
              <w:spacing w:before="40" w:after="40"/>
              <w:jc w:val="center"/>
              <w:rPr>
                <w:rFonts w:ascii="Arial Narrow" w:hAnsi="Arial Narrow" w:cs="Arial Narrow"/>
                <w:b/>
                <w:sz w:val="20"/>
              </w:rPr>
            </w:pPr>
            <w:r w:rsidRPr="00CD3AA4">
              <w:rPr>
                <w:rFonts w:ascii="Arial Narrow" w:hAnsi="Arial Narrow" w:cs="Arial Narrow"/>
                <w:b/>
                <w:sz w:val="20"/>
              </w:rPr>
              <w:t>Year 2</w:t>
            </w:r>
          </w:p>
        </w:tc>
        <w:tc>
          <w:tcPr>
            <w:tcW w:w="708" w:type="pct"/>
            <w:vAlign w:val="center"/>
          </w:tcPr>
          <w:p w14:paraId="5819B255" w14:textId="77777777" w:rsidR="00FF218D" w:rsidRPr="00CD3AA4" w:rsidRDefault="00FF218D" w:rsidP="008C5E8D">
            <w:pPr>
              <w:autoSpaceDE w:val="0"/>
              <w:autoSpaceDN w:val="0"/>
              <w:adjustRightInd w:val="0"/>
              <w:spacing w:before="40" w:after="40"/>
              <w:jc w:val="center"/>
              <w:rPr>
                <w:rFonts w:ascii="Arial Narrow" w:hAnsi="Arial Narrow" w:cs="Arial Narrow"/>
                <w:b/>
                <w:sz w:val="20"/>
              </w:rPr>
            </w:pPr>
            <w:r w:rsidRPr="00CD3AA4">
              <w:rPr>
                <w:rFonts w:ascii="Arial Narrow" w:hAnsi="Arial Narrow" w:cs="Arial Narrow"/>
                <w:b/>
                <w:sz w:val="20"/>
              </w:rPr>
              <w:t>Year 3</w:t>
            </w:r>
          </w:p>
        </w:tc>
        <w:tc>
          <w:tcPr>
            <w:tcW w:w="708" w:type="pct"/>
            <w:vAlign w:val="center"/>
          </w:tcPr>
          <w:p w14:paraId="6CDB54F2" w14:textId="77777777" w:rsidR="00FF218D" w:rsidRPr="00CD3AA4" w:rsidRDefault="00FF218D" w:rsidP="008C5E8D">
            <w:pPr>
              <w:autoSpaceDE w:val="0"/>
              <w:autoSpaceDN w:val="0"/>
              <w:adjustRightInd w:val="0"/>
              <w:spacing w:before="40" w:after="40"/>
              <w:jc w:val="center"/>
              <w:rPr>
                <w:rFonts w:ascii="Arial Narrow" w:hAnsi="Arial Narrow" w:cs="Arial Narrow"/>
                <w:b/>
                <w:sz w:val="20"/>
              </w:rPr>
            </w:pPr>
            <w:r w:rsidRPr="00CD3AA4">
              <w:rPr>
                <w:rFonts w:ascii="Arial Narrow" w:hAnsi="Arial Narrow" w:cs="Arial Narrow"/>
                <w:b/>
                <w:sz w:val="20"/>
              </w:rPr>
              <w:t>Year 4</w:t>
            </w:r>
          </w:p>
        </w:tc>
        <w:tc>
          <w:tcPr>
            <w:tcW w:w="678" w:type="pct"/>
            <w:vAlign w:val="center"/>
          </w:tcPr>
          <w:p w14:paraId="3556C199" w14:textId="77777777" w:rsidR="00FF218D" w:rsidRPr="00CD3AA4" w:rsidRDefault="00FF218D" w:rsidP="008C5E8D">
            <w:pPr>
              <w:autoSpaceDE w:val="0"/>
              <w:autoSpaceDN w:val="0"/>
              <w:adjustRightInd w:val="0"/>
              <w:spacing w:before="40" w:after="40"/>
              <w:jc w:val="center"/>
              <w:rPr>
                <w:rFonts w:ascii="Arial Narrow" w:hAnsi="Arial Narrow" w:cs="Arial Narrow"/>
                <w:b/>
                <w:sz w:val="20"/>
              </w:rPr>
            </w:pPr>
            <w:r w:rsidRPr="00CD3AA4">
              <w:rPr>
                <w:rFonts w:ascii="Arial Narrow" w:hAnsi="Arial Narrow" w:cs="Arial Narrow"/>
                <w:b/>
                <w:sz w:val="20"/>
              </w:rPr>
              <w:t>Year 5</w:t>
            </w:r>
          </w:p>
        </w:tc>
      </w:tr>
      <w:tr w:rsidR="00CD3AA4" w:rsidRPr="00CD3AA4" w14:paraId="6701528B" w14:textId="77777777" w:rsidTr="007878B5">
        <w:trPr>
          <w:trHeight w:val="92"/>
        </w:trPr>
        <w:tc>
          <w:tcPr>
            <w:tcW w:w="5000" w:type="pct"/>
            <w:gridSpan w:val="6"/>
            <w:shd w:val="clear" w:color="auto" w:fill="auto"/>
          </w:tcPr>
          <w:p w14:paraId="3329D5F1" w14:textId="77777777" w:rsidR="00FF218D" w:rsidRPr="00CD3AA4" w:rsidRDefault="00FF218D" w:rsidP="008C5E8D">
            <w:pPr>
              <w:autoSpaceDE w:val="0"/>
              <w:autoSpaceDN w:val="0"/>
              <w:adjustRightInd w:val="0"/>
              <w:spacing w:before="40" w:after="40"/>
              <w:rPr>
                <w:rFonts w:ascii="Arial Narrow" w:hAnsi="Arial Narrow" w:cs="Arial Narrow"/>
                <w:sz w:val="20"/>
              </w:rPr>
            </w:pPr>
            <w:r w:rsidRPr="00CD3AA4">
              <w:rPr>
                <w:rFonts w:ascii="Arial Narrow" w:hAnsi="Arial Narrow" w:cs="Arial Narrow"/>
                <w:sz w:val="20"/>
              </w:rPr>
              <w:t xml:space="preserve">Total combined </w:t>
            </w:r>
          </w:p>
        </w:tc>
      </w:tr>
      <w:tr w:rsidR="00CD3AA4" w:rsidRPr="00CD3AA4" w14:paraId="532EB6A9" w14:textId="77777777" w:rsidTr="007878B5">
        <w:trPr>
          <w:trHeight w:val="92"/>
        </w:trPr>
        <w:tc>
          <w:tcPr>
            <w:tcW w:w="1412" w:type="pct"/>
          </w:tcPr>
          <w:p w14:paraId="38C89017" w14:textId="77777777" w:rsidR="00FF218D" w:rsidRPr="00CD3AA4" w:rsidRDefault="00FF218D" w:rsidP="008C5E8D">
            <w:pPr>
              <w:autoSpaceDE w:val="0"/>
              <w:autoSpaceDN w:val="0"/>
              <w:adjustRightInd w:val="0"/>
              <w:spacing w:before="40" w:after="40"/>
              <w:ind w:left="164"/>
              <w:rPr>
                <w:rFonts w:ascii="Arial Narrow" w:hAnsi="Arial Narrow" w:cs="Arial Narrow"/>
                <w:sz w:val="20"/>
              </w:rPr>
            </w:pPr>
            <w:r w:rsidRPr="00CD3AA4">
              <w:rPr>
                <w:rFonts w:ascii="Arial Narrow" w:hAnsi="Arial Narrow" w:cs="Arial Narrow"/>
                <w:sz w:val="20"/>
              </w:rPr>
              <w:t xml:space="preserve">- In-hospital resource use </w:t>
            </w:r>
          </w:p>
        </w:tc>
        <w:tc>
          <w:tcPr>
            <w:tcW w:w="708" w:type="pct"/>
            <w:shd w:val="clear" w:color="auto" w:fill="auto"/>
          </w:tcPr>
          <w:p w14:paraId="014C83EC" w14:textId="49C22BC7" w:rsidR="00FF218D" w:rsidRPr="00CD3AA4" w:rsidRDefault="00FF218D">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00EB2A38" w:rsidRPr="00CD3AA4">
              <w:rPr>
                <w:rFonts w:ascii="Arial Narrow" w:hAnsi="Arial Narrow" w:cs="Arial Narrow"/>
                <w:b/>
                <w:bCs/>
                <w:sz w:val="18"/>
                <w:szCs w:val="18"/>
              </w:rPr>
              <w:t>redacted</w:t>
            </w:r>
          </w:p>
        </w:tc>
        <w:tc>
          <w:tcPr>
            <w:tcW w:w="785" w:type="pct"/>
            <w:shd w:val="clear" w:color="auto" w:fill="auto"/>
          </w:tcPr>
          <w:p w14:paraId="6F6DA5BC" w14:textId="39164E0E"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c>
          <w:tcPr>
            <w:tcW w:w="708" w:type="pct"/>
            <w:shd w:val="clear" w:color="auto" w:fill="auto"/>
          </w:tcPr>
          <w:p w14:paraId="5C7C158E" w14:textId="27BD43FB" w:rsidR="00FF218D" w:rsidRPr="00CD3AA4" w:rsidRDefault="00FF218D">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00EB2A38" w:rsidRPr="00CD3AA4">
              <w:rPr>
                <w:rFonts w:ascii="Arial Narrow" w:hAnsi="Arial Narrow" w:cs="Arial Narrow"/>
                <w:b/>
                <w:bCs/>
                <w:sz w:val="18"/>
                <w:szCs w:val="18"/>
              </w:rPr>
              <w:t>redacted</w:t>
            </w:r>
          </w:p>
        </w:tc>
        <w:tc>
          <w:tcPr>
            <w:tcW w:w="708" w:type="pct"/>
            <w:shd w:val="clear" w:color="auto" w:fill="auto"/>
          </w:tcPr>
          <w:p w14:paraId="1F53E27F" w14:textId="22E5C64F"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c>
          <w:tcPr>
            <w:tcW w:w="678" w:type="pct"/>
            <w:shd w:val="clear" w:color="auto" w:fill="auto"/>
          </w:tcPr>
          <w:p w14:paraId="7024E9EA" w14:textId="63F57B2C"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r>
      <w:tr w:rsidR="00CD3AA4" w:rsidRPr="00CD3AA4" w14:paraId="1575777A" w14:textId="77777777" w:rsidTr="007878B5">
        <w:trPr>
          <w:trHeight w:val="92"/>
        </w:trPr>
        <w:tc>
          <w:tcPr>
            <w:tcW w:w="1412" w:type="pct"/>
          </w:tcPr>
          <w:p w14:paraId="42224697" w14:textId="77777777" w:rsidR="00FF218D" w:rsidRPr="00CD3AA4" w:rsidRDefault="00FF218D" w:rsidP="008C5E8D">
            <w:pPr>
              <w:autoSpaceDE w:val="0"/>
              <w:autoSpaceDN w:val="0"/>
              <w:adjustRightInd w:val="0"/>
              <w:spacing w:before="40" w:after="40"/>
              <w:ind w:left="164"/>
              <w:rPr>
                <w:rFonts w:ascii="Arial Narrow" w:hAnsi="Arial Narrow" w:cs="Arial Narrow"/>
                <w:sz w:val="20"/>
              </w:rPr>
            </w:pPr>
            <w:r w:rsidRPr="00CD3AA4">
              <w:rPr>
                <w:rFonts w:ascii="Arial Narrow" w:hAnsi="Arial Narrow" w:cs="Arial Narrow"/>
                <w:sz w:val="20"/>
              </w:rPr>
              <w:t xml:space="preserve">- Prosthesis </w:t>
            </w:r>
          </w:p>
        </w:tc>
        <w:tc>
          <w:tcPr>
            <w:tcW w:w="708" w:type="pct"/>
            <w:shd w:val="clear" w:color="auto" w:fill="auto"/>
          </w:tcPr>
          <w:p w14:paraId="37FAD67D" w14:textId="2165987B"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c>
          <w:tcPr>
            <w:tcW w:w="785" w:type="pct"/>
            <w:shd w:val="clear" w:color="auto" w:fill="auto"/>
          </w:tcPr>
          <w:p w14:paraId="2D0345C3" w14:textId="5197700A"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c>
          <w:tcPr>
            <w:tcW w:w="708" w:type="pct"/>
            <w:shd w:val="clear" w:color="auto" w:fill="auto"/>
          </w:tcPr>
          <w:p w14:paraId="71982733" w14:textId="39B202CE"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c>
          <w:tcPr>
            <w:tcW w:w="708" w:type="pct"/>
            <w:shd w:val="clear" w:color="auto" w:fill="auto"/>
          </w:tcPr>
          <w:p w14:paraId="7524B5CD" w14:textId="7D226423"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c>
          <w:tcPr>
            <w:tcW w:w="678" w:type="pct"/>
            <w:shd w:val="clear" w:color="auto" w:fill="auto"/>
          </w:tcPr>
          <w:p w14:paraId="1C5F776E" w14:textId="634110EA"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r>
      <w:tr w:rsidR="00CD3AA4" w:rsidRPr="00CD3AA4" w14:paraId="0BAAA1B3" w14:textId="77777777" w:rsidTr="007878B5">
        <w:trPr>
          <w:trHeight w:val="92"/>
        </w:trPr>
        <w:tc>
          <w:tcPr>
            <w:tcW w:w="1412" w:type="pct"/>
          </w:tcPr>
          <w:p w14:paraId="567545DB" w14:textId="77777777" w:rsidR="00FF218D" w:rsidRPr="00CD3AA4" w:rsidRDefault="00FF218D" w:rsidP="008C5E8D">
            <w:pPr>
              <w:autoSpaceDE w:val="0"/>
              <w:autoSpaceDN w:val="0"/>
              <w:adjustRightInd w:val="0"/>
              <w:spacing w:before="40" w:after="40"/>
              <w:rPr>
                <w:rFonts w:ascii="Arial Narrow" w:hAnsi="Arial Narrow" w:cs="Arial Narrow"/>
                <w:sz w:val="20"/>
              </w:rPr>
            </w:pPr>
            <w:r w:rsidRPr="00CD3AA4">
              <w:rPr>
                <w:rFonts w:ascii="Arial Narrow" w:hAnsi="Arial Narrow" w:cs="Arial Narrow"/>
                <w:sz w:val="20"/>
              </w:rPr>
              <w:t xml:space="preserve">Total combined </w:t>
            </w:r>
          </w:p>
        </w:tc>
        <w:tc>
          <w:tcPr>
            <w:tcW w:w="708" w:type="pct"/>
            <w:shd w:val="clear" w:color="auto" w:fill="auto"/>
          </w:tcPr>
          <w:p w14:paraId="6C05C7C9" w14:textId="2068CB77"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c>
          <w:tcPr>
            <w:tcW w:w="785" w:type="pct"/>
            <w:shd w:val="clear" w:color="auto" w:fill="auto"/>
          </w:tcPr>
          <w:p w14:paraId="34CE5312" w14:textId="6F526680"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c>
          <w:tcPr>
            <w:tcW w:w="708" w:type="pct"/>
            <w:shd w:val="clear" w:color="auto" w:fill="auto"/>
          </w:tcPr>
          <w:p w14:paraId="6A55A67D" w14:textId="47332746"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c>
          <w:tcPr>
            <w:tcW w:w="708" w:type="pct"/>
            <w:shd w:val="clear" w:color="auto" w:fill="auto"/>
          </w:tcPr>
          <w:p w14:paraId="72E0F827" w14:textId="10767C21"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c>
          <w:tcPr>
            <w:tcW w:w="678" w:type="pct"/>
            <w:shd w:val="clear" w:color="auto" w:fill="auto"/>
          </w:tcPr>
          <w:p w14:paraId="3B9CDBD7" w14:textId="2C84AD58" w:rsidR="00FF218D" w:rsidRPr="00CD3AA4" w:rsidRDefault="00EB2A38">
            <w:pPr>
              <w:autoSpaceDE w:val="0"/>
              <w:autoSpaceDN w:val="0"/>
              <w:adjustRightInd w:val="0"/>
              <w:spacing w:before="40" w:after="40"/>
              <w:jc w:val="center"/>
              <w:rPr>
                <w:rFonts w:ascii="Arial Narrow" w:hAnsi="Arial Narrow" w:cs="Arial Narrow"/>
                <w:sz w:val="18"/>
                <w:szCs w:val="18"/>
              </w:rPr>
            </w:pPr>
            <w:r w:rsidRPr="00CD3AA4">
              <w:rPr>
                <w:rFonts w:ascii="Arial Narrow" w:hAnsi="Arial Narrow" w:cs="Arial Narrow"/>
                <w:sz w:val="18"/>
                <w:szCs w:val="18"/>
              </w:rPr>
              <w:t>$</w:t>
            </w:r>
            <w:r w:rsidRPr="00CD3AA4">
              <w:rPr>
                <w:rFonts w:ascii="Arial Narrow" w:hAnsi="Arial Narrow" w:cs="Arial Narrow"/>
                <w:b/>
                <w:bCs/>
                <w:sz w:val="18"/>
                <w:szCs w:val="18"/>
              </w:rPr>
              <w:t>redacted</w:t>
            </w:r>
          </w:p>
        </w:tc>
      </w:tr>
    </w:tbl>
    <w:p w14:paraId="2FD3A88B" w14:textId="4273B039" w:rsidR="00D30E9C" w:rsidRPr="00CD3AA4" w:rsidRDefault="00190736" w:rsidP="00AF7538">
      <w:pPr>
        <w:pStyle w:val="Tablenotes"/>
      </w:pPr>
      <w:r w:rsidRPr="00CD3AA4">
        <w:t xml:space="preserve">Source: ADAR commentary </w:t>
      </w:r>
    </w:p>
    <w:p w14:paraId="70834BC2" w14:textId="77777777" w:rsidR="00D30E9C" w:rsidRPr="003922FD" w:rsidRDefault="00D30E9C" w:rsidP="003922FD">
      <w:pPr>
        <w:pStyle w:val="Heading1"/>
        <w:numPr>
          <w:ilvl w:val="0"/>
          <w:numId w:val="13"/>
        </w:numPr>
        <w:spacing w:before="240" w:after="240"/>
        <w:ind w:hanging="720"/>
        <w:rPr>
          <w:rFonts w:ascii="Arial" w:hAnsi="Arial" w:cs="Arial"/>
        </w:rPr>
      </w:pPr>
      <w:r w:rsidRPr="003922FD">
        <w:rPr>
          <w:rFonts w:ascii="Arial" w:hAnsi="Arial" w:cs="Arial"/>
        </w:rPr>
        <w:t>Key issues from ESC to MSAC</w:t>
      </w:r>
    </w:p>
    <w:tbl>
      <w:tblPr>
        <w:tblStyle w:val="TableGrid"/>
        <w:tblW w:w="0" w:type="auto"/>
        <w:tblLook w:val="04A0" w:firstRow="1" w:lastRow="0" w:firstColumn="1" w:lastColumn="0" w:noHBand="0" w:noVBand="1"/>
        <w:tblDescription w:val="Summary of key issues raised at ESC for MSAC consideration"/>
      </w:tblPr>
      <w:tblGrid>
        <w:gridCol w:w="2547"/>
        <w:gridCol w:w="6469"/>
      </w:tblGrid>
      <w:tr w:rsidR="00D30E9C" w:rsidRPr="00D600D9" w14:paraId="2862D461" w14:textId="77777777" w:rsidTr="00DC767F">
        <w:trPr>
          <w:tblHeader/>
        </w:trPr>
        <w:tc>
          <w:tcPr>
            <w:tcW w:w="2547" w:type="dxa"/>
          </w:tcPr>
          <w:p w14:paraId="77FE3248" w14:textId="77777777" w:rsidR="00D30E9C" w:rsidRPr="00D600D9" w:rsidRDefault="00D30E9C" w:rsidP="00DC767F">
            <w:pPr>
              <w:pStyle w:val="TableHeading"/>
              <w:rPr>
                <w:rFonts w:ascii="Times New Roman" w:hAnsi="Times New Roman" w:cs="Times New Roman"/>
                <w:sz w:val="21"/>
                <w:szCs w:val="21"/>
              </w:rPr>
            </w:pPr>
            <w:r w:rsidRPr="00D600D9">
              <w:rPr>
                <w:rFonts w:ascii="Times New Roman" w:hAnsi="Times New Roman" w:cs="Times New Roman"/>
                <w:sz w:val="21"/>
                <w:szCs w:val="21"/>
              </w:rPr>
              <w:t>ESC key issue</w:t>
            </w:r>
          </w:p>
        </w:tc>
        <w:tc>
          <w:tcPr>
            <w:tcW w:w="6469" w:type="dxa"/>
          </w:tcPr>
          <w:p w14:paraId="6DDBE811" w14:textId="77777777" w:rsidR="00D30E9C" w:rsidRPr="00D600D9" w:rsidRDefault="00D30E9C" w:rsidP="00DC767F">
            <w:pPr>
              <w:pStyle w:val="TableHeading"/>
              <w:rPr>
                <w:rFonts w:ascii="Times New Roman" w:hAnsi="Times New Roman" w:cs="Times New Roman"/>
                <w:sz w:val="21"/>
                <w:szCs w:val="21"/>
              </w:rPr>
            </w:pPr>
            <w:r w:rsidRPr="00D600D9">
              <w:rPr>
                <w:rFonts w:ascii="Times New Roman" w:hAnsi="Times New Roman" w:cs="Times New Roman"/>
                <w:sz w:val="21"/>
                <w:szCs w:val="21"/>
              </w:rPr>
              <w:t>ESC advice to MSAC</w:t>
            </w:r>
          </w:p>
        </w:tc>
      </w:tr>
      <w:tr w:rsidR="00D30E9C" w:rsidRPr="00D600D9" w14:paraId="5C409389" w14:textId="77777777" w:rsidTr="00DC767F">
        <w:tc>
          <w:tcPr>
            <w:tcW w:w="2547" w:type="dxa"/>
          </w:tcPr>
          <w:p w14:paraId="727A5EFB" w14:textId="77777777" w:rsidR="00D30E9C" w:rsidRPr="00D600D9" w:rsidRDefault="00D30E9C" w:rsidP="00DC767F">
            <w:pPr>
              <w:rPr>
                <w:rFonts w:ascii="Times New Roman" w:hAnsi="Times New Roman"/>
                <w:sz w:val="21"/>
                <w:szCs w:val="21"/>
              </w:rPr>
            </w:pPr>
            <w:r w:rsidRPr="00D600D9">
              <w:rPr>
                <w:rFonts w:ascii="Times New Roman" w:hAnsi="Times New Roman"/>
                <w:sz w:val="21"/>
                <w:szCs w:val="21"/>
              </w:rPr>
              <w:t>MBS item descriptor</w:t>
            </w:r>
          </w:p>
        </w:tc>
        <w:tc>
          <w:tcPr>
            <w:tcW w:w="6469" w:type="dxa"/>
          </w:tcPr>
          <w:p w14:paraId="5B9AC9E7" w14:textId="77777777" w:rsidR="00D30E9C" w:rsidRPr="00D600D9" w:rsidRDefault="00D30E9C" w:rsidP="00DC767F">
            <w:pPr>
              <w:rPr>
                <w:rFonts w:ascii="Times New Roman" w:hAnsi="Times New Roman"/>
                <w:sz w:val="21"/>
                <w:szCs w:val="21"/>
              </w:rPr>
            </w:pPr>
            <w:r w:rsidRPr="00D600D9">
              <w:rPr>
                <w:rFonts w:ascii="Times New Roman" w:hAnsi="Times New Roman"/>
                <w:sz w:val="21"/>
                <w:szCs w:val="21"/>
              </w:rPr>
              <w:t>ESC expressed a preference for updating the existing MBS item to be device-agnostic and retaining the term transcatheter mitral valve repair (</w:t>
            </w:r>
            <w:proofErr w:type="spellStart"/>
            <w:r w:rsidRPr="00D600D9">
              <w:rPr>
                <w:rFonts w:ascii="Times New Roman" w:hAnsi="Times New Roman"/>
                <w:sz w:val="21"/>
                <w:szCs w:val="21"/>
              </w:rPr>
              <w:t>TMV</w:t>
            </w:r>
            <w:r>
              <w:rPr>
                <w:rFonts w:ascii="Times New Roman" w:hAnsi="Times New Roman"/>
                <w:sz w:val="21"/>
                <w:szCs w:val="21"/>
              </w:rPr>
              <w:t>r</w:t>
            </w:r>
            <w:proofErr w:type="spellEnd"/>
            <w:r w:rsidRPr="00D600D9">
              <w:rPr>
                <w:rFonts w:ascii="Times New Roman" w:hAnsi="Times New Roman"/>
                <w:sz w:val="21"/>
                <w:szCs w:val="21"/>
              </w:rPr>
              <w:t>) rather than transcatheter edge-to-edge repair (TEER).</w:t>
            </w:r>
          </w:p>
        </w:tc>
      </w:tr>
      <w:tr w:rsidR="00D30E9C" w:rsidRPr="00D600D9" w14:paraId="5B6C7907" w14:textId="77777777" w:rsidTr="00DC767F">
        <w:tc>
          <w:tcPr>
            <w:tcW w:w="2547" w:type="dxa"/>
          </w:tcPr>
          <w:p w14:paraId="3468C8D6" w14:textId="77777777" w:rsidR="00D30E9C" w:rsidRPr="00D600D9" w:rsidRDefault="00D30E9C" w:rsidP="00DC767F">
            <w:pPr>
              <w:rPr>
                <w:rFonts w:ascii="Times New Roman" w:hAnsi="Times New Roman"/>
                <w:sz w:val="21"/>
                <w:szCs w:val="21"/>
              </w:rPr>
            </w:pPr>
            <w:r w:rsidRPr="00D600D9">
              <w:rPr>
                <w:rFonts w:ascii="Times New Roman" w:hAnsi="Times New Roman"/>
                <w:sz w:val="21"/>
                <w:szCs w:val="21"/>
              </w:rPr>
              <w:t>Level of evidence</w:t>
            </w:r>
          </w:p>
        </w:tc>
        <w:tc>
          <w:tcPr>
            <w:tcW w:w="6469" w:type="dxa"/>
          </w:tcPr>
          <w:p w14:paraId="32ED79F5" w14:textId="77777777" w:rsidR="00D30E9C" w:rsidRPr="00D600D9" w:rsidRDefault="00D30E9C" w:rsidP="00DC767F">
            <w:pPr>
              <w:rPr>
                <w:rFonts w:ascii="Times New Roman" w:hAnsi="Times New Roman"/>
                <w:sz w:val="21"/>
                <w:szCs w:val="21"/>
              </w:rPr>
            </w:pPr>
            <w:r w:rsidRPr="00D600D9">
              <w:rPr>
                <w:rFonts w:ascii="Times New Roman" w:hAnsi="Times New Roman"/>
                <w:sz w:val="21"/>
                <w:szCs w:val="21"/>
              </w:rPr>
              <w:t xml:space="preserve">Clinical data are from a small observational study (a feasibility study) with high risk of bias. The overall evidence quality is lower than the evidence used for the </w:t>
            </w:r>
            <w:proofErr w:type="spellStart"/>
            <w:r w:rsidRPr="00D600D9">
              <w:rPr>
                <w:rFonts w:ascii="Times New Roman" w:hAnsi="Times New Roman"/>
                <w:sz w:val="21"/>
                <w:szCs w:val="21"/>
              </w:rPr>
              <w:t>MitraClip</w:t>
            </w:r>
            <w:proofErr w:type="spellEnd"/>
            <w:r w:rsidRPr="00D600D9">
              <w:rPr>
                <w:rFonts w:ascii="Times New Roman" w:hAnsi="Times New Roman"/>
                <w:sz w:val="21"/>
                <w:szCs w:val="21"/>
              </w:rPr>
              <w:t xml:space="preserve"> assessment in application 1192.3, where evidence for the FMR population was available from an RCT with 2 years follow-up.</w:t>
            </w:r>
          </w:p>
        </w:tc>
      </w:tr>
      <w:tr w:rsidR="00D30E9C" w:rsidRPr="00D600D9" w14:paraId="24EB064C" w14:textId="77777777" w:rsidTr="00DC767F">
        <w:tc>
          <w:tcPr>
            <w:tcW w:w="2547" w:type="dxa"/>
          </w:tcPr>
          <w:p w14:paraId="6B6BF741" w14:textId="77777777" w:rsidR="00D30E9C" w:rsidRPr="00D600D9" w:rsidRDefault="00D30E9C" w:rsidP="00DC767F">
            <w:pPr>
              <w:rPr>
                <w:rFonts w:ascii="Times New Roman" w:hAnsi="Times New Roman"/>
                <w:sz w:val="21"/>
                <w:szCs w:val="21"/>
              </w:rPr>
            </w:pPr>
            <w:r w:rsidRPr="00D600D9">
              <w:rPr>
                <w:rFonts w:ascii="Times New Roman" w:hAnsi="Times New Roman"/>
                <w:sz w:val="21"/>
                <w:szCs w:val="21"/>
              </w:rPr>
              <w:t>Uncertain clinical claim of non-inferiority</w:t>
            </w:r>
          </w:p>
        </w:tc>
        <w:tc>
          <w:tcPr>
            <w:tcW w:w="6469" w:type="dxa"/>
          </w:tcPr>
          <w:p w14:paraId="27F9602A" w14:textId="77777777" w:rsidR="00D30E9C" w:rsidRPr="00D600D9" w:rsidRDefault="00D30E9C" w:rsidP="00DC767F">
            <w:pPr>
              <w:rPr>
                <w:rFonts w:ascii="Times New Roman" w:hAnsi="Times New Roman"/>
                <w:sz w:val="21"/>
                <w:szCs w:val="21"/>
              </w:rPr>
            </w:pPr>
            <w:r w:rsidRPr="00D600D9">
              <w:rPr>
                <w:rFonts w:ascii="Times New Roman" w:hAnsi="Times New Roman"/>
                <w:sz w:val="21"/>
                <w:szCs w:val="21"/>
              </w:rPr>
              <w:t xml:space="preserve">The clinical claim could not be fully verified. The clinical data for </w:t>
            </w:r>
            <w:proofErr w:type="spellStart"/>
            <w:r w:rsidRPr="00D600D9">
              <w:rPr>
                <w:rFonts w:ascii="Times New Roman" w:hAnsi="Times New Roman"/>
                <w:sz w:val="21"/>
                <w:szCs w:val="21"/>
              </w:rPr>
              <w:t>TMVr</w:t>
            </w:r>
            <w:proofErr w:type="spellEnd"/>
            <w:r w:rsidRPr="00D600D9">
              <w:rPr>
                <w:rFonts w:ascii="Times New Roman" w:hAnsi="Times New Roman"/>
                <w:sz w:val="21"/>
                <w:szCs w:val="21"/>
              </w:rPr>
              <w:t xml:space="preserve"> using the PASCAL system was from a single-arm observational study. The evidence to support non-inferiority with the </w:t>
            </w:r>
            <w:proofErr w:type="spellStart"/>
            <w:r w:rsidRPr="00D600D9">
              <w:rPr>
                <w:rFonts w:ascii="Times New Roman" w:hAnsi="Times New Roman"/>
                <w:sz w:val="21"/>
                <w:szCs w:val="21"/>
              </w:rPr>
              <w:t>MitraClip</w:t>
            </w:r>
            <w:proofErr w:type="spellEnd"/>
            <w:r w:rsidRPr="00D600D9">
              <w:rPr>
                <w:rFonts w:ascii="Times New Roman" w:hAnsi="Times New Roman"/>
                <w:sz w:val="21"/>
                <w:szCs w:val="21"/>
              </w:rPr>
              <w:t xml:space="preserve"> system relies on an unanchored Matched Adjusted Indirect Comparison (MAIC), which is used when there is no common comparator arm in each trial being compared. The MAIC approach is appropriate given the lack of direct comparative evidence.  However, a key limitation of the unanchored MAIC approach is the strong assumption that all covariates and prognostic factors are accounted for. This is considered impossible to </w:t>
            </w:r>
            <w:r w:rsidRPr="00D600D9">
              <w:rPr>
                <w:rFonts w:ascii="Times New Roman" w:hAnsi="Times New Roman"/>
                <w:sz w:val="21"/>
                <w:szCs w:val="21"/>
              </w:rPr>
              <w:lastRenderedPageBreak/>
              <w:t xml:space="preserve">meet except in a well-controlled RCT and the unanchored MAIC estimate therefore carries and unknown amount of bias. ESC </w:t>
            </w:r>
            <w:r>
              <w:rPr>
                <w:rFonts w:ascii="Times New Roman" w:hAnsi="Times New Roman"/>
                <w:sz w:val="21"/>
                <w:szCs w:val="21"/>
              </w:rPr>
              <w:t xml:space="preserve">also </w:t>
            </w:r>
            <w:r w:rsidRPr="00D600D9">
              <w:rPr>
                <w:rFonts w:ascii="Times New Roman" w:hAnsi="Times New Roman"/>
                <w:sz w:val="21"/>
                <w:szCs w:val="21"/>
              </w:rPr>
              <w:t xml:space="preserve">considered that the lack of transparency regarding the </w:t>
            </w:r>
            <w:r>
              <w:rPr>
                <w:rFonts w:ascii="Times New Roman" w:hAnsi="Times New Roman"/>
                <w:sz w:val="21"/>
                <w:szCs w:val="21"/>
              </w:rPr>
              <w:t xml:space="preserve">presented </w:t>
            </w:r>
            <w:r w:rsidRPr="00D600D9">
              <w:rPr>
                <w:rFonts w:ascii="Times New Roman" w:hAnsi="Times New Roman"/>
                <w:sz w:val="21"/>
                <w:szCs w:val="21"/>
              </w:rPr>
              <w:t>MAIC</w:t>
            </w:r>
            <w:r>
              <w:rPr>
                <w:rFonts w:ascii="Times New Roman" w:hAnsi="Times New Roman"/>
                <w:sz w:val="21"/>
                <w:szCs w:val="21"/>
              </w:rPr>
              <w:t xml:space="preserve"> analysis</w:t>
            </w:r>
            <w:r w:rsidRPr="00D600D9">
              <w:rPr>
                <w:rFonts w:ascii="Times New Roman" w:hAnsi="Times New Roman"/>
                <w:sz w:val="21"/>
                <w:szCs w:val="21"/>
              </w:rPr>
              <w:t xml:space="preserve"> was a </w:t>
            </w:r>
            <w:r>
              <w:rPr>
                <w:rFonts w:ascii="Times New Roman" w:hAnsi="Times New Roman"/>
                <w:sz w:val="21"/>
                <w:szCs w:val="21"/>
              </w:rPr>
              <w:t>source of additional uncertainty</w:t>
            </w:r>
            <w:r w:rsidRPr="00D600D9">
              <w:rPr>
                <w:rFonts w:ascii="Times New Roman" w:hAnsi="Times New Roman"/>
                <w:sz w:val="21"/>
                <w:szCs w:val="21"/>
              </w:rPr>
              <w:t xml:space="preserve"> in this application.</w:t>
            </w:r>
          </w:p>
        </w:tc>
      </w:tr>
      <w:tr w:rsidR="00D30E9C" w:rsidRPr="00D600D9" w14:paraId="3F1FE055" w14:textId="77777777" w:rsidTr="00DC767F">
        <w:tc>
          <w:tcPr>
            <w:tcW w:w="2547" w:type="dxa"/>
          </w:tcPr>
          <w:p w14:paraId="675D5FAF" w14:textId="77777777" w:rsidR="00D30E9C" w:rsidRPr="00D600D9" w:rsidRDefault="00D30E9C" w:rsidP="00DC767F">
            <w:pPr>
              <w:rPr>
                <w:rFonts w:ascii="Times New Roman" w:hAnsi="Times New Roman"/>
                <w:sz w:val="21"/>
                <w:szCs w:val="21"/>
              </w:rPr>
            </w:pPr>
            <w:r w:rsidRPr="00D600D9">
              <w:rPr>
                <w:rFonts w:ascii="Times New Roman" w:hAnsi="Times New Roman"/>
                <w:sz w:val="21"/>
                <w:szCs w:val="21"/>
              </w:rPr>
              <w:lastRenderedPageBreak/>
              <w:t>Uncertainty of clinical claim affects economic evaluation</w:t>
            </w:r>
          </w:p>
        </w:tc>
        <w:tc>
          <w:tcPr>
            <w:tcW w:w="6469" w:type="dxa"/>
          </w:tcPr>
          <w:p w14:paraId="042CA0C2" w14:textId="77777777" w:rsidR="00D30E9C" w:rsidRPr="00D600D9" w:rsidRDefault="00D30E9C" w:rsidP="00DC767F">
            <w:pPr>
              <w:rPr>
                <w:rFonts w:ascii="Times New Roman" w:hAnsi="Times New Roman"/>
                <w:sz w:val="21"/>
                <w:szCs w:val="21"/>
              </w:rPr>
            </w:pPr>
            <w:r w:rsidRPr="00D600D9">
              <w:rPr>
                <w:rFonts w:ascii="Times New Roman" w:hAnsi="Times New Roman"/>
                <w:sz w:val="21"/>
                <w:szCs w:val="21"/>
              </w:rPr>
              <w:t>The clinical claim is uncertain due to limitations of evidence</w:t>
            </w:r>
            <w:r>
              <w:rPr>
                <w:rFonts w:ascii="Times New Roman" w:hAnsi="Times New Roman"/>
                <w:sz w:val="21"/>
                <w:szCs w:val="21"/>
              </w:rPr>
              <w:t xml:space="preserve">, both in terms of the </w:t>
            </w:r>
            <w:r w:rsidRPr="00D600D9">
              <w:rPr>
                <w:rFonts w:ascii="Times New Roman" w:hAnsi="Times New Roman"/>
                <w:sz w:val="21"/>
                <w:szCs w:val="21"/>
              </w:rPr>
              <w:t xml:space="preserve">quality of individual studies and their indirect comparison. This also affects the economic evaluation directly through </w:t>
            </w:r>
            <w:r>
              <w:rPr>
                <w:rFonts w:ascii="Times New Roman" w:hAnsi="Times New Roman"/>
                <w:sz w:val="21"/>
                <w:szCs w:val="21"/>
              </w:rPr>
              <w:t xml:space="preserve">comparative rates of </w:t>
            </w:r>
            <w:r w:rsidRPr="00D600D9">
              <w:rPr>
                <w:rFonts w:ascii="Times New Roman" w:hAnsi="Times New Roman"/>
                <w:sz w:val="21"/>
                <w:szCs w:val="21"/>
              </w:rPr>
              <w:t>adverse events</w:t>
            </w:r>
            <w:r>
              <w:rPr>
                <w:rFonts w:ascii="Times New Roman" w:hAnsi="Times New Roman"/>
                <w:sz w:val="21"/>
                <w:szCs w:val="21"/>
              </w:rPr>
              <w:t>,</w:t>
            </w:r>
            <w:r w:rsidRPr="00D600D9">
              <w:rPr>
                <w:rFonts w:ascii="Times New Roman" w:hAnsi="Times New Roman"/>
                <w:sz w:val="21"/>
                <w:szCs w:val="21"/>
              </w:rPr>
              <w:t xml:space="preserve"> </w:t>
            </w:r>
            <w:r>
              <w:rPr>
                <w:rFonts w:ascii="Times New Roman" w:hAnsi="Times New Roman"/>
                <w:sz w:val="21"/>
                <w:szCs w:val="21"/>
              </w:rPr>
              <w:t>although</w:t>
            </w:r>
            <w:r w:rsidRPr="00D600D9">
              <w:rPr>
                <w:rFonts w:ascii="Times New Roman" w:hAnsi="Times New Roman"/>
                <w:sz w:val="21"/>
                <w:szCs w:val="21"/>
              </w:rPr>
              <w:t xml:space="preserve"> sensitivity analyses </w:t>
            </w:r>
            <w:r>
              <w:rPr>
                <w:rFonts w:ascii="Times New Roman" w:hAnsi="Times New Roman"/>
                <w:sz w:val="21"/>
                <w:szCs w:val="21"/>
              </w:rPr>
              <w:t xml:space="preserve">exploring this issue </w:t>
            </w:r>
            <w:r w:rsidRPr="00D600D9">
              <w:rPr>
                <w:rFonts w:ascii="Times New Roman" w:hAnsi="Times New Roman"/>
                <w:sz w:val="21"/>
                <w:szCs w:val="21"/>
              </w:rPr>
              <w:t xml:space="preserve">have been provided. </w:t>
            </w:r>
          </w:p>
        </w:tc>
      </w:tr>
      <w:tr w:rsidR="00D30E9C" w:rsidRPr="00D600D9" w14:paraId="7E33DA28" w14:textId="77777777" w:rsidTr="00DC767F">
        <w:tc>
          <w:tcPr>
            <w:tcW w:w="2547" w:type="dxa"/>
          </w:tcPr>
          <w:p w14:paraId="44EDFD03" w14:textId="77777777" w:rsidR="00D30E9C" w:rsidRPr="00D600D9" w:rsidRDefault="00D30E9C" w:rsidP="00DC767F">
            <w:pPr>
              <w:rPr>
                <w:rFonts w:ascii="Times New Roman" w:hAnsi="Times New Roman"/>
                <w:sz w:val="21"/>
                <w:szCs w:val="21"/>
              </w:rPr>
            </w:pPr>
            <w:r w:rsidRPr="00D600D9">
              <w:rPr>
                <w:rFonts w:ascii="Times New Roman" w:hAnsi="Times New Roman"/>
                <w:sz w:val="21"/>
                <w:szCs w:val="21"/>
              </w:rPr>
              <w:t>Cost-minimisation analysis</w:t>
            </w:r>
          </w:p>
        </w:tc>
        <w:tc>
          <w:tcPr>
            <w:tcW w:w="6469" w:type="dxa"/>
          </w:tcPr>
          <w:p w14:paraId="791037A6" w14:textId="77777777" w:rsidR="00D30E9C" w:rsidRPr="00D600D9" w:rsidRDefault="00D30E9C" w:rsidP="00DC767F">
            <w:pPr>
              <w:rPr>
                <w:rFonts w:ascii="Times New Roman" w:hAnsi="Times New Roman"/>
                <w:sz w:val="21"/>
                <w:szCs w:val="21"/>
              </w:rPr>
            </w:pPr>
            <w:r w:rsidRPr="00D600D9">
              <w:rPr>
                <w:rFonts w:ascii="Times New Roman" w:hAnsi="Times New Roman"/>
                <w:sz w:val="21"/>
                <w:szCs w:val="21"/>
              </w:rPr>
              <w:t>The 30-day time horizon is appropriate for capturing typical revision surgery but implicitly assumes identical long-term performance</w:t>
            </w:r>
            <w:r>
              <w:rPr>
                <w:rFonts w:ascii="Times New Roman" w:hAnsi="Times New Roman"/>
                <w:sz w:val="21"/>
                <w:szCs w:val="21"/>
              </w:rPr>
              <w:t xml:space="preserve"> which has no data to support it</w:t>
            </w:r>
            <w:r w:rsidRPr="00D600D9">
              <w:rPr>
                <w:rFonts w:ascii="Times New Roman" w:hAnsi="Times New Roman"/>
                <w:sz w:val="21"/>
                <w:szCs w:val="21"/>
              </w:rPr>
              <w:t xml:space="preserve">. While the proposed intervention has </w:t>
            </w:r>
            <w:r>
              <w:rPr>
                <w:rFonts w:ascii="Times New Roman" w:hAnsi="Times New Roman"/>
                <w:sz w:val="21"/>
                <w:szCs w:val="21"/>
              </w:rPr>
              <w:t>some</w:t>
            </w:r>
            <w:r w:rsidRPr="00D600D9">
              <w:rPr>
                <w:rFonts w:ascii="Times New Roman" w:hAnsi="Times New Roman"/>
                <w:sz w:val="21"/>
                <w:szCs w:val="21"/>
              </w:rPr>
              <w:t xml:space="preserve"> potential to be cost-increasing, ESC considered that this is likely to be immaterial and have a very small financial impact. As such, the primary considerations are those of clinical need and merit.</w:t>
            </w:r>
          </w:p>
        </w:tc>
      </w:tr>
    </w:tbl>
    <w:p w14:paraId="44A84DDC" w14:textId="77777777" w:rsidR="00D30E9C" w:rsidRPr="00BE6B1A" w:rsidRDefault="00D30E9C" w:rsidP="003922FD">
      <w:pPr>
        <w:keepNext/>
        <w:spacing w:before="240" w:after="120"/>
        <w:outlineLvl w:val="1"/>
        <w:rPr>
          <w:rFonts w:ascii="Arial" w:hAnsi="Arial" w:cs="Arial"/>
          <w:b/>
          <w:bCs/>
          <w:iCs/>
          <w:color w:val="000000"/>
          <w:szCs w:val="28"/>
        </w:rPr>
      </w:pPr>
      <w:r w:rsidRPr="00BE6B1A">
        <w:rPr>
          <w:rFonts w:ascii="Arial" w:hAnsi="Arial" w:cs="Arial"/>
          <w:b/>
          <w:bCs/>
          <w:iCs/>
          <w:color w:val="000000"/>
          <w:szCs w:val="28"/>
        </w:rPr>
        <w:t>ESC discussion</w:t>
      </w:r>
    </w:p>
    <w:p w14:paraId="07BFBB41" w14:textId="77777777" w:rsidR="00D30E9C" w:rsidRDefault="00D30E9C" w:rsidP="003922FD">
      <w:r>
        <w:t xml:space="preserve">ESC noted the purpose of the application was to amend the current Medicare Benefits Schedule (MBS) item numbers for </w:t>
      </w:r>
      <w:r w:rsidRPr="00AB3986">
        <w:t>Transcatheter Mitral Valve Repair System (</w:t>
      </w:r>
      <w:proofErr w:type="spellStart"/>
      <w:r w:rsidRPr="00AB3986">
        <w:t>TMVr</w:t>
      </w:r>
      <w:proofErr w:type="spellEnd"/>
      <w:r w:rsidRPr="00AB3986">
        <w:t>)</w:t>
      </w:r>
      <w:r>
        <w:t xml:space="preserve"> using the </w:t>
      </w:r>
      <w:proofErr w:type="spellStart"/>
      <w:r>
        <w:t>MitraClip</w:t>
      </w:r>
      <w:proofErr w:type="spellEnd"/>
      <w:r>
        <w:t xml:space="preserve"> device (items 38461, 38463, 6082 and 6084) to also include the PASCAL system to</w:t>
      </w:r>
      <w:r w:rsidRPr="00AB3986">
        <w:t xml:space="preserve"> reduction of mitral regurgitation through tissue approximation using Edwards PASCAL for the treatment of degenerative mitral regurgitation </w:t>
      </w:r>
      <w:r>
        <w:t xml:space="preserve">(DMR) </w:t>
      </w:r>
      <w:r w:rsidRPr="00AB3986">
        <w:t>and functional mitral regurgitation</w:t>
      </w:r>
      <w:r>
        <w:t xml:space="preserve"> (FMR). </w:t>
      </w:r>
    </w:p>
    <w:p w14:paraId="617F6748" w14:textId="77777777" w:rsidR="00D30E9C" w:rsidRDefault="00D30E9C" w:rsidP="003922FD">
      <w:pPr>
        <w:spacing w:before="240"/>
      </w:pPr>
      <w:r>
        <w:t xml:space="preserve">ESC noted that this application used substantially the same ratified PICO as used for application 1192.3 (for </w:t>
      </w:r>
      <w:proofErr w:type="spellStart"/>
      <w:r>
        <w:t>MitraClip</w:t>
      </w:r>
      <w:proofErr w:type="spellEnd"/>
      <w:r>
        <w:t xml:space="preserve">, which resulted in the MBS item numbers listed above). Application 1662 had therefore bypassed PASC. ESC noted that the populations were the same, the intervention uses the same technique (although the device is different for application 1662) and the comparator for application 1662 was specified as </w:t>
      </w:r>
      <w:proofErr w:type="spellStart"/>
      <w:r>
        <w:t>MitraClip</w:t>
      </w:r>
      <w:proofErr w:type="spellEnd"/>
      <w:r>
        <w:t xml:space="preserve">. </w:t>
      </w:r>
    </w:p>
    <w:p w14:paraId="6FAA179C" w14:textId="77777777" w:rsidR="00D30E9C" w:rsidRDefault="00D30E9C" w:rsidP="003922FD">
      <w:pPr>
        <w:spacing w:before="240"/>
      </w:pPr>
      <w:r>
        <w:t xml:space="preserve">ESC noted the applicant’s clinical claim that PASCAL is non-inferior in safety and efficacy compared with </w:t>
      </w:r>
      <w:proofErr w:type="spellStart"/>
      <w:r>
        <w:t>MitraClip</w:t>
      </w:r>
      <w:proofErr w:type="spellEnd"/>
      <w:r>
        <w:t>.</w:t>
      </w:r>
    </w:p>
    <w:p w14:paraId="6B58AF6F" w14:textId="77777777" w:rsidR="00D30E9C" w:rsidRDefault="00D30E9C" w:rsidP="003922FD">
      <w:pPr>
        <w:spacing w:before="240"/>
      </w:pPr>
      <w:r>
        <w:t>ESC noted there were no consultation submissions relating to this application from consumers or organisations.</w:t>
      </w:r>
    </w:p>
    <w:p w14:paraId="444F2797" w14:textId="77777777" w:rsidR="00D30E9C" w:rsidRDefault="00D30E9C" w:rsidP="003922FD">
      <w:pPr>
        <w:pStyle w:val="NormalBeforeBullet"/>
        <w:spacing w:before="240"/>
      </w:pPr>
      <w:r>
        <w:t xml:space="preserve">ESC noted that the current </w:t>
      </w:r>
      <w:proofErr w:type="spellStart"/>
      <w:r>
        <w:t>MitraClip</w:t>
      </w:r>
      <w:proofErr w:type="spellEnd"/>
      <w:r>
        <w:t xml:space="preserve"> MBS item descriptors were listed after the applicant submitted application 1662. The current item descriptors therefore differ to those proposed in the applicant-developed assessment report (ADAR) in the following ways:</w:t>
      </w:r>
    </w:p>
    <w:p w14:paraId="2BAEA5D9" w14:textId="77777777" w:rsidR="00D30E9C" w:rsidRDefault="00D30E9C" w:rsidP="003922FD">
      <w:pPr>
        <w:pStyle w:val="Bullet"/>
      </w:pPr>
      <w:r>
        <w:t xml:space="preserve">There are two currently approved MBS items for the </w:t>
      </w:r>
      <w:proofErr w:type="spellStart"/>
      <w:r>
        <w:t>MitraClip</w:t>
      </w:r>
      <w:proofErr w:type="spellEnd"/>
      <w:r>
        <w:t xml:space="preserve"> procedure, one for DMR (38461) and one for FMR (38463). ESC considered that maintaining two items would be appropriate to facilitate monitoring of utilisation for each condition.</w:t>
      </w:r>
    </w:p>
    <w:p w14:paraId="661D2F13" w14:textId="77777777" w:rsidR="00D30E9C" w:rsidRDefault="00D30E9C" w:rsidP="003922FD">
      <w:pPr>
        <w:pStyle w:val="BulletLast"/>
      </w:pPr>
      <w:r>
        <w:t xml:space="preserve">Current </w:t>
      </w:r>
      <w:proofErr w:type="spellStart"/>
      <w:r>
        <w:t>MitraClip</w:t>
      </w:r>
      <w:proofErr w:type="spellEnd"/>
      <w:r>
        <w:t xml:space="preserve"> MBS items provide specific criteria for left ventricular ejection fraction (LVEF) for each population and specify that patients are symptomatic (rather than specifying that patients have New York Heart Association [NYHA] class II, II or IV). ESC considered that the currently specified LVEF of &gt;20% for the DMR population should be retained, rather than amending the LVEF to &gt;30% as per the applicant’s clinical management algorithm. The pre-ESC response clarified that it did not intend to align with the clinical management algorithm presented in the ADAR. </w:t>
      </w:r>
    </w:p>
    <w:p w14:paraId="08A3E36B" w14:textId="77777777" w:rsidR="00D30E9C" w:rsidRDefault="00D30E9C" w:rsidP="003922FD">
      <w:r>
        <w:lastRenderedPageBreak/>
        <w:t xml:space="preserve">ESC noted that the proposed new MBS item descriptor would not specify </w:t>
      </w:r>
      <w:proofErr w:type="spellStart"/>
      <w:r>
        <w:t>MitraClip</w:t>
      </w:r>
      <w:proofErr w:type="spellEnd"/>
      <w:r>
        <w:t xml:space="preserve"> and would instead be technology-agnostic as to the type of </w:t>
      </w:r>
      <w:proofErr w:type="spellStart"/>
      <w:r>
        <w:t>TMVr</w:t>
      </w:r>
      <w:proofErr w:type="spellEnd"/>
      <w:r>
        <w:t xml:space="preserve"> used. ESC noted that this aligns with MSAC’s general preference for technology-agnostic MBS items. However, ESC noted that technologies continue to evolve over time, and that it is important that the evidence for an application indicates that there is not a substantial difference between the technologies included in an agnostic item descriptor. This would also allow use of the PASCAL ACE device. </w:t>
      </w:r>
    </w:p>
    <w:p w14:paraId="5B15E1C1" w14:textId="77777777" w:rsidR="00D30E9C" w:rsidRDefault="00D30E9C" w:rsidP="003922FD">
      <w:pPr>
        <w:spacing w:before="240"/>
      </w:pPr>
      <w:r>
        <w:t xml:space="preserve">ESC noted the ADAR requested replacing the term </w:t>
      </w:r>
      <w:proofErr w:type="spellStart"/>
      <w:r>
        <w:t>TMVr</w:t>
      </w:r>
      <w:proofErr w:type="spellEnd"/>
      <w:r>
        <w:t xml:space="preserve"> with transcatheter edge-to-edge repair (TEER). ESC also considered that it would be preferable to retain the terminology of </w:t>
      </w:r>
      <w:proofErr w:type="spellStart"/>
      <w:r>
        <w:t>TMVr</w:t>
      </w:r>
      <w:proofErr w:type="spellEnd"/>
      <w:r>
        <w:t xml:space="preserve"> rather than changing it to mitral valve for consistency with other items for mitral valve interventions. ESC also noted that </w:t>
      </w:r>
      <w:proofErr w:type="spellStart"/>
      <w:r>
        <w:t>TMVr</w:t>
      </w:r>
      <w:proofErr w:type="spellEnd"/>
      <w:r>
        <w:t xml:space="preserve"> Hospital, </w:t>
      </w:r>
      <w:proofErr w:type="spellStart"/>
      <w:r>
        <w:t>TMVr</w:t>
      </w:r>
      <w:proofErr w:type="spellEnd"/>
      <w:r>
        <w:t xml:space="preserve"> Practitioner and </w:t>
      </w:r>
      <w:proofErr w:type="spellStart"/>
      <w:r>
        <w:t>TMVr</w:t>
      </w:r>
      <w:proofErr w:type="spellEnd"/>
      <w:r>
        <w:t xml:space="preserve"> Patient are specified in the item descriptor (with definitions in the notes), and that this approach is well regulated and appropriate. ESC expressed a preference for amending the existing MBS item descriptors to be device agnostic. ESC considered that it would be unlikely that a technology-agnostic item descriptor would have an impact on the population accessing the service under the MBS or other flow-on impacts to the MBS. </w:t>
      </w:r>
    </w:p>
    <w:p w14:paraId="3A2556F0" w14:textId="77777777" w:rsidR="00D30E9C" w:rsidRDefault="00D30E9C" w:rsidP="003922FD">
      <w:pPr>
        <w:spacing w:before="240"/>
      </w:pPr>
      <w:r>
        <w:t xml:space="preserve">ESC noted the limited clinical data for this application. The CLASP study was a prospective, single-arm, observational study of the PASCAL system, with results reported for 124 patients after 2 years. The study was conducted at 14 sites in 7 countries, including a small number of patients in Australia. ESC noted that the risk of bias in this study was high, as it was an early feasibility study. Primary endpoints were procedural success, MR reduction to </w:t>
      </w:r>
      <w:r>
        <w:rPr>
          <w:rFonts w:ascii="Symbol" w:eastAsia="Symbol" w:hAnsi="Symbol" w:cs="Symbol"/>
        </w:rPr>
        <w:sym w:font="Symbol" w:char="F0A3"/>
      </w:r>
      <w:r>
        <w:t xml:space="preserve">grade 2, and major adverse events at 30 days. Revision rates from the CLASP study were used in the economic analysis. </w:t>
      </w:r>
    </w:p>
    <w:p w14:paraId="1C4DD4D7" w14:textId="77777777" w:rsidR="00D30E9C" w:rsidRDefault="00D30E9C" w:rsidP="003922FD">
      <w:pPr>
        <w:spacing w:before="240"/>
      </w:pPr>
      <w:r>
        <w:t>ESC noted the clinical trial data for the comparator (</w:t>
      </w:r>
      <w:proofErr w:type="spellStart"/>
      <w:r>
        <w:t>MitraClip</w:t>
      </w:r>
      <w:proofErr w:type="spellEnd"/>
      <w:r>
        <w:t xml:space="preserve">), which comprised two randomised controlled trials (RCTs) – COAPT (N = 614) and EVEREST-II (N = 279). Both trials had a low risk of bias. ESC noted that the level of evidence for PASCAL was lower than considered by MSAC for </w:t>
      </w:r>
      <w:proofErr w:type="spellStart"/>
      <w:r>
        <w:t>MitraClip</w:t>
      </w:r>
      <w:proofErr w:type="spellEnd"/>
      <w:r>
        <w:t xml:space="preserve">. </w:t>
      </w:r>
    </w:p>
    <w:p w14:paraId="7FF0390E" w14:textId="4983DF0F" w:rsidR="00D30E9C" w:rsidRDefault="00D30E9C" w:rsidP="003922FD">
      <w:pPr>
        <w:spacing w:before="240"/>
      </w:pPr>
      <w:r>
        <w:t xml:space="preserve">ESC noted the lack of direct evidence to compare PASCAL and </w:t>
      </w:r>
      <w:proofErr w:type="spellStart"/>
      <w:r>
        <w:t>MitraClip</w:t>
      </w:r>
      <w:proofErr w:type="spellEnd"/>
      <w:r>
        <w:t>. The applicant instead used a matching-adjusted indirect comparison (MAIC). ESC noted that MSAC has not considered many applications that used a MAIC, although 24 applications have been considered by the Pharmaceutical Benefits Advisory Committee that used a MAIC. ESC noted that patient-level data are not required for the comparator studies in a MAIC, and aggregate data are used instead. A</w:t>
      </w:r>
      <w:r w:rsidRPr="00DF1797">
        <w:t xml:space="preserve"> weight is calculated for each patient in the individual data of the intervention (CLASP), such that the overall mean of the weighted individual data (which is calculable) matches that of the aggregate data </w:t>
      </w:r>
      <w:r>
        <w:t xml:space="preserve">for the comparator </w:t>
      </w:r>
      <w:r w:rsidRPr="00DF1797">
        <w:t>(COAPT</w:t>
      </w:r>
      <w:r>
        <w:t xml:space="preserve"> and </w:t>
      </w:r>
      <w:r w:rsidRPr="00DF1797">
        <w:t xml:space="preserve">EVEREST-II). Using the resulting weights, it is then possible to estimate reweighted outcomes of the study in a similar patient group to that where the outcomes of the control arm were obtained. This effectively means the data </w:t>
      </w:r>
      <w:r>
        <w:t>that</w:t>
      </w:r>
      <w:r w:rsidRPr="00DF1797">
        <w:t xml:space="preserve"> are available (CLASP) are reweighted to match that of the comparator (COAPT and EVEREST-II)</w:t>
      </w:r>
      <w:r>
        <w:t xml:space="preserve">. The applicant consulted three clinicians (blinded to endpoints) to determine which baseline characteristics should be used for matching of studies for the MAIC analysis. ESC noted additional details on this process was provided in the pre-ESC response. </w:t>
      </w:r>
    </w:p>
    <w:p w14:paraId="0326B12F" w14:textId="77777777" w:rsidR="00D30E9C" w:rsidRDefault="00D30E9C" w:rsidP="003922FD">
      <w:pPr>
        <w:spacing w:before="240"/>
      </w:pPr>
      <w:r>
        <w:t>ESC noted that o</w:t>
      </w:r>
      <w:r w:rsidRPr="00C37443">
        <w:t>ne of the main limitations of the unanchored MAIC analysis is that it strongly assumes that all effect modifiers and prognostic factors are accounted for. This is considered impossible to meet and may lead to an unknown amount of bias in the unanchored estimate.</w:t>
      </w:r>
    </w:p>
    <w:p w14:paraId="7E680B79" w14:textId="77777777" w:rsidR="00D30E9C" w:rsidRPr="00CD3AA4" w:rsidRDefault="00D30E9C" w:rsidP="003922FD">
      <w:pPr>
        <w:spacing w:before="240"/>
      </w:pPr>
      <w:r>
        <w:lastRenderedPageBreak/>
        <w:t>ESC noted that it was not possible to verify or replicate the results of the MAIC because the ADAR did not provide patient-level data, the statistical codes used for the analysis, or the matching options that were presented to clinicians for matching of baseline characteristics. ESC noted the applicant’s pre-ESC response, which stated that the applicant does not disclose individual patient-level data. ESC considered that this lack of transparency was a key limitation of the ADAR.</w:t>
      </w:r>
      <w:r w:rsidRPr="00E9113D">
        <w:t xml:space="preserve"> </w:t>
      </w:r>
      <w:r>
        <w:t xml:space="preserve">However, these data help ensure transparency in the MAIC and allow the MAIC to be verified and replicated. ESC did not consider that the pre-ESC response </w:t>
      </w:r>
      <w:r w:rsidRPr="00CD3AA4">
        <w:t>alleviated any concerns about transparency or fully resolved any uncertainties.</w:t>
      </w:r>
    </w:p>
    <w:p w14:paraId="56F964B1" w14:textId="411B3BF3" w:rsidR="00D30E9C" w:rsidRPr="00CD3AA4" w:rsidRDefault="00D30E9C" w:rsidP="003922FD">
      <w:pPr>
        <w:spacing w:before="240"/>
      </w:pPr>
      <w:r w:rsidRPr="00CD3AA4">
        <w:t>Regarding comparative safety, ESC noted that some of the major adverse events measured in COAPT and EVEREST-II were different to those measured in CLASP. ESC noted that the MAIC analysis</w:t>
      </w:r>
      <w:r w:rsidR="003B5675" w:rsidRPr="00CD3AA4">
        <w:t xml:space="preserve"> </w:t>
      </w:r>
      <w:r w:rsidRPr="00CD3AA4">
        <w:t xml:space="preserve">suggested that the odds of experiencing major adverse events at 30 days in the FMR population were </w:t>
      </w:r>
      <w:r w:rsidR="00E83D9E" w:rsidRPr="00CD3AA4">
        <w:rPr>
          <w:b/>
          <w:bCs/>
        </w:rPr>
        <w:t>REDACTED</w:t>
      </w:r>
      <w:r w:rsidR="00CD3AA4">
        <w:rPr>
          <w:b/>
          <w:bCs/>
        </w:rPr>
        <w:t xml:space="preserve"> </w:t>
      </w:r>
      <w:r w:rsidRPr="00CD3AA4">
        <w:t xml:space="preserve">for PASCAL than for </w:t>
      </w:r>
      <w:proofErr w:type="spellStart"/>
      <w:r w:rsidRPr="00CD3AA4">
        <w:t>MitraClip</w:t>
      </w:r>
      <w:proofErr w:type="spellEnd"/>
      <w:r w:rsidRPr="00CD3AA4">
        <w:t xml:space="preserve">, and the rate of major adverse events at 30 days in the mixed FMR and DMR population was </w:t>
      </w:r>
      <w:r w:rsidR="00E83D9E" w:rsidRPr="00CD3AA4">
        <w:rPr>
          <w:b/>
          <w:bCs/>
        </w:rPr>
        <w:t xml:space="preserve">REDACTED </w:t>
      </w:r>
      <w:r w:rsidRPr="00CD3AA4">
        <w:t xml:space="preserve">for PASCAL than for </w:t>
      </w:r>
      <w:proofErr w:type="spellStart"/>
      <w:r w:rsidRPr="00CD3AA4">
        <w:t>MitraClip</w:t>
      </w:r>
      <w:proofErr w:type="spellEnd"/>
      <w:r w:rsidRPr="00CD3AA4">
        <w:t>. However, ESC considered that it was unclear what impact the differences in definitions of major adverse events had on the MAIC findings. No long-term comparative safety data were available.</w:t>
      </w:r>
    </w:p>
    <w:p w14:paraId="57DE7CBF" w14:textId="420E1309" w:rsidR="00D30E9C" w:rsidRPr="00CD3AA4" w:rsidRDefault="00D30E9C" w:rsidP="003922FD">
      <w:pPr>
        <w:spacing w:before="240"/>
      </w:pPr>
      <w:r w:rsidRPr="00CD3AA4">
        <w:t>Regarding comparative effectiveness in the FMR population (CLASP versus COAPT), the MAIC analysis suggested that overall survival was</w:t>
      </w:r>
      <w:r w:rsidR="00E83D9E" w:rsidRPr="00CD3AA4">
        <w:t xml:space="preserve"> </w:t>
      </w:r>
      <w:r w:rsidR="00E83D9E" w:rsidRPr="00CD3AA4">
        <w:rPr>
          <w:b/>
          <w:bCs/>
        </w:rPr>
        <w:t>REDACTED</w:t>
      </w:r>
      <w:r w:rsidRPr="00CD3AA4">
        <w:t xml:space="preserve"> in patients that were treated with the PASCAL system compared with </w:t>
      </w:r>
      <w:proofErr w:type="spellStart"/>
      <w:r w:rsidRPr="00CD3AA4">
        <w:t>MitraClip</w:t>
      </w:r>
      <w:proofErr w:type="spellEnd"/>
      <w:r w:rsidRPr="00CD3AA4">
        <w:t xml:space="preserve">. ESC noted the DMR population had </w:t>
      </w:r>
      <w:r w:rsidR="00E83D9E" w:rsidRPr="00CD3AA4">
        <w:rPr>
          <w:b/>
          <w:bCs/>
        </w:rPr>
        <w:t xml:space="preserve">REDACTED </w:t>
      </w:r>
      <w:r w:rsidRPr="00CD3AA4">
        <w:t xml:space="preserve">survival than the FMR population which had face validity as FMR is due to an underlying condition which itself increases mortality. The MAIC analysis also suggested that patients treated with the PASCAL system had </w:t>
      </w:r>
      <w:r w:rsidR="00E83D9E" w:rsidRPr="00CD3AA4">
        <w:rPr>
          <w:b/>
          <w:bCs/>
        </w:rPr>
        <w:t xml:space="preserve">REDACTED </w:t>
      </w:r>
      <w:r w:rsidRPr="00CD3AA4">
        <w:t xml:space="preserve">MR severity scores at 24 months and NYHA classifications at 24 months of follow-up compared with patients treated with </w:t>
      </w:r>
      <w:proofErr w:type="spellStart"/>
      <w:r w:rsidRPr="00CD3AA4">
        <w:t>MitraClip</w:t>
      </w:r>
      <w:proofErr w:type="spellEnd"/>
      <w:r w:rsidRPr="00CD3AA4">
        <w:t xml:space="preserve"> system. In the mixed FMR and DMR population (CLASP versus EVEREST-II), the MAIC analysis suggested that overall survival in the PASCAL population is </w:t>
      </w:r>
      <w:r w:rsidR="00E83D9E" w:rsidRPr="00CD3AA4">
        <w:rPr>
          <w:b/>
          <w:bCs/>
        </w:rPr>
        <w:t xml:space="preserve">REDACTED </w:t>
      </w:r>
      <w:r w:rsidRPr="00CD3AA4">
        <w:t xml:space="preserve">the overall survival in the </w:t>
      </w:r>
      <w:proofErr w:type="spellStart"/>
      <w:r w:rsidRPr="00CD3AA4">
        <w:t>MitraClip</w:t>
      </w:r>
      <w:proofErr w:type="spellEnd"/>
      <w:r w:rsidRPr="00CD3AA4">
        <w:t xml:space="preserve"> population. The MAIC analysis suggested that MR severity scores at 12 months were </w:t>
      </w:r>
      <w:r w:rsidR="00E83D9E" w:rsidRPr="00CD3AA4">
        <w:rPr>
          <w:b/>
          <w:bCs/>
        </w:rPr>
        <w:t xml:space="preserve">REDACTED </w:t>
      </w:r>
      <w:r w:rsidRPr="00CD3AA4">
        <w:t xml:space="preserve">for patients treated with the PASCAL system, and NYHA classifications at 12 months were </w:t>
      </w:r>
      <w:r w:rsidR="00E83D9E" w:rsidRPr="00CD3AA4">
        <w:rPr>
          <w:b/>
          <w:bCs/>
        </w:rPr>
        <w:t xml:space="preserve">REDACTED </w:t>
      </w:r>
      <w:r w:rsidRPr="00CD3AA4">
        <w:t xml:space="preserve">for patients treated with the PASCAL system compared with </w:t>
      </w:r>
      <w:proofErr w:type="spellStart"/>
      <w:r w:rsidRPr="00CD3AA4">
        <w:t>MitraClip</w:t>
      </w:r>
      <w:proofErr w:type="spellEnd"/>
      <w:r w:rsidRPr="00CD3AA4">
        <w:t xml:space="preserve"> system.</w:t>
      </w:r>
    </w:p>
    <w:p w14:paraId="64B98F58" w14:textId="7E78DBC3" w:rsidR="00D30E9C" w:rsidRPr="00CD3AA4" w:rsidRDefault="00D30E9C" w:rsidP="003922FD">
      <w:pPr>
        <w:spacing w:before="240"/>
      </w:pPr>
      <w:r w:rsidRPr="00CD3AA4">
        <w:t>The pre-ESC response addressed the discrepancy between the</w:t>
      </w:r>
      <w:r w:rsidR="006F215A" w:rsidRPr="00CD3AA4">
        <w:t xml:space="preserve"> </w:t>
      </w:r>
      <w:r w:rsidR="006F215A" w:rsidRPr="00CD3AA4">
        <w:rPr>
          <w:b/>
          <w:bCs/>
        </w:rPr>
        <w:t>REDACTED</w:t>
      </w:r>
      <w:r w:rsidRPr="00CD3AA4">
        <w:t>. The effective sample size (ESS) is the number of independent non-weighted individuals that would be required to give an estimate with the same precision as the weighted sample estimate. The number of patients at the start of the Kaplan-Meier plot in the weighted population is equivalent to the sum of the weights. This will be different to the ESS</w:t>
      </w:r>
    </w:p>
    <w:p w14:paraId="1829CCA1" w14:textId="77777777" w:rsidR="00D30E9C" w:rsidRPr="00CD3AA4" w:rsidRDefault="00D30E9C" w:rsidP="003922FD">
      <w:pPr>
        <w:spacing w:before="240"/>
      </w:pPr>
      <w:r w:rsidRPr="00CD3AA4">
        <w:t>ESC noted that no comparative evidence was available for the DMR population alone.</w:t>
      </w:r>
    </w:p>
    <w:p w14:paraId="7A42C684" w14:textId="77777777" w:rsidR="00D30E9C" w:rsidRPr="00CD3AA4" w:rsidRDefault="00D30E9C" w:rsidP="003922FD">
      <w:pPr>
        <w:spacing w:before="240"/>
      </w:pPr>
      <w:r w:rsidRPr="00CD3AA4">
        <w:t xml:space="preserve">ESC noted that an RCT comparing PASCAL with </w:t>
      </w:r>
      <w:proofErr w:type="spellStart"/>
      <w:r w:rsidRPr="00CD3AA4">
        <w:t>MitraClip</w:t>
      </w:r>
      <w:proofErr w:type="spellEnd"/>
      <w:r w:rsidRPr="00CD3AA4">
        <w:t xml:space="preserve"> is actively recruiting, with an estimated primary completion date in 2023 and study completion date in 2028. However, ESC noted that the estimated dates may be delayed by the COVID-19 pandemic.</w:t>
      </w:r>
    </w:p>
    <w:p w14:paraId="5760F89F" w14:textId="28432D32" w:rsidR="00D30E9C" w:rsidRPr="00CD3AA4" w:rsidRDefault="00D30E9C" w:rsidP="003922FD">
      <w:pPr>
        <w:spacing w:before="240"/>
      </w:pPr>
      <w:r w:rsidRPr="00CD3AA4">
        <w:t xml:space="preserve">ESC noted that the economic evaluation presented in the ADAR was a cost-minimisation analysis of PASCAL compared with </w:t>
      </w:r>
      <w:proofErr w:type="spellStart"/>
      <w:r w:rsidRPr="00CD3AA4">
        <w:t>MitraClip</w:t>
      </w:r>
      <w:proofErr w:type="spellEnd"/>
      <w:r w:rsidRPr="00CD3AA4">
        <w:t xml:space="preserve">, which included the costs of </w:t>
      </w:r>
      <w:r w:rsidR="00B06C67" w:rsidRPr="00A40151">
        <w:rPr>
          <w:b/>
          <w:bCs/>
        </w:rPr>
        <w:t xml:space="preserve">REDACTED </w:t>
      </w:r>
      <w:r w:rsidRPr="00CD3AA4">
        <w:t xml:space="preserve">over 30 days. ESC considered that the time horizon of 30 days was adequate for evaluating the </w:t>
      </w:r>
      <w:proofErr w:type="spellStart"/>
      <w:r w:rsidRPr="00CD3AA4">
        <w:t>TMVr</w:t>
      </w:r>
      <w:proofErr w:type="spellEnd"/>
      <w:r w:rsidRPr="00CD3AA4">
        <w:t xml:space="preserve"> procedure but introduced additional implicit assumptions when extending conclusions to the intervention over its lifespan. </w:t>
      </w:r>
    </w:p>
    <w:p w14:paraId="27C643EC" w14:textId="77777777" w:rsidR="00D30E9C" w:rsidRPr="00CD3AA4" w:rsidRDefault="00D30E9C" w:rsidP="003922FD">
      <w:pPr>
        <w:spacing w:before="240"/>
      </w:pPr>
      <w:r w:rsidRPr="00CD3AA4">
        <w:t xml:space="preserve">ESC noted that uncertainty of the MAIC affected the economic analysis indirectly, through clinical claims of non-inferiority, and directly, through comparative rates of adverse events </w:t>
      </w:r>
      <w:r w:rsidRPr="00CD3AA4">
        <w:lastRenderedPageBreak/>
        <w:t>applied in the cost-minimisation analysis. ESC noted that translation issues were not presented in the ADAR. ESC considered that a comparison of the trial population with the Australian population would have been informative, and that extrapolation of outcomes beyond 30 days should have been formally explored.</w:t>
      </w:r>
    </w:p>
    <w:p w14:paraId="3A403718" w14:textId="4F67BE5E" w:rsidR="00D30E9C" w:rsidRPr="00CD3AA4" w:rsidRDefault="00D30E9C" w:rsidP="003922FD">
      <w:pPr>
        <w:spacing w:before="240"/>
      </w:pPr>
      <w:r w:rsidRPr="00CD3AA4">
        <w:t xml:space="preserve">ESC noted that the costs for </w:t>
      </w:r>
      <w:r w:rsidR="00CB6A28" w:rsidRPr="00A40151">
        <w:rPr>
          <w:b/>
          <w:bCs/>
        </w:rPr>
        <w:t>REDACTED</w:t>
      </w:r>
      <w:r w:rsidRPr="00CD3AA4">
        <w:t xml:space="preserve"> were missing from the results of the cost-minimisation in the commentary and asked for clarification on whether this was a simple omission from the results table. ESC also noted the commentary’s identification of </w:t>
      </w:r>
      <w:proofErr w:type="gramStart"/>
      <w:r w:rsidRPr="00CD3AA4">
        <w:t>double-counting</w:t>
      </w:r>
      <w:proofErr w:type="gramEnd"/>
      <w:r w:rsidRPr="00CD3AA4">
        <w:t xml:space="preserve"> of adverse events, for which the applicant provided new cost considerations in the pre-ESC response. ESC also noted the sensitivity analyses presented in the commentary for the costs of </w:t>
      </w:r>
      <w:r w:rsidR="00CB6A28" w:rsidRPr="00A40151">
        <w:rPr>
          <w:b/>
          <w:bCs/>
        </w:rPr>
        <w:t>REDACTED</w:t>
      </w:r>
      <w:r w:rsidRPr="00CD3AA4">
        <w:t xml:space="preserve"> and noted that changing these parameters had little effect on the base case outcome. ESC considered that, although there is a possibility of a </w:t>
      </w:r>
      <w:r w:rsidR="00723D54" w:rsidRPr="00CD3AA4">
        <w:rPr>
          <w:b/>
          <w:bCs/>
        </w:rPr>
        <w:t xml:space="preserve">REDACTED </w:t>
      </w:r>
      <w:r w:rsidRPr="00CD3AA4">
        <w:t xml:space="preserve">cost associated with the use of PASCAL over </w:t>
      </w:r>
      <w:proofErr w:type="spellStart"/>
      <w:r w:rsidRPr="00CD3AA4">
        <w:t>MitraClip</w:t>
      </w:r>
      <w:proofErr w:type="spellEnd"/>
      <w:r w:rsidRPr="00CD3AA4">
        <w:t>, this cost would be</w:t>
      </w:r>
      <w:r w:rsidR="00723D54" w:rsidRPr="00CD3AA4">
        <w:t xml:space="preserve"> </w:t>
      </w:r>
      <w:r w:rsidR="00723D54" w:rsidRPr="00CD3AA4">
        <w:rPr>
          <w:b/>
          <w:bCs/>
        </w:rPr>
        <w:t>REDACTED</w:t>
      </w:r>
      <w:r w:rsidRPr="00CD3AA4">
        <w:rPr>
          <w:b/>
          <w:bCs/>
        </w:rPr>
        <w:t>.</w:t>
      </w:r>
      <w:r w:rsidRPr="00CD3AA4">
        <w:t xml:space="preserve"> </w:t>
      </w:r>
    </w:p>
    <w:p w14:paraId="1A560179" w14:textId="25D02EF3" w:rsidR="00D30E9C" w:rsidRPr="00CD3AA4" w:rsidRDefault="00D30E9C" w:rsidP="003922FD">
      <w:pPr>
        <w:spacing w:before="240"/>
      </w:pPr>
      <w:r w:rsidRPr="00CD3AA4">
        <w:t xml:space="preserve">ESC noted the ADAR declared using an </w:t>
      </w:r>
      <w:r w:rsidR="00723D54" w:rsidRPr="00CD3AA4">
        <w:rPr>
          <w:b/>
          <w:bCs/>
        </w:rPr>
        <w:t xml:space="preserve">REDACTED </w:t>
      </w:r>
      <w:r w:rsidRPr="00CD3AA4">
        <w:t xml:space="preserve">approach to estimate utilisation and financial consequences, however the results were </w:t>
      </w:r>
      <w:r w:rsidR="00C04587" w:rsidRPr="00CD3AA4">
        <w:rPr>
          <w:b/>
          <w:bCs/>
        </w:rPr>
        <w:t xml:space="preserve">REDACTED </w:t>
      </w:r>
      <w:r w:rsidRPr="00CD3AA4">
        <w:t xml:space="preserve">to the published numbers from the </w:t>
      </w:r>
      <w:hyperlink r:id="rId14" w:history="1">
        <w:proofErr w:type="spellStart"/>
        <w:r w:rsidRPr="008F0CE1">
          <w:rPr>
            <w:rStyle w:val="Hyperlink"/>
            <w:color w:val="auto"/>
            <w:u w:val="none"/>
          </w:rPr>
          <w:t>MitraClip</w:t>
        </w:r>
        <w:proofErr w:type="spellEnd"/>
        <w:r w:rsidRPr="008F0CE1">
          <w:rPr>
            <w:rStyle w:val="Hyperlink"/>
            <w:color w:val="auto"/>
            <w:u w:val="none"/>
          </w:rPr>
          <w:t xml:space="preserve"> Public Summary Document</w:t>
        </w:r>
      </w:hyperlink>
      <w:r w:rsidRPr="008F0CE1">
        <w:t xml:space="preserve">, </w:t>
      </w:r>
      <w:r w:rsidRPr="00CD3AA4">
        <w:t xml:space="preserve">making it effectively a </w:t>
      </w:r>
      <w:r w:rsidR="00C04587" w:rsidRPr="00CD3AA4">
        <w:rPr>
          <w:b/>
          <w:bCs/>
        </w:rPr>
        <w:t xml:space="preserve">REDACTED </w:t>
      </w:r>
      <w:r w:rsidRPr="00CD3AA4">
        <w:t>approach with assumed</w:t>
      </w:r>
      <w:r w:rsidR="00C04587" w:rsidRPr="00CD3AA4">
        <w:t xml:space="preserve"> </w:t>
      </w:r>
      <w:r w:rsidR="00C04587" w:rsidRPr="00A40151">
        <w:rPr>
          <w:b/>
          <w:bCs/>
        </w:rPr>
        <w:t>%</w:t>
      </w:r>
      <w:r w:rsidR="00C04587" w:rsidRPr="00CD3AA4">
        <w:rPr>
          <w:b/>
          <w:bCs/>
        </w:rPr>
        <w:t>redacted</w:t>
      </w:r>
      <w:r w:rsidR="003B4F2E" w:rsidRPr="00CD3AA4">
        <w:t xml:space="preserve"> </w:t>
      </w:r>
      <w:r w:rsidRPr="00CD3AA4">
        <w:t xml:space="preserve">market share. ESC queried whether this was appropriate given that 18 months have elapsed since this approach was accepted for </w:t>
      </w:r>
      <w:proofErr w:type="spellStart"/>
      <w:r w:rsidRPr="00CD3AA4">
        <w:t>MitraClip</w:t>
      </w:r>
      <w:proofErr w:type="spellEnd"/>
      <w:r w:rsidRPr="00CD3AA4">
        <w:t xml:space="preserve">. ESC further considered that the basis of the </w:t>
      </w:r>
      <w:r w:rsidR="00723D54" w:rsidRPr="00CD3AA4">
        <w:rPr>
          <w:b/>
          <w:bCs/>
        </w:rPr>
        <w:t>REDACTED</w:t>
      </w:r>
      <w:r w:rsidR="00723D54" w:rsidRPr="00CD3AA4">
        <w:t xml:space="preserve"> </w:t>
      </w:r>
      <w:r w:rsidRPr="00CD3AA4">
        <w:t xml:space="preserve">approach was unclear given that </w:t>
      </w:r>
      <w:proofErr w:type="spellStart"/>
      <w:r w:rsidRPr="00CD3AA4">
        <w:t>MitraClip</w:t>
      </w:r>
      <w:proofErr w:type="spellEnd"/>
      <w:r w:rsidRPr="00CD3AA4">
        <w:t xml:space="preserve"> was first to market and may have the advantage of familiarity, making it the preferred first choice in some situations.  In conclusion, ESC considered that PASCAL represents an alternative device with no substantial financial impact. </w:t>
      </w:r>
    </w:p>
    <w:p w14:paraId="067A5F28" w14:textId="77777777" w:rsidR="00030617" w:rsidRPr="00CD3AA4" w:rsidRDefault="00030617" w:rsidP="00030617">
      <w:pPr>
        <w:pStyle w:val="Heading1"/>
        <w:spacing w:before="240"/>
        <w:ind w:left="720" w:hanging="720"/>
        <w:rPr>
          <w:rFonts w:ascii="Arial" w:hAnsi="Arial" w:cs="Arial"/>
        </w:rPr>
      </w:pPr>
      <w:bookmarkStart w:id="41" w:name="_Hlk89077240"/>
      <w:r w:rsidRPr="00CD3AA4">
        <w:rPr>
          <w:rFonts w:ascii="Arial" w:hAnsi="Arial" w:cs="Arial"/>
        </w:rPr>
        <w:t>15.</w:t>
      </w:r>
      <w:r w:rsidRPr="00CD3AA4">
        <w:rPr>
          <w:rFonts w:ascii="Arial" w:hAnsi="Arial" w:cs="Arial"/>
        </w:rPr>
        <w:tab/>
        <w:t>Other significant factors</w:t>
      </w:r>
    </w:p>
    <w:p w14:paraId="1FA137DB" w14:textId="77777777" w:rsidR="00030617" w:rsidRPr="00EE7549" w:rsidRDefault="00030617" w:rsidP="00030617">
      <w:pPr>
        <w:spacing w:before="240" w:after="240"/>
      </w:pPr>
      <w:r w:rsidRPr="00EE7549">
        <w:t>Nil</w:t>
      </w:r>
    </w:p>
    <w:p w14:paraId="06E89A7D" w14:textId="77777777" w:rsidR="00030617" w:rsidRDefault="00030617" w:rsidP="00030617">
      <w:pPr>
        <w:pStyle w:val="Heading1"/>
        <w:rPr>
          <w:rFonts w:ascii="Arial" w:hAnsi="Arial" w:cs="Arial"/>
        </w:rPr>
      </w:pPr>
      <w:bookmarkStart w:id="42" w:name="_Hlk94176569"/>
      <w:bookmarkStart w:id="43" w:name="_Hlk89084910"/>
      <w:r>
        <w:rPr>
          <w:rFonts w:ascii="Arial" w:hAnsi="Arial" w:cs="Arial"/>
        </w:rPr>
        <w:t>16.</w:t>
      </w:r>
      <w:r>
        <w:rPr>
          <w:rFonts w:ascii="Arial" w:hAnsi="Arial" w:cs="Arial"/>
        </w:rPr>
        <w:tab/>
        <w:t>Applicant comments on MSAC’s Public Summary Document</w:t>
      </w:r>
    </w:p>
    <w:p w14:paraId="28B1C7C1" w14:textId="6828E5D6" w:rsidR="007F0F32" w:rsidRDefault="007F0F32" w:rsidP="009E5F8D">
      <w:pPr>
        <w:autoSpaceDE w:val="0"/>
        <w:autoSpaceDN w:val="0"/>
        <w:adjustRightInd w:val="0"/>
        <w:spacing w:before="240"/>
        <w:rPr>
          <w:rFonts w:ascii="Arial" w:hAnsi="Arial" w:cs="Arial"/>
        </w:rPr>
      </w:pPr>
      <w:r>
        <w:rPr>
          <w:rFonts w:ascii="TimesNewRomanPSMT" w:eastAsiaTheme="minorHAnsi" w:hAnsi="TimesNewRomanPSMT" w:cs="TimesNewRomanPSMT"/>
          <w:szCs w:val="24"/>
          <w:lang w:eastAsia="en-US"/>
        </w:rPr>
        <w:t xml:space="preserve">The </w:t>
      </w:r>
      <w:r w:rsidRPr="007F0F32">
        <w:rPr>
          <w:rFonts w:ascii="TimesNewRomanPSMT" w:eastAsiaTheme="minorHAnsi" w:hAnsi="TimesNewRomanPSMT" w:cs="TimesNewRomanPSMT"/>
          <w:szCs w:val="24"/>
          <w:lang w:eastAsia="en-US"/>
        </w:rPr>
        <w:t>totality of evidence regarding</w:t>
      </w:r>
      <w:r>
        <w:rPr>
          <w:rFonts w:ascii="TimesNewRomanPSMT" w:eastAsiaTheme="minorHAnsi" w:hAnsi="TimesNewRomanPSMT" w:cs="TimesNewRomanPSMT"/>
          <w:szCs w:val="24"/>
          <w:lang w:eastAsia="en-US"/>
        </w:rPr>
        <w:t xml:space="preserve"> PASCAL</w:t>
      </w:r>
      <w:r w:rsidRPr="007F0F32">
        <w:rPr>
          <w:rFonts w:ascii="TimesNewRomanPSMT" w:eastAsiaTheme="minorHAnsi" w:hAnsi="TimesNewRomanPSMT" w:cs="TimesNewRomanPSMT"/>
          <w:szCs w:val="24"/>
          <w:lang w:eastAsia="en-US"/>
        </w:rPr>
        <w:t xml:space="preserve"> therapy has demonstrated its efficacy</w:t>
      </w:r>
      <w:r>
        <w:rPr>
          <w:rFonts w:ascii="TimesNewRomanPSMT" w:eastAsiaTheme="minorHAnsi" w:hAnsi="TimesNewRomanPSMT" w:cs="TimesNewRomanPSMT"/>
          <w:szCs w:val="24"/>
          <w:lang w:eastAsia="en-US"/>
        </w:rPr>
        <w:t xml:space="preserve"> </w:t>
      </w:r>
      <w:r w:rsidRPr="007F0F32">
        <w:rPr>
          <w:rFonts w:ascii="TimesNewRomanPSMT" w:eastAsiaTheme="minorHAnsi" w:hAnsi="TimesNewRomanPSMT" w:cs="TimesNewRomanPSMT"/>
          <w:szCs w:val="24"/>
          <w:lang w:eastAsia="en-US"/>
        </w:rPr>
        <w:t>and consistent improvement across multiple outcomes in patients considered to be too high</w:t>
      </w:r>
      <w:r>
        <w:rPr>
          <w:rFonts w:ascii="TimesNewRomanPSMT" w:eastAsiaTheme="minorHAnsi" w:hAnsi="TimesNewRomanPSMT" w:cs="TimesNewRomanPSMT"/>
          <w:szCs w:val="24"/>
          <w:lang w:eastAsia="en-US"/>
        </w:rPr>
        <w:t xml:space="preserve"> </w:t>
      </w:r>
      <w:r w:rsidRPr="007F0F32">
        <w:rPr>
          <w:rFonts w:ascii="TimesNewRomanPSMT" w:eastAsiaTheme="minorHAnsi" w:hAnsi="TimesNewRomanPSMT" w:cs="TimesNewRomanPSMT"/>
          <w:szCs w:val="24"/>
          <w:lang w:eastAsia="en-US"/>
        </w:rPr>
        <w:t>risk for surgery due to comorbid conditions and other risk factors. These outcomes benefits</w:t>
      </w:r>
      <w:r>
        <w:rPr>
          <w:rFonts w:ascii="TimesNewRomanPSMT" w:eastAsiaTheme="minorHAnsi" w:hAnsi="TimesNewRomanPSMT" w:cs="TimesNewRomanPSMT"/>
          <w:szCs w:val="24"/>
          <w:lang w:eastAsia="en-US"/>
        </w:rPr>
        <w:t xml:space="preserve"> </w:t>
      </w:r>
      <w:r w:rsidRPr="007F0F32">
        <w:rPr>
          <w:rFonts w:ascii="TimesNewRomanPSMT" w:eastAsiaTheme="minorHAnsi" w:hAnsi="TimesNewRomanPSMT" w:cs="TimesNewRomanPSMT"/>
          <w:szCs w:val="24"/>
          <w:lang w:eastAsia="en-US"/>
        </w:rPr>
        <w:t>include reduction of MR, left ventricular reverse remodelling, improvements in NYHA</w:t>
      </w:r>
      <w:r>
        <w:rPr>
          <w:rFonts w:ascii="TimesNewRomanPSMT" w:eastAsiaTheme="minorHAnsi" w:hAnsi="TimesNewRomanPSMT" w:cs="TimesNewRomanPSMT"/>
          <w:szCs w:val="24"/>
          <w:lang w:eastAsia="en-US"/>
        </w:rPr>
        <w:t xml:space="preserve"> </w:t>
      </w:r>
      <w:r w:rsidRPr="007F0F32">
        <w:rPr>
          <w:rFonts w:ascii="TimesNewRomanPSMT" w:eastAsiaTheme="minorHAnsi" w:hAnsi="TimesNewRomanPSMT" w:cs="TimesNewRomanPSMT"/>
          <w:szCs w:val="24"/>
          <w:lang w:eastAsia="en-US"/>
        </w:rPr>
        <w:t>functional class and quality of life, and reductions in heart failure hospitalizations. Patients</w:t>
      </w:r>
      <w:r>
        <w:rPr>
          <w:rFonts w:ascii="TimesNewRomanPSMT" w:eastAsiaTheme="minorHAnsi" w:hAnsi="TimesNewRomanPSMT" w:cs="TimesNewRomanPSMT"/>
          <w:szCs w:val="24"/>
          <w:lang w:eastAsia="en-US"/>
        </w:rPr>
        <w:t xml:space="preserve"> </w:t>
      </w:r>
      <w:r w:rsidRPr="007F0F32">
        <w:rPr>
          <w:rFonts w:ascii="TimesNewRomanPSMT" w:eastAsiaTheme="minorHAnsi" w:hAnsi="TimesNewRomanPSMT" w:cs="TimesNewRomanPSMT"/>
          <w:szCs w:val="24"/>
          <w:lang w:eastAsia="en-US"/>
        </w:rPr>
        <w:t xml:space="preserve">identified as too high risk for surgery via a qualified heart team assessment represent </w:t>
      </w:r>
      <w:r>
        <w:rPr>
          <w:rFonts w:ascii="TimesNewRomanPSMT" w:eastAsiaTheme="minorHAnsi" w:hAnsi="TimesNewRomanPSMT" w:cs="TimesNewRomanPSMT"/>
          <w:szCs w:val="24"/>
          <w:lang w:eastAsia="en-US"/>
        </w:rPr>
        <w:t xml:space="preserve">a group of patients who need access to </w:t>
      </w:r>
      <w:r w:rsidR="00265693">
        <w:rPr>
          <w:rFonts w:ascii="TimesNewRomanPSMT" w:eastAsiaTheme="minorHAnsi" w:hAnsi="TimesNewRomanPSMT" w:cs="TimesNewRomanPSMT"/>
          <w:szCs w:val="24"/>
          <w:lang w:eastAsia="en-US"/>
        </w:rPr>
        <w:t>PASCAL.</w:t>
      </w:r>
      <w:r w:rsidR="00036D0A">
        <w:rPr>
          <w:rFonts w:ascii="TimesNewRomanPSMT" w:eastAsiaTheme="minorHAnsi" w:hAnsi="TimesNewRomanPSMT" w:cs="TimesNewRomanPSMT"/>
          <w:szCs w:val="24"/>
          <w:lang w:eastAsia="en-US"/>
        </w:rPr>
        <w:t xml:space="preserve"> </w:t>
      </w:r>
      <w:r w:rsidR="00036D0A" w:rsidRPr="00036D0A">
        <w:rPr>
          <w:rFonts w:ascii="TimesNewRomanPSMT" w:eastAsiaTheme="minorHAnsi" w:hAnsi="TimesNewRomanPSMT" w:cs="TimesNewRomanPSMT"/>
          <w:szCs w:val="24"/>
          <w:lang w:eastAsia="en-US"/>
        </w:rPr>
        <w:t>Edwards Lifesciences</w:t>
      </w:r>
      <w:r w:rsidR="00036D0A">
        <w:rPr>
          <w:rFonts w:ascii="TimesNewRomanPSMT" w:eastAsiaTheme="minorHAnsi" w:hAnsi="TimesNewRomanPSMT" w:cs="TimesNewRomanPSMT"/>
          <w:szCs w:val="24"/>
          <w:lang w:eastAsia="en-US"/>
        </w:rPr>
        <w:t xml:space="preserve"> look forward to addressing areas of concern outlined by MSAC</w:t>
      </w:r>
      <w:r w:rsidR="00970240">
        <w:rPr>
          <w:rFonts w:ascii="TimesNewRomanPSMT" w:eastAsiaTheme="minorHAnsi" w:hAnsi="TimesNewRomanPSMT" w:cs="TimesNewRomanPSMT"/>
          <w:szCs w:val="24"/>
          <w:lang w:eastAsia="en-US"/>
        </w:rPr>
        <w:t xml:space="preserve"> to ensure patients can have access to PASCAL.</w:t>
      </w:r>
    </w:p>
    <w:bookmarkEnd w:id="42"/>
    <w:p w14:paraId="2BB6BC59" w14:textId="4748F5AE" w:rsidR="00030617" w:rsidRPr="007B5143" w:rsidRDefault="00030617" w:rsidP="00030617">
      <w:pPr>
        <w:pStyle w:val="Heading1"/>
        <w:spacing w:before="240"/>
        <w:rPr>
          <w:rFonts w:ascii="Arial" w:hAnsi="Arial" w:cs="Arial"/>
        </w:rPr>
      </w:pPr>
      <w:r>
        <w:rPr>
          <w:rFonts w:ascii="Arial" w:hAnsi="Arial" w:cs="Arial"/>
        </w:rPr>
        <w:t>17.</w:t>
      </w:r>
      <w:r>
        <w:rPr>
          <w:rFonts w:ascii="Arial" w:hAnsi="Arial" w:cs="Arial"/>
        </w:rPr>
        <w:tab/>
      </w:r>
      <w:r w:rsidRPr="007B5143">
        <w:rPr>
          <w:rFonts w:ascii="Arial" w:hAnsi="Arial" w:cs="Arial"/>
        </w:rPr>
        <w:t>Further information on MSAC</w:t>
      </w:r>
    </w:p>
    <w:p w14:paraId="284BFECA" w14:textId="50B8B5E2" w:rsidR="00030617" w:rsidRPr="00030617" w:rsidRDefault="00030617" w:rsidP="00030617">
      <w:pPr>
        <w:spacing w:before="240" w:after="240"/>
        <w:rPr>
          <w:szCs w:val="24"/>
        </w:rPr>
      </w:pPr>
      <w:r w:rsidRPr="00F715D1">
        <w:rPr>
          <w:szCs w:val="24"/>
        </w:rPr>
        <w:t xml:space="preserve">MSAC Terms of Reference and other information are available on the MSAC Website: </w:t>
      </w:r>
      <w:r>
        <w:rPr>
          <w:szCs w:val="24"/>
        </w:rPr>
        <w:br/>
      </w:r>
      <w:hyperlink r:id="rId15" w:tooltip="Link to Medical Services Advisory Committee website" w:history="1">
        <w:r w:rsidRPr="00F715D1">
          <w:rPr>
            <w:rStyle w:val="Hyperlink"/>
            <w:szCs w:val="24"/>
          </w:rPr>
          <w:t>visit the MSAC website</w:t>
        </w:r>
      </w:hyperlink>
      <w:bookmarkEnd w:id="41"/>
      <w:r w:rsidR="008A7448">
        <w:rPr>
          <w:rStyle w:val="Hyperlink"/>
          <w:szCs w:val="24"/>
        </w:rPr>
        <w:t xml:space="preserve">s </w:t>
      </w:r>
      <w:bookmarkEnd w:id="43"/>
    </w:p>
    <w:sectPr w:rsidR="00030617" w:rsidRPr="00030617" w:rsidSect="00342FAC">
      <w:footerReference w:type="default" r:id="rId1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13045" w14:textId="77777777" w:rsidR="0063579E" w:rsidRDefault="0063579E" w:rsidP="00065623">
      <w:r>
        <w:separator/>
      </w:r>
    </w:p>
  </w:endnote>
  <w:endnote w:type="continuationSeparator" w:id="0">
    <w:p w14:paraId="72124E27" w14:textId="77777777" w:rsidR="0063579E" w:rsidRDefault="0063579E" w:rsidP="00065623">
      <w:r>
        <w:continuationSeparator/>
      </w:r>
    </w:p>
  </w:endnote>
  <w:endnote w:type="continuationNotice" w:id="1">
    <w:p w14:paraId="7EA8F5EB" w14:textId="77777777" w:rsidR="0063579E" w:rsidRDefault="0063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272735"/>
      <w:docPartObj>
        <w:docPartGallery w:val="Page Numbers (Bottom of Page)"/>
        <w:docPartUnique/>
      </w:docPartObj>
    </w:sdtPr>
    <w:sdtEndPr>
      <w:rPr>
        <w:noProof/>
      </w:rPr>
    </w:sdtEndPr>
    <w:sdtContent>
      <w:p w14:paraId="177C8781" w14:textId="53E179CC" w:rsidR="008E33F1" w:rsidRDefault="008E33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5F2940" w14:textId="77777777" w:rsidR="008E33F1" w:rsidRDefault="008E3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5A63D" w14:textId="77777777" w:rsidR="0063579E" w:rsidRDefault="0063579E" w:rsidP="00065623">
      <w:r>
        <w:separator/>
      </w:r>
    </w:p>
  </w:footnote>
  <w:footnote w:type="continuationSeparator" w:id="0">
    <w:p w14:paraId="3250A6A2" w14:textId="77777777" w:rsidR="0063579E" w:rsidRDefault="0063579E" w:rsidP="00065623">
      <w:r>
        <w:continuationSeparator/>
      </w:r>
    </w:p>
  </w:footnote>
  <w:footnote w:type="continuationNotice" w:id="1">
    <w:p w14:paraId="5EAC2056" w14:textId="77777777" w:rsidR="0063579E" w:rsidRDefault="0063579E"/>
  </w:footnote>
  <w:footnote w:id="2">
    <w:p w14:paraId="25BCE7F7" w14:textId="48C03F6A" w:rsidR="0063579E" w:rsidRDefault="0063579E">
      <w:pPr>
        <w:pStyle w:val="FootnoteText"/>
      </w:pPr>
      <w:r>
        <w:rPr>
          <w:rStyle w:val="FootnoteReference"/>
        </w:rPr>
        <w:footnoteRef/>
      </w:r>
      <w:r>
        <w:t xml:space="preserve"> Applicant has not agreed to the publication of the </w:t>
      </w:r>
      <w:r w:rsidR="00BD2635">
        <w:t xml:space="preserve">matching </w:t>
      </w:r>
      <w:r>
        <w:t>variables used in the MAIC presented to MSAC.</w:t>
      </w:r>
    </w:p>
  </w:footnote>
  <w:footnote w:id="3">
    <w:p w14:paraId="535D0CF6" w14:textId="4339E368" w:rsidR="0063579E" w:rsidRDefault="0063579E">
      <w:pPr>
        <w:pStyle w:val="FootnoteText"/>
      </w:pPr>
      <w:r>
        <w:rPr>
          <w:rStyle w:val="FootnoteReference"/>
        </w:rPr>
        <w:footnoteRef/>
      </w:r>
      <w:r>
        <w:t xml:space="preserve"> Applicant has not agreed to </w:t>
      </w:r>
      <w:r w:rsidR="00266D43">
        <w:t>publish</w:t>
      </w:r>
      <w:r>
        <w:t xml:space="preserve"> </w:t>
      </w:r>
      <w:r w:rsidR="00266D43">
        <w:t>the</w:t>
      </w:r>
      <w:r>
        <w:t xml:space="preserve"> </w:t>
      </w:r>
      <w:r w:rsidR="00BD2635">
        <w:t xml:space="preserve">matching </w:t>
      </w:r>
      <w:r>
        <w:t xml:space="preserve">variables used in the MAIC. </w:t>
      </w:r>
    </w:p>
  </w:footnote>
  <w:footnote w:id="4">
    <w:p w14:paraId="32C7413C" w14:textId="0CB02100" w:rsidR="0063579E" w:rsidRDefault="0063579E">
      <w:pPr>
        <w:pStyle w:val="FootnoteText"/>
      </w:pPr>
      <w:r>
        <w:rPr>
          <w:rStyle w:val="FootnoteReference"/>
        </w:rPr>
        <w:footnoteRef/>
      </w:r>
      <w:r>
        <w:t xml:space="preserve"> </w:t>
      </w:r>
      <w:proofErr w:type="spellStart"/>
      <w:r w:rsidRPr="00AF3BDD">
        <w:t>Phillippo</w:t>
      </w:r>
      <w:proofErr w:type="spellEnd"/>
      <w:r w:rsidRPr="00AF3BDD">
        <w:t xml:space="preserve"> DM</w:t>
      </w:r>
      <w:r>
        <w:t xml:space="preserve"> </w:t>
      </w:r>
      <w:r>
        <w:rPr>
          <w:i/>
          <w:iCs/>
        </w:rPr>
        <w:t>et al</w:t>
      </w:r>
      <w:r w:rsidRPr="00AF3BDD">
        <w:t>. Methods for Population-Adjusted Indirect Comparisons in Health Technology Appraisal. </w:t>
      </w:r>
      <w:r w:rsidRPr="00AF3BDD">
        <w:rPr>
          <w:i/>
          <w:iCs/>
        </w:rPr>
        <w:t xml:space="preserve">Med </w:t>
      </w:r>
      <w:proofErr w:type="spellStart"/>
      <w:r w:rsidRPr="00AF3BDD">
        <w:rPr>
          <w:i/>
          <w:iCs/>
        </w:rPr>
        <w:t>Decis</w:t>
      </w:r>
      <w:proofErr w:type="spellEnd"/>
      <w:r w:rsidRPr="00AF3BDD">
        <w:rPr>
          <w:i/>
          <w:iCs/>
        </w:rPr>
        <w:t xml:space="preserve"> Making</w:t>
      </w:r>
      <w:r w:rsidRPr="00AF3BDD">
        <w:t>. 2018;38(2):200-211. doi:10.1177/0272989X17725740</w:t>
      </w:r>
    </w:p>
  </w:footnote>
  <w:footnote w:id="5">
    <w:p w14:paraId="3A5F80F3" w14:textId="7CFF8D78" w:rsidR="0063579E" w:rsidRDefault="0063579E">
      <w:pPr>
        <w:pStyle w:val="FootnoteText"/>
      </w:pPr>
      <w:r>
        <w:rPr>
          <w:rStyle w:val="FootnoteReference"/>
        </w:rPr>
        <w:footnoteRef/>
      </w:r>
      <w:r>
        <w:t xml:space="preserve"> </w:t>
      </w:r>
      <w:proofErr w:type="spellStart"/>
      <w:r w:rsidRPr="007447D9">
        <w:t>Phillippo</w:t>
      </w:r>
      <w:proofErr w:type="spellEnd"/>
      <w:r w:rsidRPr="007447D9">
        <w:t xml:space="preserve"> DM</w:t>
      </w:r>
      <w:r>
        <w:t xml:space="preserve"> </w:t>
      </w:r>
      <w:r>
        <w:rPr>
          <w:i/>
          <w:iCs/>
        </w:rPr>
        <w:t>et al</w:t>
      </w:r>
      <w:r w:rsidRPr="007447D9">
        <w:t xml:space="preserve">. NICE DSU Technical Support Document 18: Methods for population-adjusted indirect comparisons in submission to NICE. 2016. Available from </w:t>
      </w:r>
      <w:hyperlink r:id="rId1" w:history="1">
        <w:r w:rsidRPr="003B1706">
          <w:rPr>
            <w:rStyle w:val="Hyperlink"/>
          </w:rPr>
          <w:t>http://nicedsu.org.uk/wp-content/uploads/2018/08/Population-adjustment-TSD-FINAL-ref-rerun.pdf</w:t>
        </w:r>
      </w:hyperlink>
      <w:r>
        <w:t xml:space="preserve"> </w:t>
      </w:r>
    </w:p>
  </w:footnote>
  <w:footnote w:id="6">
    <w:p w14:paraId="2601705A" w14:textId="3F54C47F" w:rsidR="0063579E" w:rsidRDefault="0063579E">
      <w:pPr>
        <w:pStyle w:val="FootnoteText"/>
      </w:pPr>
      <w:r>
        <w:rPr>
          <w:rStyle w:val="FootnoteReference"/>
        </w:rPr>
        <w:footnoteRef/>
      </w:r>
      <w:r>
        <w:t xml:space="preserve"> </w:t>
      </w:r>
      <w:r w:rsidRPr="007360EE">
        <w:t xml:space="preserve">Applicant has not agreed to </w:t>
      </w:r>
      <w:r w:rsidR="00266D43">
        <w:t>publish the</w:t>
      </w:r>
      <w:r>
        <w:t xml:space="preserve"> clinical factors that were unbalanced in the MAIC. </w:t>
      </w:r>
    </w:p>
  </w:footnote>
  <w:footnote w:id="7">
    <w:p w14:paraId="6FC5945C" w14:textId="6D6BF372" w:rsidR="0063579E" w:rsidRDefault="0063579E">
      <w:pPr>
        <w:pStyle w:val="FootnoteText"/>
      </w:pPr>
      <w:r>
        <w:rPr>
          <w:rStyle w:val="FootnoteReference"/>
        </w:rPr>
        <w:footnoteRef/>
      </w:r>
      <w:r>
        <w:t xml:space="preserve"> Applicant has not agreed to </w:t>
      </w:r>
      <w:r w:rsidR="00266D43">
        <w:t>publish</w:t>
      </w:r>
      <w:r>
        <w:t xml:space="preserve"> the outcome variables of the MAIC analysis.</w:t>
      </w:r>
    </w:p>
  </w:footnote>
  <w:footnote w:id="8">
    <w:p w14:paraId="32DEFBE2" w14:textId="554B3EBE" w:rsidR="0063579E" w:rsidRDefault="0063579E">
      <w:pPr>
        <w:pStyle w:val="FootnoteText"/>
      </w:pPr>
      <w:r>
        <w:rPr>
          <w:rStyle w:val="FootnoteReference"/>
        </w:rPr>
        <w:footnoteRef/>
      </w:r>
      <w:r>
        <w:t xml:space="preserve"> </w:t>
      </w:r>
      <w:proofErr w:type="spellStart"/>
      <w:r w:rsidRPr="0033659E">
        <w:t>Szerlip</w:t>
      </w:r>
      <w:proofErr w:type="spellEnd"/>
      <w:r w:rsidRPr="0033659E">
        <w:t xml:space="preserve"> M</w:t>
      </w:r>
      <w:r>
        <w:t xml:space="preserve"> </w:t>
      </w:r>
      <w:r w:rsidRPr="00B725B6">
        <w:rPr>
          <w:i/>
          <w:iCs/>
        </w:rPr>
        <w:t>et al.</w:t>
      </w:r>
      <w:r w:rsidRPr="0033659E">
        <w:t xml:space="preserve"> 2-Year Outcomes for Transcatheter Repair in Patients </w:t>
      </w:r>
      <w:proofErr w:type="gramStart"/>
      <w:r w:rsidRPr="0033659E">
        <w:t>With</w:t>
      </w:r>
      <w:proofErr w:type="gramEnd"/>
      <w:r w:rsidRPr="0033659E">
        <w:t xml:space="preserve"> Mitral Regurgitation From the CLASP Study. </w:t>
      </w:r>
      <w:r w:rsidRPr="0033659E">
        <w:rPr>
          <w:i/>
          <w:iCs/>
        </w:rPr>
        <w:t xml:space="preserve">JACC Cardiovasc </w:t>
      </w:r>
      <w:proofErr w:type="spellStart"/>
      <w:r w:rsidRPr="0033659E">
        <w:rPr>
          <w:i/>
          <w:iCs/>
        </w:rPr>
        <w:t>Interv</w:t>
      </w:r>
      <w:proofErr w:type="spellEnd"/>
      <w:r w:rsidRPr="0033659E">
        <w:t>. 2021;14(14):1538-1548.</w:t>
      </w:r>
    </w:p>
  </w:footnote>
  <w:footnote w:id="9">
    <w:p w14:paraId="10F62E46" w14:textId="22C52188" w:rsidR="0063579E" w:rsidRDefault="0063579E">
      <w:pPr>
        <w:pStyle w:val="FootnoteText"/>
      </w:pPr>
      <w:r>
        <w:rPr>
          <w:rStyle w:val="FootnoteReference"/>
        </w:rPr>
        <w:footnoteRef/>
      </w:r>
      <w:r>
        <w:t xml:space="preserve"> </w:t>
      </w:r>
      <w:hyperlink r:id="rId2" w:history="1">
        <w:r w:rsidRPr="003B1706">
          <w:rPr>
            <w:rStyle w:val="Hyperlink"/>
          </w:rPr>
          <w:t>https://clinicaltrials.gov/ct2/show/NCT03706833</w:t>
        </w:r>
      </w:hyperlink>
      <w:r>
        <w:t xml:space="preserve"> </w:t>
      </w:r>
    </w:p>
  </w:footnote>
  <w:footnote w:id="10">
    <w:p w14:paraId="7AC9728A" w14:textId="6167563F" w:rsidR="0063579E" w:rsidRDefault="0063579E" w:rsidP="00795AD1">
      <w:pPr>
        <w:pStyle w:val="FootnoteText"/>
      </w:pPr>
      <w:r>
        <w:rPr>
          <w:rStyle w:val="FootnoteReference"/>
        </w:rPr>
        <w:footnoteRef/>
      </w:r>
      <w:r>
        <w:t xml:space="preserve"> Applicant has not agreed to </w:t>
      </w:r>
      <w:r w:rsidR="00266D43">
        <w:t>publish the</w:t>
      </w:r>
      <w:r>
        <w:t xml:space="preserve"> variables in the cost-minimisation analysis</w:t>
      </w:r>
    </w:p>
  </w:footnote>
  <w:footnote w:id="11">
    <w:p w14:paraId="671327EB" w14:textId="58113D6A" w:rsidR="0063579E" w:rsidRDefault="0063579E">
      <w:pPr>
        <w:pStyle w:val="FootnoteText"/>
      </w:pPr>
      <w:r>
        <w:rPr>
          <w:rStyle w:val="FootnoteReference"/>
        </w:rPr>
        <w:footnoteRef/>
      </w:r>
      <w:r>
        <w:t xml:space="preserve"> Applicant has not agreed to </w:t>
      </w:r>
      <w:r w:rsidR="00266D43">
        <w:t>publish details</w:t>
      </w:r>
      <w:r>
        <w:t xml:space="preserve"> of </w:t>
      </w:r>
      <w:r w:rsidR="00266D43">
        <w:t xml:space="preserve">the </w:t>
      </w:r>
      <w:r>
        <w:t xml:space="preserve">PASCAL training program information </w:t>
      </w:r>
    </w:p>
  </w:footnote>
  <w:footnote w:id="12">
    <w:p w14:paraId="07F95CC6" w14:textId="77777777" w:rsidR="0063579E" w:rsidRPr="00840F82" w:rsidRDefault="0063579E" w:rsidP="005326E2">
      <w:pPr>
        <w:pStyle w:val="CommentText"/>
      </w:pPr>
      <w:r>
        <w:rPr>
          <w:rStyle w:val="FootnoteReference"/>
        </w:rPr>
        <w:footnoteRef/>
      </w:r>
      <w:r>
        <w:t xml:space="preserve"> </w:t>
      </w:r>
      <w:hyperlink r:id="rId3" w:history="1">
        <w:r w:rsidRPr="006C0CFC">
          <w:rPr>
            <w:rStyle w:val="Hyperlink"/>
          </w:rPr>
          <w:t>https://www.health.gov.au/sites/default/files/documents/2021/06/prostheses-list-part-a-new-prostheses-items.pdf</w:t>
        </w:r>
      </w:hyperlink>
    </w:p>
  </w:footnote>
  <w:footnote w:id="13">
    <w:p w14:paraId="01DEF426" w14:textId="77777777" w:rsidR="0063579E" w:rsidRDefault="0063579E" w:rsidP="002A578B">
      <w:pPr>
        <w:pStyle w:val="FootnoteText"/>
        <w:jc w:val="both"/>
      </w:pPr>
      <w:r>
        <w:rPr>
          <w:rStyle w:val="FootnoteReference"/>
        </w:rPr>
        <w:footnoteRef/>
      </w:r>
      <w:r>
        <w:t xml:space="preserve"> </w:t>
      </w:r>
      <w:proofErr w:type="spellStart"/>
      <w:r>
        <w:t>Szerlip</w:t>
      </w:r>
      <w:proofErr w:type="spellEnd"/>
      <w:r>
        <w:t xml:space="preserve">, M., Lim, D. S., Fam, N., Webb, J., Schaefer, U., &amp; O'Neill, W. (2021). 2-year outcomes from the </w:t>
      </w:r>
      <w:proofErr w:type="spellStart"/>
      <w:r>
        <w:t>multicenter</w:t>
      </w:r>
      <w:proofErr w:type="spellEnd"/>
      <w:r>
        <w:t xml:space="preserve">, prospective CLASP study with the PASCAL transcatheter repair system in patients with mitral regurgitation [Accepted]. JACC Cardiovasc </w:t>
      </w:r>
      <w:proofErr w:type="spellStart"/>
      <w:r>
        <w:t>Interv</w:t>
      </w:r>
      <w:proofErr w:type="spellEnd"/>
      <w:r>
        <w:t xml:space="preserve">. </w:t>
      </w:r>
    </w:p>
    <w:p w14:paraId="2F60EB42" w14:textId="4A2F5E3E" w:rsidR="0063579E" w:rsidRDefault="0063579E" w:rsidP="002A578B">
      <w:pPr>
        <w:pStyle w:val="FootnoteText"/>
        <w:jc w:val="both"/>
      </w:pPr>
      <w:proofErr w:type="spellStart"/>
      <w:r>
        <w:t>Szerlip</w:t>
      </w:r>
      <w:proofErr w:type="spellEnd"/>
      <w:r>
        <w:t xml:space="preserve">, M., </w:t>
      </w:r>
      <w:proofErr w:type="spellStart"/>
      <w:r>
        <w:t>Spargias</w:t>
      </w:r>
      <w:proofErr w:type="spellEnd"/>
      <w:r>
        <w:t xml:space="preserve">, K. S., </w:t>
      </w:r>
      <w:proofErr w:type="spellStart"/>
      <w:r>
        <w:t>Makkar</w:t>
      </w:r>
      <w:proofErr w:type="spellEnd"/>
      <w:r>
        <w:t xml:space="preserve">, R., Kar, S., </w:t>
      </w:r>
      <w:proofErr w:type="spellStart"/>
      <w:r>
        <w:t>Kipperman</w:t>
      </w:r>
      <w:proofErr w:type="spellEnd"/>
      <w:r>
        <w:t xml:space="preserve">, R. M., O'Neill, W. W., . . . Lim, D. S. (2021). 2-Year Outcomes for Transcatheter Repair in Patients </w:t>
      </w:r>
      <w:proofErr w:type="gramStart"/>
      <w:r>
        <w:t>With</w:t>
      </w:r>
      <w:proofErr w:type="gramEnd"/>
      <w:r>
        <w:t xml:space="preserve"> Mitral Regurgitation From the CLASP Study. JACC Cardiovasc </w:t>
      </w:r>
      <w:proofErr w:type="spellStart"/>
      <w:r>
        <w:t>Interv</w:t>
      </w:r>
      <w:proofErr w:type="spellEnd"/>
    </w:p>
  </w:footnote>
  <w:footnote w:id="14">
    <w:p w14:paraId="0764FE4A" w14:textId="77777777" w:rsidR="0063579E" w:rsidRDefault="0063579E" w:rsidP="002A578B">
      <w:pPr>
        <w:pStyle w:val="FootnoteText"/>
        <w:jc w:val="both"/>
      </w:pPr>
      <w:r>
        <w:rPr>
          <w:rStyle w:val="FootnoteReference"/>
        </w:rPr>
        <w:footnoteRef/>
      </w:r>
      <w:r>
        <w:t xml:space="preserve"> </w:t>
      </w:r>
      <w:r w:rsidRPr="00053C56">
        <w:t xml:space="preserve">Stone, G. W., Lindenfeld, J., Abraham, W. T., Kar, S., Lim, D. S., </w:t>
      </w:r>
      <w:proofErr w:type="spellStart"/>
      <w:r w:rsidRPr="00053C56">
        <w:t>Mishell</w:t>
      </w:r>
      <w:proofErr w:type="spellEnd"/>
      <w:r w:rsidRPr="00053C56">
        <w:t xml:space="preserve">, J. M., . . . Investigators, C. (2018). Transcatheter Mitral-Valve Repair in Patients with Heart Failure. N </w:t>
      </w:r>
      <w:proofErr w:type="spellStart"/>
      <w:r w:rsidRPr="00053C56">
        <w:t>Engl</w:t>
      </w:r>
      <w:proofErr w:type="spellEnd"/>
      <w:r w:rsidRPr="00053C56">
        <w:t xml:space="preserve"> J Med, 379(24), 2307-2318</w:t>
      </w:r>
    </w:p>
  </w:footnote>
  <w:footnote w:id="15">
    <w:p w14:paraId="576C9778" w14:textId="77777777" w:rsidR="0063579E" w:rsidRDefault="0063579E" w:rsidP="002A578B">
      <w:pPr>
        <w:pStyle w:val="FootnoteText"/>
        <w:jc w:val="both"/>
      </w:pPr>
      <w:r>
        <w:rPr>
          <w:rStyle w:val="FootnoteReference"/>
        </w:rPr>
        <w:footnoteRef/>
      </w:r>
      <w:r>
        <w:t xml:space="preserve"> </w:t>
      </w:r>
      <w:r w:rsidRPr="00053C56">
        <w:t xml:space="preserve">Feldman, T., Foster, E., Glower, D. D., Kar, S., Rinaldi, M. J., Fail, P. S., . . . </w:t>
      </w:r>
      <w:proofErr w:type="spellStart"/>
      <w:r w:rsidRPr="00053C56">
        <w:t>Engeron</w:t>
      </w:r>
      <w:proofErr w:type="spellEnd"/>
      <w:r w:rsidRPr="00053C56">
        <w:t>, E. (2011). Percutaneous repair or surgery for mitral regurgitation. New England Journal of Medicine, 364(15), 1395-1406.</w:t>
      </w:r>
    </w:p>
  </w:footnote>
  <w:footnote w:id="16">
    <w:p w14:paraId="0C128EF6" w14:textId="77777777" w:rsidR="0063579E" w:rsidRDefault="0063579E" w:rsidP="000C2AD2">
      <w:pPr>
        <w:pStyle w:val="FootnoteText"/>
      </w:pPr>
    </w:p>
  </w:footnote>
  <w:footnote w:id="17">
    <w:p w14:paraId="7CAA1BD8" w14:textId="1884BB5C" w:rsidR="0063579E" w:rsidRDefault="0063579E">
      <w:pPr>
        <w:pStyle w:val="FootnoteText"/>
      </w:pPr>
      <w:r>
        <w:rPr>
          <w:rStyle w:val="FootnoteReference"/>
        </w:rPr>
        <w:footnoteRef/>
      </w:r>
      <w:r>
        <w:t xml:space="preserve"> Applicant has not agreed to publish information pertaining to the results of the MAIC analysis</w:t>
      </w:r>
    </w:p>
  </w:footnote>
  <w:footnote w:id="18">
    <w:p w14:paraId="563148AF" w14:textId="77777777" w:rsidR="0063579E" w:rsidRDefault="0063579E" w:rsidP="00826E98">
      <w:pPr>
        <w:pStyle w:val="FootnoteText"/>
      </w:pPr>
      <w:r>
        <w:rPr>
          <w:rStyle w:val="FootnoteReference"/>
        </w:rPr>
        <w:footnoteRef/>
      </w:r>
      <w:r>
        <w:t xml:space="preserve"> </w:t>
      </w:r>
      <w:r w:rsidRPr="00826E98">
        <w:t xml:space="preserve">Feldman, T., Foster, E., Glower, D. D., Kar, S., Rinaldi, M. J., Fail, P. S., . . . </w:t>
      </w:r>
      <w:proofErr w:type="spellStart"/>
      <w:r w:rsidRPr="00826E98">
        <w:t>Engeron</w:t>
      </w:r>
      <w:proofErr w:type="spellEnd"/>
      <w:r w:rsidRPr="00826E98">
        <w:t>, E. (2011). Percutaneous repair or surgery for mitral regurgitation. New England Journal of Medicine, 364(15), 1395-1406.</w:t>
      </w:r>
    </w:p>
  </w:footnote>
  <w:footnote w:id="19">
    <w:p w14:paraId="49BB708F" w14:textId="371480E1" w:rsidR="0063579E" w:rsidRDefault="0063579E" w:rsidP="00D27712">
      <w:pPr>
        <w:pStyle w:val="FootnoteText"/>
      </w:pPr>
      <w:r>
        <w:rPr>
          <w:rStyle w:val="FootnoteReference"/>
        </w:rPr>
        <w:footnoteRef/>
      </w:r>
      <w:r>
        <w:t xml:space="preserve"> Applicant has not agreed to publication of variables in the MAIC analysis</w:t>
      </w:r>
    </w:p>
  </w:footnote>
  <w:footnote w:id="20">
    <w:p w14:paraId="5A08205C" w14:textId="6704CB40" w:rsidR="0063579E" w:rsidRDefault="0063579E">
      <w:pPr>
        <w:pStyle w:val="FootnoteText"/>
      </w:pPr>
      <w:r>
        <w:rPr>
          <w:rStyle w:val="FootnoteReference"/>
        </w:rPr>
        <w:footnoteRef/>
      </w:r>
      <w:r>
        <w:t xml:space="preserve"> </w:t>
      </w:r>
      <w:r w:rsidRPr="005D247C">
        <w:t xml:space="preserve">Applicant has not agreed to publication of </w:t>
      </w:r>
      <w:r>
        <w:t>the results of the</w:t>
      </w:r>
      <w:r w:rsidRPr="005D247C">
        <w:t xml:space="preserve"> MAIC analysis</w:t>
      </w:r>
    </w:p>
  </w:footnote>
  <w:footnote w:id="21">
    <w:p w14:paraId="458CDD47" w14:textId="45DD1FF5" w:rsidR="0063579E" w:rsidRDefault="0063579E">
      <w:pPr>
        <w:pStyle w:val="FootnoteText"/>
      </w:pPr>
      <w:r>
        <w:rPr>
          <w:rStyle w:val="FootnoteReference"/>
        </w:rPr>
        <w:footnoteRef/>
      </w:r>
      <w:r>
        <w:t xml:space="preserve"> Applicant has not agreed to publish variables in the cost-minimisation analysis</w:t>
      </w:r>
    </w:p>
  </w:footnote>
  <w:footnote w:id="22">
    <w:p w14:paraId="36634EEE" w14:textId="7E78E9C6" w:rsidR="0063579E" w:rsidRDefault="0063579E">
      <w:pPr>
        <w:pStyle w:val="FootnoteText"/>
      </w:pPr>
      <w:r>
        <w:rPr>
          <w:rStyle w:val="FootnoteReference"/>
        </w:rPr>
        <w:footnoteRef/>
      </w:r>
      <w:r>
        <w:t xml:space="preserve"> Applicant has not agreed to publication </w:t>
      </w:r>
      <w:proofErr w:type="gramStart"/>
      <w:r>
        <w:t>of  variables</w:t>
      </w:r>
      <w:proofErr w:type="gramEnd"/>
      <w:r>
        <w:t xml:space="preserve"> in the cost-minimisation 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43AD2"/>
    <w:multiLevelType w:val="hybridMultilevel"/>
    <w:tmpl w:val="840AF8D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A27478"/>
    <w:multiLevelType w:val="hybridMultilevel"/>
    <w:tmpl w:val="FA5C6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18004B"/>
    <w:multiLevelType w:val="hybridMultilevel"/>
    <w:tmpl w:val="FEC68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603B8"/>
    <w:multiLevelType w:val="hybridMultilevel"/>
    <w:tmpl w:val="B136D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B0B17"/>
    <w:multiLevelType w:val="hybridMultilevel"/>
    <w:tmpl w:val="3BAA35FA"/>
    <w:lvl w:ilvl="0" w:tplc="0524AEF2">
      <w:start w:val="1"/>
      <w:numFmt w:val="bullet"/>
      <w:lvlText w:val=""/>
      <w:lvlJc w:val="left"/>
      <w:pPr>
        <w:tabs>
          <w:tab w:val="num" w:pos="720"/>
        </w:tabs>
        <w:ind w:left="720" w:hanging="360"/>
      </w:pPr>
      <w:rPr>
        <w:rFonts w:ascii="Wingdings" w:hAnsi="Wingdings" w:hint="default"/>
      </w:rPr>
    </w:lvl>
    <w:lvl w:ilvl="1" w:tplc="02B4F4BE">
      <w:start w:val="1"/>
      <w:numFmt w:val="bullet"/>
      <w:lvlText w:val=""/>
      <w:lvlJc w:val="left"/>
      <w:pPr>
        <w:tabs>
          <w:tab w:val="num" w:pos="1440"/>
        </w:tabs>
        <w:ind w:left="1440" w:hanging="360"/>
      </w:pPr>
      <w:rPr>
        <w:rFonts w:ascii="Wingdings" w:hAnsi="Wingdings" w:hint="default"/>
      </w:rPr>
    </w:lvl>
    <w:lvl w:ilvl="2" w:tplc="E42025B8" w:tentative="1">
      <w:start w:val="1"/>
      <w:numFmt w:val="bullet"/>
      <w:lvlText w:val=""/>
      <w:lvlJc w:val="left"/>
      <w:pPr>
        <w:tabs>
          <w:tab w:val="num" w:pos="2160"/>
        </w:tabs>
        <w:ind w:left="2160" w:hanging="360"/>
      </w:pPr>
      <w:rPr>
        <w:rFonts w:ascii="Wingdings" w:hAnsi="Wingdings" w:hint="default"/>
      </w:rPr>
    </w:lvl>
    <w:lvl w:ilvl="3" w:tplc="6AB6286A" w:tentative="1">
      <w:start w:val="1"/>
      <w:numFmt w:val="bullet"/>
      <w:lvlText w:val=""/>
      <w:lvlJc w:val="left"/>
      <w:pPr>
        <w:tabs>
          <w:tab w:val="num" w:pos="2880"/>
        </w:tabs>
        <w:ind w:left="2880" w:hanging="360"/>
      </w:pPr>
      <w:rPr>
        <w:rFonts w:ascii="Wingdings" w:hAnsi="Wingdings" w:hint="default"/>
      </w:rPr>
    </w:lvl>
    <w:lvl w:ilvl="4" w:tplc="ED626AE0" w:tentative="1">
      <w:start w:val="1"/>
      <w:numFmt w:val="bullet"/>
      <w:lvlText w:val=""/>
      <w:lvlJc w:val="left"/>
      <w:pPr>
        <w:tabs>
          <w:tab w:val="num" w:pos="3600"/>
        </w:tabs>
        <w:ind w:left="3600" w:hanging="360"/>
      </w:pPr>
      <w:rPr>
        <w:rFonts w:ascii="Wingdings" w:hAnsi="Wingdings" w:hint="default"/>
      </w:rPr>
    </w:lvl>
    <w:lvl w:ilvl="5" w:tplc="7578F534" w:tentative="1">
      <w:start w:val="1"/>
      <w:numFmt w:val="bullet"/>
      <w:lvlText w:val=""/>
      <w:lvlJc w:val="left"/>
      <w:pPr>
        <w:tabs>
          <w:tab w:val="num" w:pos="4320"/>
        </w:tabs>
        <w:ind w:left="4320" w:hanging="360"/>
      </w:pPr>
      <w:rPr>
        <w:rFonts w:ascii="Wingdings" w:hAnsi="Wingdings" w:hint="default"/>
      </w:rPr>
    </w:lvl>
    <w:lvl w:ilvl="6" w:tplc="77E86A18" w:tentative="1">
      <w:start w:val="1"/>
      <w:numFmt w:val="bullet"/>
      <w:lvlText w:val=""/>
      <w:lvlJc w:val="left"/>
      <w:pPr>
        <w:tabs>
          <w:tab w:val="num" w:pos="5040"/>
        </w:tabs>
        <w:ind w:left="5040" w:hanging="360"/>
      </w:pPr>
      <w:rPr>
        <w:rFonts w:ascii="Wingdings" w:hAnsi="Wingdings" w:hint="default"/>
      </w:rPr>
    </w:lvl>
    <w:lvl w:ilvl="7" w:tplc="AF2EF6AA" w:tentative="1">
      <w:start w:val="1"/>
      <w:numFmt w:val="bullet"/>
      <w:lvlText w:val=""/>
      <w:lvlJc w:val="left"/>
      <w:pPr>
        <w:tabs>
          <w:tab w:val="num" w:pos="5760"/>
        </w:tabs>
        <w:ind w:left="5760" w:hanging="360"/>
      </w:pPr>
      <w:rPr>
        <w:rFonts w:ascii="Wingdings" w:hAnsi="Wingdings" w:hint="default"/>
      </w:rPr>
    </w:lvl>
    <w:lvl w:ilvl="8" w:tplc="96386F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0"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2F765F"/>
    <w:multiLevelType w:val="hybridMultilevel"/>
    <w:tmpl w:val="C1E60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E97F1C"/>
    <w:multiLevelType w:val="hybridMultilevel"/>
    <w:tmpl w:val="418C0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E14B60"/>
    <w:multiLevelType w:val="hybridMultilevel"/>
    <w:tmpl w:val="BDDAD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DE2D2D"/>
    <w:multiLevelType w:val="hybridMultilevel"/>
    <w:tmpl w:val="CF22E6F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387448"/>
    <w:multiLevelType w:val="multilevel"/>
    <w:tmpl w:val="B22A93B6"/>
    <w:numStyleLink w:val="Heading1a"/>
  </w:abstractNum>
  <w:abstractNum w:abstractNumId="1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1"/>
  </w:num>
  <w:num w:numId="4">
    <w:abstractNumId w:val="22"/>
  </w:num>
  <w:num w:numId="5">
    <w:abstractNumId w:val="18"/>
  </w:num>
  <w:num w:numId="6">
    <w:abstractNumId w:val="17"/>
  </w:num>
  <w:num w:numId="7">
    <w:abstractNumId w:val="9"/>
  </w:num>
  <w:num w:numId="8">
    <w:abstractNumId w:val="8"/>
  </w:num>
  <w:num w:numId="9">
    <w:abstractNumId w:val="19"/>
  </w:num>
  <w:num w:numId="10">
    <w:abstractNumId w:val="21"/>
  </w:num>
  <w:num w:numId="11">
    <w:abstractNumId w:val="7"/>
  </w:num>
  <w:num w:numId="12">
    <w:abstractNumId w:val="16"/>
  </w:num>
  <w:num w:numId="13">
    <w:abstractNumId w:val="10"/>
  </w:num>
  <w:num w:numId="14">
    <w:abstractNumId w:val="23"/>
  </w:num>
  <w:num w:numId="15">
    <w:abstractNumId w:val="4"/>
  </w:num>
  <w:num w:numId="16">
    <w:abstractNumId w:val="3"/>
  </w:num>
  <w:num w:numId="17">
    <w:abstractNumId w:val="14"/>
  </w:num>
  <w:num w:numId="18">
    <w:abstractNumId w:val="20"/>
  </w:num>
  <w:num w:numId="19">
    <w:abstractNumId w:val="2"/>
  </w:num>
  <w:num w:numId="20">
    <w:abstractNumId w:val="13"/>
  </w:num>
  <w:num w:numId="21">
    <w:abstractNumId w:val="5"/>
  </w:num>
  <w:num w:numId="22">
    <w:abstractNumId w:val="15"/>
  </w:num>
  <w:num w:numId="23">
    <w:abstractNumId w:val="0"/>
  </w:num>
  <w:num w:numId="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1884"/>
    <w:rsid w:val="00002063"/>
    <w:rsid w:val="00002C39"/>
    <w:rsid w:val="000036AF"/>
    <w:rsid w:val="000077A1"/>
    <w:rsid w:val="00010285"/>
    <w:rsid w:val="00011632"/>
    <w:rsid w:val="00011B66"/>
    <w:rsid w:val="00012A1C"/>
    <w:rsid w:val="00013F59"/>
    <w:rsid w:val="00014731"/>
    <w:rsid w:val="000152C5"/>
    <w:rsid w:val="000171A6"/>
    <w:rsid w:val="00020AF9"/>
    <w:rsid w:val="000213E9"/>
    <w:rsid w:val="00021DA2"/>
    <w:rsid w:val="00021F44"/>
    <w:rsid w:val="000229A1"/>
    <w:rsid w:val="00022D49"/>
    <w:rsid w:val="000230B8"/>
    <w:rsid w:val="000262BF"/>
    <w:rsid w:val="000268A1"/>
    <w:rsid w:val="00027AEA"/>
    <w:rsid w:val="00030617"/>
    <w:rsid w:val="0003176F"/>
    <w:rsid w:val="00034F4E"/>
    <w:rsid w:val="00036D0A"/>
    <w:rsid w:val="0004250A"/>
    <w:rsid w:val="00044266"/>
    <w:rsid w:val="00044BE4"/>
    <w:rsid w:val="00047D28"/>
    <w:rsid w:val="00050A02"/>
    <w:rsid w:val="00051133"/>
    <w:rsid w:val="000531A6"/>
    <w:rsid w:val="000534FB"/>
    <w:rsid w:val="00053C56"/>
    <w:rsid w:val="00054151"/>
    <w:rsid w:val="000556E4"/>
    <w:rsid w:val="0006073C"/>
    <w:rsid w:val="00062E87"/>
    <w:rsid w:val="000632EF"/>
    <w:rsid w:val="00064F8F"/>
    <w:rsid w:val="00065623"/>
    <w:rsid w:val="00066481"/>
    <w:rsid w:val="00070A73"/>
    <w:rsid w:val="00072539"/>
    <w:rsid w:val="000734A6"/>
    <w:rsid w:val="00073B35"/>
    <w:rsid w:val="000759B3"/>
    <w:rsid w:val="000775F1"/>
    <w:rsid w:val="00080261"/>
    <w:rsid w:val="000827F0"/>
    <w:rsid w:val="0008767E"/>
    <w:rsid w:val="00090CDC"/>
    <w:rsid w:val="00094889"/>
    <w:rsid w:val="00097107"/>
    <w:rsid w:val="000A067E"/>
    <w:rsid w:val="000A08D1"/>
    <w:rsid w:val="000A60BE"/>
    <w:rsid w:val="000A63D3"/>
    <w:rsid w:val="000A738E"/>
    <w:rsid w:val="000B6C66"/>
    <w:rsid w:val="000C069E"/>
    <w:rsid w:val="000C1B2C"/>
    <w:rsid w:val="000C2AD2"/>
    <w:rsid w:val="000C3FE3"/>
    <w:rsid w:val="000C7AF1"/>
    <w:rsid w:val="000D0BAE"/>
    <w:rsid w:val="000D35B2"/>
    <w:rsid w:val="000D62E1"/>
    <w:rsid w:val="000E396B"/>
    <w:rsid w:val="000E3BD8"/>
    <w:rsid w:val="000E3C10"/>
    <w:rsid w:val="000E4CA9"/>
    <w:rsid w:val="000E6588"/>
    <w:rsid w:val="000E6E63"/>
    <w:rsid w:val="000E76A7"/>
    <w:rsid w:val="000E7AA3"/>
    <w:rsid w:val="000F0EAC"/>
    <w:rsid w:val="000F10DD"/>
    <w:rsid w:val="000F21FE"/>
    <w:rsid w:val="000F2447"/>
    <w:rsid w:val="000F39B8"/>
    <w:rsid w:val="000F4F05"/>
    <w:rsid w:val="001002D4"/>
    <w:rsid w:val="00100BF0"/>
    <w:rsid w:val="00104710"/>
    <w:rsid w:val="00105C26"/>
    <w:rsid w:val="00110451"/>
    <w:rsid w:val="00113648"/>
    <w:rsid w:val="00116629"/>
    <w:rsid w:val="0011709C"/>
    <w:rsid w:val="001211AF"/>
    <w:rsid w:val="0013032B"/>
    <w:rsid w:val="0013112F"/>
    <w:rsid w:val="00132F8B"/>
    <w:rsid w:val="00135EE0"/>
    <w:rsid w:val="00136257"/>
    <w:rsid w:val="00136969"/>
    <w:rsid w:val="00141C2B"/>
    <w:rsid w:val="00141C77"/>
    <w:rsid w:val="00143EAF"/>
    <w:rsid w:val="00144FF2"/>
    <w:rsid w:val="0014545A"/>
    <w:rsid w:val="001538CF"/>
    <w:rsid w:val="0015496F"/>
    <w:rsid w:val="001549A7"/>
    <w:rsid w:val="00155034"/>
    <w:rsid w:val="00155460"/>
    <w:rsid w:val="00155BF4"/>
    <w:rsid w:val="00156590"/>
    <w:rsid w:val="00157D30"/>
    <w:rsid w:val="001656BB"/>
    <w:rsid w:val="00167C8A"/>
    <w:rsid w:val="00171759"/>
    <w:rsid w:val="001718B2"/>
    <w:rsid w:val="00173FDC"/>
    <w:rsid w:val="00177710"/>
    <w:rsid w:val="00180470"/>
    <w:rsid w:val="001810EC"/>
    <w:rsid w:val="00185261"/>
    <w:rsid w:val="00190736"/>
    <w:rsid w:val="001913D8"/>
    <w:rsid w:val="001921DF"/>
    <w:rsid w:val="0019487E"/>
    <w:rsid w:val="001951EC"/>
    <w:rsid w:val="001A1C59"/>
    <w:rsid w:val="001A206C"/>
    <w:rsid w:val="001A669F"/>
    <w:rsid w:val="001B180F"/>
    <w:rsid w:val="001B1DFA"/>
    <w:rsid w:val="001B26F4"/>
    <w:rsid w:val="001B7741"/>
    <w:rsid w:val="001C27C5"/>
    <w:rsid w:val="001C28F5"/>
    <w:rsid w:val="001C2996"/>
    <w:rsid w:val="001C32B8"/>
    <w:rsid w:val="001C3AFA"/>
    <w:rsid w:val="001C44EF"/>
    <w:rsid w:val="001C7004"/>
    <w:rsid w:val="001C75D8"/>
    <w:rsid w:val="001D13DD"/>
    <w:rsid w:val="001D24A5"/>
    <w:rsid w:val="001D2A85"/>
    <w:rsid w:val="001D2C8C"/>
    <w:rsid w:val="001D47FB"/>
    <w:rsid w:val="001D4FFA"/>
    <w:rsid w:val="001D5C9F"/>
    <w:rsid w:val="001D63D1"/>
    <w:rsid w:val="001D77D9"/>
    <w:rsid w:val="001E457C"/>
    <w:rsid w:val="001E6CA8"/>
    <w:rsid w:val="001F11FA"/>
    <w:rsid w:val="001F3C4C"/>
    <w:rsid w:val="001F49E3"/>
    <w:rsid w:val="001F5DF6"/>
    <w:rsid w:val="001F735A"/>
    <w:rsid w:val="0020293D"/>
    <w:rsid w:val="002030BA"/>
    <w:rsid w:val="00205154"/>
    <w:rsid w:val="00206760"/>
    <w:rsid w:val="00207512"/>
    <w:rsid w:val="0021159F"/>
    <w:rsid w:val="00212B19"/>
    <w:rsid w:val="00213283"/>
    <w:rsid w:val="00214CA1"/>
    <w:rsid w:val="00215359"/>
    <w:rsid w:val="00223382"/>
    <w:rsid w:val="00236247"/>
    <w:rsid w:val="0024044D"/>
    <w:rsid w:val="00242AD4"/>
    <w:rsid w:val="00243BAC"/>
    <w:rsid w:val="0024589C"/>
    <w:rsid w:val="00247BDC"/>
    <w:rsid w:val="00252638"/>
    <w:rsid w:val="00255AB6"/>
    <w:rsid w:val="00265693"/>
    <w:rsid w:val="00265FFD"/>
    <w:rsid w:val="0026665D"/>
    <w:rsid w:val="002667D6"/>
    <w:rsid w:val="00266D43"/>
    <w:rsid w:val="0026740B"/>
    <w:rsid w:val="00267F42"/>
    <w:rsid w:val="00270545"/>
    <w:rsid w:val="0027070E"/>
    <w:rsid w:val="0027168E"/>
    <w:rsid w:val="0027329E"/>
    <w:rsid w:val="00275202"/>
    <w:rsid w:val="00276310"/>
    <w:rsid w:val="00277B35"/>
    <w:rsid w:val="00280998"/>
    <w:rsid w:val="0028277E"/>
    <w:rsid w:val="00286676"/>
    <w:rsid w:val="00286BC8"/>
    <w:rsid w:val="002876AF"/>
    <w:rsid w:val="00290B0E"/>
    <w:rsid w:val="0029348E"/>
    <w:rsid w:val="002968BC"/>
    <w:rsid w:val="00296941"/>
    <w:rsid w:val="002A10E4"/>
    <w:rsid w:val="002A1AE9"/>
    <w:rsid w:val="002A5534"/>
    <w:rsid w:val="002A578B"/>
    <w:rsid w:val="002A7743"/>
    <w:rsid w:val="002B34D5"/>
    <w:rsid w:val="002B534C"/>
    <w:rsid w:val="002C0299"/>
    <w:rsid w:val="002C0ECA"/>
    <w:rsid w:val="002C1BB0"/>
    <w:rsid w:val="002C4660"/>
    <w:rsid w:val="002D0267"/>
    <w:rsid w:val="002D0482"/>
    <w:rsid w:val="002D08AA"/>
    <w:rsid w:val="002D2973"/>
    <w:rsid w:val="002D43CE"/>
    <w:rsid w:val="002D57BB"/>
    <w:rsid w:val="002E0221"/>
    <w:rsid w:val="002E14BE"/>
    <w:rsid w:val="002E4460"/>
    <w:rsid w:val="002E6284"/>
    <w:rsid w:val="002E650B"/>
    <w:rsid w:val="002E78B3"/>
    <w:rsid w:val="002F001A"/>
    <w:rsid w:val="002F3D9D"/>
    <w:rsid w:val="002F450A"/>
    <w:rsid w:val="002F4C84"/>
    <w:rsid w:val="002F54B1"/>
    <w:rsid w:val="002F693D"/>
    <w:rsid w:val="002F6CA4"/>
    <w:rsid w:val="00301462"/>
    <w:rsid w:val="00302CD8"/>
    <w:rsid w:val="00303414"/>
    <w:rsid w:val="00310622"/>
    <w:rsid w:val="0031298D"/>
    <w:rsid w:val="00317BA0"/>
    <w:rsid w:val="00317E3E"/>
    <w:rsid w:val="00324E8F"/>
    <w:rsid w:val="00332496"/>
    <w:rsid w:val="003326FB"/>
    <w:rsid w:val="00332DDD"/>
    <w:rsid w:val="0033536C"/>
    <w:rsid w:val="0033659E"/>
    <w:rsid w:val="00337945"/>
    <w:rsid w:val="00340015"/>
    <w:rsid w:val="0034047C"/>
    <w:rsid w:val="00342FAC"/>
    <w:rsid w:val="00344582"/>
    <w:rsid w:val="00346391"/>
    <w:rsid w:val="00350002"/>
    <w:rsid w:val="003515D1"/>
    <w:rsid w:val="00354360"/>
    <w:rsid w:val="0035535A"/>
    <w:rsid w:val="00355B86"/>
    <w:rsid w:val="0035718D"/>
    <w:rsid w:val="0035722E"/>
    <w:rsid w:val="003575F0"/>
    <w:rsid w:val="00361DD2"/>
    <w:rsid w:val="0036225A"/>
    <w:rsid w:val="003626C7"/>
    <w:rsid w:val="0036413E"/>
    <w:rsid w:val="003700A9"/>
    <w:rsid w:val="0037278B"/>
    <w:rsid w:val="003742DD"/>
    <w:rsid w:val="003763FF"/>
    <w:rsid w:val="00376B61"/>
    <w:rsid w:val="00386D67"/>
    <w:rsid w:val="00387808"/>
    <w:rsid w:val="00387BD5"/>
    <w:rsid w:val="003922FD"/>
    <w:rsid w:val="003939AC"/>
    <w:rsid w:val="003973C5"/>
    <w:rsid w:val="003A078D"/>
    <w:rsid w:val="003A326F"/>
    <w:rsid w:val="003A4E11"/>
    <w:rsid w:val="003A4F78"/>
    <w:rsid w:val="003B0189"/>
    <w:rsid w:val="003B02B8"/>
    <w:rsid w:val="003B0BEA"/>
    <w:rsid w:val="003B0CA4"/>
    <w:rsid w:val="003B2589"/>
    <w:rsid w:val="003B3356"/>
    <w:rsid w:val="003B4F2E"/>
    <w:rsid w:val="003B5675"/>
    <w:rsid w:val="003B7719"/>
    <w:rsid w:val="003C2BA2"/>
    <w:rsid w:val="003D0741"/>
    <w:rsid w:val="003D2991"/>
    <w:rsid w:val="003D4BFC"/>
    <w:rsid w:val="003D6A0F"/>
    <w:rsid w:val="003E1045"/>
    <w:rsid w:val="003E3728"/>
    <w:rsid w:val="003E44A3"/>
    <w:rsid w:val="003E5F02"/>
    <w:rsid w:val="003E62EE"/>
    <w:rsid w:val="003E63C9"/>
    <w:rsid w:val="003F0834"/>
    <w:rsid w:val="003F30AD"/>
    <w:rsid w:val="003F5EE6"/>
    <w:rsid w:val="003F75B6"/>
    <w:rsid w:val="003F78B6"/>
    <w:rsid w:val="004031F7"/>
    <w:rsid w:val="00410178"/>
    <w:rsid w:val="00410A77"/>
    <w:rsid w:val="0042114B"/>
    <w:rsid w:val="00423DED"/>
    <w:rsid w:val="0042651E"/>
    <w:rsid w:val="00433060"/>
    <w:rsid w:val="00435BFC"/>
    <w:rsid w:val="004363D2"/>
    <w:rsid w:val="00443F1D"/>
    <w:rsid w:val="00445C3F"/>
    <w:rsid w:val="00451310"/>
    <w:rsid w:val="00452DFC"/>
    <w:rsid w:val="004547DF"/>
    <w:rsid w:val="00460DB6"/>
    <w:rsid w:val="004619CF"/>
    <w:rsid w:val="00462599"/>
    <w:rsid w:val="0046745E"/>
    <w:rsid w:val="00471363"/>
    <w:rsid w:val="00472002"/>
    <w:rsid w:val="00475D3D"/>
    <w:rsid w:val="00480822"/>
    <w:rsid w:val="00481C77"/>
    <w:rsid w:val="00484F25"/>
    <w:rsid w:val="004851AB"/>
    <w:rsid w:val="00487309"/>
    <w:rsid w:val="004918FB"/>
    <w:rsid w:val="004933E8"/>
    <w:rsid w:val="00495285"/>
    <w:rsid w:val="004A1137"/>
    <w:rsid w:val="004A1325"/>
    <w:rsid w:val="004A189B"/>
    <w:rsid w:val="004A24A2"/>
    <w:rsid w:val="004A4A51"/>
    <w:rsid w:val="004A4E41"/>
    <w:rsid w:val="004A5CBE"/>
    <w:rsid w:val="004A6666"/>
    <w:rsid w:val="004B01A4"/>
    <w:rsid w:val="004B05DD"/>
    <w:rsid w:val="004B1CB9"/>
    <w:rsid w:val="004B2358"/>
    <w:rsid w:val="004B45F1"/>
    <w:rsid w:val="004C0219"/>
    <w:rsid w:val="004C1127"/>
    <w:rsid w:val="004C1919"/>
    <w:rsid w:val="004C2AE3"/>
    <w:rsid w:val="004C4746"/>
    <w:rsid w:val="004C57AE"/>
    <w:rsid w:val="004C58EC"/>
    <w:rsid w:val="004C732E"/>
    <w:rsid w:val="004D057A"/>
    <w:rsid w:val="004D1800"/>
    <w:rsid w:val="004D4EC9"/>
    <w:rsid w:val="004D6A12"/>
    <w:rsid w:val="004E12C7"/>
    <w:rsid w:val="004E189E"/>
    <w:rsid w:val="004E348D"/>
    <w:rsid w:val="004E3E7D"/>
    <w:rsid w:val="004E432D"/>
    <w:rsid w:val="004E49AF"/>
    <w:rsid w:val="004E5C21"/>
    <w:rsid w:val="004F242D"/>
    <w:rsid w:val="004F3B72"/>
    <w:rsid w:val="0050188B"/>
    <w:rsid w:val="005059EF"/>
    <w:rsid w:val="00510EC3"/>
    <w:rsid w:val="00511EE0"/>
    <w:rsid w:val="00514BAF"/>
    <w:rsid w:val="00515594"/>
    <w:rsid w:val="00516ACE"/>
    <w:rsid w:val="00516D23"/>
    <w:rsid w:val="00530F97"/>
    <w:rsid w:val="0053163A"/>
    <w:rsid w:val="005326E2"/>
    <w:rsid w:val="00532BA9"/>
    <w:rsid w:val="00534542"/>
    <w:rsid w:val="00534DAB"/>
    <w:rsid w:val="005420D3"/>
    <w:rsid w:val="00544365"/>
    <w:rsid w:val="00544BA0"/>
    <w:rsid w:val="00547927"/>
    <w:rsid w:val="00550235"/>
    <w:rsid w:val="00551063"/>
    <w:rsid w:val="00552DFF"/>
    <w:rsid w:val="00554FFD"/>
    <w:rsid w:val="0055597A"/>
    <w:rsid w:val="005574ED"/>
    <w:rsid w:val="0055759A"/>
    <w:rsid w:val="005602F8"/>
    <w:rsid w:val="00565104"/>
    <w:rsid w:val="00565224"/>
    <w:rsid w:val="00566C29"/>
    <w:rsid w:val="00566DC3"/>
    <w:rsid w:val="00567131"/>
    <w:rsid w:val="0056736C"/>
    <w:rsid w:val="00571C21"/>
    <w:rsid w:val="00572E78"/>
    <w:rsid w:val="00573F22"/>
    <w:rsid w:val="00576ED3"/>
    <w:rsid w:val="00577645"/>
    <w:rsid w:val="00577A2E"/>
    <w:rsid w:val="00583D1B"/>
    <w:rsid w:val="005856E5"/>
    <w:rsid w:val="005859F7"/>
    <w:rsid w:val="0058659C"/>
    <w:rsid w:val="005900D5"/>
    <w:rsid w:val="00590817"/>
    <w:rsid w:val="00590A73"/>
    <w:rsid w:val="005922DB"/>
    <w:rsid w:val="00593600"/>
    <w:rsid w:val="005938FD"/>
    <w:rsid w:val="00594478"/>
    <w:rsid w:val="005A12E1"/>
    <w:rsid w:val="005A14E4"/>
    <w:rsid w:val="005A640B"/>
    <w:rsid w:val="005B4445"/>
    <w:rsid w:val="005B57CE"/>
    <w:rsid w:val="005B59F4"/>
    <w:rsid w:val="005C0978"/>
    <w:rsid w:val="005C260D"/>
    <w:rsid w:val="005C3881"/>
    <w:rsid w:val="005C39CC"/>
    <w:rsid w:val="005D0332"/>
    <w:rsid w:val="005D07AB"/>
    <w:rsid w:val="005D247C"/>
    <w:rsid w:val="005D637D"/>
    <w:rsid w:val="005E3645"/>
    <w:rsid w:val="005E42A8"/>
    <w:rsid w:val="005E5A2B"/>
    <w:rsid w:val="005F004E"/>
    <w:rsid w:val="005F1285"/>
    <w:rsid w:val="005F38D1"/>
    <w:rsid w:val="005F6046"/>
    <w:rsid w:val="00603860"/>
    <w:rsid w:val="00604F21"/>
    <w:rsid w:val="0060704D"/>
    <w:rsid w:val="006074D3"/>
    <w:rsid w:val="006076E0"/>
    <w:rsid w:val="00607D37"/>
    <w:rsid w:val="00611242"/>
    <w:rsid w:val="00611744"/>
    <w:rsid w:val="00612A11"/>
    <w:rsid w:val="00612E9D"/>
    <w:rsid w:val="0061621F"/>
    <w:rsid w:val="0061645F"/>
    <w:rsid w:val="00621A1A"/>
    <w:rsid w:val="00630D78"/>
    <w:rsid w:val="006343C4"/>
    <w:rsid w:val="0063448B"/>
    <w:rsid w:val="00634F2F"/>
    <w:rsid w:val="00635481"/>
    <w:rsid w:val="0063579E"/>
    <w:rsid w:val="00635C12"/>
    <w:rsid w:val="006368A4"/>
    <w:rsid w:val="0063740F"/>
    <w:rsid w:val="00640A46"/>
    <w:rsid w:val="0064256C"/>
    <w:rsid w:val="006462BA"/>
    <w:rsid w:val="00647590"/>
    <w:rsid w:val="00650D08"/>
    <w:rsid w:val="00652E31"/>
    <w:rsid w:val="0065529B"/>
    <w:rsid w:val="00655C6D"/>
    <w:rsid w:val="00656E82"/>
    <w:rsid w:val="00662FE0"/>
    <w:rsid w:val="00673369"/>
    <w:rsid w:val="00674354"/>
    <w:rsid w:val="00676A80"/>
    <w:rsid w:val="00676C49"/>
    <w:rsid w:val="006800E6"/>
    <w:rsid w:val="00681681"/>
    <w:rsid w:val="00681981"/>
    <w:rsid w:val="00682AEC"/>
    <w:rsid w:val="00684DF6"/>
    <w:rsid w:val="00685001"/>
    <w:rsid w:val="00685BEA"/>
    <w:rsid w:val="0068644E"/>
    <w:rsid w:val="0069152D"/>
    <w:rsid w:val="00692C10"/>
    <w:rsid w:val="00693716"/>
    <w:rsid w:val="0069439D"/>
    <w:rsid w:val="006944FF"/>
    <w:rsid w:val="006948DC"/>
    <w:rsid w:val="0069572A"/>
    <w:rsid w:val="006A27C7"/>
    <w:rsid w:val="006A2BD7"/>
    <w:rsid w:val="006B0CB3"/>
    <w:rsid w:val="006B241A"/>
    <w:rsid w:val="006B5BE7"/>
    <w:rsid w:val="006B7F3E"/>
    <w:rsid w:val="006C0C53"/>
    <w:rsid w:val="006C1002"/>
    <w:rsid w:val="006C1938"/>
    <w:rsid w:val="006C26E3"/>
    <w:rsid w:val="006C2E70"/>
    <w:rsid w:val="006C3324"/>
    <w:rsid w:val="006C5230"/>
    <w:rsid w:val="006D76B9"/>
    <w:rsid w:val="006D7D0C"/>
    <w:rsid w:val="006D7EF3"/>
    <w:rsid w:val="006E0AE3"/>
    <w:rsid w:val="006E2921"/>
    <w:rsid w:val="006E2F06"/>
    <w:rsid w:val="006E3AEE"/>
    <w:rsid w:val="006E782A"/>
    <w:rsid w:val="006E7A8E"/>
    <w:rsid w:val="006F215A"/>
    <w:rsid w:val="006F25AC"/>
    <w:rsid w:val="006F295D"/>
    <w:rsid w:val="006F2A30"/>
    <w:rsid w:val="006F46CC"/>
    <w:rsid w:val="006F47F4"/>
    <w:rsid w:val="00702303"/>
    <w:rsid w:val="00702BA3"/>
    <w:rsid w:val="00703892"/>
    <w:rsid w:val="0070776E"/>
    <w:rsid w:val="00707FED"/>
    <w:rsid w:val="00713D11"/>
    <w:rsid w:val="007147FD"/>
    <w:rsid w:val="0071498A"/>
    <w:rsid w:val="007201AE"/>
    <w:rsid w:val="0072034F"/>
    <w:rsid w:val="00720586"/>
    <w:rsid w:val="00722408"/>
    <w:rsid w:val="00722776"/>
    <w:rsid w:val="007229D6"/>
    <w:rsid w:val="00723375"/>
    <w:rsid w:val="00723D54"/>
    <w:rsid w:val="00726690"/>
    <w:rsid w:val="00731492"/>
    <w:rsid w:val="00731C0E"/>
    <w:rsid w:val="00732C4E"/>
    <w:rsid w:val="00732E25"/>
    <w:rsid w:val="00733C82"/>
    <w:rsid w:val="007349FE"/>
    <w:rsid w:val="007360EE"/>
    <w:rsid w:val="00736B3B"/>
    <w:rsid w:val="007447D9"/>
    <w:rsid w:val="00744C5D"/>
    <w:rsid w:val="00754E92"/>
    <w:rsid w:val="00755320"/>
    <w:rsid w:val="007554DA"/>
    <w:rsid w:val="00757CA4"/>
    <w:rsid w:val="00757FA7"/>
    <w:rsid w:val="00760082"/>
    <w:rsid w:val="00760AB5"/>
    <w:rsid w:val="00762A95"/>
    <w:rsid w:val="007634FB"/>
    <w:rsid w:val="00764124"/>
    <w:rsid w:val="00765D26"/>
    <w:rsid w:val="00766E36"/>
    <w:rsid w:val="00775963"/>
    <w:rsid w:val="00777330"/>
    <w:rsid w:val="007808C6"/>
    <w:rsid w:val="00782F6B"/>
    <w:rsid w:val="007849B8"/>
    <w:rsid w:val="007878B5"/>
    <w:rsid w:val="00791648"/>
    <w:rsid w:val="00794D30"/>
    <w:rsid w:val="00795AD1"/>
    <w:rsid w:val="007964EB"/>
    <w:rsid w:val="00796931"/>
    <w:rsid w:val="00797550"/>
    <w:rsid w:val="00797D8D"/>
    <w:rsid w:val="007A0F08"/>
    <w:rsid w:val="007A26F4"/>
    <w:rsid w:val="007A2AE7"/>
    <w:rsid w:val="007A3B0B"/>
    <w:rsid w:val="007A5896"/>
    <w:rsid w:val="007A6BE5"/>
    <w:rsid w:val="007A7B08"/>
    <w:rsid w:val="007B22BB"/>
    <w:rsid w:val="007B3583"/>
    <w:rsid w:val="007B6AF6"/>
    <w:rsid w:val="007C112D"/>
    <w:rsid w:val="007C2D6A"/>
    <w:rsid w:val="007C4959"/>
    <w:rsid w:val="007C58BA"/>
    <w:rsid w:val="007D0EC3"/>
    <w:rsid w:val="007D213F"/>
    <w:rsid w:val="007D2E11"/>
    <w:rsid w:val="007D6C35"/>
    <w:rsid w:val="007D72CD"/>
    <w:rsid w:val="007D7ECB"/>
    <w:rsid w:val="007E0D83"/>
    <w:rsid w:val="007E0EAF"/>
    <w:rsid w:val="007E2F71"/>
    <w:rsid w:val="007E4DA0"/>
    <w:rsid w:val="007F0F32"/>
    <w:rsid w:val="007F4E20"/>
    <w:rsid w:val="007F5142"/>
    <w:rsid w:val="007F584B"/>
    <w:rsid w:val="007F5D5F"/>
    <w:rsid w:val="007F5F5A"/>
    <w:rsid w:val="007F6B5B"/>
    <w:rsid w:val="00806A9C"/>
    <w:rsid w:val="00806B5F"/>
    <w:rsid w:val="00810B3F"/>
    <w:rsid w:val="0082053D"/>
    <w:rsid w:val="008216A0"/>
    <w:rsid w:val="008227C1"/>
    <w:rsid w:val="0082318E"/>
    <w:rsid w:val="00826E98"/>
    <w:rsid w:val="00827C06"/>
    <w:rsid w:val="0083013B"/>
    <w:rsid w:val="00831E73"/>
    <w:rsid w:val="008322DC"/>
    <w:rsid w:val="00835C8A"/>
    <w:rsid w:val="008403F7"/>
    <w:rsid w:val="00841B6A"/>
    <w:rsid w:val="00843785"/>
    <w:rsid w:val="0084645A"/>
    <w:rsid w:val="00846987"/>
    <w:rsid w:val="00850358"/>
    <w:rsid w:val="00850724"/>
    <w:rsid w:val="00852DEF"/>
    <w:rsid w:val="00854D78"/>
    <w:rsid w:val="008572C1"/>
    <w:rsid w:val="00857A10"/>
    <w:rsid w:val="0086104A"/>
    <w:rsid w:val="008611A8"/>
    <w:rsid w:val="00861CC6"/>
    <w:rsid w:val="008639B3"/>
    <w:rsid w:val="00863BAF"/>
    <w:rsid w:val="00866ED6"/>
    <w:rsid w:val="0087376F"/>
    <w:rsid w:val="00874307"/>
    <w:rsid w:val="00876422"/>
    <w:rsid w:val="00876B68"/>
    <w:rsid w:val="00880704"/>
    <w:rsid w:val="0088197A"/>
    <w:rsid w:val="008824E2"/>
    <w:rsid w:val="00882995"/>
    <w:rsid w:val="00883D47"/>
    <w:rsid w:val="00895A3C"/>
    <w:rsid w:val="00895A87"/>
    <w:rsid w:val="00896E79"/>
    <w:rsid w:val="008A0363"/>
    <w:rsid w:val="008A0D74"/>
    <w:rsid w:val="008A5C67"/>
    <w:rsid w:val="008A6C0C"/>
    <w:rsid w:val="008A6FF2"/>
    <w:rsid w:val="008A7405"/>
    <w:rsid w:val="008A7448"/>
    <w:rsid w:val="008B2FD5"/>
    <w:rsid w:val="008C0B43"/>
    <w:rsid w:val="008C16D0"/>
    <w:rsid w:val="008C5E8D"/>
    <w:rsid w:val="008C6A11"/>
    <w:rsid w:val="008C6DE4"/>
    <w:rsid w:val="008C6EBE"/>
    <w:rsid w:val="008D262D"/>
    <w:rsid w:val="008D3B01"/>
    <w:rsid w:val="008D4C19"/>
    <w:rsid w:val="008D5344"/>
    <w:rsid w:val="008E261A"/>
    <w:rsid w:val="008E2DF5"/>
    <w:rsid w:val="008E33F1"/>
    <w:rsid w:val="008E5DD7"/>
    <w:rsid w:val="008E6B07"/>
    <w:rsid w:val="008E74E4"/>
    <w:rsid w:val="008F0CE1"/>
    <w:rsid w:val="008F6852"/>
    <w:rsid w:val="009006B8"/>
    <w:rsid w:val="00901821"/>
    <w:rsid w:val="00902468"/>
    <w:rsid w:val="00905177"/>
    <w:rsid w:val="00905EAF"/>
    <w:rsid w:val="009106CA"/>
    <w:rsid w:val="00911024"/>
    <w:rsid w:val="009110E5"/>
    <w:rsid w:val="00912AD8"/>
    <w:rsid w:val="009202A8"/>
    <w:rsid w:val="00920A83"/>
    <w:rsid w:val="009263C0"/>
    <w:rsid w:val="00933B33"/>
    <w:rsid w:val="009351F0"/>
    <w:rsid w:val="0093663C"/>
    <w:rsid w:val="00940F74"/>
    <w:rsid w:val="009418C0"/>
    <w:rsid w:val="00941DD0"/>
    <w:rsid w:val="00943312"/>
    <w:rsid w:val="009440FB"/>
    <w:rsid w:val="00950C0C"/>
    <w:rsid w:val="009606B7"/>
    <w:rsid w:val="009609F4"/>
    <w:rsid w:val="00961AD6"/>
    <w:rsid w:val="009620AB"/>
    <w:rsid w:val="0096285D"/>
    <w:rsid w:val="00963775"/>
    <w:rsid w:val="00964755"/>
    <w:rsid w:val="009650C3"/>
    <w:rsid w:val="00965EF0"/>
    <w:rsid w:val="0096758A"/>
    <w:rsid w:val="0097015B"/>
    <w:rsid w:val="00970240"/>
    <w:rsid w:val="00974093"/>
    <w:rsid w:val="0097608F"/>
    <w:rsid w:val="00976B13"/>
    <w:rsid w:val="0098131C"/>
    <w:rsid w:val="00982C50"/>
    <w:rsid w:val="009840A9"/>
    <w:rsid w:val="009870D5"/>
    <w:rsid w:val="00990BF9"/>
    <w:rsid w:val="00991073"/>
    <w:rsid w:val="0099308C"/>
    <w:rsid w:val="009977E1"/>
    <w:rsid w:val="009A0AD2"/>
    <w:rsid w:val="009A1127"/>
    <w:rsid w:val="009A3E1D"/>
    <w:rsid w:val="009A6CC5"/>
    <w:rsid w:val="009A702B"/>
    <w:rsid w:val="009B2DD5"/>
    <w:rsid w:val="009B42FC"/>
    <w:rsid w:val="009B5DBE"/>
    <w:rsid w:val="009B7E2B"/>
    <w:rsid w:val="009C1935"/>
    <w:rsid w:val="009C3498"/>
    <w:rsid w:val="009C34E7"/>
    <w:rsid w:val="009C46BA"/>
    <w:rsid w:val="009C5E6A"/>
    <w:rsid w:val="009C6223"/>
    <w:rsid w:val="009D1BAC"/>
    <w:rsid w:val="009D1CF2"/>
    <w:rsid w:val="009D64AB"/>
    <w:rsid w:val="009D71F9"/>
    <w:rsid w:val="009E00C0"/>
    <w:rsid w:val="009E03F7"/>
    <w:rsid w:val="009E2FFB"/>
    <w:rsid w:val="009E5F8D"/>
    <w:rsid w:val="009F08FE"/>
    <w:rsid w:val="009F6234"/>
    <w:rsid w:val="009F71BD"/>
    <w:rsid w:val="009F7239"/>
    <w:rsid w:val="00A009C9"/>
    <w:rsid w:val="00A021B7"/>
    <w:rsid w:val="00A046C8"/>
    <w:rsid w:val="00A0524B"/>
    <w:rsid w:val="00A05B98"/>
    <w:rsid w:val="00A07BF9"/>
    <w:rsid w:val="00A107CA"/>
    <w:rsid w:val="00A12453"/>
    <w:rsid w:val="00A17943"/>
    <w:rsid w:val="00A23C37"/>
    <w:rsid w:val="00A26E82"/>
    <w:rsid w:val="00A30752"/>
    <w:rsid w:val="00A30A85"/>
    <w:rsid w:val="00A317E6"/>
    <w:rsid w:val="00A31EF9"/>
    <w:rsid w:val="00A33717"/>
    <w:rsid w:val="00A34B3F"/>
    <w:rsid w:val="00A35533"/>
    <w:rsid w:val="00A35A4F"/>
    <w:rsid w:val="00A40151"/>
    <w:rsid w:val="00A4170F"/>
    <w:rsid w:val="00A421C7"/>
    <w:rsid w:val="00A44C6E"/>
    <w:rsid w:val="00A4659D"/>
    <w:rsid w:val="00A52FEC"/>
    <w:rsid w:val="00A535A1"/>
    <w:rsid w:val="00A63E85"/>
    <w:rsid w:val="00A75DC0"/>
    <w:rsid w:val="00A76228"/>
    <w:rsid w:val="00A774A9"/>
    <w:rsid w:val="00A80DE2"/>
    <w:rsid w:val="00A8163A"/>
    <w:rsid w:val="00A81AEC"/>
    <w:rsid w:val="00A8603E"/>
    <w:rsid w:val="00A8604C"/>
    <w:rsid w:val="00A96916"/>
    <w:rsid w:val="00AA3E4B"/>
    <w:rsid w:val="00AA502F"/>
    <w:rsid w:val="00AA5607"/>
    <w:rsid w:val="00AA689B"/>
    <w:rsid w:val="00AB37FD"/>
    <w:rsid w:val="00AC0916"/>
    <w:rsid w:val="00AC437A"/>
    <w:rsid w:val="00AC508D"/>
    <w:rsid w:val="00AC61D4"/>
    <w:rsid w:val="00AD026F"/>
    <w:rsid w:val="00AD31A3"/>
    <w:rsid w:val="00AD5102"/>
    <w:rsid w:val="00AD5F7C"/>
    <w:rsid w:val="00AD64FA"/>
    <w:rsid w:val="00AD777D"/>
    <w:rsid w:val="00AE305A"/>
    <w:rsid w:val="00AE3C4A"/>
    <w:rsid w:val="00AE49B7"/>
    <w:rsid w:val="00AE4C2D"/>
    <w:rsid w:val="00AE76A3"/>
    <w:rsid w:val="00AF3BDD"/>
    <w:rsid w:val="00AF64E7"/>
    <w:rsid w:val="00AF6BEE"/>
    <w:rsid w:val="00AF72BF"/>
    <w:rsid w:val="00AF7538"/>
    <w:rsid w:val="00B02E35"/>
    <w:rsid w:val="00B03576"/>
    <w:rsid w:val="00B0472C"/>
    <w:rsid w:val="00B04DE9"/>
    <w:rsid w:val="00B06C67"/>
    <w:rsid w:val="00B102D9"/>
    <w:rsid w:val="00B12463"/>
    <w:rsid w:val="00B1779B"/>
    <w:rsid w:val="00B21434"/>
    <w:rsid w:val="00B2170E"/>
    <w:rsid w:val="00B23BF2"/>
    <w:rsid w:val="00B261A5"/>
    <w:rsid w:val="00B27A0E"/>
    <w:rsid w:val="00B32898"/>
    <w:rsid w:val="00B32C23"/>
    <w:rsid w:val="00B3303F"/>
    <w:rsid w:val="00B33D7B"/>
    <w:rsid w:val="00B360D5"/>
    <w:rsid w:val="00B3666A"/>
    <w:rsid w:val="00B37582"/>
    <w:rsid w:val="00B37773"/>
    <w:rsid w:val="00B40410"/>
    <w:rsid w:val="00B411FE"/>
    <w:rsid w:val="00B41384"/>
    <w:rsid w:val="00B4156C"/>
    <w:rsid w:val="00B42200"/>
    <w:rsid w:val="00B46C7E"/>
    <w:rsid w:val="00B46DCB"/>
    <w:rsid w:val="00B52FCF"/>
    <w:rsid w:val="00B54AF7"/>
    <w:rsid w:val="00B56625"/>
    <w:rsid w:val="00B6033B"/>
    <w:rsid w:val="00B6449A"/>
    <w:rsid w:val="00B725B6"/>
    <w:rsid w:val="00B80E59"/>
    <w:rsid w:val="00B82E76"/>
    <w:rsid w:val="00B869F1"/>
    <w:rsid w:val="00B9298A"/>
    <w:rsid w:val="00B95265"/>
    <w:rsid w:val="00BA301A"/>
    <w:rsid w:val="00BA4BD0"/>
    <w:rsid w:val="00BA5A83"/>
    <w:rsid w:val="00BA5D9A"/>
    <w:rsid w:val="00BA6799"/>
    <w:rsid w:val="00BA7C61"/>
    <w:rsid w:val="00BB18CD"/>
    <w:rsid w:val="00BB26AB"/>
    <w:rsid w:val="00BB72E3"/>
    <w:rsid w:val="00BC010E"/>
    <w:rsid w:val="00BC04A2"/>
    <w:rsid w:val="00BC2201"/>
    <w:rsid w:val="00BC4175"/>
    <w:rsid w:val="00BC44F4"/>
    <w:rsid w:val="00BC4520"/>
    <w:rsid w:val="00BD2635"/>
    <w:rsid w:val="00BD2E8F"/>
    <w:rsid w:val="00BD38F4"/>
    <w:rsid w:val="00BD3EBD"/>
    <w:rsid w:val="00BD5242"/>
    <w:rsid w:val="00BD6C4E"/>
    <w:rsid w:val="00BD7E2F"/>
    <w:rsid w:val="00BE0618"/>
    <w:rsid w:val="00BE0DE2"/>
    <w:rsid w:val="00BE0E03"/>
    <w:rsid w:val="00BE2EDA"/>
    <w:rsid w:val="00BE396E"/>
    <w:rsid w:val="00BE3E52"/>
    <w:rsid w:val="00BE69AC"/>
    <w:rsid w:val="00BE6D24"/>
    <w:rsid w:val="00BF0479"/>
    <w:rsid w:val="00BF0DFE"/>
    <w:rsid w:val="00BF3109"/>
    <w:rsid w:val="00BF4914"/>
    <w:rsid w:val="00BF4B2D"/>
    <w:rsid w:val="00BF53A6"/>
    <w:rsid w:val="00C0013C"/>
    <w:rsid w:val="00C01601"/>
    <w:rsid w:val="00C04587"/>
    <w:rsid w:val="00C05EDF"/>
    <w:rsid w:val="00C12D21"/>
    <w:rsid w:val="00C13B47"/>
    <w:rsid w:val="00C15FD0"/>
    <w:rsid w:val="00C164BD"/>
    <w:rsid w:val="00C1782D"/>
    <w:rsid w:val="00C20B8A"/>
    <w:rsid w:val="00C20BEE"/>
    <w:rsid w:val="00C33883"/>
    <w:rsid w:val="00C34180"/>
    <w:rsid w:val="00C35F7C"/>
    <w:rsid w:val="00C3663D"/>
    <w:rsid w:val="00C406E5"/>
    <w:rsid w:val="00C41B39"/>
    <w:rsid w:val="00C45D90"/>
    <w:rsid w:val="00C47106"/>
    <w:rsid w:val="00C50B10"/>
    <w:rsid w:val="00C55706"/>
    <w:rsid w:val="00C55877"/>
    <w:rsid w:val="00C57DCA"/>
    <w:rsid w:val="00C614AF"/>
    <w:rsid w:val="00C628F6"/>
    <w:rsid w:val="00C62E77"/>
    <w:rsid w:val="00C6640C"/>
    <w:rsid w:val="00C66A16"/>
    <w:rsid w:val="00C67123"/>
    <w:rsid w:val="00C703C1"/>
    <w:rsid w:val="00C70B0F"/>
    <w:rsid w:val="00C7583B"/>
    <w:rsid w:val="00C76421"/>
    <w:rsid w:val="00C804F1"/>
    <w:rsid w:val="00C808E5"/>
    <w:rsid w:val="00C8090B"/>
    <w:rsid w:val="00C818AE"/>
    <w:rsid w:val="00C818F7"/>
    <w:rsid w:val="00C81A5D"/>
    <w:rsid w:val="00C82385"/>
    <w:rsid w:val="00C841A3"/>
    <w:rsid w:val="00C844ED"/>
    <w:rsid w:val="00C84EFB"/>
    <w:rsid w:val="00C8670F"/>
    <w:rsid w:val="00C87F5D"/>
    <w:rsid w:val="00C90108"/>
    <w:rsid w:val="00C90EB4"/>
    <w:rsid w:val="00C93FC9"/>
    <w:rsid w:val="00C947C9"/>
    <w:rsid w:val="00CA198D"/>
    <w:rsid w:val="00CA38D6"/>
    <w:rsid w:val="00CB1778"/>
    <w:rsid w:val="00CB63B7"/>
    <w:rsid w:val="00CB6A28"/>
    <w:rsid w:val="00CB7C8F"/>
    <w:rsid w:val="00CB7E7D"/>
    <w:rsid w:val="00CC038A"/>
    <w:rsid w:val="00CC23B0"/>
    <w:rsid w:val="00CC2A1B"/>
    <w:rsid w:val="00CC2C7F"/>
    <w:rsid w:val="00CC2FCC"/>
    <w:rsid w:val="00CC3FBC"/>
    <w:rsid w:val="00CC47B9"/>
    <w:rsid w:val="00CD0C6A"/>
    <w:rsid w:val="00CD3AA4"/>
    <w:rsid w:val="00CD427A"/>
    <w:rsid w:val="00CD5843"/>
    <w:rsid w:val="00CD712E"/>
    <w:rsid w:val="00CD799B"/>
    <w:rsid w:val="00CD7AAF"/>
    <w:rsid w:val="00CE0391"/>
    <w:rsid w:val="00CE5FC6"/>
    <w:rsid w:val="00CE73D8"/>
    <w:rsid w:val="00CE7AB7"/>
    <w:rsid w:val="00CF305A"/>
    <w:rsid w:val="00CF4C2C"/>
    <w:rsid w:val="00CF4D4C"/>
    <w:rsid w:val="00CF7506"/>
    <w:rsid w:val="00CF7EE1"/>
    <w:rsid w:val="00D00196"/>
    <w:rsid w:val="00D06476"/>
    <w:rsid w:val="00D101D8"/>
    <w:rsid w:val="00D10820"/>
    <w:rsid w:val="00D118AD"/>
    <w:rsid w:val="00D15284"/>
    <w:rsid w:val="00D15E0F"/>
    <w:rsid w:val="00D200FA"/>
    <w:rsid w:val="00D203E2"/>
    <w:rsid w:val="00D220D2"/>
    <w:rsid w:val="00D22AAB"/>
    <w:rsid w:val="00D236DA"/>
    <w:rsid w:val="00D262F1"/>
    <w:rsid w:val="00D26AFA"/>
    <w:rsid w:val="00D27712"/>
    <w:rsid w:val="00D27B27"/>
    <w:rsid w:val="00D30E9C"/>
    <w:rsid w:val="00D31540"/>
    <w:rsid w:val="00D322A3"/>
    <w:rsid w:val="00D34DD4"/>
    <w:rsid w:val="00D4016E"/>
    <w:rsid w:val="00D417B4"/>
    <w:rsid w:val="00D457A5"/>
    <w:rsid w:val="00D4755A"/>
    <w:rsid w:val="00D47A2C"/>
    <w:rsid w:val="00D47BC1"/>
    <w:rsid w:val="00D52016"/>
    <w:rsid w:val="00D52C9A"/>
    <w:rsid w:val="00D54E15"/>
    <w:rsid w:val="00D55D87"/>
    <w:rsid w:val="00D55F83"/>
    <w:rsid w:val="00D57CC9"/>
    <w:rsid w:val="00D600D9"/>
    <w:rsid w:val="00D701CC"/>
    <w:rsid w:val="00D70C50"/>
    <w:rsid w:val="00D70CE6"/>
    <w:rsid w:val="00D769FB"/>
    <w:rsid w:val="00D80780"/>
    <w:rsid w:val="00D82A96"/>
    <w:rsid w:val="00D82DA4"/>
    <w:rsid w:val="00D86AFE"/>
    <w:rsid w:val="00D93418"/>
    <w:rsid w:val="00D949DF"/>
    <w:rsid w:val="00D95641"/>
    <w:rsid w:val="00D972A7"/>
    <w:rsid w:val="00DA06E0"/>
    <w:rsid w:val="00DA0A46"/>
    <w:rsid w:val="00DA2F53"/>
    <w:rsid w:val="00DB1E71"/>
    <w:rsid w:val="00DB30B5"/>
    <w:rsid w:val="00DB4A4B"/>
    <w:rsid w:val="00DB4D6D"/>
    <w:rsid w:val="00DB6BE7"/>
    <w:rsid w:val="00DC0CD7"/>
    <w:rsid w:val="00DC0E3C"/>
    <w:rsid w:val="00DC2154"/>
    <w:rsid w:val="00DC37F7"/>
    <w:rsid w:val="00DC3D3E"/>
    <w:rsid w:val="00DC3FEE"/>
    <w:rsid w:val="00DC3FFD"/>
    <w:rsid w:val="00DC767F"/>
    <w:rsid w:val="00DC786C"/>
    <w:rsid w:val="00DD0AF1"/>
    <w:rsid w:val="00DD2375"/>
    <w:rsid w:val="00DD30D1"/>
    <w:rsid w:val="00DD311A"/>
    <w:rsid w:val="00DD3520"/>
    <w:rsid w:val="00DE1748"/>
    <w:rsid w:val="00DE24DD"/>
    <w:rsid w:val="00DE552A"/>
    <w:rsid w:val="00DE5D75"/>
    <w:rsid w:val="00DE7529"/>
    <w:rsid w:val="00DF6F6E"/>
    <w:rsid w:val="00E009E0"/>
    <w:rsid w:val="00E02561"/>
    <w:rsid w:val="00E031DE"/>
    <w:rsid w:val="00E05591"/>
    <w:rsid w:val="00E06462"/>
    <w:rsid w:val="00E1061B"/>
    <w:rsid w:val="00E11D76"/>
    <w:rsid w:val="00E13B17"/>
    <w:rsid w:val="00E151AC"/>
    <w:rsid w:val="00E16CCC"/>
    <w:rsid w:val="00E20C90"/>
    <w:rsid w:val="00E20F69"/>
    <w:rsid w:val="00E2138A"/>
    <w:rsid w:val="00E26B83"/>
    <w:rsid w:val="00E276F2"/>
    <w:rsid w:val="00E319F3"/>
    <w:rsid w:val="00E31F56"/>
    <w:rsid w:val="00E3649A"/>
    <w:rsid w:val="00E36F6B"/>
    <w:rsid w:val="00E37682"/>
    <w:rsid w:val="00E4121D"/>
    <w:rsid w:val="00E46F1D"/>
    <w:rsid w:val="00E51308"/>
    <w:rsid w:val="00E521B1"/>
    <w:rsid w:val="00E56CF4"/>
    <w:rsid w:val="00E57B85"/>
    <w:rsid w:val="00E60444"/>
    <w:rsid w:val="00E62F27"/>
    <w:rsid w:val="00E6618C"/>
    <w:rsid w:val="00E713BF"/>
    <w:rsid w:val="00E72AA6"/>
    <w:rsid w:val="00E738DA"/>
    <w:rsid w:val="00E7422C"/>
    <w:rsid w:val="00E74504"/>
    <w:rsid w:val="00E7560F"/>
    <w:rsid w:val="00E76D52"/>
    <w:rsid w:val="00E77A7D"/>
    <w:rsid w:val="00E812C6"/>
    <w:rsid w:val="00E83699"/>
    <w:rsid w:val="00E83D9E"/>
    <w:rsid w:val="00E846B1"/>
    <w:rsid w:val="00E84F98"/>
    <w:rsid w:val="00E86B3D"/>
    <w:rsid w:val="00E876F1"/>
    <w:rsid w:val="00E90727"/>
    <w:rsid w:val="00E924FD"/>
    <w:rsid w:val="00E936DA"/>
    <w:rsid w:val="00E95BDF"/>
    <w:rsid w:val="00E964F0"/>
    <w:rsid w:val="00E97375"/>
    <w:rsid w:val="00EA3CBC"/>
    <w:rsid w:val="00EA5852"/>
    <w:rsid w:val="00EA625B"/>
    <w:rsid w:val="00EB0344"/>
    <w:rsid w:val="00EB2A38"/>
    <w:rsid w:val="00EB5CBC"/>
    <w:rsid w:val="00EC1ED6"/>
    <w:rsid w:val="00EC242B"/>
    <w:rsid w:val="00ED097E"/>
    <w:rsid w:val="00ED216F"/>
    <w:rsid w:val="00ED3444"/>
    <w:rsid w:val="00ED4E80"/>
    <w:rsid w:val="00ED7924"/>
    <w:rsid w:val="00EE0CB6"/>
    <w:rsid w:val="00EE21C4"/>
    <w:rsid w:val="00EE2D09"/>
    <w:rsid w:val="00EF13E4"/>
    <w:rsid w:val="00EF17DC"/>
    <w:rsid w:val="00EF299B"/>
    <w:rsid w:val="00EF3110"/>
    <w:rsid w:val="00EF48D4"/>
    <w:rsid w:val="00F04CD6"/>
    <w:rsid w:val="00F04F02"/>
    <w:rsid w:val="00F061E2"/>
    <w:rsid w:val="00F10775"/>
    <w:rsid w:val="00F16E5D"/>
    <w:rsid w:val="00F20832"/>
    <w:rsid w:val="00F2152F"/>
    <w:rsid w:val="00F2353D"/>
    <w:rsid w:val="00F23ED5"/>
    <w:rsid w:val="00F24A43"/>
    <w:rsid w:val="00F25A15"/>
    <w:rsid w:val="00F26B2A"/>
    <w:rsid w:val="00F300A2"/>
    <w:rsid w:val="00F31736"/>
    <w:rsid w:val="00F326F1"/>
    <w:rsid w:val="00F33807"/>
    <w:rsid w:val="00F35702"/>
    <w:rsid w:val="00F40C93"/>
    <w:rsid w:val="00F41C7E"/>
    <w:rsid w:val="00F440A0"/>
    <w:rsid w:val="00F45218"/>
    <w:rsid w:val="00F51347"/>
    <w:rsid w:val="00F514CB"/>
    <w:rsid w:val="00F51E0F"/>
    <w:rsid w:val="00F52E1D"/>
    <w:rsid w:val="00F530A0"/>
    <w:rsid w:val="00F53378"/>
    <w:rsid w:val="00F53B4B"/>
    <w:rsid w:val="00F60AAE"/>
    <w:rsid w:val="00F60BB4"/>
    <w:rsid w:val="00F61E84"/>
    <w:rsid w:val="00F62344"/>
    <w:rsid w:val="00F64B99"/>
    <w:rsid w:val="00F64E1A"/>
    <w:rsid w:val="00F70784"/>
    <w:rsid w:val="00F7141A"/>
    <w:rsid w:val="00F71E14"/>
    <w:rsid w:val="00F7360A"/>
    <w:rsid w:val="00F7484F"/>
    <w:rsid w:val="00F74B9A"/>
    <w:rsid w:val="00F770DB"/>
    <w:rsid w:val="00F8174C"/>
    <w:rsid w:val="00F836F4"/>
    <w:rsid w:val="00F86B1E"/>
    <w:rsid w:val="00F91EA3"/>
    <w:rsid w:val="00F929BF"/>
    <w:rsid w:val="00F972E7"/>
    <w:rsid w:val="00FA07CF"/>
    <w:rsid w:val="00FA0BA5"/>
    <w:rsid w:val="00FA1582"/>
    <w:rsid w:val="00FA17F0"/>
    <w:rsid w:val="00FA36DD"/>
    <w:rsid w:val="00FA5A8F"/>
    <w:rsid w:val="00FA6C86"/>
    <w:rsid w:val="00FA7A3F"/>
    <w:rsid w:val="00FB1A74"/>
    <w:rsid w:val="00FB54E8"/>
    <w:rsid w:val="00FB55A6"/>
    <w:rsid w:val="00FB6628"/>
    <w:rsid w:val="00FB6918"/>
    <w:rsid w:val="00FB7083"/>
    <w:rsid w:val="00FC055B"/>
    <w:rsid w:val="00FC13AA"/>
    <w:rsid w:val="00FC2897"/>
    <w:rsid w:val="00FC2A34"/>
    <w:rsid w:val="00FC5AFA"/>
    <w:rsid w:val="00FC631E"/>
    <w:rsid w:val="00FD5F68"/>
    <w:rsid w:val="00FD60FF"/>
    <w:rsid w:val="00FD71B0"/>
    <w:rsid w:val="00FE1A4B"/>
    <w:rsid w:val="00FE5F2A"/>
    <w:rsid w:val="00FF15B7"/>
    <w:rsid w:val="00FF2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
    <w:qFormat/>
    <w:rsid w:val="00AF64E7"/>
    <w:pPr>
      <w:keepNext/>
      <w:keepLines/>
      <w:outlineLvl w:val="0"/>
    </w:pPr>
    <w:rPr>
      <w:rFonts w:eastAsiaTheme="majorEastAsia" w:cstheme="majorBidi"/>
      <w:b/>
      <w:bCs/>
      <w:szCs w:val="28"/>
    </w:rPr>
  </w:style>
  <w:style w:type="paragraph" w:styleId="Heading2">
    <w:name w:val="heading 2"/>
    <w:basedOn w:val="Normal"/>
    <w:link w:val="Heading2Char"/>
    <w:uiPriority w:val="9"/>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iPriority w:val="9"/>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5623"/>
    <w:rPr>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aliases w:val="Summary box,Table Gridbeth"/>
    <w:basedOn w:val="TableNormal"/>
    <w:uiPriority w:val="59"/>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451310"/>
    <w:rPr>
      <w:rFonts w:eastAsiaTheme="majorEastAsia" w:cstheme="majorBidi"/>
      <w:bCs/>
      <w:i/>
      <w:szCs w:val="26"/>
      <w:lang w:eastAsia="en-AU"/>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AF7538"/>
    <w:pPr>
      <w:widowControl w:val="0"/>
      <w:spacing w:before="60" w:after="120"/>
      <w:contextualSpacing/>
    </w:pPr>
    <w:rPr>
      <w:rFonts w:ascii="Arial Narrow" w:hAnsi="Arial Narrow" w:cs="Arial"/>
      <w:snapToGrid w:val="0"/>
      <w:sz w:val="20"/>
      <w:lang w:eastAsia="en-US"/>
    </w:rPr>
  </w:style>
  <w:style w:type="character" w:customStyle="1" w:styleId="TablenotesChar">
    <w:name w:val="Tablenotes Char"/>
    <w:basedOn w:val="DefaultParagraphFont"/>
    <w:link w:val="Tablenotes"/>
    <w:rsid w:val="00AF7538"/>
    <w:rPr>
      <w:rFonts w:ascii="Arial Narrow" w:eastAsia="Times New Roman" w:hAnsi="Arial Narrow" w:cs="Arial"/>
      <w:snapToGrid w:val="0"/>
      <w:sz w:val="20"/>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roadway" w:hAnsi="Broadway"/>
        <w:b w:val="0"/>
        <w:sz w:val="20"/>
      </w:rPr>
    </w:tblStylePr>
  </w:style>
  <w:style w:type="character" w:customStyle="1" w:styleId="Heading1Char">
    <w:name w:val="Heading 1 Char"/>
    <w:basedOn w:val="DefaultParagraphFont"/>
    <w:link w:val="Heading1"/>
    <w:uiPriority w:val="9"/>
    <w:rsid w:val="00AF64E7"/>
    <w:rPr>
      <w:rFonts w:eastAsiaTheme="majorEastAsia" w:cstheme="majorBidi"/>
      <w:b/>
      <w:bCs/>
      <w:szCs w:val="28"/>
      <w:lang w:eastAsia="en-AU"/>
    </w:rPr>
  </w:style>
  <w:style w:type="character" w:customStyle="1" w:styleId="Heading3Char">
    <w:name w:val="Heading 3 Char"/>
    <w:basedOn w:val="DefaultParagraphFont"/>
    <w:link w:val="Heading3"/>
    <w:uiPriority w:val="9"/>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
    <w:link w:val="ListParagraph"/>
    <w:uiPriority w:val="34"/>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77D9"/>
    <w:rPr>
      <w:szCs w:val="24"/>
    </w:rPr>
  </w:style>
  <w:style w:type="paragraph" w:customStyle="1" w:styleId="Figurenote">
    <w:name w:val="Figure note"/>
    <w:basedOn w:val="Normal"/>
    <w:qFormat/>
    <w:rsid w:val="00765D26"/>
    <w:pPr>
      <w:keepLines/>
      <w:autoSpaceDE w:val="0"/>
      <w:autoSpaceDN w:val="0"/>
      <w:adjustRightInd w:val="0"/>
      <w:spacing w:before="60" w:after="60" w:line="180" w:lineRule="exact"/>
    </w:pPr>
    <w:rPr>
      <w:rFonts w:ascii="Arial" w:eastAsiaTheme="minorEastAsia" w:hAnsi="Arial" w:cs="Arial"/>
      <w:color w:val="505759"/>
      <w:sz w:val="14"/>
      <w:szCs w:val="16"/>
      <w:lang w:val="en-US" w:eastAsia="en-US"/>
    </w:rPr>
  </w:style>
  <w:style w:type="paragraph" w:customStyle="1" w:styleId="Comment">
    <w:name w:val="Comment"/>
    <w:basedOn w:val="Normal"/>
    <w:link w:val="CommentChar"/>
    <w:qFormat/>
    <w:rsid w:val="00E72AA6"/>
    <w:pPr>
      <w:tabs>
        <w:tab w:val="num" w:pos="720"/>
      </w:tabs>
      <w:spacing w:before="240" w:after="240" w:line="312" w:lineRule="auto"/>
      <w:jc w:val="both"/>
    </w:pPr>
    <w:rPr>
      <w:rFonts w:ascii="Calibri" w:hAnsi="Calibri" w:cs="Tahoma"/>
      <w:i/>
      <w:sz w:val="22"/>
      <w:szCs w:val="22"/>
    </w:rPr>
  </w:style>
  <w:style w:type="character" w:customStyle="1" w:styleId="CommentChar">
    <w:name w:val="Comment Char"/>
    <w:basedOn w:val="DefaultParagraphFont"/>
    <w:link w:val="Comment"/>
    <w:rsid w:val="00E72AA6"/>
    <w:rPr>
      <w:rFonts w:ascii="Calibri" w:eastAsia="Times New Roman" w:hAnsi="Calibri" w:cs="Tahoma"/>
      <w:i/>
      <w:sz w:val="22"/>
      <w:lang w:eastAsia="en-AU"/>
    </w:rPr>
  </w:style>
  <w:style w:type="table" w:customStyle="1" w:styleId="TableGrid1">
    <w:name w:val="Table Grid1"/>
    <w:basedOn w:val="TableNormal"/>
    <w:next w:val="TableGrid"/>
    <w:rsid w:val="00726690"/>
    <w:pPr>
      <w:spacing w:after="0" w:line="240" w:lineRule="auto"/>
    </w:pPr>
    <w:rPr>
      <w:rFonts w:eastAsia="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6076E0"/>
    <w:pPr>
      <w:spacing w:after="0" w:line="240" w:lineRule="auto"/>
    </w:pPr>
    <w:rPr>
      <w:rFonts w:ascii="Calibri" w:eastAsia="Calibri" w:hAnsi="Calibri" w:cs="Times New Roman"/>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551063"/>
    <w:pPr>
      <w:spacing w:after="0" w:line="240" w:lineRule="auto"/>
    </w:pPr>
    <w:rPr>
      <w:rFonts w:ascii="Calibri" w:eastAsia="Calibri" w:hAnsi="Calibri" w:cs="Times New Roman"/>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77645"/>
    <w:pPr>
      <w:spacing w:before="240" w:line="312" w:lineRule="auto"/>
    </w:pPr>
    <w:rPr>
      <w:rFonts w:ascii="Helv" w:hAnsi="Helv" w:cs="Tahoma"/>
      <w:b/>
      <w:i/>
      <w:snapToGrid w:val="0"/>
      <w:color w:val="000000"/>
      <w:sz w:val="28"/>
      <w:szCs w:val="22"/>
      <w:lang w:eastAsia="en-US"/>
    </w:rPr>
  </w:style>
  <w:style w:type="character" w:customStyle="1" w:styleId="BodyTextChar">
    <w:name w:val="Body Text Char"/>
    <w:basedOn w:val="DefaultParagraphFont"/>
    <w:link w:val="BodyText"/>
    <w:rsid w:val="00577645"/>
    <w:rPr>
      <w:rFonts w:ascii="Helv" w:eastAsia="Times New Roman" w:hAnsi="Helv" w:cs="Tahoma"/>
      <w:b/>
      <w:i/>
      <w:snapToGrid w:val="0"/>
      <w:color w:val="000000"/>
      <w:sz w:val="28"/>
    </w:rPr>
  </w:style>
  <w:style w:type="table" w:customStyle="1" w:styleId="MSACTable">
    <w:name w:val="MSAC Table"/>
    <w:basedOn w:val="TableNormal"/>
    <w:uiPriority w:val="99"/>
    <w:rsid w:val="00116629"/>
    <w:pPr>
      <w:spacing w:after="0" w:line="240" w:lineRule="auto"/>
      <w:jc w:val="center"/>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Brush Script MT" w:hAnsi="Brush Script MT"/>
        <w:b/>
        <w:sz w:val="20"/>
      </w:rPr>
      <w:tblPr/>
      <w:trPr>
        <w:cantSplit/>
        <w:tblHeader/>
      </w:trPr>
    </w:tblStylePr>
    <w:tblStylePr w:type="firstCol">
      <w:pPr>
        <w:wordWrap/>
        <w:spacing w:beforeLines="0" w:before="40" w:beforeAutospacing="0" w:afterLines="0" w:after="40" w:afterAutospacing="0" w:line="240" w:lineRule="auto"/>
        <w:ind w:leftChars="0" w:left="0" w:rightChars="0" w:right="0" w:firstLineChars="0" w:firstLine="0"/>
        <w:jc w:val="left"/>
      </w:pPr>
      <w:rPr>
        <w:rFonts w:ascii="Brush Script MT" w:hAnsi="Brush Script MT"/>
        <w:sz w:val="20"/>
      </w:rPr>
    </w:tblStylePr>
  </w:style>
  <w:style w:type="character" w:customStyle="1" w:styleId="UnresolvedMention1">
    <w:name w:val="Unresolved Mention1"/>
    <w:basedOn w:val="DefaultParagraphFont"/>
    <w:uiPriority w:val="99"/>
    <w:semiHidden/>
    <w:unhideWhenUsed/>
    <w:rsid w:val="008C6A11"/>
    <w:rPr>
      <w:color w:val="605E5C"/>
      <w:shd w:val="clear" w:color="auto" w:fill="E1DFDD"/>
    </w:rPr>
  </w:style>
  <w:style w:type="table" w:customStyle="1" w:styleId="TableGrid414">
    <w:name w:val="Table Grid414"/>
    <w:basedOn w:val="TableNormal"/>
    <w:next w:val="TableGrid"/>
    <w:uiPriority w:val="39"/>
    <w:rsid w:val="00FF218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rsid w:val="006E2921"/>
    <w:pPr>
      <w:keepNext/>
      <w:spacing w:before="60" w:after="60"/>
    </w:pPr>
    <w:rPr>
      <w:color w:val="000000"/>
      <w:sz w:val="21"/>
      <w:szCs w:val="21"/>
    </w:rPr>
  </w:style>
  <w:style w:type="paragraph" w:customStyle="1" w:styleId="BulletBeforeDash">
    <w:name w:val="BulletBeforeDash"/>
    <w:basedOn w:val="Normal"/>
    <w:rsid w:val="006E2921"/>
    <w:pPr>
      <w:numPr>
        <w:numId w:val="18"/>
      </w:numPr>
      <w:ind w:left="720"/>
    </w:pPr>
    <w:rPr>
      <w:color w:val="000000"/>
    </w:rPr>
  </w:style>
  <w:style w:type="paragraph" w:customStyle="1" w:styleId="Bullet">
    <w:name w:val="Bullet"/>
    <w:basedOn w:val="BulletBeforeDash"/>
    <w:qFormat/>
    <w:rsid w:val="006E2921"/>
    <w:pPr>
      <w:spacing w:after="120"/>
    </w:pPr>
  </w:style>
  <w:style w:type="paragraph" w:customStyle="1" w:styleId="BulletLast">
    <w:name w:val="BulletLast"/>
    <w:basedOn w:val="Bullet"/>
    <w:qFormat/>
    <w:rsid w:val="006E2921"/>
    <w:pPr>
      <w:spacing w:after="240"/>
    </w:pPr>
  </w:style>
  <w:style w:type="paragraph" w:customStyle="1" w:styleId="NormalBeforeBullet">
    <w:name w:val="NormalBeforeBullet"/>
    <w:basedOn w:val="Normal"/>
    <w:qFormat/>
    <w:rsid w:val="006E2921"/>
    <w:pPr>
      <w:keepNext/>
      <w:spacing w:after="120"/>
    </w:pPr>
    <w:rPr>
      <w:color w:val="000000"/>
    </w:rPr>
  </w:style>
  <w:style w:type="character" w:customStyle="1" w:styleId="TableTextChar0">
    <w:name w:val="Table Text Char"/>
    <w:link w:val="TableText1"/>
    <w:locked/>
    <w:rsid w:val="004C1919"/>
    <w:rPr>
      <w:rFonts w:ascii="Arial Narrow" w:hAnsi="Arial Narrow" w:cs="Tahoma"/>
    </w:rPr>
  </w:style>
  <w:style w:type="paragraph" w:customStyle="1" w:styleId="TableText1">
    <w:name w:val="Table Text"/>
    <w:basedOn w:val="Normal"/>
    <w:link w:val="TableTextChar0"/>
    <w:qFormat/>
    <w:rsid w:val="004C1919"/>
    <w:pPr>
      <w:keepNext/>
      <w:spacing w:before="40" w:after="40"/>
    </w:pPr>
    <w:rPr>
      <w:rFonts w:ascii="Arial Narrow" w:eastAsiaTheme="minorHAnsi" w:hAnsi="Arial Narrow" w:cs="Tahoma"/>
      <w:szCs w:val="22"/>
      <w:lang w:eastAsia="en-US"/>
    </w:rPr>
  </w:style>
  <w:style w:type="paragraph" w:customStyle="1" w:styleId="Tablea">
    <w:name w:val="Table(a)"/>
    <w:aliases w:val="ta"/>
    <w:basedOn w:val="Normal"/>
    <w:rsid w:val="004C1919"/>
    <w:pPr>
      <w:spacing w:before="60"/>
      <w:ind w:left="284" w:hanging="284"/>
    </w:pPr>
    <w:rPr>
      <w:sz w:val="20"/>
    </w:rPr>
  </w:style>
  <w:style w:type="paragraph" w:customStyle="1" w:styleId="Tablei">
    <w:name w:val="Table(i)"/>
    <w:aliases w:val="taa"/>
    <w:basedOn w:val="Normal"/>
    <w:rsid w:val="004C1919"/>
    <w:pPr>
      <w:tabs>
        <w:tab w:val="left" w:pos="-6543"/>
        <w:tab w:val="left" w:pos="-6260"/>
        <w:tab w:val="right" w:pos="970"/>
      </w:tabs>
      <w:spacing w:line="240" w:lineRule="exact"/>
      <w:ind w:left="828" w:hanging="284"/>
    </w:pPr>
    <w:rPr>
      <w:sz w:val="20"/>
    </w:rPr>
  </w:style>
  <w:style w:type="paragraph" w:customStyle="1" w:styleId="Tabletext2">
    <w:name w:val="Tabletext"/>
    <w:aliases w:val="tt"/>
    <w:basedOn w:val="Normal"/>
    <w:rsid w:val="004C1919"/>
    <w:pPr>
      <w:spacing w:before="60" w:line="240" w:lineRule="atLeast"/>
    </w:pPr>
    <w:rPr>
      <w:sz w:val="20"/>
    </w:rPr>
  </w:style>
  <w:style w:type="character" w:styleId="FollowedHyperlink">
    <w:name w:val="FollowedHyperlink"/>
    <w:basedOn w:val="DefaultParagraphFont"/>
    <w:uiPriority w:val="99"/>
    <w:semiHidden/>
    <w:unhideWhenUsed/>
    <w:rsid w:val="00F061E2"/>
    <w:rPr>
      <w:color w:val="800080" w:themeColor="followedHyperlink"/>
      <w:u w:val="single"/>
    </w:rPr>
  </w:style>
  <w:style w:type="paragraph" w:customStyle="1" w:styleId="BoxText">
    <w:name w:val="BoxText"/>
    <w:basedOn w:val="Normal"/>
    <w:qFormat/>
    <w:rsid w:val="002F6CA4"/>
    <w:pPr>
      <w:pBdr>
        <w:top w:val="single" w:sz="4" w:space="4" w:color="000000"/>
        <w:left w:val="single" w:sz="4" w:space="4" w:color="000000"/>
        <w:bottom w:val="single" w:sz="4" w:space="4" w:color="000000"/>
        <w:right w:val="single" w:sz="4" w:space="4" w:color="000000"/>
      </w:pBdr>
      <w:spacing w:after="120"/>
    </w:pPr>
    <w:rPr>
      <w:color w:val="000000"/>
    </w:rPr>
  </w:style>
  <w:style w:type="character" w:styleId="UnresolvedMention">
    <w:name w:val="Unresolved Mention"/>
    <w:basedOn w:val="DefaultParagraphFont"/>
    <w:uiPriority w:val="99"/>
    <w:semiHidden/>
    <w:unhideWhenUsed/>
    <w:rsid w:val="00BD7E2F"/>
    <w:rPr>
      <w:color w:val="605E5C"/>
      <w:shd w:val="clear" w:color="auto" w:fill="E1DFDD"/>
    </w:rPr>
  </w:style>
  <w:style w:type="paragraph" w:styleId="Revision">
    <w:name w:val="Revision"/>
    <w:hidden/>
    <w:uiPriority w:val="99"/>
    <w:semiHidden/>
    <w:rsid w:val="004A189B"/>
    <w:pPr>
      <w:spacing w:after="0" w:line="240" w:lineRule="auto"/>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36763">
      <w:bodyDiv w:val="1"/>
      <w:marLeft w:val="0"/>
      <w:marRight w:val="0"/>
      <w:marTop w:val="0"/>
      <w:marBottom w:val="0"/>
      <w:divBdr>
        <w:top w:val="none" w:sz="0" w:space="0" w:color="auto"/>
        <w:left w:val="none" w:sz="0" w:space="0" w:color="auto"/>
        <w:bottom w:val="none" w:sz="0" w:space="0" w:color="auto"/>
        <w:right w:val="none" w:sz="0" w:space="0" w:color="auto"/>
      </w:divBdr>
      <w:divsChild>
        <w:div w:id="119808820">
          <w:marLeft w:val="1051"/>
          <w:marRight w:val="0"/>
          <w:marTop w:val="96"/>
          <w:marBottom w:val="0"/>
          <w:divBdr>
            <w:top w:val="none" w:sz="0" w:space="0" w:color="auto"/>
            <w:left w:val="none" w:sz="0" w:space="0" w:color="auto"/>
            <w:bottom w:val="none" w:sz="0" w:space="0" w:color="auto"/>
            <w:right w:val="none" w:sz="0" w:space="0" w:color="auto"/>
          </w:divBdr>
        </w:div>
        <w:div w:id="1318414696">
          <w:marLeft w:val="1051"/>
          <w:marRight w:val="0"/>
          <w:marTop w:val="96"/>
          <w:marBottom w:val="0"/>
          <w:divBdr>
            <w:top w:val="none" w:sz="0" w:space="0" w:color="auto"/>
            <w:left w:val="none" w:sz="0" w:space="0" w:color="auto"/>
            <w:bottom w:val="none" w:sz="0" w:space="0" w:color="auto"/>
            <w:right w:val="none" w:sz="0" w:space="0" w:color="auto"/>
          </w:divBdr>
        </w:div>
      </w:divsChild>
    </w:div>
    <w:div w:id="266696801">
      <w:bodyDiv w:val="1"/>
      <w:marLeft w:val="0"/>
      <w:marRight w:val="0"/>
      <w:marTop w:val="0"/>
      <w:marBottom w:val="0"/>
      <w:divBdr>
        <w:top w:val="none" w:sz="0" w:space="0" w:color="auto"/>
        <w:left w:val="none" w:sz="0" w:space="0" w:color="auto"/>
        <w:bottom w:val="none" w:sz="0" w:space="0" w:color="auto"/>
        <w:right w:val="none" w:sz="0" w:space="0" w:color="auto"/>
      </w:divBdr>
    </w:div>
    <w:div w:id="1137793799">
      <w:bodyDiv w:val="1"/>
      <w:marLeft w:val="0"/>
      <w:marRight w:val="0"/>
      <w:marTop w:val="0"/>
      <w:marBottom w:val="0"/>
      <w:divBdr>
        <w:top w:val="none" w:sz="0" w:space="0" w:color="auto"/>
        <w:left w:val="none" w:sz="0" w:space="0" w:color="auto"/>
        <w:bottom w:val="none" w:sz="0" w:space="0" w:color="auto"/>
        <w:right w:val="none" w:sz="0" w:space="0" w:color="auto"/>
      </w:divBdr>
      <w:divsChild>
        <w:div w:id="244801291">
          <w:marLeft w:val="288"/>
          <w:marRight w:val="0"/>
          <w:marTop w:val="115"/>
          <w:marBottom w:val="0"/>
          <w:divBdr>
            <w:top w:val="none" w:sz="0" w:space="0" w:color="auto"/>
            <w:left w:val="none" w:sz="0" w:space="0" w:color="auto"/>
            <w:bottom w:val="none" w:sz="0" w:space="0" w:color="auto"/>
            <w:right w:val="none" w:sz="0" w:space="0" w:color="auto"/>
          </w:divBdr>
        </w:div>
      </w:divsChild>
    </w:div>
    <w:div w:id="1149174598">
      <w:bodyDiv w:val="1"/>
      <w:marLeft w:val="0"/>
      <w:marRight w:val="0"/>
      <w:marTop w:val="0"/>
      <w:marBottom w:val="0"/>
      <w:divBdr>
        <w:top w:val="none" w:sz="0" w:space="0" w:color="auto"/>
        <w:left w:val="none" w:sz="0" w:space="0" w:color="auto"/>
        <w:bottom w:val="none" w:sz="0" w:space="0" w:color="auto"/>
        <w:right w:val="none" w:sz="0" w:space="0" w:color="auto"/>
      </w:divBdr>
    </w:div>
    <w:div w:id="1178692775">
      <w:bodyDiv w:val="1"/>
      <w:marLeft w:val="0"/>
      <w:marRight w:val="0"/>
      <w:marTop w:val="0"/>
      <w:marBottom w:val="0"/>
      <w:divBdr>
        <w:top w:val="none" w:sz="0" w:space="0" w:color="auto"/>
        <w:left w:val="none" w:sz="0" w:space="0" w:color="auto"/>
        <w:bottom w:val="none" w:sz="0" w:space="0" w:color="auto"/>
        <w:right w:val="none" w:sz="0" w:space="0" w:color="auto"/>
      </w:divBdr>
      <w:divsChild>
        <w:div w:id="438724020">
          <w:marLeft w:val="1051"/>
          <w:marRight w:val="0"/>
          <w:marTop w:val="96"/>
          <w:marBottom w:val="0"/>
          <w:divBdr>
            <w:top w:val="none" w:sz="0" w:space="0" w:color="auto"/>
            <w:left w:val="none" w:sz="0" w:space="0" w:color="auto"/>
            <w:bottom w:val="none" w:sz="0" w:space="0" w:color="auto"/>
            <w:right w:val="none" w:sz="0" w:space="0" w:color="auto"/>
          </w:divBdr>
        </w:div>
        <w:div w:id="771558329">
          <w:marLeft w:val="1051"/>
          <w:marRight w:val="0"/>
          <w:marTop w:val="96"/>
          <w:marBottom w:val="0"/>
          <w:divBdr>
            <w:top w:val="none" w:sz="0" w:space="0" w:color="auto"/>
            <w:left w:val="none" w:sz="0" w:space="0" w:color="auto"/>
            <w:bottom w:val="none" w:sz="0" w:space="0" w:color="auto"/>
            <w:right w:val="none" w:sz="0" w:space="0" w:color="auto"/>
          </w:divBdr>
        </w:div>
      </w:divsChild>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602231550">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2018075833">
          <w:marLeft w:val="288"/>
          <w:marRight w:val="0"/>
          <w:marTop w:val="115"/>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sChild>
    </w:div>
    <w:div w:id="1389766833">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sac.gov.au/internet/msac/publishing.nsf/Content/0AB23F265C0E67ADCA2583C8007C7B8E/$File/1192.3%20Final%20PSD_updated%20Sept2020_redacte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internet/msac/publishing.nsf/Content/0AB23F265C0E67ADCA2583C8007C7B8E/$File/1192.3%20Final%20PSD_updated%20Sept2020_redacte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oup.com/eurheartj/article/38/36/2739/4095039" TargetMode="External"/><Relationship Id="rId5" Type="http://schemas.openxmlformats.org/officeDocument/2006/relationships/webSettings" Target="webSettings.xml"/><Relationship Id="rId15" Type="http://schemas.openxmlformats.org/officeDocument/2006/relationships/hyperlink" Target="http://www.msac.gov.au/" TargetMode="External"/><Relationship Id="rId10" Type="http://schemas.openxmlformats.org/officeDocument/2006/relationships/hyperlink" Target="https://www.ebs.tga.gov.au/"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0AB23F265C0E67ADCA2583C8007C7B8E/$File/1192.3%20Final%20PSD_updated%20Sept2020_redacte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sites/default/files/documents/2021/06/prostheses-list-part-a-new-prostheses-items.pdf" TargetMode="External"/><Relationship Id="rId2" Type="http://schemas.openxmlformats.org/officeDocument/2006/relationships/hyperlink" Target="https://clinicaltrials.gov/ct2/show/NCT03706833" TargetMode="External"/><Relationship Id="rId1" Type="http://schemas.openxmlformats.org/officeDocument/2006/relationships/hyperlink" Target="http://nicedsu.org.uk/wp-content/uploads/2018/08/Population-adjustment-TSD-FINAL-ref-reru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3CE1-0AD3-4AF7-8EA5-D85C8E69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9964</Words>
  <Characters>56102</Characters>
  <Application>Microsoft Office Word</Application>
  <DocSecurity>0</DocSecurity>
  <Lines>1438</Lines>
  <Paragraphs>857</Paragraphs>
  <ScaleCrop>false</ScaleCrop>
  <Company/>
  <LinksUpToDate>false</LinksUpToDate>
  <CharactersWithSpaces>65209</CharactersWithSpaces>
  <SharedDoc>false</SharedDoc>
  <HLinks>
    <vt:vector size="48" baseType="variant">
      <vt:variant>
        <vt:i4>3997744</vt:i4>
      </vt:variant>
      <vt:variant>
        <vt:i4>164</vt:i4>
      </vt:variant>
      <vt:variant>
        <vt:i4>0</vt:i4>
      </vt:variant>
      <vt:variant>
        <vt:i4>5</vt:i4>
      </vt:variant>
      <vt:variant>
        <vt:lpwstr>http://www.msac.gov.au/</vt:lpwstr>
      </vt:variant>
      <vt:variant>
        <vt:lpwstr/>
      </vt:variant>
      <vt:variant>
        <vt:i4>3473453</vt:i4>
      </vt:variant>
      <vt:variant>
        <vt:i4>161</vt:i4>
      </vt:variant>
      <vt:variant>
        <vt:i4>0</vt:i4>
      </vt:variant>
      <vt:variant>
        <vt:i4>5</vt:i4>
      </vt:variant>
      <vt:variant>
        <vt:lpwstr>http://www.msac.gov.au/internet/msac/publishing.nsf/Content/0AB23F265C0E67ADCA2583C8007C7B8E/$File/1192.3 Final PSD_updated Sept2020_redacted.pdf</vt:lpwstr>
      </vt:variant>
      <vt:variant>
        <vt:lpwstr/>
      </vt:variant>
      <vt:variant>
        <vt:i4>3473453</vt:i4>
      </vt:variant>
      <vt:variant>
        <vt:i4>146</vt:i4>
      </vt:variant>
      <vt:variant>
        <vt:i4>0</vt:i4>
      </vt:variant>
      <vt:variant>
        <vt:i4>5</vt:i4>
      </vt:variant>
      <vt:variant>
        <vt:lpwstr>http://www.msac.gov.au/internet/msac/publishing.nsf/Content/0AB23F265C0E67ADCA2583C8007C7B8E/$File/1192.3 Final PSD_updated Sept2020_redacted.pdf</vt:lpwstr>
      </vt:variant>
      <vt:variant>
        <vt:lpwstr/>
      </vt:variant>
      <vt:variant>
        <vt:i4>7929907</vt:i4>
      </vt:variant>
      <vt:variant>
        <vt:i4>9</vt:i4>
      </vt:variant>
      <vt:variant>
        <vt:i4>0</vt:i4>
      </vt:variant>
      <vt:variant>
        <vt:i4>5</vt:i4>
      </vt:variant>
      <vt:variant>
        <vt:lpwstr>https://www.ebs.tga.gov.au/</vt:lpwstr>
      </vt:variant>
      <vt:variant>
        <vt:lpwstr/>
      </vt:variant>
      <vt:variant>
        <vt:i4>3997744</vt:i4>
      </vt:variant>
      <vt:variant>
        <vt:i4>0</vt:i4>
      </vt:variant>
      <vt:variant>
        <vt:i4>0</vt:i4>
      </vt:variant>
      <vt:variant>
        <vt:i4>5</vt:i4>
      </vt:variant>
      <vt:variant>
        <vt:lpwstr>http://www.msac.gov.au/</vt:lpwstr>
      </vt:variant>
      <vt:variant>
        <vt:lpwstr/>
      </vt:variant>
      <vt:variant>
        <vt:i4>2621488</vt:i4>
      </vt:variant>
      <vt:variant>
        <vt:i4>6</vt:i4>
      </vt:variant>
      <vt:variant>
        <vt:i4>0</vt:i4>
      </vt:variant>
      <vt:variant>
        <vt:i4>5</vt:i4>
      </vt:variant>
      <vt:variant>
        <vt:lpwstr>https://www.health.gov.au/sites/default/files/documents/2021/06/prostheses-list-part-a-new-prostheses-items.pdf</vt:lpwstr>
      </vt:variant>
      <vt:variant>
        <vt:lpwstr/>
      </vt:variant>
      <vt:variant>
        <vt:i4>7209016</vt:i4>
      </vt:variant>
      <vt:variant>
        <vt:i4>3</vt:i4>
      </vt:variant>
      <vt:variant>
        <vt:i4>0</vt:i4>
      </vt:variant>
      <vt:variant>
        <vt:i4>5</vt:i4>
      </vt:variant>
      <vt:variant>
        <vt:lpwstr>https://clinicaltrials.gov/ct2/show/NCT03706833</vt:lpwstr>
      </vt:variant>
      <vt:variant>
        <vt:lpwstr/>
      </vt:variant>
      <vt:variant>
        <vt:i4>2097263</vt:i4>
      </vt:variant>
      <vt:variant>
        <vt:i4>0</vt:i4>
      </vt:variant>
      <vt:variant>
        <vt:i4>0</vt:i4>
      </vt:variant>
      <vt:variant>
        <vt:i4>5</vt:i4>
      </vt:variant>
      <vt:variant>
        <vt:lpwstr>http://nicedsu.org.uk/wp-content/uploads/2018/08/Population-adjustment-TSD-FINAL-ref-rerun.pdf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2022-03-09T04:50:00Z</dcterms:created>
  <dcterms:modified xsi:type="dcterms:W3CDTF">2022-03-11T01:09:00Z</dcterms:modified>
</cp:coreProperties>
</file>