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01CF1" w14:textId="77777777" w:rsidR="00E44B80" w:rsidRPr="00F637B3" w:rsidRDefault="2C5664DD" w:rsidP="00E44B80">
      <w:pPr>
        <w:jc w:val="center"/>
        <w:rPr>
          <w:b/>
          <w:szCs w:val="20"/>
        </w:rPr>
      </w:pPr>
      <w:r>
        <w:rPr>
          <w:noProof/>
          <w:lang w:eastAsia="en-AU"/>
        </w:rPr>
        <w:drawing>
          <wp:inline distT="0" distB="0" distL="0" distR="0" wp14:anchorId="450ACF57" wp14:editId="6FD4ED4F">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897077" cy="1257300"/>
                    </a:xfrm>
                    <a:prstGeom prst="rect">
                      <a:avLst/>
                    </a:prstGeom>
                  </pic:spPr>
                </pic:pic>
              </a:graphicData>
            </a:graphic>
          </wp:inline>
        </w:drawing>
      </w:r>
    </w:p>
    <w:p w14:paraId="2510F3D1" w14:textId="34F090DA" w:rsidR="0056015F" w:rsidRDefault="008B2610" w:rsidP="00DD114D">
      <w:pPr>
        <w:pStyle w:val="Title"/>
        <w:spacing w:before="2600"/>
      </w:pPr>
      <w:r w:rsidRPr="001906CD">
        <w:t xml:space="preserve">Application </w:t>
      </w:r>
      <w:r w:rsidR="00DD114D">
        <w:t>1662</w:t>
      </w:r>
    </w:p>
    <w:p w14:paraId="16666DF9" w14:textId="73CC7C98" w:rsidR="0056015F" w:rsidRPr="00DD114D" w:rsidRDefault="003D3D3D" w:rsidP="00DD114D">
      <w:pPr>
        <w:autoSpaceDE w:val="0"/>
        <w:autoSpaceDN w:val="0"/>
        <w:adjustRightInd w:val="0"/>
        <w:spacing w:before="840" w:after="840"/>
        <w:jc w:val="center"/>
        <w:rPr>
          <w:rFonts w:ascii="Arial" w:hAnsi="Arial" w:cs="Arial"/>
          <w:b/>
          <w:bCs/>
        </w:rPr>
      </w:pPr>
      <w:r w:rsidRPr="00DD114D">
        <w:rPr>
          <w:rFonts w:ascii="Arial" w:hAnsi="Arial" w:cs="Arial"/>
          <w:b/>
          <w:bCs/>
          <w:color w:val="548ED5"/>
          <w:sz w:val="52"/>
          <w:szCs w:val="52"/>
        </w:rPr>
        <w:t>The reduction of mitral regurgitation through tissue approximation using transvenous/transeptal techniques</w:t>
      </w:r>
    </w:p>
    <w:p w14:paraId="1471E50C" w14:textId="1E2FB6BA"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706CB434"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154A2D99"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59C4000D" w14:textId="77777777" w:rsidR="009F5758" w:rsidRPr="00154B00" w:rsidRDefault="009F5758" w:rsidP="003F7CB9">
      <w:pPr>
        <w:spacing w:before="0" w:after="0"/>
      </w:pPr>
    </w:p>
    <w:p w14:paraId="4F42D8C6"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52830CE7"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0892E61E"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0692CB78"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48946168" w14:textId="14F1F540" w:rsidR="00C171FB" w:rsidRPr="00D560D0" w:rsidRDefault="00C171FB" w:rsidP="00C171FB">
      <w:pPr>
        <w:pBdr>
          <w:top w:val="single" w:sz="4" w:space="1" w:color="auto"/>
          <w:left w:val="single" w:sz="4" w:space="4" w:color="auto"/>
          <w:bottom w:val="single" w:sz="4" w:space="1" w:color="auto"/>
          <w:right w:val="single" w:sz="4" w:space="4" w:color="auto"/>
        </w:pBdr>
      </w:pPr>
      <w:r w:rsidRPr="00FD78A3">
        <w:t xml:space="preserve">Corporation / partnership details (where relevant): </w:t>
      </w:r>
      <w:r w:rsidR="003D3D3D" w:rsidRPr="00D560D0">
        <w:t>Edwards Lifesciences</w:t>
      </w:r>
      <w:r w:rsidR="00797A4F" w:rsidRPr="00D560D0">
        <w:t xml:space="preserve"> LLC</w:t>
      </w:r>
    </w:p>
    <w:p w14:paraId="7F69B010" w14:textId="18F1965E" w:rsidR="00C171FB" w:rsidRPr="00D560D0" w:rsidRDefault="00C171FB" w:rsidP="00C171FB">
      <w:pPr>
        <w:pBdr>
          <w:top w:val="single" w:sz="4" w:space="1" w:color="auto"/>
          <w:left w:val="single" w:sz="4" w:space="4" w:color="auto"/>
          <w:bottom w:val="single" w:sz="4" w:space="1" w:color="auto"/>
          <w:right w:val="single" w:sz="4" w:space="4" w:color="auto"/>
        </w:pBdr>
      </w:pPr>
      <w:r w:rsidRPr="00D560D0">
        <w:t xml:space="preserve">Corporation name: </w:t>
      </w:r>
      <w:r w:rsidR="003D3D3D" w:rsidRPr="00D560D0">
        <w:t>Edwards Lifesciences</w:t>
      </w:r>
      <w:r w:rsidR="00EF4CE4" w:rsidRPr="00D560D0">
        <w:t xml:space="preserve"> </w:t>
      </w:r>
      <w:r w:rsidR="00797A4F" w:rsidRPr="00D560D0">
        <w:t>LLC</w:t>
      </w:r>
    </w:p>
    <w:p w14:paraId="14945B7D" w14:textId="615DBF6B" w:rsidR="00C171FB" w:rsidRPr="00D560D0" w:rsidRDefault="00C171FB" w:rsidP="00C171FB">
      <w:pPr>
        <w:pBdr>
          <w:top w:val="single" w:sz="4" w:space="1" w:color="auto"/>
          <w:left w:val="single" w:sz="4" w:space="4" w:color="auto"/>
          <w:bottom w:val="single" w:sz="4" w:space="1" w:color="auto"/>
          <w:right w:val="single" w:sz="4" w:space="4" w:color="auto"/>
        </w:pBdr>
      </w:pPr>
      <w:r w:rsidRPr="00D560D0">
        <w:t xml:space="preserve">ABN: </w:t>
      </w:r>
      <w:r w:rsidR="003D3D3D" w:rsidRPr="00D560D0">
        <w:t>77098906873</w:t>
      </w:r>
    </w:p>
    <w:p w14:paraId="1A867FB0" w14:textId="2F6EEF1C" w:rsidR="00C171FB" w:rsidRPr="00FD78A3" w:rsidRDefault="00C171FB" w:rsidP="00C171FB">
      <w:pPr>
        <w:pBdr>
          <w:top w:val="single" w:sz="4" w:space="1" w:color="auto"/>
          <w:left w:val="single" w:sz="4" w:space="4" w:color="auto"/>
          <w:bottom w:val="single" w:sz="4" w:space="1" w:color="auto"/>
          <w:right w:val="single" w:sz="4" w:space="4" w:color="auto"/>
        </w:pBdr>
      </w:pPr>
      <w:r w:rsidRPr="00D560D0">
        <w:t xml:space="preserve">Business trading name: </w:t>
      </w:r>
      <w:r w:rsidR="003D3D3D" w:rsidRPr="00D560D0">
        <w:t>Edwards Lifesciences</w:t>
      </w:r>
    </w:p>
    <w:p w14:paraId="34DD3C09" w14:textId="77777777" w:rsidR="00C171FB" w:rsidRPr="00FD78A3" w:rsidRDefault="00C171FB" w:rsidP="00C171FB"/>
    <w:p w14:paraId="2654E87B" w14:textId="4DBC5618" w:rsidR="00C171FB" w:rsidRPr="00FD78A3" w:rsidRDefault="00C171FB" w:rsidP="00C171FB">
      <w:pPr>
        <w:rPr>
          <w:b/>
        </w:rPr>
      </w:pPr>
      <w:r w:rsidRPr="00FD78A3">
        <w:rPr>
          <w:b/>
        </w:rPr>
        <w:t xml:space="preserve">Primary contact name: </w:t>
      </w:r>
      <w:r w:rsidR="00EE60FE" w:rsidRPr="00EE60FE">
        <w:rPr>
          <w:b/>
          <w:bCs/>
        </w:rPr>
        <w:t>REDACTED</w:t>
      </w:r>
    </w:p>
    <w:p w14:paraId="22678DE7" w14:textId="77777777" w:rsidR="00C171FB" w:rsidRPr="00FD78A3" w:rsidRDefault="00C171FB" w:rsidP="00C171FB">
      <w:pPr>
        <w:pBdr>
          <w:top w:val="single" w:sz="4" w:space="1" w:color="auto"/>
          <w:left w:val="single" w:sz="4" w:space="4" w:color="auto"/>
          <w:bottom w:val="single" w:sz="4" w:space="1" w:color="auto"/>
          <w:right w:val="single" w:sz="4" w:space="4" w:color="auto"/>
        </w:pBdr>
      </w:pPr>
      <w:r w:rsidRPr="00FD78A3">
        <w:t>Primary contact numbers</w:t>
      </w:r>
    </w:p>
    <w:p w14:paraId="79BB9AE0" w14:textId="6D554F8F" w:rsidR="00C171FB" w:rsidRPr="00FD78A3" w:rsidRDefault="00C171FB" w:rsidP="00C171FB">
      <w:pPr>
        <w:pBdr>
          <w:top w:val="single" w:sz="4" w:space="1" w:color="auto"/>
          <w:left w:val="single" w:sz="4" w:space="4" w:color="auto"/>
          <w:bottom w:val="single" w:sz="4" w:space="1" w:color="auto"/>
          <w:right w:val="single" w:sz="4" w:space="4" w:color="auto"/>
        </w:pBdr>
      </w:pPr>
      <w:r w:rsidRPr="00FD78A3">
        <w:t xml:space="preserve">Business: </w:t>
      </w:r>
      <w:r w:rsidR="00EE60FE" w:rsidRPr="00EE60FE">
        <w:rPr>
          <w:b/>
          <w:bCs/>
        </w:rPr>
        <w:t>REDACTED</w:t>
      </w:r>
    </w:p>
    <w:p w14:paraId="2D3179EA" w14:textId="5D5B409B" w:rsidR="00C171FB" w:rsidRPr="00FD78A3" w:rsidRDefault="00C171FB" w:rsidP="00C171FB">
      <w:pPr>
        <w:pBdr>
          <w:top w:val="single" w:sz="4" w:space="1" w:color="auto"/>
          <w:left w:val="single" w:sz="4" w:space="4" w:color="auto"/>
          <w:bottom w:val="single" w:sz="4" w:space="1" w:color="auto"/>
          <w:right w:val="single" w:sz="4" w:space="4" w:color="auto"/>
        </w:pBdr>
      </w:pPr>
      <w:r w:rsidRPr="00FD78A3">
        <w:t>Mobile:</w:t>
      </w:r>
      <w:r w:rsidRPr="00FD78A3">
        <w:tab/>
      </w:r>
      <w:r w:rsidR="00EE60FE" w:rsidRPr="00EE60FE">
        <w:rPr>
          <w:b/>
          <w:bCs/>
        </w:rPr>
        <w:t>REDACTED</w:t>
      </w:r>
    </w:p>
    <w:p w14:paraId="5E1EC745" w14:textId="40E7DAFD" w:rsidR="00C171FB" w:rsidRPr="00FD78A3" w:rsidRDefault="00C171FB" w:rsidP="00C171FB">
      <w:pPr>
        <w:pBdr>
          <w:top w:val="single" w:sz="4" w:space="1" w:color="auto"/>
          <w:left w:val="single" w:sz="4" w:space="4" w:color="auto"/>
          <w:bottom w:val="single" w:sz="4" w:space="1" w:color="auto"/>
          <w:right w:val="single" w:sz="4" w:space="4" w:color="auto"/>
        </w:pBdr>
      </w:pPr>
      <w:r w:rsidRPr="00FD78A3">
        <w:t xml:space="preserve">Email: </w:t>
      </w:r>
      <w:r w:rsidR="00EE60FE" w:rsidRPr="00EE60FE">
        <w:rPr>
          <w:b/>
          <w:bCs/>
        </w:rPr>
        <w:t>REDACTED</w:t>
      </w:r>
    </w:p>
    <w:p w14:paraId="5DCF83EC" w14:textId="77777777" w:rsidR="00C171FB" w:rsidRPr="00FD78A3" w:rsidRDefault="00C171FB" w:rsidP="00C171FB">
      <w:pPr>
        <w:rPr>
          <w:b/>
        </w:rPr>
      </w:pPr>
    </w:p>
    <w:p w14:paraId="7D04D71D" w14:textId="1FB5AC01" w:rsidR="00C171FB" w:rsidRPr="00FD78A3" w:rsidRDefault="00C171FB" w:rsidP="00C171FB">
      <w:pPr>
        <w:rPr>
          <w:b/>
        </w:rPr>
      </w:pPr>
      <w:r w:rsidRPr="00FD78A3">
        <w:rPr>
          <w:b/>
        </w:rPr>
        <w:t xml:space="preserve">Alternative contact name: </w:t>
      </w:r>
      <w:r w:rsidR="00EE60FE" w:rsidRPr="00EE60FE">
        <w:rPr>
          <w:b/>
          <w:bCs/>
        </w:rPr>
        <w:t>REDACTED</w:t>
      </w:r>
    </w:p>
    <w:p w14:paraId="3DBD6055" w14:textId="77777777" w:rsidR="00C171FB" w:rsidRPr="00FD78A3" w:rsidRDefault="00C171FB" w:rsidP="00C171FB">
      <w:pPr>
        <w:pBdr>
          <w:top w:val="single" w:sz="4" w:space="1" w:color="auto"/>
          <w:left w:val="single" w:sz="4" w:space="4" w:color="auto"/>
          <w:bottom w:val="single" w:sz="4" w:space="1" w:color="auto"/>
          <w:right w:val="single" w:sz="4" w:space="4" w:color="auto"/>
        </w:pBdr>
      </w:pPr>
      <w:r w:rsidRPr="00FD78A3">
        <w:t>Alternative contact numbers</w:t>
      </w:r>
      <w:r w:rsidRPr="00FD78A3">
        <w:tab/>
      </w:r>
    </w:p>
    <w:p w14:paraId="25256CD4" w14:textId="30912C12" w:rsidR="00C171FB" w:rsidRPr="00FD78A3" w:rsidRDefault="00C171FB" w:rsidP="00C171FB">
      <w:pPr>
        <w:pBdr>
          <w:top w:val="single" w:sz="4" w:space="1" w:color="auto"/>
          <w:left w:val="single" w:sz="4" w:space="4" w:color="auto"/>
          <w:bottom w:val="single" w:sz="4" w:space="1" w:color="auto"/>
          <w:right w:val="single" w:sz="4" w:space="4" w:color="auto"/>
        </w:pBdr>
      </w:pPr>
      <w:r w:rsidRPr="00FD78A3">
        <w:t xml:space="preserve">Business: </w:t>
      </w:r>
      <w:r w:rsidR="00EE60FE" w:rsidRPr="00EE60FE">
        <w:rPr>
          <w:b/>
          <w:bCs/>
        </w:rPr>
        <w:t>REDACTED</w:t>
      </w:r>
    </w:p>
    <w:p w14:paraId="27CCD397" w14:textId="625CBEC5" w:rsidR="00C171FB" w:rsidRPr="00FD78A3" w:rsidRDefault="00C171FB" w:rsidP="00C171FB">
      <w:pPr>
        <w:pBdr>
          <w:top w:val="single" w:sz="4" w:space="1" w:color="auto"/>
          <w:left w:val="single" w:sz="4" w:space="4" w:color="auto"/>
          <w:bottom w:val="single" w:sz="4" w:space="1" w:color="auto"/>
          <w:right w:val="single" w:sz="4" w:space="4" w:color="auto"/>
        </w:pBdr>
      </w:pPr>
      <w:r w:rsidRPr="00FD78A3">
        <w:t xml:space="preserve">Mobile: </w:t>
      </w:r>
      <w:r w:rsidR="00EE60FE" w:rsidRPr="00EE60FE">
        <w:rPr>
          <w:b/>
          <w:bCs/>
        </w:rPr>
        <w:t>REDACTED</w:t>
      </w:r>
    </w:p>
    <w:p w14:paraId="77DE01C6" w14:textId="3BDCB3FC" w:rsidR="00C171FB" w:rsidRDefault="00C171FB" w:rsidP="00C171FB">
      <w:pPr>
        <w:pBdr>
          <w:top w:val="single" w:sz="4" w:space="1" w:color="auto"/>
          <w:left w:val="single" w:sz="4" w:space="4" w:color="auto"/>
          <w:bottom w:val="single" w:sz="4" w:space="1" w:color="auto"/>
          <w:right w:val="single" w:sz="4" w:space="4" w:color="auto"/>
        </w:pBdr>
      </w:pPr>
      <w:r w:rsidRPr="00FD78A3">
        <w:t xml:space="preserve">Email: </w:t>
      </w:r>
      <w:r w:rsidR="00EE60FE" w:rsidRPr="00EE60FE">
        <w:rPr>
          <w:b/>
          <w:bCs/>
        </w:rPr>
        <w:t>REDACTED</w:t>
      </w:r>
    </w:p>
    <w:p w14:paraId="1AF6F26E" w14:textId="77777777" w:rsidR="00C171FB" w:rsidRPr="00C171FB" w:rsidRDefault="00C171FB" w:rsidP="00C171FB"/>
    <w:p w14:paraId="0EBF3636" w14:textId="77777777" w:rsidR="00534C5F" w:rsidRPr="00154B00" w:rsidRDefault="00494011" w:rsidP="004A0BF4">
      <w:pPr>
        <w:pStyle w:val="Heading2"/>
      </w:pPr>
      <w:r>
        <w:t xml:space="preserve">(a) </w:t>
      </w:r>
      <w:r w:rsidR="00534C5F">
        <w:t>Are you a lobbyist acting on behalf of an Applicant?</w:t>
      </w:r>
    </w:p>
    <w:p w14:paraId="588F7DB2"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6264EF">
        <w:rPr>
          <w:szCs w:val="20"/>
        </w:rPr>
      </w:r>
      <w:r w:rsidR="006264EF">
        <w:rPr>
          <w:szCs w:val="20"/>
        </w:rPr>
        <w:fldChar w:fldCharType="separate"/>
      </w:r>
      <w:r w:rsidRPr="00753C44">
        <w:rPr>
          <w:szCs w:val="20"/>
        </w:rPr>
        <w:fldChar w:fldCharType="end"/>
      </w:r>
      <w:r>
        <w:rPr>
          <w:szCs w:val="20"/>
        </w:rPr>
        <w:t xml:space="preserve"> Yes</w:t>
      </w:r>
    </w:p>
    <w:p w14:paraId="13D60BD4" w14:textId="293275B6" w:rsidR="00A6491A" w:rsidRPr="007333AC" w:rsidRDefault="003D3D3D" w:rsidP="00A6491A">
      <w:pPr>
        <w:spacing w:before="0" w:after="0"/>
        <w:ind w:left="426"/>
        <w:rPr>
          <w:szCs w:val="20"/>
        </w:rPr>
      </w:pPr>
      <w:r w:rsidRPr="007333AC">
        <w:rPr>
          <w:szCs w:val="20"/>
        </w:rPr>
        <w:fldChar w:fldCharType="begin">
          <w:ffData>
            <w:name w:val="Check2"/>
            <w:enabled/>
            <w:calcOnExit w:val="0"/>
            <w:checkBox>
              <w:sizeAuto/>
              <w:default w:val="1"/>
            </w:checkBox>
          </w:ffData>
        </w:fldChar>
      </w:r>
      <w:bookmarkStart w:id="1" w:name="Check2"/>
      <w:r w:rsidRPr="007333AC">
        <w:rPr>
          <w:szCs w:val="20"/>
        </w:rPr>
        <w:instrText xml:space="preserve"> FORMCHECKBOX </w:instrText>
      </w:r>
      <w:r w:rsidR="006264EF">
        <w:rPr>
          <w:szCs w:val="20"/>
        </w:rPr>
      </w:r>
      <w:r w:rsidR="006264EF">
        <w:rPr>
          <w:szCs w:val="20"/>
        </w:rPr>
        <w:fldChar w:fldCharType="separate"/>
      </w:r>
      <w:r w:rsidRPr="007333AC">
        <w:rPr>
          <w:szCs w:val="20"/>
        </w:rPr>
        <w:fldChar w:fldCharType="end"/>
      </w:r>
      <w:bookmarkEnd w:id="1"/>
      <w:r w:rsidR="00A6491A" w:rsidRPr="007333AC">
        <w:rPr>
          <w:szCs w:val="20"/>
        </w:rPr>
        <w:t xml:space="preserve"> No  </w:t>
      </w:r>
    </w:p>
    <w:p w14:paraId="159088A7" w14:textId="77777777" w:rsidR="00534C5F" w:rsidRPr="007333AC" w:rsidRDefault="00534C5F" w:rsidP="00AF1159">
      <w:pPr>
        <w:pStyle w:val="Heading2"/>
        <w:numPr>
          <w:ilvl w:val="0"/>
          <w:numId w:val="2"/>
        </w:numPr>
      </w:pPr>
      <w:r w:rsidRPr="007333AC">
        <w:t>If yes, are you listed on the Register of Lobbyists?</w:t>
      </w:r>
    </w:p>
    <w:p w14:paraId="64D730D4" w14:textId="77777777" w:rsidR="00A6491A" w:rsidRPr="007333AC" w:rsidRDefault="00A6491A" w:rsidP="00A6491A">
      <w:pPr>
        <w:spacing w:before="0" w:after="0"/>
        <w:ind w:left="426"/>
        <w:rPr>
          <w:szCs w:val="20"/>
        </w:rPr>
      </w:pPr>
      <w:r w:rsidRPr="007333AC">
        <w:rPr>
          <w:szCs w:val="20"/>
        </w:rPr>
        <w:fldChar w:fldCharType="begin">
          <w:ffData>
            <w:name w:val="Check1"/>
            <w:enabled/>
            <w:calcOnExit w:val="0"/>
            <w:checkBox>
              <w:sizeAuto/>
              <w:default w:val="0"/>
            </w:checkBox>
          </w:ffData>
        </w:fldChar>
      </w:r>
      <w:r w:rsidRPr="007333AC">
        <w:rPr>
          <w:szCs w:val="20"/>
        </w:rPr>
        <w:instrText xml:space="preserve"> FORMCHECKBOX </w:instrText>
      </w:r>
      <w:r w:rsidR="006264EF">
        <w:rPr>
          <w:szCs w:val="20"/>
        </w:rPr>
      </w:r>
      <w:r w:rsidR="006264EF">
        <w:rPr>
          <w:szCs w:val="20"/>
        </w:rPr>
        <w:fldChar w:fldCharType="separate"/>
      </w:r>
      <w:r w:rsidRPr="007333AC">
        <w:rPr>
          <w:szCs w:val="20"/>
        </w:rPr>
        <w:fldChar w:fldCharType="end"/>
      </w:r>
      <w:r w:rsidRPr="007333AC">
        <w:rPr>
          <w:szCs w:val="20"/>
        </w:rPr>
        <w:t xml:space="preserve"> Yes</w:t>
      </w:r>
    </w:p>
    <w:p w14:paraId="2E791DC4" w14:textId="7F8F5E33" w:rsidR="00A6491A" w:rsidRPr="00753C44" w:rsidRDefault="003D3D3D" w:rsidP="00A6491A">
      <w:pPr>
        <w:spacing w:before="0" w:after="0"/>
        <w:ind w:left="426"/>
        <w:rPr>
          <w:szCs w:val="20"/>
        </w:rPr>
      </w:pPr>
      <w:r w:rsidRPr="007333AC">
        <w:rPr>
          <w:szCs w:val="20"/>
        </w:rPr>
        <w:fldChar w:fldCharType="begin">
          <w:ffData>
            <w:name w:val=""/>
            <w:enabled/>
            <w:calcOnExit w:val="0"/>
            <w:checkBox>
              <w:sizeAuto/>
              <w:default w:val="1"/>
            </w:checkBox>
          </w:ffData>
        </w:fldChar>
      </w:r>
      <w:r w:rsidRPr="007333AC">
        <w:rPr>
          <w:szCs w:val="20"/>
        </w:rPr>
        <w:instrText xml:space="preserve"> FORMCHECKBOX </w:instrText>
      </w:r>
      <w:r w:rsidR="006264EF">
        <w:rPr>
          <w:szCs w:val="20"/>
        </w:rPr>
      </w:r>
      <w:r w:rsidR="006264EF">
        <w:rPr>
          <w:szCs w:val="20"/>
        </w:rPr>
        <w:fldChar w:fldCharType="separate"/>
      </w:r>
      <w:r w:rsidRPr="007333AC">
        <w:rPr>
          <w:szCs w:val="20"/>
        </w:rPr>
        <w:fldChar w:fldCharType="end"/>
      </w:r>
      <w:r w:rsidR="00A6491A" w:rsidRPr="007333AC">
        <w:rPr>
          <w:szCs w:val="20"/>
        </w:rPr>
        <w:t xml:space="preserve"> No</w:t>
      </w:r>
      <w:r w:rsidR="00A6491A" w:rsidRPr="00753C44">
        <w:rPr>
          <w:szCs w:val="20"/>
        </w:rPr>
        <w:t xml:space="preserve">  </w:t>
      </w:r>
    </w:p>
    <w:p w14:paraId="7777BF7E" w14:textId="77777777" w:rsidR="00E04FB3" w:rsidRDefault="00E04FB3" w:rsidP="005C333E">
      <w:pPr>
        <w:spacing w:before="0" w:after="0"/>
        <w:ind w:left="426"/>
        <w:rPr>
          <w:b/>
          <w:szCs w:val="20"/>
        </w:rPr>
      </w:pPr>
      <w:r w:rsidRPr="00154B00">
        <w:rPr>
          <w:b/>
          <w:szCs w:val="20"/>
        </w:rPr>
        <w:br w:type="page"/>
      </w:r>
    </w:p>
    <w:p w14:paraId="47FA3611"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64F8F63A" w14:textId="77777777" w:rsidR="000B3CD0" w:rsidRDefault="000B3CD0" w:rsidP="00730C04">
      <w:pPr>
        <w:pStyle w:val="Heading2"/>
      </w:pPr>
      <w:r w:rsidRPr="00154B00">
        <w:t>Application title</w:t>
      </w:r>
      <w:r w:rsidR="00A8732C">
        <w:t xml:space="preserve"> </w:t>
      </w:r>
    </w:p>
    <w:p w14:paraId="3E0AF6EC" w14:textId="33803A60" w:rsidR="009056C5" w:rsidRPr="00545E44" w:rsidRDefault="003D3D3D" w:rsidP="006264EF">
      <w:pPr>
        <w:autoSpaceDE w:val="0"/>
        <w:autoSpaceDN w:val="0"/>
        <w:adjustRightInd w:val="0"/>
        <w:spacing w:before="0" w:after="0"/>
        <w:ind w:left="360"/>
        <w:rPr>
          <w:rFonts w:cstheme="minorHAnsi"/>
        </w:rPr>
      </w:pPr>
      <w:r w:rsidRPr="00FD78A3">
        <w:rPr>
          <w:rFonts w:eastAsia="CIDFont+F3" w:cstheme="minorHAnsi"/>
          <w:szCs w:val="20"/>
        </w:rPr>
        <w:t>The reduction of mitral regurgitation through tissue approximation using transvenous/transeptal techniques</w:t>
      </w:r>
    </w:p>
    <w:p w14:paraId="45AF8C22"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7A9FCA5E" w14:textId="30EF8103" w:rsidR="002C3345" w:rsidRPr="009056C5" w:rsidRDefault="00A60826" w:rsidP="006264EF">
      <w:pPr>
        <w:ind w:left="360"/>
      </w:pPr>
      <w:r w:rsidRPr="00A60826">
        <w:t>Mitral regurgitation (MR), also known as mitral insufficiency, is a condition in which incompetency of the mitral valve causes abnormal backflow of blood from the left ventricle to the left atrium during the systolic phase of the cardiac cycle. There are two types of MR: degenerative and functional. Degenerative mitral regurgitation (DMR), also known as primary MR, refers to regurgitation resulting from the structural abnormality of the mitral valve leaflets and/or valve apparatus. In contrast, functional mitral regurgitation (FMR), also known as secondary MR, occurs when the valve and/or valve apparatus is structurally normal, but dysfunction, distortion, or dilation of the left atrial or ventricular chambers results in tethering of the leaflets and/or mitral annular dilation. Mitral regurgitation (MR) is the most common heart valve disorder worldwide</w:t>
      </w:r>
      <w:r w:rsidR="0028313C" w:rsidRPr="0028313C">
        <w:t xml:space="preserve"> (</w:t>
      </w:r>
      <w:r w:rsidR="00490828">
        <w:t>Dzia</w:t>
      </w:r>
      <w:r w:rsidR="00FB1FAE">
        <w:t>dzko</w:t>
      </w:r>
      <w:r w:rsidR="0028313C" w:rsidRPr="0028313C">
        <w:t xml:space="preserve"> et al., 201</w:t>
      </w:r>
      <w:r w:rsidR="001E0BDC">
        <w:t>8</w:t>
      </w:r>
      <w:r w:rsidR="0028313C" w:rsidRPr="0028313C">
        <w:t>)</w:t>
      </w:r>
      <w:r w:rsidRPr="00A60826">
        <w:t>, with a high prevalence in industrialized nations with aging populations. MR is associated with an increased risk for heart failure and death.</w:t>
      </w:r>
    </w:p>
    <w:p w14:paraId="5F236611"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1FBB08AF" w14:textId="6CEAA399" w:rsidR="00545E44" w:rsidRPr="00FD78A3" w:rsidRDefault="00314873" w:rsidP="006264EF">
      <w:pPr>
        <w:ind w:left="360"/>
      </w:pPr>
      <w:r w:rsidRPr="00FD78A3">
        <w:t>Edwards has developed a catheter-based technique for the delivery of a permanent implant to the mitral valve via transseptal access. The implant clasps the anterior and posterior leaflets around a spacer, thus creating a double orifice and reducing MR</w:t>
      </w:r>
      <w:r w:rsidRPr="00B47FB4">
        <w:t>. The Edwards PASCAL Transcatheter Valve Repair System addresses some of the limitations of other devices, including: a larger implant with wider paddles to potentially reduce the number of implant</w:t>
      </w:r>
      <w:r w:rsidR="00090218" w:rsidRPr="00B47FB4">
        <w:t xml:space="preserve">s </w:t>
      </w:r>
      <w:r w:rsidRPr="00B47FB4">
        <w:t>required for adequate MR reduction; independent clasp control to address complex anatomies</w:t>
      </w:r>
      <w:r w:rsidR="00090218" w:rsidRPr="00B47FB4">
        <w:t xml:space="preserve"> </w:t>
      </w:r>
      <w:r w:rsidRPr="00B47FB4">
        <w:t xml:space="preserve">and regurgitant jets; a spacer in the </w:t>
      </w:r>
      <w:r w:rsidR="00BE79C5" w:rsidRPr="00B47FB4">
        <w:t>centre</w:t>
      </w:r>
      <w:r w:rsidRPr="00B47FB4">
        <w:t xml:space="preserve"> of the implant to act as a filler in the regurgitant </w:t>
      </w:r>
      <w:r w:rsidR="00090218" w:rsidRPr="00B47FB4">
        <w:t xml:space="preserve">orifice </w:t>
      </w:r>
      <w:r w:rsidRPr="00B47FB4">
        <w:t xml:space="preserve">for reduction of MR; working length that allows </w:t>
      </w:r>
      <w:r w:rsidR="00BE79C5" w:rsidRPr="00B47FB4">
        <w:t>manoeuvrability</w:t>
      </w:r>
      <w:r w:rsidRPr="00B47FB4">
        <w:t xml:space="preserve"> even with higher septal puncture</w:t>
      </w:r>
      <w:r w:rsidR="00090218" w:rsidRPr="00B47FB4">
        <w:t xml:space="preserve"> </w:t>
      </w:r>
      <w:r w:rsidRPr="00B47FB4">
        <w:t>heights; and ergonomic controls similar to other Edwards transcatheter product lines which are</w:t>
      </w:r>
      <w:r w:rsidR="00804C9B" w:rsidRPr="00B47FB4">
        <w:t xml:space="preserve"> </w:t>
      </w:r>
      <w:r w:rsidRPr="00B47FB4">
        <w:t>already familiar to many interventional cardiologist</w:t>
      </w:r>
      <w:r w:rsidR="00B15214" w:rsidRPr="00B47FB4">
        <w:t>s.</w:t>
      </w:r>
      <w:r w:rsidR="00B15214" w:rsidRPr="00FD78A3">
        <w:t xml:space="preserve"> </w:t>
      </w:r>
    </w:p>
    <w:p w14:paraId="6C0F85FF" w14:textId="6548EB9A" w:rsidR="00CB12EC" w:rsidRPr="00CB12EC" w:rsidRDefault="00545E44" w:rsidP="006264EF">
      <w:pPr>
        <w:ind w:left="360"/>
      </w:pPr>
      <w:r w:rsidRPr="00FD78A3">
        <w:t>This Application refers to the proposed medical service as transcatheter mitral valve repair (TMVr).</w:t>
      </w:r>
    </w:p>
    <w:p w14:paraId="2A947017"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1B9CDDED" w14:textId="063DA7B9" w:rsidR="00753C44" w:rsidRDefault="00545E44" w:rsidP="006264EF">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264EF">
        <w:rPr>
          <w:szCs w:val="20"/>
        </w:rPr>
      </w:r>
      <w:r w:rsidR="006264EF">
        <w:rPr>
          <w:szCs w:val="20"/>
        </w:rPr>
        <w:fldChar w:fldCharType="separate"/>
      </w:r>
      <w:r>
        <w:rPr>
          <w:szCs w:val="20"/>
        </w:rPr>
        <w:fldChar w:fldCharType="end"/>
      </w:r>
      <w:r w:rsidR="006B6390">
        <w:rPr>
          <w:szCs w:val="20"/>
        </w:rPr>
        <w:t xml:space="preserve"> Yes</w:t>
      </w:r>
    </w:p>
    <w:p w14:paraId="6BFA9015" w14:textId="77777777" w:rsidR="00753C44" w:rsidRPr="00753C44" w:rsidRDefault="006B6390" w:rsidP="006264EF">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6264EF">
        <w:rPr>
          <w:szCs w:val="20"/>
        </w:rPr>
      </w:r>
      <w:r w:rsidR="006264EF">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06765E4F" w14:textId="77777777" w:rsidR="000B3CD0" w:rsidRPr="00FD78A3" w:rsidRDefault="000B3CD0" w:rsidP="00AF1159">
      <w:pPr>
        <w:pStyle w:val="Heading2"/>
        <w:numPr>
          <w:ilvl w:val="0"/>
          <w:numId w:val="3"/>
        </w:numPr>
        <w:rPr>
          <w:rStyle w:val="Strong"/>
          <w:rFonts w:asciiTheme="minorHAnsi" w:eastAsiaTheme="minorHAnsi" w:hAnsiTheme="minorHAnsi" w:cstheme="minorBidi"/>
          <w:b/>
        </w:rPr>
      </w:pPr>
      <w:r w:rsidRPr="00FD78A3">
        <w:rPr>
          <w:rStyle w:val="Strong"/>
          <w:rFonts w:asciiTheme="minorHAnsi" w:eastAsiaTheme="minorHAnsi" w:hAnsiTheme="minorHAnsi" w:cstheme="minorBidi"/>
          <w:b/>
        </w:rPr>
        <w:t>I</w:t>
      </w:r>
      <w:r w:rsidR="003020B5" w:rsidRPr="00FD78A3">
        <w:rPr>
          <w:rStyle w:val="Strong"/>
          <w:rFonts w:asciiTheme="minorHAnsi" w:eastAsiaTheme="minorHAnsi" w:hAnsiTheme="minorHAnsi" w:cstheme="minorBidi"/>
          <w:b/>
        </w:rPr>
        <w:t xml:space="preserve">f </w:t>
      </w:r>
      <w:r w:rsidR="00D11EB1" w:rsidRPr="00FD78A3">
        <w:rPr>
          <w:rStyle w:val="Strong"/>
          <w:rFonts w:asciiTheme="minorHAnsi" w:eastAsiaTheme="minorHAnsi" w:hAnsiTheme="minorHAnsi" w:cstheme="minorBidi"/>
          <w:b/>
        </w:rPr>
        <w:t xml:space="preserve">yes, is </w:t>
      </w:r>
      <w:r w:rsidRPr="00FD78A3">
        <w:rPr>
          <w:rStyle w:val="Strong"/>
          <w:rFonts w:asciiTheme="minorHAnsi" w:eastAsiaTheme="minorHAnsi" w:hAnsiTheme="minorHAnsi" w:cstheme="minorBidi"/>
          <w:b/>
        </w:rPr>
        <w:t>the medical service</w:t>
      </w:r>
      <w:r w:rsidR="005D0677" w:rsidRPr="00FD78A3">
        <w:rPr>
          <w:rStyle w:val="Strong"/>
          <w:rFonts w:asciiTheme="minorHAnsi" w:eastAsiaTheme="minorHAnsi" w:hAnsiTheme="minorHAnsi" w:cstheme="minorBidi"/>
          <w:b/>
        </w:rPr>
        <w:t>(s)</w:t>
      </w:r>
      <w:r w:rsidRPr="00FD78A3">
        <w:rPr>
          <w:rStyle w:val="Strong"/>
          <w:rFonts w:asciiTheme="minorHAnsi" w:eastAsiaTheme="minorHAnsi" w:hAnsiTheme="minorHAnsi" w:cstheme="minorBidi"/>
          <w:b/>
        </w:rPr>
        <w:t xml:space="preserve"> </w:t>
      </w:r>
      <w:r w:rsidR="00F83566" w:rsidRPr="00FD78A3">
        <w:rPr>
          <w:rStyle w:val="Strong"/>
          <w:rFonts w:asciiTheme="minorHAnsi" w:eastAsiaTheme="minorHAnsi" w:hAnsiTheme="minorHAnsi" w:cstheme="minorBidi"/>
          <w:b/>
        </w:rPr>
        <w:t xml:space="preserve">proposed to be </w:t>
      </w:r>
      <w:r w:rsidRPr="00FD78A3">
        <w:rPr>
          <w:rStyle w:val="Strong"/>
          <w:rFonts w:asciiTheme="minorHAnsi" w:eastAsiaTheme="minorHAnsi" w:hAnsiTheme="minorHAnsi" w:cstheme="minorBidi"/>
          <w:b/>
        </w:rPr>
        <w:t xml:space="preserve">covered under an existing </w:t>
      </w:r>
      <w:r w:rsidR="00F83566" w:rsidRPr="00FD78A3">
        <w:rPr>
          <w:rStyle w:val="Strong"/>
          <w:rFonts w:asciiTheme="minorHAnsi" w:eastAsiaTheme="minorHAnsi" w:hAnsiTheme="minorHAnsi" w:cstheme="minorBidi"/>
          <w:b/>
        </w:rPr>
        <w:t>MBS item number</w:t>
      </w:r>
      <w:r w:rsidR="005D0677" w:rsidRPr="00FD78A3">
        <w:rPr>
          <w:rStyle w:val="Strong"/>
          <w:rFonts w:asciiTheme="minorHAnsi" w:eastAsiaTheme="minorHAnsi" w:hAnsiTheme="minorHAnsi" w:cstheme="minorBidi"/>
          <w:b/>
        </w:rPr>
        <w:t>(s)</w:t>
      </w:r>
      <w:r w:rsidR="003020B5" w:rsidRPr="00FD78A3">
        <w:rPr>
          <w:rStyle w:val="Strong"/>
          <w:rFonts w:asciiTheme="minorHAnsi" w:eastAsiaTheme="minorHAnsi" w:hAnsiTheme="minorHAnsi" w:cstheme="minorBidi"/>
          <w:b/>
        </w:rPr>
        <w:t xml:space="preserve"> or is a new MBS item</w:t>
      </w:r>
      <w:r w:rsidR="005D0677" w:rsidRPr="00FD78A3">
        <w:rPr>
          <w:rStyle w:val="Strong"/>
          <w:rFonts w:asciiTheme="minorHAnsi" w:eastAsiaTheme="minorHAnsi" w:hAnsiTheme="minorHAnsi" w:cstheme="minorBidi"/>
          <w:b/>
        </w:rPr>
        <w:t>(s)</w:t>
      </w:r>
      <w:r w:rsidR="003020B5" w:rsidRPr="00FD78A3">
        <w:rPr>
          <w:rStyle w:val="Strong"/>
          <w:rFonts w:asciiTheme="minorHAnsi" w:eastAsiaTheme="minorHAnsi" w:hAnsiTheme="minorHAnsi" w:cstheme="minorBidi"/>
          <w:b/>
        </w:rPr>
        <w:t xml:space="preserve"> being sought altogether</w:t>
      </w:r>
      <w:r w:rsidRPr="00FD78A3">
        <w:rPr>
          <w:rStyle w:val="Strong"/>
          <w:rFonts w:asciiTheme="minorHAnsi" w:eastAsiaTheme="minorHAnsi" w:hAnsiTheme="minorHAnsi" w:cstheme="minorBidi"/>
          <w:b/>
        </w:rPr>
        <w:t>?</w:t>
      </w:r>
    </w:p>
    <w:p w14:paraId="060CA6BD" w14:textId="29F3146D" w:rsidR="00753C44" w:rsidRPr="00FD78A3" w:rsidRDefault="006B6390" w:rsidP="006264EF">
      <w:pPr>
        <w:spacing w:before="0" w:after="0"/>
        <w:ind w:left="360"/>
        <w:rPr>
          <w:szCs w:val="20"/>
        </w:rPr>
      </w:pPr>
      <w:r w:rsidRPr="00FD78A3">
        <w:rPr>
          <w:szCs w:val="20"/>
        </w:rPr>
        <w:fldChar w:fldCharType="begin">
          <w:ffData>
            <w:name w:val="Check2"/>
            <w:enabled/>
            <w:calcOnExit w:val="0"/>
            <w:checkBox>
              <w:sizeAuto/>
              <w:default w:val="0"/>
            </w:checkBox>
          </w:ffData>
        </w:fldChar>
      </w:r>
      <w:r w:rsidRPr="00FD78A3">
        <w:rPr>
          <w:szCs w:val="20"/>
        </w:rPr>
        <w:instrText xml:space="preserve"> FORMCHECKBOX </w:instrText>
      </w:r>
      <w:r w:rsidR="006264EF">
        <w:rPr>
          <w:szCs w:val="20"/>
        </w:rPr>
      </w:r>
      <w:r w:rsidR="006264EF">
        <w:rPr>
          <w:szCs w:val="20"/>
        </w:rPr>
        <w:fldChar w:fldCharType="separate"/>
      </w:r>
      <w:r w:rsidRPr="00FD78A3">
        <w:rPr>
          <w:szCs w:val="20"/>
        </w:rPr>
        <w:fldChar w:fldCharType="end"/>
      </w:r>
      <w:r w:rsidRPr="00FD78A3">
        <w:rPr>
          <w:szCs w:val="20"/>
        </w:rPr>
        <w:t xml:space="preserve"> </w:t>
      </w:r>
      <w:r w:rsidR="00753C44" w:rsidRPr="00FD78A3">
        <w:rPr>
          <w:szCs w:val="20"/>
        </w:rPr>
        <w:t>Amendment to existing MBS item(s)</w:t>
      </w:r>
    </w:p>
    <w:p w14:paraId="2E655051" w14:textId="05DBD226" w:rsidR="00753C44" w:rsidRPr="00753C44" w:rsidRDefault="00545E44" w:rsidP="006264EF">
      <w:pPr>
        <w:spacing w:before="0" w:after="0"/>
        <w:ind w:left="360"/>
        <w:rPr>
          <w:szCs w:val="20"/>
        </w:rPr>
      </w:pPr>
      <w:r w:rsidRPr="00FD78A3">
        <w:rPr>
          <w:szCs w:val="20"/>
        </w:rPr>
        <w:fldChar w:fldCharType="begin">
          <w:ffData>
            <w:name w:val=""/>
            <w:enabled/>
            <w:calcOnExit w:val="0"/>
            <w:checkBox>
              <w:sizeAuto/>
              <w:default w:val="1"/>
            </w:checkBox>
          </w:ffData>
        </w:fldChar>
      </w:r>
      <w:r w:rsidRPr="00FD78A3">
        <w:rPr>
          <w:szCs w:val="20"/>
        </w:rPr>
        <w:instrText xml:space="preserve"> FORMCHECKBOX </w:instrText>
      </w:r>
      <w:r w:rsidR="006264EF">
        <w:rPr>
          <w:szCs w:val="20"/>
        </w:rPr>
      </w:r>
      <w:r w:rsidR="006264EF">
        <w:rPr>
          <w:szCs w:val="20"/>
        </w:rPr>
        <w:fldChar w:fldCharType="separate"/>
      </w:r>
      <w:r w:rsidRPr="00FD78A3">
        <w:rPr>
          <w:szCs w:val="20"/>
        </w:rPr>
        <w:fldChar w:fldCharType="end"/>
      </w:r>
      <w:r w:rsidR="006B6390" w:rsidRPr="00FD78A3">
        <w:rPr>
          <w:szCs w:val="20"/>
        </w:rPr>
        <w:t xml:space="preserve"> </w:t>
      </w:r>
      <w:r w:rsidR="00753C44" w:rsidRPr="00FD78A3">
        <w:rPr>
          <w:szCs w:val="20"/>
        </w:rPr>
        <w:t>New MBS item(s)</w:t>
      </w:r>
    </w:p>
    <w:p w14:paraId="7FC6FAFB" w14:textId="77777777" w:rsidR="000B3CD0" w:rsidRPr="0011036E" w:rsidRDefault="000B3CD0" w:rsidP="00AF1159">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5E237C2C" w14:textId="594C4007" w:rsidR="00C4699F" w:rsidRPr="00CB12EC" w:rsidRDefault="00C4699F" w:rsidP="006264EF">
      <w:pPr>
        <w:ind w:left="284"/>
      </w:pPr>
      <w:r>
        <w:t>N/A</w:t>
      </w:r>
    </w:p>
    <w:p w14:paraId="3C883E18" w14:textId="77777777" w:rsidR="006C0843" w:rsidRPr="0011036E" w:rsidRDefault="006C0843" w:rsidP="00AF1159">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51C2EC32" w14:textId="77777777" w:rsidR="002A270B" w:rsidRPr="004A263B" w:rsidRDefault="002A270B" w:rsidP="00AF1159">
      <w:pPr>
        <w:pStyle w:val="ListParagraph"/>
        <w:numPr>
          <w:ilvl w:val="0"/>
          <w:numId w:val="12"/>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264EF">
        <w:rPr>
          <w:b/>
          <w:szCs w:val="20"/>
        </w:rPr>
      </w:r>
      <w:r w:rsidR="006264E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3DEC0CF6" w14:textId="77777777" w:rsidR="002A270B" w:rsidRPr="004A263B" w:rsidRDefault="002A270B" w:rsidP="00AF1159">
      <w:pPr>
        <w:pStyle w:val="ListParagraph"/>
        <w:numPr>
          <w:ilvl w:val="0"/>
          <w:numId w:val="12"/>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264EF">
        <w:rPr>
          <w:b/>
          <w:szCs w:val="20"/>
        </w:rPr>
      </w:r>
      <w:r w:rsidR="006264E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23BA0832" w14:textId="77777777" w:rsidR="002A270B" w:rsidRPr="004A263B" w:rsidRDefault="002A270B" w:rsidP="00AF1159">
      <w:pPr>
        <w:pStyle w:val="ListParagraph"/>
        <w:numPr>
          <w:ilvl w:val="0"/>
          <w:numId w:val="12"/>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264EF">
        <w:rPr>
          <w:b/>
          <w:szCs w:val="20"/>
        </w:rPr>
      </w:r>
      <w:r w:rsidR="006264E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32D91CF0" w14:textId="77777777" w:rsidR="002A270B" w:rsidRPr="004A263B" w:rsidRDefault="002A270B" w:rsidP="00AF1159">
      <w:pPr>
        <w:pStyle w:val="ListParagraph"/>
        <w:numPr>
          <w:ilvl w:val="0"/>
          <w:numId w:val="12"/>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264EF">
        <w:rPr>
          <w:b/>
          <w:szCs w:val="20"/>
        </w:rPr>
      </w:r>
      <w:r w:rsidR="006264E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4E37F48F" w14:textId="77777777" w:rsidR="002A270B" w:rsidRPr="004A263B" w:rsidRDefault="002A270B" w:rsidP="00AF1159">
      <w:pPr>
        <w:pStyle w:val="ListParagraph"/>
        <w:numPr>
          <w:ilvl w:val="0"/>
          <w:numId w:val="12"/>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264EF">
        <w:rPr>
          <w:b/>
          <w:szCs w:val="20"/>
        </w:rPr>
      </w:r>
      <w:r w:rsidR="006264EF">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53ADF5D4" w14:textId="77777777" w:rsidR="002A270B" w:rsidRPr="004A263B" w:rsidRDefault="002A270B" w:rsidP="00AF1159">
      <w:pPr>
        <w:pStyle w:val="ListParagraph"/>
        <w:numPr>
          <w:ilvl w:val="0"/>
          <w:numId w:val="12"/>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264EF">
        <w:rPr>
          <w:b/>
          <w:szCs w:val="20"/>
        </w:rPr>
      </w:r>
      <w:r w:rsidR="006264EF">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53BCA4B9" w14:textId="77777777" w:rsidR="002A270B" w:rsidRPr="004A263B" w:rsidRDefault="002A270B" w:rsidP="00AF1159">
      <w:pPr>
        <w:pStyle w:val="ListParagraph"/>
        <w:numPr>
          <w:ilvl w:val="0"/>
          <w:numId w:val="12"/>
        </w:numPr>
        <w:spacing w:before="0" w:after="0"/>
        <w:ind w:left="851" w:hanging="425"/>
        <w:rPr>
          <w:rStyle w:val="Strong"/>
          <w:b w:val="0"/>
        </w:rPr>
      </w:pPr>
      <w:r w:rsidRPr="004A263B">
        <w:rPr>
          <w:b/>
          <w:szCs w:val="20"/>
        </w:rPr>
        <w:lastRenderedPageBreak/>
        <w:fldChar w:fldCharType="begin">
          <w:ffData>
            <w:name w:val="Check2"/>
            <w:enabled/>
            <w:calcOnExit w:val="0"/>
            <w:checkBox>
              <w:sizeAuto/>
              <w:default w:val="0"/>
            </w:checkBox>
          </w:ffData>
        </w:fldChar>
      </w:r>
      <w:r w:rsidRPr="004A263B">
        <w:rPr>
          <w:b/>
          <w:szCs w:val="20"/>
        </w:rPr>
        <w:instrText xml:space="preserve"> FORMCHECKBOX </w:instrText>
      </w:r>
      <w:r w:rsidR="006264EF">
        <w:rPr>
          <w:b/>
          <w:szCs w:val="20"/>
        </w:rPr>
      </w:r>
      <w:r w:rsidR="006264E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07083DD4" w14:textId="77777777" w:rsidR="002A270B" w:rsidRPr="004A263B" w:rsidRDefault="002A270B" w:rsidP="00AF1159">
      <w:pPr>
        <w:pStyle w:val="ListParagraph"/>
        <w:numPr>
          <w:ilvl w:val="0"/>
          <w:numId w:val="12"/>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264EF">
        <w:rPr>
          <w:b/>
          <w:szCs w:val="20"/>
        </w:rPr>
      </w:r>
      <w:r w:rsidR="006264E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6238A1B7" w14:textId="77777777" w:rsidR="002A270B" w:rsidRDefault="004A263B" w:rsidP="00AF1159">
      <w:pPr>
        <w:pStyle w:val="ListParagraph"/>
        <w:numPr>
          <w:ilvl w:val="0"/>
          <w:numId w:val="12"/>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264EF">
        <w:rPr>
          <w:b/>
          <w:szCs w:val="20"/>
        </w:rPr>
      </w:r>
      <w:r w:rsidR="006264EF">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015A9C7B" w14:textId="77777777" w:rsidR="00534C5F" w:rsidRPr="00FD78A3" w:rsidRDefault="000770BA" w:rsidP="00AF1159">
      <w:pPr>
        <w:pStyle w:val="Heading2"/>
        <w:numPr>
          <w:ilvl w:val="0"/>
          <w:numId w:val="3"/>
        </w:numPr>
        <w:rPr>
          <w:rStyle w:val="Strong"/>
          <w:rFonts w:asciiTheme="minorHAnsi" w:eastAsiaTheme="minorHAnsi" w:hAnsiTheme="minorHAnsi" w:cstheme="minorBidi"/>
          <w:b/>
        </w:rPr>
      </w:pPr>
      <w:r w:rsidRPr="00FD78A3">
        <w:rPr>
          <w:rStyle w:val="Strong"/>
          <w:rFonts w:asciiTheme="minorHAnsi" w:eastAsiaTheme="minorHAnsi" w:hAnsiTheme="minorHAnsi" w:cstheme="minorBidi"/>
          <w:b/>
        </w:rPr>
        <w:t>If a new item</w:t>
      </w:r>
      <w:r w:rsidR="005D0677" w:rsidRPr="00FD78A3">
        <w:rPr>
          <w:rStyle w:val="Strong"/>
          <w:rFonts w:asciiTheme="minorHAnsi" w:eastAsiaTheme="minorHAnsi" w:hAnsiTheme="minorHAnsi" w:cstheme="minorBidi"/>
          <w:b/>
        </w:rPr>
        <w:t>(s)</w:t>
      </w:r>
      <w:r w:rsidR="003433D1" w:rsidRPr="00FD78A3">
        <w:rPr>
          <w:rStyle w:val="Strong"/>
          <w:rFonts w:asciiTheme="minorHAnsi" w:eastAsiaTheme="minorHAnsi" w:hAnsiTheme="minorHAnsi" w:cstheme="minorBidi"/>
          <w:b/>
        </w:rPr>
        <w:t xml:space="preserve"> is being requested</w:t>
      </w:r>
      <w:r w:rsidRPr="00FD78A3">
        <w:rPr>
          <w:rStyle w:val="Strong"/>
          <w:rFonts w:asciiTheme="minorHAnsi" w:eastAsiaTheme="minorHAnsi" w:hAnsiTheme="minorHAnsi" w:cstheme="minorBidi"/>
          <w:b/>
        </w:rPr>
        <w:t>, what is the nature of the change to the MBS being sought?</w:t>
      </w:r>
    </w:p>
    <w:p w14:paraId="0C31C3AC" w14:textId="149F024D" w:rsidR="006B6390" w:rsidRPr="00FD78A3" w:rsidRDefault="00C4699F" w:rsidP="00AF1159">
      <w:pPr>
        <w:pStyle w:val="ListParagraph"/>
        <w:numPr>
          <w:ilvl w:val="0"/>
          <w:numId w:val="13"/>
        </w:numPr>
        <w:spacing w:before="0" w:after="0"/>
        <w:ind w:left="851" w:hanging="425"/>
        <w:rPr>
          <w:rStyle w:val="Strong"/>
          <w:b w:val="0"/>
        </w:rPr>
      </w:pPr>
      <w:r w:rsidRPr="00FD78A3">
        <w:rPr>
          <w:b/>
          <w:szCs w:val="20"/>
        </w:rPr>
        <w:fldChar w:fldCharType="begin">
          <w:ffData>
            <w:name w:val=""/>
            <w:enabled/>
            <w:calcOnExit w:val="0"/>
            <w:checkBox>
              <w:sizeAuto/>
              <w:default w:val="1"/>
            </w:checkBox>
          </w:ffData>
        </w:fldChar>
      </w:r>
      <w:r w:rsidRPr="00FD78A3">
        <w:rPr>
          <w:b/>
          <w:szCs w:val="20"/>
        </w:rPr>
        <w:instrText xml:space="preserve"> FORMCHECKBOX </w:instrText>
      </w:r>
      <w:r w:rsidR="006264EF">
        <w:rPr>
          <w:b/>
          <w:szCs w:val="20"/>
        </w:rPr>
      </w:r>
      <w:r w:rsidR="006264EF">
        <w:rPr>
          <w:b/>
          <w:szCs w:val="20"/>
        </w:rPr>
        <w:fldChar w:fldCharType="separate"/>
      </w:r>
      <w:r w:rsidRPr="00FD78A3">
        <w:rPr>
          <w:b/>
          <w:szCs w:val="20"/>
        </w:rPr>
        <w:fldChar w:fldCharType="end"/>
      </w:r>
      <w:r w:rsidR="006B6390" w:rsidRPr="00FD78A3">
        <w:rPr>
          <w:b/>
          <w:szCs w:val="20"/>
        </w:rPr>
        <w:t xml:space="preserve"> </w:t>
      </w:r>
      <w:r w:rsidR="006B6390" w:rsidRPr="00FD78A3">
        <w:rPr>
          <w:rStyle w:val="Strong"/>
          <w:b w:val="0"/>
        </w:rPr>
        <w:t>A new item which also seeks to allow access to the MBS for a specific health practitioner group</w:t>
      </w:r>
    </w:p>
    <w:p w14:paraId="6C2C5EAC" w14:textId="785DA65B" w:rsidR="006B6390" w:rsidRPr="00AA2CFE" w:rsidRDefault="00C4699F" w:rsidP="00AF1159">
      <w:pPr>
        <w:pStyle w:val="ListParagraph"/>
        <w:numPr>
          <w:ilvl w:val="0"/>
          <w:numId w:val="13"/>
        </w:numPr>
        <w:spacing w:before="0" w:after="0"/>
        <w:ind w:left="851" w:hanging="425"/>
        <w:rPr>
          <w:rStyle w:val="Strong"/>
          <w:b w:val="0"/>
        </w:rPr>
      </w:pPr>
      <w:r w:rsidRPr="00FD78A3">
        <w:rPr>
          <w:b/>
          <w:szCs w:val="20"/>
        </w:rPr>
        <w:fldChar w:fldCharType="begin">
          <w:ffData>
            <w:name w:val=""/>
            <w:enabled/>
            <w:calcOnExit w:val="0"/>
            <w:checkBox>
              <w:sizeAuto/>
              <w:default w:val="1"/>
            </w:checkBox>
          </w:ffData>
        </w:fldChar>
      </w:r>
      <w:r w:rsidRPr="00FD78A3">
        <w:rPr>
          <w:b/>
          <w:szCs w:val="20"/>
        </w:rPr>
        <w:instrText xml:space="preserve"> FORMCHECKBOX </w:instrText>
      </w:r>
      <w:r w:rsidR="006264EF">
        <w:rPr>
          <w:b/>
          <w:szCs w:val="20"/>
        </w:rPr>
      </w:r>
      <w:r w:rsidR="006264EF">
        <w:rPr>
          <w:b/>
          <w:szCs w:val="20"/>
        </w:rPr>
        <w:fldChar w:fldCharType="separate"/>
      </w:r>
      <w:r w:rsidRPr="00FD78A3">
        <w:rPr>
          <w:b/>
          <w:szCs w:val="20"/>
        </w:rPr>
        <w:fldChar w:fldCharType="end"/>
      </w:r>
      <w:r w:rsidR="006B6390" w:rsidRPr="00FD78A3">
        <w:rPr>
          <w:b/>
          <w:szCs w:val="20"/>
        </w:rPr>
        <w:t xml:space="preserve"> </w:t>
      </w:r>
      <w:r w:rsidR="006B6390" w:rsidRPr="00FD78A3">
        <w:rPr>
          <w:rStyle w:val="Strong"/>
          <w:b w:val="0"/>
        </w:rPr>
        <w:t>A new item that is proposing a way of clinically delivering a service that is new to the MBS (in</w:t>
      </w:r>
      <w:r w:rsidR="006B6390" w:rsidRPr="00AA2CFE">
        <w:rPr>
          <w:rStyle w:val="Strong"/>
          <w:b w:val="0"/>
        </w:rPr>
        <w:t xml:space="preserve"> terms of new technology and / or population)</w:t>
      </w:r>
    </w:p>
    <w:p w14:paraId="7D38D2DF" w14:textId="77777777" w:rsidR="006B6390" w:rsidRPr="00AA2CFE" w:rsidRDefault="006B6390" w:rsidP="00AF1159">
      <w:pPr>
        <w:pStyle w:val="ListParagraph"/>
        <w:numPr>
          <w:ilvl w:val="0"/>
          <w:numId w:val="13"/>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6264EF">
        <w:rPr>
          <w:b/>
          <w:szCs w:val="20"/>
        </w:rPr>
      </w:r>
      <w:r w:rsidR="006264EF">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07FEAA47" w14:textId="77777777" w:rsidR="006B6390" w:rsidRPr="00AA2CFE" w:rsidRDefault="006B6390" w:rsidP="00AF1159">
      <w:pPr>
        <w:pStyle w:val="ListParagraph"/>
        <w:numPr>
          <w:ilvl w:val="0"/>
          <w:numId w:val="13"/>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6264EF">
        <w:rPr>
          <w:b/>
          <w:szCs w:val="20"/>
        </w:rPr>
      </w:r>
      <w:r w:rsidR="006264EF">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4FD7239C" w14:textId="77777777" w:rsidR="003027BB" w:rsidRPr="007E39E4" w:rsidRDefault="00F30C22" w:rsidP="00AF1159">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0B7DEBE5" w14:textId="7FE89D95" w:rsidR="000A5B32" w:rsidRDefault="00C4699F" w:rsidP="00F06C03">
      <w:pPr>
        <w:spacing w:before="0" w:after="0"/>
        <w:ind w:left="36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6264EF">
        <w:rPr>
          <w:szCs w:val="20"/>
        </w:rPr>
      </w:r>
      <w:r w:rsidR="006264EF">
        <w:rPr>
          <w:szCs w:val="20"/>
        </w:rPr>
        <w:fldChar w:fldCharType="separate"/>
      </w:r>
      <w:r>
        <w:rPr>
          <w:szCs w:val="20"/>
        </w:rPr>
        <w:fldChar w:fldCharType="end"/>
      </w:r>
      <w:r w:rsidR="000A5B32" w:rsidRPr="000A5B32">
        <w:rPr>
          <w:szCs w:val="20"/>
        </w:rPr>
        <w:t xml:space="preserve"> Yes</w:t>
      </w:r>
    </w:p>
    <w:p w14:paraId="2497C57E" w14:textId="77777777" w:rsidR="00615603" w:rsidRDefault="00C4699F" w:rsidP="00F06C03">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264EF">
        <w:rPr>
          <w:szCs w:val="20"/>
        </w:rPr>
      </w:r>
      <w:r w:rsidR="006264EF">
        <w:rPr>
          <w:szCs w:val="20"/>
        </w:rPr>
        <w:fldChar w:fldCharType="separate"/>
      </w:r>
      <w:r>
        <w:rPr>
          <w:szCs w:val="20"/>
        </w:rPr>
        <w:fldChar w:fldCharType="end"/>
      </w:r>
      <w:r w:rsidR="000A5B32" w:rsidRPr="000A5B32">
        <w:rPr>
          <w:szCs w:val="20"/>
        </w:rPr>
        <w:t xml:space="preserve"> No</w:t>
      </w:r>
    </w:p>
    <w:p w14:paraId="0EF1F915" w14:textId="22D36394" w:rsidR="000A5B32" w:rsidRPr="00705730" w:rsidRDefault="003027BB" w:rsidP="00AF1159">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r w:rsidR="00705730">
        <w:rPr>
          <w:rStyle w:val="Strong"/>
          <w:rFonts w:asciiTheme="minorHAnsi" w:eastAsiaTheme="minorHAnsi" w:hAnsiTheme="minorHAnsi" w:cstheme="minorBidi"/>
          <w:b/>
        </w:rPr>
        <w:br/>
      </w:r>
    </w:p>
    <w:p w14:paraId="73ED62EF" w14:textId="77777777" w:rsidR="000B3CD0" w:rsidRDefault="000B3CD0" w:rsidP="00730C04">
      <w:pPr>
        <w:pStyle w:val="Heading2"/>
      </w:pPr>
      <w:r w:rsidRPr="00154B00">
        <w:t>What is the type of service:</w:t>
      </w:r>
    </w:p>
    <w:p w14:paraId="74F94F86" w14:textId="7DD3AE11" w:rsidR="00A6594E" w:rsidRDefault="00C4699F" w:rsidP="00F06C03">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6264EF">
        <w:rPr>
          <w:b/>
          <w:szCs w:val="20"/>
        </w:rPr>
      </w:r>
      <w:r w:rsidR="006264EF">
        <w:rPr>
          <w:b/>
          <w:szCs w:val="20"/>
        </w:rPr>
        <w:fldChar w:fldCharType="separate"/>
      </w:r>
      <w:r>
        <w:rPr>
          <w:b/>
          <w:szCs w:val="20"/>
        </w:rPr>
        <w:fldChar w:fldCharType="end"/>
      </w:r>
      <w:r w:rsidR="00A6594E" w:rsidRPr="0027105F">
        <w:rPr>
          <w:b/>
          <w:szCs w:val="20"/>
        </w:rPr>
        <w:t xml:space="preserve"> </w:t>
      </w:r>
      <w:r w:rsidR="00A6594E">
        <w:t>Therapeutic medical service</w:t>
      </w:r>
    </w:p>
    <w:p w14:paraId="1B6CCCAE" w14:textId="77777777" w:rsidR="00A6594E" w:rsidRDefault="00A6594E" w:rsidP="00F06C03">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264EF">
        <w:rPr>
          <w:b/>
          <w:szCs w:val="20"/>
        </w:rPr>
      </w:r>
      <w:r w:rsidR="006264EF">
        <w:rPr>
          <w:b/>
          <w:szCs w:val="20"/>
        </w:rPr>
        <w:fldChar w:fldCharType="separate"/>
      </w:r>
      <w:r w:rsidRPr="0027105F">
        <w:rPr>
          <w:b/>
          <w:szCs w:val="20"/>
        </w:rPr>
        <w:fldChar w:fldCharType="end"/>
      </w:r>
      <w:r w:rsidRPr="0027105F">
        <w:rPr>
          <w:b/>
          <w:szCs w:val="20"/>
        </w:rPr>
        <w:t xml:space="preserve"> </w:t>
      </w:r>
      <w:r>
        <w:t>Investigative medical service</w:t>
      </w:r>
    </w:p>
    <w:p w14:paraId="37F4F293" w14:textId="77777777" w:rsidR="00A6594E" w:rsidRDefault="00A6594E" w:rsidP="00F06C03">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264EF">
        <w:rPr>
          <w:b/>
          <w:szCs w:val="20"/>
        </w:rPr>
      </w:r>
      <w:r w:rsidR="006264EF">
        <w:rPr>
          <w:b/>
          <w:szCs w:val="20"/>
        </w:rPr>
        <w:fldChar w:fldCharType="separate"/>
      </w:r>
      <w:r w:rsidRPr="0027105F">
        <w:rPr>
          <w:b/>
          <w:szCs w:val="20"/>
        </w:rPr>
        <w:fldChar w:fldCharType="end"/>
      </w:r>
      <w:r w:rsidRPr="0027105F">
        <w:rPr>
          <w:b/>
          <w:szCs w:val="20"/>
        </w:rPr>
        <w:t xml:space="preserve"> </w:t>
      </w:r>
      <w:r>
        <w:t>Single consultation medical service</w:t>
      </w:r>
    </w:p>
    <w:p w14:paraId="4B0AB031" w14:textId="77777777" w:rsidR="00A6594E" w:rsidRDefault="00A6594E" w:rsidP="00F06C03">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264EF">
        <w:rPr>
          <w:b/>
          <w:szCs w:val="20"/>
        </w:rPr>
      </w:r>
      <w:r w:rsidR="006264EF">
        <w:rPr>
          <w:b/>
          <w:szCs w:val="20"/>
        </w:rPr>
        <w:fldChar w:fldCharType="separate"/>
      </w:r>
      <w:r w:rsidRPr="0027105F">
        <w:rPr>
          <w:b/>
          <w:szCs w:val="20"/>
        </w:rPr>
        <w:fldChar w:fldCharType="end"/>
      </w:r>
      <w:r w:rsidRPr="0027105F">
        <w:rPr>
          <w:b/>
          <w:szCs w:val="20"/>
        </w:rPr>
        <w:t xml:space="preserve"> </w:t>
      </w:r>
      <w:r>
        <w:t>Global consultation medical service</w:t>
      </w:r>
    </w:p>
    <w:p w14:paraId="741629E1" w14:textId="77777777" w:rsidR="00A6594E" w:rsidRDefault="00A6594E" w:rsidP="00F06C03">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264EF">
        <w:rPr>
          <w:b/>
          <w:szCs w:val="20"/>
        </w:rPr>
      </w:r>
      <w:r w:rsidR="006264EF">
        <w:rPr>
          <w:b/>
          <w:szCs w:val="20"/>
        </w:rPr>
        <w:fldChar w:fldCharType="separate"/>
      </w:r>
      <w:r w:rsidRPr="0027105F">
        <w:rPr>
          <w:b/>
          <w:szCs w:val="20"/>
        </w:rPr>
        <w:fldChar w:fldCharType="end"/>
      </w:r>
      <w:r w:rsidRPr="0027105F">
        <w:rPr>
          <w:b/>
          <w:szCs w:val="20"/>
        </w:rPr>
        <w:t xml:space="preserve"> </w:t>
      </w:r>
      <w:r>
        <w:t>Allied health service</w:t>
      </w:r>
    </w:p>
    <w:p w14:paraId="11519407" w14:textId="77777777" w:rsidR="00A6594E" w:rsidRDefault="00A6594E" w:rsidP="00F06C03">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264EF">
        <w:rPr>
          <w:b/>
          <w:szCs w:val="20"/>
        </w:rPr>
      </w:r>
      <w:r w:rsidR="006264EF">
        <w:rPr>
          <w:b/>
          <w:szCs w:val="20"/>
        </w:rPr>
        <w:fldChar w:fldCharType="separate"/>
      </w:r>
      <w:r w:rsidRPr="0027105F">
        <w:rPr>
          <w:b/>
          <w:szCs w:val="20"/>
        </w:rPr>
        <w:fldChar w:fldCharType="end"/>
      </w:r>
      <w:r w:rsidRPr="0027105F">
        <w:rPr>
          <w:b/>
          <w:szCs w:val="20"/>
        </w:rPr>
        <w:t xml:space="preserve"> </w:t>
      </w:r>
      <w:r>
        <w:t>Co-dependent technology</w:t>
      </w:r>
    </w:p>
    <w:p w14:paraId="01A88A9E" w14:textId="77777777" w:rsidR="00A6594E" w:rsidRPr="00A6594E" w:rsidRDefault="00A6594E" w:rsidP="00F06C03">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264EF">
        <w:rPr>
          <w:b/>
          <w:szCs w:val="20"/>
        </w:rPr>
      </w:r>
      <w:r w:rsidR="006264EF">
        <w:rPr>
          <w:b/>
          <w:szCs w:val="20"/>
        </w:rPr>
        <w:fldChar w:fldCharType="separate"/>
      </w:r>
      <w:r w:rsidRPr="0027105F">
        <w:rPr>
          <w:b/>
          <w:szCs w:val="20"/>
        </w:rPr>
        <w:fldChar w:fldCharType="end"/>
      </w:r>
      <w:r w:rsidRPr="0027105F">
        <w:rPr>
          <w:b/>
          <w:szCs w:val="20"/>
        </w:rPr>
        <w:t xml:space="preserve"> </w:t>
      </w:r>
      <w:r>
        <w:t>Hybrid health technology</w:t>
      </w:r>
    </w:p>
    <w:p w14:paraId="39DA7A1C"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0D8B4C2F" w14:textId="77777777" w:rsidR="00A6594E" w:rsidRDefault="00A6594E" w:rsidP="00AF1159">
      <w:pPr>
        <w:pStyle w:val="ListParagraph"/>
        <w:numPr>
          <w:ilvl w:val="0"/>
          <w:numId w:val="14"/>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6264EF">
        <w:rPr>
          <w:b/>
          <w:szCs w:val="20"/>
        </w:rPr>
      </w:r>
      <w:r w:rsidR="006264EF">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33F65502" w14:textId="77777777" w:rsidR="00A6594E" w:rsidRDefault="00A6594E" w:rsidP="00AF1159">
      <w:pPr>
        <w:pStyle w:val="ListParagraph"/>
        <w:numPr>
          <w:ilvl w:val="0"/>
          <w:numId w:val="14"/>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6264EF">
        <w:rPr>
          <w:b/>
          <w:szCs w:val="20"/>
        </w:rPr>
      </w:r>
      <w:r w:rsidR="006264EF">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0C27EE78" w14:textId="77777777" w:rsidR="00A6594E" w:rsidRDefault="00A6594E" w:rsidP="00AF1159">
      <w:pPr>
        <w:pStyle w:val="ListParagraph"/>
        <w:numPr>
          <w:ilvl w:val="0"/>
          <w:numId w:val="14"/>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6264EF">
        <w:rPr>
          <w:b/>
          <w:szCs w:val="20"/>
        </w:rPr>
      </w:r>
      <w:r w:rsidR="006264EF">
        <w:rPr>
          <w:b/>
          <w:szCs w:val="20"/>
        </w:rPr>
        <w:fldChar w:fldCharType="separate"/>
      </w:r>
      <w:r w:rsidRPr="00AF4466">
        <w:rPr>
          <w:b/>
          <w:szCs w:val="20"/>
        </w:rPr>
        <w:fldChar w:fldCharType="end"/>
      </w:r>
      <w:r w:rsidRPr="00AF4466">
        <w:rPr>
          <w:b/>
          <w:szCs w:val="20"/>
        </w:rPr>
        <w:t xml:space="preserve"> </w:t>
      </w:r>
      <w:r>
        <w:t>Provides information about prognosis</w:t>
      </w:r>
    </w:p>
    <w:p w14:paraId="72F422AB" w14:textId="77777777" w:rsidR="00A6594E" w:rsidRDefault="00A6594E" w:rsidP="00AF1159">
      <w:pPr>
        <w:pStyle w:val="ListParagraph"/>
        <w:numPr>
          <w:ilvl w:val="0"/>
          <w:numId w:val="14"/>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6264EF">
        <w:rPr>
          <w:b/>
          <w:szCs w:val="20"/>
        </w:rPr>
      </w:r>
      <w:r w:rsidR="006264EF">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1AE2F95A" w14:textId="77777777" w:rsidR="00A6594E" w:rsidRPr="00A6594E" w:rsidRDefault="00A6594E" w:rsidP="00AF1159">
      <w:pPr>
        <w:pStyle w:val="ListParagraph"/>
        <w:numPr>
          <w:ilvl w:val="0"/>
          <w:numId w:val="14"/>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6264EF">
        <w:rPr>
          <w:b/>
          <w:szCs w:val="20"/>
        </w:rPr>
      </w:r>
      <w:r w:rsidR="006264EF">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1084B5A9"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4E39BE34" w14:textId="77777777" w:rsidR="00FE16C1" w:rsidRDefault="00FE16C1" w:rsidP="00F06C03">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264EF">
        <w:rPr>
          <w:b/>
          <w:szCs w:val="20"/>
        </w:rPr>
      </w:r>
      <w:r w:rsidR="006264EF">
        <w:rPr>
          <w:b/>
          <w:szCs w:val="20"/>
        </w:rPr>
        <w:fldChar w:fldCharType="separate"/>
      </w:r>
      <w:r w:rsidRPr="0027105F">
        <w:rPr>
          <w:b/>
          <w:szCs w:val="20"/>
        </w:rPr>
        <w:fldChar w:fldCharType="end"/>
      </w:r>
      <w:r w:rsidRPr="0027105F">
        <w:rPr>
          <w:b/>
          <w:szCs w:val="20"/>
        </w:rPr>
        <w:t xml:space="preserve"> </w:t>
      </w:r>
      <w:r>
        <w:t>Pharmaceutical / Biological</w:t>
      </w:r>
    </w:p>
    <w:p w14:paraId="1842B85F" w14:textId="6E15DAD3" w:rsidR="00FE16C1" w:rsidRDefault="00392946" w:rsidP="00F06C03">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6264EF">
        <w:rPr>
          <w:b/>
          <w:szCs w:val="20"/>
        </w:rPr>
      </w:r>
      <w:r w:rsidR="006264EF">
        <w:rPr>
          <w:b/>
          <w:szCs w:val="20"/>
        </w:rPr>
        <w:fldChar w:fldCharType="separate"/>
      </w:r>
      <w:r>
        <w:rPr>
          <w:b/>
          <w:szCs w:val="20"/>
        </w:rPr>
        <w:fldChar w:fldCharType="end"/>
      </w:r>
      <w:r w:rsidR="00FE16C1" w:rsidRPr="0027105F">
        <w:rPr>
          <w:b/>
          <w:szCs w:val="20"/>
        </w:rPr>
        <w:t xml:space="preserve"> </w:t>
      </w:r>
      <w:r w:rsidR="00FE16C1">
        <w:t>Prosthesis or device</w:t>
      </w:r>
    </w:p>
    <w:p w14:paraId="52A7C211" w14:textId="77777777" w:rsidR="00FE16C1" w:rsidRPr="00FE16C1" w:rsidRDefault="00FE16C1" w:rsidP="00F06C03">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264EF">
        <w:rPr>
          <w:b/>
          <w:szCs w:val="20"/>
        </w:rPr>
      </w:r>
      <w:r w:rsidR="006264EF">
        <w:rPr>
          <w:b/>
          <w:szCs w:val="20"/>
        </w:rPr>
        <w:fldChar w:fldCharType="separate"/>
      </w:r>
      <w:r w:rsidRPr="0027105F">
        <w:rPr>
          <w:b/>
          <w:szCs w:val="20"/>
        </w:rPr>
        <w:fldChar w:fldCharType="end"/>
      </w:r>
      <w:r w:rsidRPr="0027105F">
        <w:rPr>
          <w:b/>
          <w:szCs w:val="20"/>
        </w:rPr>
        <w:t xml:space="preserve"> </w:t>
      </w:r>
      <w:r>
        <w:t>No</w:t>
      </w:r>
    </w:p>
    <w:p w14:paraId="08CCF0CD"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393EAE28" w14:textId="77777777" w:rsidR="00FE16C1" w:rsidRDefault="00FE16C1" w:rsidP="00F06C03">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64EF">
        <w:rPr>
          <w:szCs w:val="20"/>
        </w:rPr>
      </w:r>
      <w:r w:rsidR="006264EF">
        <w:rPr>
          <w:szCs w:val="20"/>
        </w:rPr>
        <w:fldChar w:fldCharType="separate"/>
      </w:r>
      <w:r w:rsidRPr="000A5B32">
        <w:rPr>
          <w:szCs w:val="20"/>
        </w:rPr>
        <w:fldChar w:fldCharType="end"/>
      </w:r>
      <w:r w:rsidRPr="000A5B32">
        <w:rPr>
          <w:szCs w:val="20"/>
        </w:rPr>
        <w:t xml:space="preserve"> Yes</w:t>
      </w:r>
    </w:p>
    <w:p w14:paraId="34AC0B86" w14:textId="7ED57597" w:rsidR="00FE16C1" w:rsidRPr="00FE16C1" w:rsidRDefault="005060F1" w:rsidP="00F06C03">
      <w:pPr>
        <w:spacing w:before="0" w:after="0"/>
        <w:ind w:left="360"/>
        <w:rPr>
          <w:szCs w:val="20"/>
        </w:rPr>
      </w:pPr>
      <w:r>
        <w:rPr>
          <w:szCs w:val="20"/>
        </w:rPr>
        <w:fldChar w:fldCharType="begin">
          <w:ffData>
            <w:name w:val=""/>
            <w:enabled/>
            <w:calcOnExit w:val="0"/>
            <w:checkBox>
              <w:sizeAuto/>
              <w:default w:val="0"/>
            </w:checkBox>
          </w:ffData>
        </w:fldChar>
      </w:r>
      <w:r w:rsidRPr="005060F1">
        <w:rPr>
          <w:szCs w:val="20"/>
        </w:rPr>
        <w:instrText xml:space="preserve"> FORMCHECKBOX </w:instrText>
      </w:r>
      <w:r w:rsidR="006264EF">
        <w:rPr>
          <w:szCs w:val="20"/>
        </w:rPr>
      </w:r>
      <w:r w:rsidR="006264EF">
        <w:rPr>
          <w:szCs w:val="20"/>
        </w:rPr>
        <w:fldChar w:fldCharType="separate"/>
      </w:r>
      <w:r>
        <w:rPr>
          <w:szCs w:val="20"/>
        </w:rPr>
        <w:fldChar w:fldCharType="end"/>
      </w:r>
      <w:r w:rsidR="00FE16C1">
        <w:rPr>
          <w:szCs w:val="20"/>
        </w:rPr>
        <w:t xml:space="preserve"> No  </w:t>
      </w:r>
    </w:p>
    <w:p w14:paraId="4742E919" w14:textId="77777777" w:rsidR="00EC127A" w:rsidRPr="001E6958" w:rsidRDefault="000E5439" w:rsidP="00AF1159">
      <w:pPr>
        <w:pStyle w:val="Heading2"/>
        <w:numPr>
          <w:ilvl w:val="0"/>
          <w:numId w:val="4"/>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6CF5409E" w14:textId="5942AF35" w:rsidR="007E39E4" w:rsidRPr="007E39E4" w:rsidRDefault="00392946" w:rsidP="00F06C03">
      <w:pPr>
        <w:ind w:left="284" w:firstLine="76"/>
        <w:rPr>
          <w:b/>
          <w:szCs w:val="20"/>
        </w:rPr>
      </w:pPr>
      <w:r>
        <w:t>N/A</w:t>
      </w:r>
    </w:p>
    <w:p w14:paraId="17BCD3C1" w14:textId="77777777" w:rsidR="00411735" w:rsidRPr="001E6958" w:rsidRDefault="00411735" w:rsidP="00AF1159">
      <w:pPr>
        <w:pStyle w:val="Heading2"/>
        <w:numPr>
          <w:ilvl w:val="0"/>
          <w:numId w:val="4"/>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42144B62" w14:textId="77777777" w:rsidR="007E39E4" w:rsidRDefault="007E39E4" w:rsidP="00F06C03">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64EF">
        <w:rPr>
          <w:szCs w:val="20"/>
        </w:rPr>
      </w:r>
      <w:r w:rsidR="006264EF">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5F20ED6F" w14:textId="70BA6274" w:rsidR="001E6919" w:rsidRPr="007E39E4" w:rsidRDefault="005060F1" w:rsidP="00F06C03">
      <w:pPr>
        <w:spacing w:before="0"/>
        <w:ind w:left="360"/>
        <w:rPr>
          <w:szCs w:val="20"/>
        </w:rPr>
      </w:pPr>
      <w:r>
        <w:rPr>
          <w:szCs w:val="20"/>
        </w:rPr>
        <w:fldChar w:fldCharType="begin">
          <w:ffData>
            <w:name w:val=""/>
            <w:enabled/>
            <w:calcOnExit w:val="0"/>
            <w:checkBox>
              <w:sizeAuto/>
              <w:default w:val="0"/>
            </w:checkBox>
          </w:ffData>
        </w:fldChar>
      </w:r>
      <w:r w:rsidRPr="005060F1">
        <w:rPr>
          <w:szCs w:val="20"/>
        </w:rPr>
        <w:instrText xml:space="preserve"> FORMCHECKBOX </w:instrText>
      </w:r>
      <w:r w:rsidR="006264EF">
        <w:rPr>
          <w:szCs w:val="20"/>
        </w:rPr>
      </w:r>
      <w:r w:rsidR="006264EF">
        <w:rPr>
          <w:szCs w:val="20"/>
        </w:rPr>
        <w:fldChar w:fldCharType="separate"/>
      </w:r>
      <w:r>
        <w:rPr>
          <w:szCs w:val="20"/>
        </w:rPr>
        <w:fldChar w:fldCharType="end"/>
      </w:r>
      <w:r w:rsidR="001E6919">
        <w:rPr>
          <w:szCs w:val="20"/>
        </w:rPr>
        <w:t xml:space="preserve"> No</w:t>
      </w:r>
    </w:p>
    <w:p w14:paraId="0D41A188" w14:textId="77777777" w:rsidR="000E5439" w:rsidRDefault="000E5439" w:rsidP="00AF1159">
      <w:pPr>
        <w:pStyle w:val="Heading2"/>
        <w:numPr>
          <w:ilvl w:val="0"/>
          <w:numId w:val="4"/>
        </w:numPr>
      </w:pPr>
      <w:r w:rsidRPr="007E39E4">
        <w:t>If you are seeking both MBS and PBS listing</w:t>
      </w:r>
      <w:r w:rsidR="00B75965" w:rsidRPr="007E39E4">
        <w:t>, what is the trade name and generic name of the pharmaceutical?</w:t>
      </w:r>
    </w:p>
    <w:p w14:paraId="592AECCF" w14:textId="02874EC8" w:rsidR="001E6958" w:rsidRPr="001E6958" w:rsidRDefault="006264EF" w:rsidP="00F06C03">
      <w:pPr>
        <w:spacing w:before="0" w:after="0"/>
        <w:ind w:left="284" w:firstLine="76"/>
      </w:pPr>
      <w:r>
        <w:t>N/A</w:t>
      </w:r>
    </w:p>
    <w:p w14:paraId="5ECBA6E0" w14:textId="77777777" w:rsidR="00B75965" w:rsidRPr="00FD78A3" w:rsidRDefault="00530204" w:rsidP="00530204">
      <w:pPr>
        <w:pStyle w:val="Heading2"/>
      </w:pPr>
      <w:r w:rsidRPr="00FD78A3">
        <w:lastRenderedPageBreak/>
        <w:t xml:space="preserve">(a) </w:t>
      </w:r>
      <w:r w:rsidR="00B75965" w:rsidRPr="00FD78A3">
        <w:t xml:space="preserve">If the proposed service </w:t>
      </w:r>
      <w:r w:rsidR="00A9062D" w:rsidRPr="00FD78A3">
        <w:t xml:space="preserve">is </w:t>
      </w:r>
      <w:r w:rsidR="00C73B62" w:rsidRPr="00FD78A3">
        <w:t>dependent on</w:t>
      </w:r>
      <w:r w:rsidR="00A9062D" w:rsidRPr="00FD78A3">
        <w:t xml:space="preserve"> </w:t>
      </w:r>
      <w:r w:rsidR="00BB003A" w:rsidRPr="00FD78A3">
        <w:t xml:space="preserve">the use of </w:t>
      </w:r>
      <w:r w:rsidR="00C05A45" w:rsidRPr="00FD78A3">
        <w:t>a prosthesis</w:t>
      </w:r>
      <w:r w:rsidR="00CD4E44" w:rsidRPr="00FD78A3">
        <w:t>,</w:t>
      </w:r>
      <w:r w:rsidR="00C05A45" w:rsidRPr="00FD78A3">
        <w:t xml:space="preserve"> </w:t>
      </w:r>
      <w:r w:rsidR="00B75965" w:rsidRPr="00FD78A3">
        <w:t>is it already included on the Prosthes</w:t>
      </w:r>
      <w:r w:rsidR="00BB003A" w:rsidRPr="00FD78A3">
        <w:t>e</w:t>
      </w:r>
      <w:r w:rsidR="00B75965" w:rsidRPr="00FD78A3">
        <w:t>s List?</w:t>
      </w:r>
    </w:p>
    <w:p w14:paraId="45CDCBDF" w14:textId="77777777" w:rsidR="001E6958" w:rsidRPr="00FD78A3" w:rsidRDefault="001E6958" w:rsidP="00F06C03">
      <w:pPr>
        <w:spacing w:before="0" w:after="0"/>
        <w:ind w:left="360"/>
        <w:rPr>
          <w:szCs w:val="20"/>
        </w:rPr>
      </w:pPr>
      <w:r w:rsidRPr="00FD78A3">
        <w:rPr>
          <w:szCs w:val="20"/>
        </w:rPr>
        <w:fldChar w:fldCharType="begin">
          <w:ffData>
            <w:name w:val="Check1"/>
            <w:enabled/>
            <w:calcOnExit w:val="0"/>
            <w:checkBox>
              <w:sizeAuto/>
              <w:default w:val="0"/>
            </w:checkBox>
          </w:ffData>
        </w:fldChar>
      </w:r>
      <w:r w:rsidRPr="00FD78A3">
        <w:rPr>
          <w:szCs w:val="20"/>
        </w:rPr>
        <w:instrText xml:space="preserve"> FORMCHECKBOX </w:instrText>
      </w:r>
      <w:r w:rsidR="006264EF">
        <w:rPr>
          <w:szCs w:val="20"/>
        </w:rPr>
      </w:r>
      <w:r w:rsidR="006264EF">
        <w:rPr>
          <w:szCs w:val="20"/>
        </w:rPr>
        <w:fldChar w:fldCharType="separate"/>
      </w:r>
      <w:r w:rsidRPr="00FD78A3">
        <w:rPr>
          <w:szCs w:val="20"/>
        </w:rPr>
        <w:fldChar w:fldCharType="end"/>
      </w:r>
      <w:r w:rsidRPr="00FD78A3">
        <w:rPr>
          <w:szCs w:val="20"/>
        </w:rPr>
        <w:t xml:space="preserve"> Yes</w:t>
      </w:r>
    </w:p>
    <w:p w14:paraId="03130474" w14:textId="5E5F4364" w:rsidR="001E6958" w:rsidRPr="00FD78A3" w:rsidRDefault="00392946" w:rsidP="00F06C03">
      <w:pPr>
        <w:spacing w:before="0" w:after="0"/>
        <w:ind w:left="360"/>
        <w:rPr>
          <w:szCs w:val="20"/>
        </w:rPr>
      </w:pPr>
      <w:r w:rsidRPr="00FD78A3">
        <w:rPr>
          <w:szCs w:val="20"/>
        </w:rPr>
        <w:fldChar w:fldCharType="begin">
          <w:ffData>
            <w:name w:val=""/>
            <w:enabled/>
            <w:calcOnExit w:val="0"/>
            <w:checkBox>
              <w:sizeAuto/>
              <w:default w:val="1"/>
            </w:checkBox>
          </w:ffData>
        </w:fldChar>
      </w:r>
      <w:r w:rsidRPr="00FD78A3">
        <w:rPr>
          <w:szCs w:val="20"/>
        </w:rPr>
        <w:instrText xml:space="preserve"> FORMCHECKBOX </w:instrText>
      </w:r>
      <w:r w:rsidR="006264EF">
        <w:rPr>
          <w:szCs w:val="20"/>
        </w:rPr>
      </w:r>
      <w:r w:rsidR="006264EF">
        <w:rPr>
          <w:szCs w:val="20"/>
        </w:rPr>
        <w:fldChar w:fldCharType="separate"/>
      </w:r>
      <w:r w:rsidRPr="00FD78A3">
        <w:rPr>
          <w:szCs w:val="20"/>
        </w:rPr>
        <w:fldChar w:fldCharType="end"/>
      </w:r>
      <w:r w:rsidR="001E6958" w:rsidRPr="00FD78A3">
        <w:rPr>
          <w:szCs w:val="20"/>
        </w:rPr>
        <w:t xml:space="preserve"> No  </w:t>
      </w:r>
    </w:p>
    <w:p w14:paraId="3F9F3779" w14:textId="35997C28" w:rsidR="00B75965" w:rsidRPr="005060F1" w:rsidRDefault="00B75965" w:rsidP="00AF1159">
      <w:pPr>
        <w:pStyle w:val="Heading2"/>
        <w:numPr>
          <w:ilvl w:val="0"/>
          <w:numId w:val="5"/>
        </w:numPr>
      </w:pPr>
      <w:r w:rsidRPr="00B7761E">
        <w:t xml:space="preserve">If yes, </w:t>
      </w:r>
      <w:r w:rsidR="00C73B62" w:rsidRPr="00B7761E">
        <w:t>please</w:t>
      </w:r>
      <w:r w:rsidR="00C73B62" w:rsidRPr="001E6958">
        <w:t xml:space="preserve"> provide the following information (where relevant): </w:t>
      </w:r>
    </w:p>
    <w:p w14:paraId="6F0A7222" w14:textId="0B62DB70" w:rsidR="009939DC" w:rsidRDefault="006264EF" w:rsidP="00F06C03">
      <w:pPr>
        <w:spacing w:before="0" w:after="240"/>
        <w:ind w:left="284" w:firstLine="76"/>
      </w:pPr>
      <w:r>
        <w:t>N/A</w:t>
      </w:r>
    </w:p>
    <w:p w14:paraId="7EC9681A" w14:textId="77777777" w:rsidR="00411735" w:rsidRPr="00FD78A3" w:rsidRDefault="00411735" w:rsidP="00AF1159">
      <w:pPr>
        <w:pStyle w:val="Heading2"/>
        <w:numPr>
          <w:ilvl w:val="0"/>
          <w:numId w:val="5"/>
        </w:numPr>
      </w:pPr>
      <w:r w:rsidRPr="00FD78A3">
        <w:t xml:space="preserve">If no, is an application in the process of being considered by </w:t>
      </w:r>
      <w:r w:rsidR="003433D1" w:rsidRPr="00FD78A3">
        <w:t xml:space="preserve">a Clinical Advisory Group or </w:t>
      </w:r>
      <w:r w:rsidRPr="00FD78A3">
        <w:t>the</w:t>
      </w:r>
      <w:r w:rsidR="00BB003A" w:rsidRPr="00FD78A3">
        <w:t xml:space="preserve"> Prostheses List Advisory Committee</w:t>
      </w:r>
      <w:r w:rsidRPr="00FD78A3">
        <w:t xml:space="preserve"> </w:t>
      </w:r>
      <w:r w:rsidR="00BB003A" w:rsidRPr="00FD78A3">
        <w:t>(</w:t>
      </w:r>
      <w:r w:rsidRPr="00FD78A3">
        <w:t>PLAC</w:t>
      </w:r>
      <w:r w:rsidR="00BB003A" w:rsidRPr="00FD78A3">
        <w:t>)</w:t>
      </w:r>
      <w:r w:rsidRPr="00FD78A3">
        <w:t>?</w:t>
      </w:r>
    </w:p>
    <w:p w14:paraId="0FABA110" w14:textId="77777777" w:rsidR="009939DC" w:rsidRPr="00FD78A3" w:rsidRDefault="009939DC" w:rsidP="00F06C03">
      <w:pPr>
        <w:spacing w:before="0" w:after="0"/>
        <w:ind w:left="360"/>
        <w:rPr>
          <w:szCs w:val="20"/>
        </w:rPr>
      </w:pPr>
      <w:r w:rsidRPr="00FD78A3">
        <w:rPr>
          <w:szCs w:val="20"/>
        </w:rPr>
        <w:fldChar w:fldCharType="begin">
          <w:ffData>
            <w:name w:val="Check1"/>
            <w:enabled/>
            <w:calcOnExit w:val="0"/>
            <w:checkBox>
              <w:sizeAuto/>
              <w:default w:val="0"/>
            </w:checkBox>
          </w:ffData>
        </w:fldChar>
      </w:r>
      <w:r w:rsidRPr="00FD78A3">
        <w:rPr>
          <w:szCs w:val="20"/>
        </w:rPr>
        <w:instrText xml:space="preserve"> FORMCHECKBOX </w:instrText>
      </w:r>
      <w:r w:rsidR="006264EF">
        <w:rPr>
          <w:szCs w:val="20"/>
        </w:rPr>
      </w:r>
      <w:r w:rsidR="006264EF">
        <w:rPr>
          <w:szCs w:val="20"/>
        </w:rPr>
        <w:fldChar w:fldCharType="separate"/>
      </w:r>
      <w:r w:rsidRPr="00FD78A3">
        <w:rPr>
          <w:szCs w:val="20"/>
        </w:rPr>
        <w:fldChar w:fldCharType="end"/>
      </w:r>
      <w:r w:rsidRPr="00FD78A3">
        <w:rPr>
          <w:szCs w:val="20"/>
        </w:rPr>
        <w:t xml:space="preserve"> Yes</w:t>
      </w:r>
    </w:p>
    <w:p w14:paraId="464EA0C7" w14:textId="7C8D7859" w:rsidR="001E6958" w:rsidRPr="00FD78A3" w:rsidRDefault="00392946" w:rsidP="00F06C03">
      <w:pPr>
        <w:spacing w:before="0" w:after="0"/>
        <w:ind w:left="360"/>
        <w:rPr>
          <w:szCs w:val="20"/>
        </w:rPr>
      </w:pPr>
      <w:r w:rsidRPr="00FD78A3">
        <w:rPr>
          <w:szCs w:val="20"/>
        </w:rPr>
        <w:fldChar w:fldCharType="begin">
          <w:ffData>
            <w:name w:val=""/>
            <w:enabled/>
            <w:calcOnExit w:val="0"/>
            <w:checkBox>
              <w:sizeAuto/>
              <w:default w:val="1"/>
            </w:checkBox>
          </w:ffData>
        </w:fldChar>
      </w:r>
      <w:r w:rsidRPr="00FD78A3">
        <w:rPr>
          <w:szCs w:val="20"/>
        </w:rPr>
        <w:instrText xml:space="preserve"> FORMCHECKBOX </w:instrText>
      </w:r>
      <w:r w:rsidR="006264EF">
        <w:rPr>
          <w:szCs w:val="20"/>
        </w:rPr>
      </w:r>
      <w:r w:rsidR="006264EF">
        <w:rPr>
          <w:szCs w:val="20"/>
        </w:rPr>
        <w:fldChar w:fldCharType="separate"/>
      </w:r>
      <w:r w:rsidRPr="00FD78A3">
        <w:rPr>
          <w:szCs w:val="20"/>
        </w:rPr>
        <w:fldChar w:fldCharType="end"/>
      </w:r>
      <w:r w:rsidR="009939DC" w:rsidRPr="00FD78A3">
        <w:rPr>
          <w:szCs w:val="20"/>
        </w:rPr>
        <w:t xml:space="preserve"> No  </w:t>
      </w:r>
    </w:p>
    <w:p w14:paraId="517AD473" w14:textId="77777777" w:rsidR="00016B6E" w:rsidRPr="000E386C" w:rsidRDefault="00016B6E" w:rsidP="00AF1159">
      <w:pPr>
        <w:pStyle w:val="Heading2"/>
        <w:numPr>
          <w:ilvl w:val="0"/>
          <w:numId w:val="5"/>
        </w:numPr>
      </w:pPr>
      <w:r w:rsidRPr="000E386C">
        <w:t>Are there any other sponsor(s) and / or manufacturer(</w:t>
      </w:r>
      <w:r w:rsidR="008B729C" w:rsidRPr="000E386C">
        <w:t>s) that have a similar prosthesi</w:t>
      </w:r>
      <w:r w:rsidRPr="000E386C">
        <w:t>s or device component in the Australian market place which this application is relevant to?</w:t>
      </w:r>
    </w:p>
    <w:p w14:paraId="703517AA" w14:textId="69763AB8" w:rsidR="009939DC" w:rsidRPr="000E386C" w:rsidRDefault="00392946" w:rsidP="00F06C03">
      <w:pPr>
        <w:spacing w:before="0" w:after="0"/>
        <w:ind w:left="360"/>
        <w:rPr>
          <w:szCs w:val="20"/>
        </w:rPr>
      </w:pPr>
      <w:r w:rsidRPr="000E386C">
        <w:rPr>
          <w:szCs w:val="20"/>
        </w:rPr>
        <w:fldChar w:fldCharType="begin">
          <w:ffData>
            <w:name w:val=""/>
            <w:enabled/>
            <w:calcOnExit w:val="0"/>
            <w:checkBox>
              <w:sizeAuto/>
              <w:default w:val="1"/>
            </w:checkBox>
          </w:ffData>
        </w:fldChar>
      </w:r>
      <w:r w:rsidRPr="000E386C">
        <w:rPr>
          <w:szCs w:val="20"/>
        </w:rPr>
        <w:instrText xml:space="preserve"> FORMCHECKBOX </w:instrText>
      </w:r>
      <w:r w:rsidR="006264EF">
        <w:rPr>
          <w:szCs w:val="20"/>
        </w:rPr>
      </w:r>
      <w:r w:rsidR="006264EF">
        <w:rPr>
          <w:szCs w:val="20"/>
        </w:rPr>
        <w:fldChar w:fldCharType="separate"/>
      </w:r>
      <w:r w:rsidRPr="000E386C">
        <w:rPr>
          <w:szCs w:val="20"/>
        </w:rPr>
        <w:fldChar w:fldCharType="end"/>
      </w:r>
      <w:r w:rsidR="009939DC" w:rsidRPr="000E386C">
        <w:rPr>
          <w:szCs w:val="20"/>
        </w:rPr>
        <w:t xml:space="preserve"> Yes</w:t>
      </w:r>
    </w:p>
    <w:p w14:paraId="3FD9D76F" w14:textId="77777777" w:rsidR="009939DC" w:rsidRPr="000E386C" w:rsidRDefault="009939DC" w:rsidP="00F06C03">
      <w:pPr>
        <w:spacing w:before="0" w:after="0"/>
        <w:ind w:left="360"/>
        <w:rPr>
          <w:szCs w:val="20"/>
        </w:rPr>
      </w:pPr>
      <w:r w:rsidRPr="000E386C">
        <w:rPr>
          <w:szCs w:val="20"/>
        </w:rPr>
        <w:fldChar w:fldCharType="begin">
          <w:ffData>
            <w:name w:val="Check2"/>
            <w:enabled/>
            <w:calcOnExit w:val="0"/>
            <w:checkBox>
              <w:sizeAuto/>
              <w:default w:val="0"/>
            </w:checkBox>
          </w:ffData>
        </w:fldChar>
      </w:r>
      <w:r w:rsidRPr="000E386C">
        <w:rPr>
          <w:szCs w:val="20"/>
        </w:rPr>
        <w:instrText xml:space="preserve"> FORMCHECKBOX </w:instrText>
      </w:r>
      <w:r w:rsidR="006264EF">
        <w:rPr>
          <w:szCs w:val="20"/>
        </w:rPr>
      </w:r>
      <w:r w:rsidR="006264EF">
        <w:rPr>
          <w:szCs w:val="20"/>
        </w:rPr>
        <w:fldChar w:fldCharType="separate"/>
      </w:r>
      <w:r w:rsidRPr="000E386C">
        <w:rPr>
          <w:szCs w:val="20"/>
        </w:rPr>
        <w:fldChar w:fldCharType="end"/>
      </w:r>
      <w:r w:rsidRPr="000E386C">
        <w:rPr>
          <w:szCs w:val="20"/>
        </w:rPr>
        <w:t xml:space="preserve"> No  </w:t>
      </w:r>
    </w:p>
    <w:p w14:paraId="232A8EC6" w14:textId="2F52BBA4" w:rsidR="009939DC" w:rsidRPr="000E386C" w:rsidRDefault="00016B6E" w:rsidP="00AF1159">
      <w:pPr>
        <w:pStyle w:val="Heading2"/>
        <w:numPr>
          <w:ilvl w:val="0"/>
          <w:numId w:val="5"/>
        </w:numPr>
      </w:pPr>
      <w:r w:rsidRPr="000E386C">
        <w:t>If yes, please provide the name(s) of the spon</w:t>
      </w:r>
      <w:r w:rsidR="009939DC" w:rsidRPr="000E386C">
        <w:t>sor(s) and / or manufacturer(s):</w:t>
      </w:r>
    </w:p>
    <w:p w14:paraId="32B4066A" w14:textId="2C2DF17E" w:rsidR="00016B6E" w:rsidRPr="009939DC" w:rsidRDefault="00700E86" w:rsidP="00F06C03">
      <w:pPr>
        <w:ind w:left="360"/>
      </w:pPr>
      <w:r w:rsidRPr="000E386C">
        <w:t>Type of therapeutic good: MitraClip Clip Delivery System - Mitral valve clip</w:t>
      </w:r>
      <w:r w:rsidR="007A6264" w:rsidRPr="000E386C">
        <w:br/>
      </w:r>
      <w:r w:rsidRPr="000E386C">
        <w:t>Manufacturer’s name: Abbott Vascular</w:t>
      </w:r>
      <w:r w:rsidR="007A6264" w:rsidRPr="000E386C">
        <w:br/>
      </w:r>
      <w:r w:rsidRPr="000E386C">
        <w:t>Sponsor’s name: Abbott Vascular Division of Abbott Australasia Pty Ltd</w:t>
      </w:r>
    </w:p>
    <w:p w14:paraId="3F66EB19"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4934D22C" w14:textId="28820B1E" w:rsidR="007E2874" w:rsidRPr="00FD78A3" w:rsidRDefault="0410CF5D" w:rsidP="00F06C03">
      <w:pPr>
        <w:spacing w:before="0" w:after="0"/>
        <w:ind w:left="360"/>
      </w:pPr>
      <w:r w:rsidRPr="00FD78A3">
        <w:t xml:space="preserve">Single use consumables: </w:t>
      </w:r>
      <w:r w:rsidR="00254B41" w:rsidRPr="00FD78A3">
        <w:t xml:space="preserve"> </w:t>
      </w:r>
      <w:r w:rsidR="00834A84" w:rsidRPr="00FD78A3">
        <w:t xml:space="preserve">The </w:t>
      </w:r>
      <w:r w:rsidR="003510BF" w:rsidRPr="00FD78A3">
        <w:t>Edwards PASCAL Transcatheter Valve Repair System components</w:t>
      </w:r>
      <w:r w:rsidR="00834A84" w:rsidRPr="00FD78A3">
        <w:t xml:space="preserve"> are designed, intended</w:t>
      </w:r>
      <w:r w:rsidR="0073778D" w:rsidRPr="00FD78A3">
        <w:t>, and distributed for single use only. There are no data to support the sterility, non-pyrogenicity</w:t>
      </w:r>
      <w:r w:rsidR="0055457B" w:rsidRPr="00FD78A3">
        <w:t>, and functionality of the devices after reprocessing.</w:t>
      </w:r>
    </w:p>
    <w:tbl>
      <w:tblPr>
        <w:tblStyle w:val="TableGrid"/>
        <w:tblW w:w="0" w:type="auto"/>
        <w:tblInd w:w="284" w:type="dxa"/>
        <w:tblLook w:val="04A0" w:firstRow="1" w:lastRow="0" w:firstColumn="1" w:lastColumn="0" w:noHBand="0" w:noVBand="1"/>
      </w:tblPr>
      <w:tblGrid>
        <w:gridCol w:w="2905"/>
        <w:gridCol w:w="2912"/>
        <w:gridCol w:w="2915"/>
      </w:tblGrid>
      <w:tr w:rsidR="00A34903" w:rsidRPr="00FD78A3" w14:paraId="6D4C1AFD" w14:textId="77777777" w:rsidTr="00A34903">
        <w:tc>
          <w:tcPr>
            <w:tcW w:w="3005" w:type="dxa"/>
          </w:tcPr>
          <w:p w14:paraId="4D679D21" w14:textId="0696DB7D" w:rsidR="00A34903" w:rsidRPr="00FD78A3" w:rsidRDefault="00A34903" w:rsidP="000C44A7">
            <w:pPr>
              <w:spacing w:before="0" w:after="0"/>
            </w:pPr>
            <w:r w:rsidRPr="00FD78A3">
              <w:t xml:space="preserve">Device </w:t>
            </w:r>
          </w:p>
        </w:tc>
        <w:tc>
          <w:tcPr>
            <w:tcW w:w="3005" w:type="dxa"/>
          </w:tcPr>
          <w:p w14:paraId="1B03E2C4" w14:textId="0EAB0414" w:rsidR="00A34903" w:rsidRPr="00FD78A3" w:rsidRDefault="00A34903" w:rsidP="000C44A7">
            <w:pPr>
              <w:spacing w:before="0" w:after="0"/>
            </w:pPr>
            <w:r w:rsidRPr="00FD78A3">
              <w:t>Model</w:t>
            </w:r>
          </w:p>
        </w:tc>
        <w:tc>
          <w:tcPr>
            <w:tcW w:w="3006" w:type="dxa"/>
          </w:tcPr>
          <w:p w14:paraId="7F1F42A1" w14:textId="5774D996" w:rsidR="00A34903" w:rsidRPr="00FD78A3" w:rsidRDefault="00A34903" w:rsidP="000C44A7">
            <w:pPr>
              <w:spacing w:before="0" w:after="0"/>
            </w:pPr>
            <w:r w:rsidRPr="00FD78A3">
              <w:t>Reorder Number</w:t>
            </w:r>
          </w:p>
        </w:tc>
      </w:tr>
      <w:tr w:rsidR="00A34903" w:rsidRPr="00FD78A3" w14:paraId="4CE967EC" w14:textId="77777777" w:rsidTr="000E386C">
        <w:tc>
          <w:tcPr>
            <w:tcW w:w="3005" w:type="dxa"/>
          </w:tcPr>
          <w:p w14:paraId="1BB44988" w14:textId="5A72A559" w:rsidR="00A34903" w:rsidRPr="00FD78A3" w:rsidRDefault="009466B1" w:rsidP="000C44A7">
            <w:pPr>
              <w:spacing w:before="0" w:after="0"/>
            </w:pPr>
            <w:r w:rsidRPr="00FD78A3">
              <w:t>Implant System</w:t>
            </w:r>
          </w:p>
        </w:tc>
        <w:tc>
          <w:tcPr>
            <w:tcW w:w="3005" w:type="dxa"/>
            <w:shd w:val="clear" w:color="auto" w:fill="auto"/>
          </w:tcPr>
          <w:p w14:paraId="6E75B65A" w14:textId="7B7BCFCF" w:rsidR="00A34903" w:rsidRPr="00EE60FE" w:rsidRDefault="00F5366B" w:rsidP="000C44A7">
            <w:pPr>
              <w:spacing w:before="0" w:after="0"/>
            </w:pPr>
            <w:r w:rsidRPr="00EE60FE">
              <w:t>10000IS</w:t>
            </w:r>
            <w:r w:rsidR="009C689B" w:rsidRPr="00EE60FE">
              <w:t xml:space="preserve">, </w:t>
            </w:r>
            <w:r w:rsidR="00EE60FE" w:rsidRPr="00EE60FE">
              <w:rPr>
                <w:b/>
                <w:bCs/>
              </w:rPr>
              <w:t>REDACTED</w:t>
            </w:r>
          </w:p>
        </w:tc>
        <w:tc>
          <w:tcPr>
            <w:tcW w:w="3006" w:type="dxa"/>
            <w:shd w:val="clear" w:color="auto" w:fill="auto"/>
          </w:tcPr>
          <w:p w14:paraId="34E193A1" w14:textId="4E6AE9FA" w:rsidR="00A34903" w:rsidRPr="00EE60FE" w:rsidRDefault="00FE660E" w:rsidP="000C44A7">
            <w:pPr>
              <w:spacing w:before="0" w:after="0"/>
            </w:pPr>
            <w:r w:rsidRPr="00EE60FE">
              <w:t>1</w:t>
            </w:r>
            <w:r w:rsidR="00C9165E" w:rsidRPr="00EE60FE">
              <w:t>0000IS</w:t>
            </w:r>
            <w:r w:rsidR="002F51F2" w:rsidRPr="00EE60FE">
              <w:t xml:space="preserve">CE, </w:t>
            </w:r>
            <w:r w:rsidR="00EE60FE" w:rsidRPr="00EE60FE">
              <w:rPr>
                <w:b/>
                <w:bCs/>
              </w:rPr>
              <w:t>REDACTED</w:t>
            </w:r>
          </w:p>
        </w:tc>
      </w:tr>
      <w:tr w:rsidR="00A34903" w:rsidRPr="00FD78A3" w14:paraId="4CCF98BF" w14:textId="77777777" w:rsidTr="000E386C">
        <w:tc>
          <w:tcPr>
            <w:tcW w:w="3005" w:type="dxa"/>
          </w:tcPr>
          <w:p w14:paraId="314499CF" w14:textId="7CCF9D0B" w:rsidR="00A34903" w:rsidRPr="00FD78A3" w:rsidRDefault="00C9165E" w:rsidP="000C44A7">
            <w:pPr>
              <w:spacing w:before="0" w:after="0"/>
            </w:pPr>
            <w:r w:rsidRPr="00FD78A3">
              <w:t>Guide Sheath</w:t>
            </w:r>
          </w:p>
        </w:tc>
        <w:tc>
          <w:tcPr>
            <w:tcW w:w="3005" w:type="dxa"/>
            <w:shd w:val="clear" w:color="auto" w:fill="auto"/>
          </w:tcPr>
          <w:p w14:paraId="2FCD6235" w14:textId="78F7D80B" w:rsidR="00A34903" w:rsidRPr="000E386C" w:rsidRDefault="007A4EBA" w:rsidP="000C44A7">
            <w:pPr>
              <w:spacing w:before="0" w:after="0"/>
            </w:pPr>
            <w:r w:rsidRPr="000E386C">
              <w:t>10000GS</w:t>
            </w:r>
          </w:p>
        </w:tc>
        <w:tc>
          <w:tcPr>
            <w:tcW w:w="3006" w:type="dxa"/>
            <w:shd w:val="clear" w:color="auto" w:fill="auto"/>
          </w:tcPr>
          <w:p w14:paraId="753D5415" w14:textId="162EF5E7" w:rsidR="00A34903" w:rsidRPr="000E386C" w:rsidRDefault="007A4EBA" w:rsidP="000C44A7">
            <w:pPr>
              <w:spacing w:before="0" w:after="0"/>
            </w:pPr>
            <w:r w:rsidRPr="000E386C">
              <w:t>10000GS</w:t>
            </w:r>
            <w:r w:rsidR="002F51F2" w:rsidRPr="000E386C">
              <w:t>CE</w:t>
            </w:r>
          </w:p>
        </w:tc>
      </w:tr>
      <w:tr w:rsidR="00A34903" w:rsidRPr="00FD78A3" w14:paraId="1C5F28AB" w14:textId="77777777" w:rsidTr="000E386C">
        <w:tc>
          <w:tcPr>
            <w:tcW w:w="3005" w:type="dxa"/>
          </w:tcPr>
          <w:p w14:paraId="5323BF9C" w14:textId="15DAFF7D" w:rsidR="00A34903" w:rsidRPr="00FD78A3" w:rsidRDefault="007A4EBA" w:rsidP="000C44A7">
            <w:pPr>
              <w:spacing w:before="0" w:after="0"/>
            </w:pPr>
            <w:r w:rsidRPr="00FD78A3">
              <w:t>Stabilizer</w:t>
            </w:r>
          </w:p>
        </w:tc>
        <w:tc>
          <w:tcPr>
            <w:tcW w:w="3005" w:type="dxa"/>
            <w:shd w:val="clear" w:color="auto" w:fill="auto"/>
          </w:tcPr>
          <w:p w14:paraId="1D7AB6EA" w14:textId="501D56EC" w:rsidR="00A34903" w:rsidRPr="000E386C" w:rsidRDefault="007A4EBA" w:rsidP="000C44A7">
            <w:pPr>
              <w:spacing w:before="0" w:after="0"/>
            </w:pPr>
            <w:r w:rsidRPr="000E386C">
              <w:t>10000ST</w:t>
            </w:r>
          </w:p>
        </w:tc>
        <w:tc>
          <w:tcPr>
            <w:tcW w:w="3006" w:type="dxa"/>
            <w:shd w:val="clear" w:color="auto" w:fill="auto"/>
          </w:tcPr>
          <w:p w14:paraId="07C7F06D" w14:textId="658156CA" w:rsidR="00A34903" w:rsidRPr="000E386C" w:rsidRDefault="007A4EBA" w:rsidP="000C44A7">
            <w:pPr>
              <w:spacing w:before="0" w:after="0"/>
            </w:pPr>
            <w:r w:rsidRPr="000E386C">
              <w:t>10000ST</w:t>
            </w:r>
            <w:r w:rsidR="002F51F2" w:rsidRPr="000E386C">
              <w:t>CE</w:t>
            </w:r>
          </w:p>
        </w:tc>
      </w:tr>
      <w:tr w:rsidR="00A34903" w14:paraId="62504E66" w14:textId="77777777" w:rsidTr="000E386C">
        <w:tc>
          <w:tcPr>
            <w:tcW w:w="3005" w:type="dxa"/>
          </w:tcPr>
          <w:p w14:paraId="09A7DBE6" w14:textId="15CC4319" w:rsidR="00A34903" w:rsidRPr="00FD78A3" w:rsidRDefault="007A4EBA" w:rsidP="000C44A7">
            <w:pPr>
              <w:spacing w:before="0" w:after="0"/>
            </w:pPr>
            <w:r w:rsidRPr="00FD78A3">
              <w:t>Table</w:t>
            </w:r>
          </w:p>
        </w:tc>
        <w:tc>
          <w:tcPr>
            <w:tcW w:w="3005" w:type="dxa"/>
            <w:shd w:val="clear" w:color="auto" w:fill="auto"/>
          </w:tcPr>
          <w:p w14:paraId="07ABCDBE" w14:textId="2AAC498F" w:rsidR="00A34903" w:rsidRPr="000E386C" w:rsidRDefault="007A4EBA" w:rsidP="000C44A7">
            <w:pPr>
              <w:spacing w:before="0" w:after="0"/>
            </w:pPr>
            <w:r w:rsidRPr="000E386C">
              <w:t>10000T</w:t>
            </w:r>
          </w:p>
        </w:tc>
        <w:tc>
          <w:tcPr>
            <w:tcW w:w="3006" w:type="dxa"/>
            <w:shd w:val="clear" w:color="auto" w:fill="auto"/>
          </w:tcPr>
          <w:p w14:paraId="65009490" w14:textId="3A109D9F" w:rsidR="00A34903" w:rsidRPr="000E386C" w:rsidRDefault="007A4EBA" w:rsidP="000C44A7">
            <w:pPr>
              <w:spacing w:before="0" w:after="0"/>
            </w:pPr>
            <w:r w:rsidRPr="000E386C">
              <w:t>10000T</w:t>
            </w:r>
            <w:r w:rsidR="002F51F2" w:rsidRPr="000E386C">
              <w:t>CE</w:t>
            </w:r>
          </w:p>
        </w:tc>
      </w:tr>
    </w:tbl>
    <w:p w14:paraId="43FB1796" w14:textId="6756760F" w:rsidR="00A34903" w:rsidRDefault="00A34903" w:rsidP="000C44A7">
      <w:pPr>
        <w:spacing w:before="0" w:after="0"/>
        <w:ind w:left="284"/>
      </w:pPr>
    </w:p>
    <w:p w14:paraId="7D52C12C" w14:textId="6756760F" w:rsidR="00392946" w:rsidRDefault="009939DC" w:rsidP="00A6491A">
      <w:pPr>
        <w:spacing w:before="0" w:after="0"/>
        <w:ind w:left="284"/>
      </w:pPr>
      <w:r>
        <w:t>Multi-use consumables:</w:t>
      </w:r>
      <w:r w:rsidRPr="009939DC">
        <w:t xml:space="preserve"> </w:t>
      </w:r>
      <w:r w:rsidR="00092313">
        <w:t>None</w:t>
      </w:r>
    </w:p>
    <w:p w14:paraId="7CCD64A8" w14:textId="6756760F" w:rsidR="00F301F1" w:rsidRPr="00855944" w:rsidRDefault="00F301F1" w:rsidP="00A6491A">
      <w:pPr>
        <w:spacing w:before="0" w:after="0"/>
        <w:ind w:left="284"/>
      </w:pPr>
      <w:r>
        <w:br w:type="page"/>
      </w:r>
    </w:p>
    <w:p w14:paraId="6E9B795D" w14:textId="6756760F"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5D8BDA32" w14:textId="6756760F"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593EA247" w14:textId="452AAEE3" w:rsidR="00A26343" w:rsidRPr="00FD78A3" w:rsidRDefault="00A26343" w:rsidP="00F06C03">
      <w:pPr>
        <w:spacing w:before="0" w:after="0"/>
        <w:ind w:left="360"/>
        <w:rPr>
          <w:szCs w:val="20"/>
        </w:rPr>
      </w:pPr>
      <w:r w:rsidRPr="00FD78A3">
        <w:rPr>
          <w:szCs w:val="20"/>
        </w:rPr>
        <w:t>Type of therapeutic good:</w:t>
      </w:r>
      <w:r w:rsidR="00A01018" w:rsidRPr="00FD78A3">
        <w:t xml:space="preserve">  Edwards PASCAL Transcatheter Valve Repair System</w:t>
      </w:r>
      <w:r w:rsidR="005D473F" w:rsidRPr="00FD78A3">
        <w:t xml:space="preserve"> – </w:t>
      </w:r>
      <w:r w:rsidR="00CE025B" w:rsidRPr="00FD78A3">
        <w:t xml:space="preserve">Implant System - </w:t>
      </w:r>
      <w:r w:rsidR="005D473F" w:rsidRPr="00FD78A3">
        <w:t xml:space="preserve">Mitral valve </w:t>
      </w:r>
      <w:r w:rsidR="00CE025B" w:rsidRPr="00FD78A3">
        <w:t>clip</w:t>
      </w:r>
    </w:p>
    <w:p w14:paraId="52E47022" w14:textId="5415A447" w:rsidR="00A26343" w:rsidRPr="00FD78A3" w:rsidRDefault="00A26343" w:rsidP="00F06C03">
      <w:pPr>
        <w:spacing w:before="0" w:after="0"/>
        <w:ind w:left="360"/>
        <w:rPr>
          <w:szCs w:val="20"/>
        </w:rPr>
      </w:pPr>
      <w:r w:rsidRPr="00FD78A3">
        <w:rPr>
          <w:szCs w:val="20"/>
        </w:rPr>
        <w:t xml:space="preserve">Manufacturer’s name: </w:t>
      </w:r>
      <w:r w:rsidR="00D02CEE" w:rsidRPr="00FD78A3">
        <w:t>Edwards Lifesciences LLC</w:t>
      </w:r>
    </w:p>
    <w:p w14:paraId="20AEA93C" w14:textId="0FDBDC32" w:rsidR="00A26343" w:rsidRPr="00A26343" w:rsidRDefault="00A26343" w:rsidP="00F06C03">
      <w:pPr>
        <w:spacing w:before="0" w:after="0"/>
        <w:ind w:left="360"/>
        <w:rPr>
          <w:szCs w:val="20"/>
        </w:rPr>
      </w:pPr>
      <w:r w:rsidRPr="00FD78A3">
        <w:rPr>
          <w:szCs w:val="20"/>
        </w:rPr>
        <w:t xml:space="preserve">Sponsor’s name: </w:t>
      </w:r>
      <w:r w:rsidR="00D02CEE" w:rsidRPr="00FD78A3">
        <w:t>Edwards Lifesciences Pty Ltd</w:t>
      </w:r>
    </w:p>
    <w:p w14:paraId="679F3750" w14:textId="77777777" w:rsidR="005E2CE3" w:rsidRPr="00154B00" w:rsidRDefault="005E2CE3" w:rsidP="00AF1159">
      <w:pPr>
        <w:pStyle w:val="Heading2"/>
        <w:numPr>
          <w:ilvl w:val="0"/>
          <w:numId w:val="6"/>
        </w:numPr>
      </w:pPr>
      <w:r>
        <w:t xml:space="preserve">Is the </w:t>
      </w:r>
      <w:r w:rsidRPr="0043654D">
        <w:t>medical</w:t>
      </w:r>
      <w:r>
        <w:t xml:space="preserve"> device classified by the TGA as either a Class III or Active Implantable Medical Device (AIMD) against the TGA regulatory scheme for devices?</w:t>
      </w:r>
    </w:p>
    <w:p w14:paraId="6219F411" w14:textId="3A65ADB2" w:rsidR="00615F42" w:rsidRPr="00615F42" w:rsidRDefault="001D707D" w:rsidP="00F06C03">
      <w:pPr>
        <w:spacing w:before="0" w:after="0"/>
        <w:ind w:left="360"/>
        <w:rPr>
          <w:szCs w:val="20"/>
        </w:rPr>
      </w:pPr>
      <w:r>
        <w:rPr>
          <w:szCs w:val="20"/>
        </w:rPr>
        <w:fldChar w:fldCharType="begin">
          <w:ffData>
            <w:name w:val="Check1"/>
            <w:enabled/>
            <w:calcOnExit w:val="0"/>
            <w:checkBox>
              <w:sizeAuto/>
              <w:default w:val="1"/>
            </w:checkBox>
          </w:ffData>
        </w:fldChar>
      </w:r>
      <w:bookmarkStart w:id="2" w:name="Check1"/>
      <w:r w:rsidRPr="00741998">
        <w:rPr>
          <w:szCs w:val="20"/>
        </w:rPr>
        <w:instrText xml:space="preserve"> FORMCHECKBOX </w:instrText>
      </w:r>
      <w:r w:rsidR="006264EF">
        <w:rPr>
          <w:szCs w:val="20"/>
        </w:rPr>
      </w:r>
      <w:r w:rsidR="006264EF">
        <w:rPr>
          <w:szCs w:val="20"/>
        </w:rPr>
        <w:fldChar w:fldCharType="separate"/>
      </w:r>
      <w:r>
        <w:rPr>
          <w:szCs w:val="20"/>
        </w:rPr>
        <w:fldChar w:fldCharType="end"/>
      </w:r>
      <w:bookmarkEnd w:id="2"/>
      <w:r w:rsidR="00615F42" w:rsidRPr="000A5B32">
        <w:rPr>
          <w:szCs w:val="20"/>
        </w:rPr>
        <w:t xml:space="preserve"> </w:t>
      </w:r>
      <w:r w:rsidR="00615F42" w:rsidRPr="00615F42">
        <w:rPr>
          <w:szCs w:val="20"/>
        </w:rPr>
        <w:t>Class III</w:t>
      </w:r>
    </w:p>
    <w:p w14:paraId="18B5219F" w14:textId="77777777" w:rsidR="00615F42" w:rsidRPr="00615F42" w:rsidRDefault="00615F42" w:rsidP="00F06C03">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64EF">
        <w:rPr>
          <w:szCs w:val="20"/>
        </w:rPr>
      </w:r>
      <w:r w:rsidR="006264EF">
        <w:rPr>
          <w:szCs w:val="20"/>
        </w:rPr>
        <w:fldChar w:fldCharType="separate"/>
      </w:r>
      <w:r w:rsidRPr="000A5B32">
        <w:rPr>
          <w:szCs w:val="20"/>
        </w:rPr>
        <w:fldChar w:fldCharType="end"/>
      </w:r>
      <w:r w:rsidRPr="000A5B32">
        <w:rPr>
          <w:szCs w:val="20"/>
        </w:rPr>
        <w:t xml:space="preserve"> </w:t>
      </w:r>
      <w:r w:rsidRPr="00615F42">
        <w:rPr>
          <w:szCs w:val="20"/>
        </w:rPr>
        <w:t>AIMD</w:t>
      </w:r>
    </w:p>
    <w:p w14:paraId="77D78462" w14:textId="77777777" w:rsidR="005E2CE3" w:rsidRPr="00154B00" w:rsidRDefault="00615F42" w:rsidP="00F06C03">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64EF">
        <w:rPr>
          <w:szCs w:val="20"/>
        </w:rPr>
      </w:r>
      <w:r w:rsidR="006264EF">
        <w:rPr>
          <w:szCs w:val="20"/>
        </w:rPr>
        <w:fldChar w:fldCharType="separate"/>
      </w:r>
      <w:r w:rsidRPr="000A5B32">
        <w:rPr>
          <w:szCs w:val="20"/>
        </w:rPr>
        <w:fldChar w:fldCharType="end"/>
      </w:r>
      <w:r w:rsidRPr="000A5B32">
        <w:rPr>
          <w:szCs w:val="20"/>
        </w:rPr>
        <w:t xml:space="preserve"> </w:t>
      </w:r>
      <w:r w:rsidRPr="00615F42">
        <w:rPr>
          <w:szCs w:val="20"/>
        </w:rPr>
        <w:t>N/A</w:t>
      </w:r>
    </w:p>
    <w:p w14:paraId="21FEA993"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41BC3D8D" w14:textId="77777777" w:rsidR="00615F42" w:rsidRDefault="00615F42" w:rsidP="00F06C03">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64EF">
        <w:rPr>
          <w:szCs w:val="20"/>
        </w:rPr>
      </w:r>
      <w:r w:rsidR="006264EF">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6D921932" w14:textId="007F513F" w:rsidR="003421AE" w:rsidRPr="00615F42" w:rsidRDefault="001D707D" w:rsidP="00F06C03">
      <w:pPr>
        <w:spacing w:before="0" w:after="0"/>
        <w:ind w:left="360"/>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264EF">
        <w:rPr>
          <w:szCs w:val="20"/>
        </w:rPr>
      </w:r>
      <w:r w:rsidR="006264EF">
        <w:rPr>
          <w:szCs w:val="20"/>
        </w:rPr>
        <w:fldChar w:fldCharType="separate"/>
      </w:r>
      <w:r>
        <w:rPr>
          <w:szCs w:val="20"/>
        </w:rPr>
        <w:fldChar w:fldCharType="end"/>
      </w:r>
      <w:r w:rsidR="00615F42">
        <w:rPr>
          <w:szCs w:val="20"/>
        </w:rPr>
        <w:t xml:space="preserve"> No</w:t>
      </w:r>
    </w:p>
    <w:p w14:paraId="18DD7E3D" w14:textId="77777777" w:rsidR="00D85676" w:rsidRDefault="00D85676" w:rsidP="00AF1159">
      <w:pPr>
        <w:pStyle w:val="Heading2"/>
        <w:numPr>
          <w:ilvl w:val="0"/>
          <w:numId w:val="7"/>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0440B35E" w14:textId="7E453856" w:rsidR="0043654D" w:rsidRDefault="00D02CEE" w:rsidP="00F06C03">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264EF">
        <w:rPr>
          <w:szCs w:val="20"/>
        </w:rPr>
      </w:r>
      <w:r w:rsidR="006264EF">
        <w:rPr>
          <w:szCs w:val="20"/>
        </w:rPr>
        <w:fldChar w:fldCharType="separate"/>
      </w:r>
      <w:r>
        <w:rPr>
          <w:szCs w:val="20"/>
        </w:rPr>
        <w:fldChar w:fldCharType="end"/>
      </w:r>
      <w:r w:rsidR="0043654D">
        <w:rPr>
          <w:szCs w:val="20"/>
        </w:rPr>
        <w:t xml:space="preserve"> Yes (if yes, please provide details below)</w:t>
      </w:r>
    </w:p>
    <w:p w14:paraId="412DE262" w14:textId="77777777" w:rsidR="0043654D" w:rsidRDefault="0043654D" w:rsidP="00F06C03">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64EF">
        <w:rPr>
          <w:szCs w:val="20"/>
        </w:rPr>
      </w:r>
      <w:r w:rsidR="006264EF">
        <w:rPr>
          <w:szCs w:val="20"/>
        </w:rPr>
        <w:fldChar w:fldCharType="separate"/>
      </w:r>
      <w:r w:rsidRPr="000A5B32">
        <w:rPr>
          <w:szCs w:val="20"/>
        </w:rPr>
        <w:fldChar w:fldCharType="end"/>
      </w:r>
      <w:r>
        <w:rPr>
          <w:szCs w:val="20"/>
        </w:rPr>
        <w:t xml:space="preserve"> No</w:t>
      </w:r>
    </w:p>
    <w:p w14:paraId="18529D26" w14:textId="77777777" w:rsidR="0043654D" w:rsidRPr="00615F42" w:rsidRDefault="0043654D" w:rsidP="0043654D">
      <w:pPr>
        <w:spacing w:before="0" w:after="0"/>
        <w:ind w:left="284"/>
        <w:rPr>
          <w:b/>
          <w:szCs w:val="20"/>
        </w:rPr>
      </w:pPr>
    </w:p>
    <w:p w14:paraId="1F5F36B1" w14:textId="05D90ED9" w:rsidR="005652A5" w:rsidRPr="00FD78A3" w:rsidRDefault="005652A5" w:rsidP="00F06C03">
      <w:pPr>
        <w:spacing w:before="0" w:after="0"/>
        <w:ind w:left="360"/>
        <w:rPr>
          <w:szCs w:val="20"/>
        </w:rPr>
      </w:pPr>
      <w:r w:rsidRPr="00FD78A3">
        <w:rPr>
          <w:szCs w:val="20"/>
        </w:rPr>
        <w:t>The PASCAL which is used to perform the TMVr is registered on the Australian Register of Therapeutic Goods (Table 1). The intended purpose is not restricted by stage of MR.</w:t>
      </w:r>
    </w:p>
    <w:p w14:paraId="22C1F659" w14:textId="77777777" w:rsidR="005652A5" w:rsidRPr="00FD78A3" w:rsidRDefault="005652A5" w:rsidP="005652A5">
      <w:pPr>
        <w:spacing w:before="0" w:after="0"/>
        <w:ind w:left="284"/>
        <w:rPr>
          <w:szCs w:val="20"/>
        </w:rPr>
      </w:pPr>
    </w:p>
    <w:p w14:paraId="4C9363C6" w14:textId="3ED64080" w:rsidR="00B4018B" w:rsidRPr="00FD78A3" w:rsidRDefault="005652A5" w:rsidP="005652A5">
      <w:pPr>
        <w:spacing w:before="0" w:after="0"/>
        <w:ind w:left="284"/>
        <w:rPr>
          <w:szCs w:val="20"/>
        </w:rPr>
      </w:pPr>
      <w:r w:rsidRPr="00FD78A3">
        <w:rPr>
          <w:szCs w:val="20"/>
        </w:rPr>
        <w:t>Table 1 List of ARTGs for PASCAL</w:t>
      </w:r>
      <w:r w:rsidR="00A34B66" w:rsidRPr="00FD78A3">
        <w:rPr>
          <w:szCs w:val="20"/>
        </w:rPr>
        <w:t>:</w:t>
      </w:r>
    </w:p>
    <w:tbl>
      <w:tblPr>
        <w:tblStyle w:val="TableGrid"/>
        <w:tblW w:w="0" w:type="auto"/>
        <w:tblInd w:w="284" w:type="dxa"/>
        <w:tblLook w:val="04A0" w:firstRow="1" w:lastRow="0" w:firstColumn="1" w:lastColumn="0" w:noHBand="0" w:noVBand="1"/>
      </w:tblPr>
      <w:tblGrid>
        <w:gridCol w:w="1434"/>
        <w:gridCol w:w="3677"/>
        <w:gridCol w:w="2250"/>
        <w:gridCol w:w="1371"/>
      </w:tblGrid>
      <w:tr w:rsidR="00AD1283" w:rsidRPr="00FD78A3" w14:paraId="2859CF12" w14:textId="77777777" w:rsidTr="003636B2">
        <w:tc>
          <w:tcPr>
            <w:tcW w:w="1434" w:type="dxa"/>
          </w:tcPr>
          <w:p w14:paraId="2C0951DD" w14:textId="23C725CA" w:rsidR="00CA3F4B" w:rsidRPr="00FD78A3" w:rsidRDefault="00CA3F4B" w:rsidP="0043654D">
            <w:pPr>
              <w:spacing w:before="0" w:after="0"/>
              <w:rPr>
                <w:szCs w:val="20"/>
              </w:rPr>
            </w:pPr>
            <w:r w:rsidRPr="00FD78A3">
              <w:rPr>
                <w:szCs w:val="20"/>
              </w:rPr>
              <w:t>ARTG</w:t>
            </w:r>
          </w:p>
        </w:tc>
        <w:tc>
          <w:tcPr>
            <w:tcW w:w="3677" w:type="dxa"/>
          </w:tcPr>
          <w:p w14:paraId="7C964B32" w14:textId="72835EF6" w:rsidR="00CA3F4B" w:rsidRPr="00FD78A3" w:rsidRDefault="00CA3F4B" w:rsidP="0043654D">
            <w:pPr>
              <w:spacing w:before="0" w:after="0"/>
              <w:rPr>
                <w:szCs w:val="20"/>
              </w:rPr>
            </w:pPr>
            <w:r w:rsidRPr="00FD78A3">
              <w:rPr>
                <w:szCs w:val="20"/>
              </w:rPr>
              <w:t>Functional Description</w:t>
            </w:r>
          </w:p>
        </w:tc>
        <w:tc>
          <w:tcPr>
            <w:tcW w:w="2250" w:type="dxa"/>
          </w:tcPr>
          <w:p w14:paraId="2CCFBB0C" w14:textId="691D5ADB" w:rsidR="00CA3F4B" w:rsidRPr="00FD78A3" w:rsidRDefault="00CA3F4B" w:rsidP="0043654D">
            <w:pPr>
              <w:spacing w:before="0" w:after="0"/>
              <w:rPr>
                <w:szCs w:val="20"/>
              </w:rPr>
            </w:pPr>
            <w:r w:rsidRPr="00FD78A3">
              <w:rPr>
                <w:szCs w:val="20"/>
              </w:rPr>
              <w:t>Intended Purpose</w:t>
            </w:r>
          </w:p>
        </w:tc>
        <w:tc>
          <w:tcPr>
            <w:tcW w:w="1371" w:type="dxa"/>
          </w:tcPr>
          <w:p w14:paraId="384774D5" w14:textId="2096367F" w:rsidR="00CA3F4B" w:rsidRPr="00FD78A3" w:rsidRDefault="00CA3F4B" w:rsidP="0043654D">
            <w:pPr>
              <w:spacing w:before="0" w:after="0"/>
              <w:rPr>
                <w:szCs w:val="20"/>
              </w:rPr>
            </w:pPr>
            <w:r w:rsidRPr="00FD78A3">
              <w:rPr>
                <w:szCs w:val="20"/>
              </w:rPr>
              <w:t>Manufacturer</w:t>
            </w:r>
          </w:p>
        </w:tc>
      </w:tr>
      <w:tr w:rsidR="00AD1283" w:rsidRPr="00FD78A3" w14:paraId="4884C780" w14:textId="77777777" w:rsidTr="003636B2">
        <w:tc>
          <w:tcPr>
            <w:tcW w:w="1434" w:type="dxa"/>
          </w:tcPr>
          <w:p w14:paraId="4FC2A192" w14:textId="77777777" w:rsidR="00CA3F4B" w:rsidRPr="00FD78A3" w:rsidRDefault="0050595A" w:rsidP="0043654D">
            <w:pPr>
              <w:spacing w:before="0" w:after="0"/>
              <w:rPr>
                <w:szCs w:val="20"/>
              </w:rPr>
            </w:pPr>
            <w:r w:rsidRPr="00FD78A3">
              <w:rPr>
                <w:szCs w:val="20"/>
              </w:rPr>
              <w:t>3422</w:t>
            </w:r>
            <w:r w:rsidR="006D1AD4" w:rsidRPr="00FD78A3">
              <w:rPr>
                <w:szCs w:val="20"/>
              </w:rPr>
              <w:t>70</w:t>
            </w:r>
          </w:p>
          <w:p w14:paraId="105FEA08" w14:textId="77777777" w:rsidR="006D1AD4" w:rsidRPr="00FD78A3" w:rsidRDefault="006D1AD4" w:rsidP="0043654D">
            <w:pPr>
              <w:spacing w:before="0" w:after="0"/>
              <w:rPr>
                <w:szCs w:val="20"/>
              </w:rPr>
            </w:pPr>
          </w:p>
          <w:p w14:paraId="1869A827" w14:textId="1BC57CF2" w:rsidR="006D1AD4" w:rsidRPr="00FD78A3" w:rsidRDefault="006D1AD4" w:rsidP="0043654D">
            <w:pPr>
              <w:spacing w:before="0" w:after="0"/>
              <w:rPr>
                <w:szCs w:val="20"/>
              </w:rPr>
            </w:pPr>
            <w:r w:rsidRPr="00FD78A3">
              <w:rPr>
                <w:szCs w:val="20"/>
              </w:rPr>
              <w:t xml:space="preserve">Date: </w:t>
            </w:r>
            <w:r w:rsidR="00962B03" w:rsidRPr="00FD78A3">
              <w:rPr>
                <w:szCs w:val="20"/>
              </w:rPr>
              <w:t>25/08/2020</w:t>
            </w:r>
          </w:p>
        </w:tc>
        <w:tc>
          <w:tcPr>
            <w:tcW w:w="3677" w:type="dxa"/>
          </w:tcPr>
          <w:p w14:paraId="54568D5B" w14:textId="4580F005" w:rsidR="000A3C95" w:rsidRPr="00FD78A3" w:rsidRDefault="000A3C95" w:rsidP="000A3C95">
            <w:pPr>
              <w:spacing w:before="0" w:after="0"/>
            </w:pPr>
            <w:r w:rsidRPr="00FD78A3">
              <w:t xml:space="preserve">Edwards Lifesciences Pty Ltd - </w:t>
            </w:r>
            <w:r w:rsidR="00390D19" w:rsidRPr="00FD78A3">
              <w:t xml:space="preserve">PASCAL Transcatheter Valve Repair </w:t>
            </w:r>
            <w:r w:rsidRPr="00FD78A3">
              <w:t xml:space="preserve">- </w:t>
            </w:r>
            <w:r w:rsidR="00390D19" w:rsidRPr="00FD78A3">
              <w:t>System Implant</w:t>
            </w:r>
          </w:p>
          <w:p w14:paraId="45CCA365" w14:textId="6D7F35B7" w:rsidR="00607249" w:rsidRPr="00FD78A3" w:rsidRDefault="00390D19" w:rsidP="00AD1283">
            <w:pPr>
              <w:spacing w:before="0" w:after="0"/>
              <w:rPr>
                <w:szCs w:val="20"/>
                <w:u w:val="single"/>
              </w:rPr>
            </w:pPr>
            <w:r w:rsidRPr="00FD78A3">
              <w:t>System - Mitral valve clip</w:t>
            </w:r>
            <w:r w:rsidR="000A3C95" w:rsidRPr="00FD78A3">
              <w:t xml:space="preserve"> </w:t>
            </w:r>
          </w:p>
          <w:p w14:paraId="1C26A987" w14:textId="77777777" w:rsidR="00607249" w:rsidRPr="00FD78A3" w:rsidRDefault="00607249" w:rsidP="00AD1283">
            <w:pPr>
              <w:spacing w:before="0" w:after="0"/>
              <w:rPr>
                <w:szCs w:val="20"/>
              </w:rPr>
            </w:pPr>
          </w:p>
          <w:p w14:paraId="2F0C386F" w14:textId="77777777" w:rsidR="00CA3F4B" w:rsidRPr="00FD78A3" w:rsidRDefault="00EE30F7" w:rsidP="00AD1283">
            <w:pPr>
              <w:spacing w:before="0" w:after="0"/>
            </w:pPr>
            <w:r w:rsidRPr="00FD78A3">
              <w:t>The Implant System consists of the Steerable Catheter (outermost layer), the Implant Catheter (innermost layer), and the PASCAL implant. The Implant System percutaneously delivers the PASCAL implant to the valve via a femoral vein access using a transvenous, transseptal approach. The implant is deployed and secured to the leaflets of the valve, acting as a filler in the regurgitant orifice. The primary components of the Implant are the spacer, paddles, and clasps made from Nitinol.</w:t>
            </w:r>
          </w:p>
          <w:p w14:paraId="2864A601" w14:textId="60942996" w:rsidR="003636B2" w:rsidRPr="00FD78A3" w:rsidRDefault="003636B2" w:rsidP="00AD1283">
            <w:pPr>
              <w:spacing w:before="0" w:after="0"/>
              <w:rPr>
                <w:szCs w:val="20"/>
              </w:rPr>
            </w:pPr>
          </w:p>
        </w:tc>
        <w:tc>
          <w:tcPr>
            <w:tcW w:w="2250" w:type="dxa"/>
          </w:tcPr>
          <w:p w14:paraId="384132EE" w14:textId="35A79675" w:rsidR="00CA3F4B" w:rsidRPr="00FD78A3" w:rsidRDefault="00D04D99" w:rsidP="00A7122F">
            <w:pPr>
              <w:spacing w:before="0" w:after="0"/>
              <w:rPr>
                <w:szCs w:val="20"/>
              </w:rPr>
            </w:pPr>
            <w:r w:rsidRPr="00FD78A3">
              <w:t xml:space="preserve">The Edwards PASCAL valve repair system is indicated for the percutaneous reconstruction of an insufficient mitral valve through tissue approximation. The PASCAL System - Implant System is part of the Edwards PASCAL </w:t>
            </w:r>
            <w:r w:rsidR="00B11F48" w:rsidRPr="00FD78A3">
              <w:t>T</w:t>
            </w:r>
            <w:r w:rsidRPr="00FD78A3">
              <w:t>ranscatheter valve repair system.</w:t>
            </w:r>
          </w:p>
        </w:tc>
        <w:tc>
          <w:tcPr>
            <w:tcW w:w="1371" w:type="dxa"/>
          </w:tcPr>
          <w:p w14:paraId="384BA1A3" w14:textId="22B41D6F" w:rsidR="00CA3F4B" w:rsidRPr="00FD78A3" w:rsidRDefault="00A52103" w:rsidP="0043654D">
            <w:pPr>
              <w:spacing w:before="0" w:after="0"/>
              <w:rPr>
                <w:szCs w:val="20"/>
              </w:rPr>
            </w:pPr>
            <w:r w:rsidRPr="00FD78A3">
              <w:t>Edwards Lifesciences LLC</w:t>
            </w:r>
          </w:p>
        </w:tc>
      </w:tr>
      <w:tr w:rsidR="002F6EFF" w:rsidRPr="00B7761E" w14:paraId="6F4C5375" w14:textId="77777777" w:rsidTr="003636B2">
        <w:tc>
          <w:tcPr>
            <w:tcW w:w="1434" w:type="dxa"/>
          </w:tcPr>
          <w:p w14:paraId="53D99209" w14:textId="77777777" w:rsidR="002F6EFF" w:rsidRPr="00FD78A3" w:rsidRDefault="00857F5B" w:rsidP="0043654D">
            <w:pPr>
              <w:spacing w:before="0" w:after="0"/>
              <w:rPr>
                <w:szCs w:val="20"/>
              </w:rPr>
            </w:pPr>
            <w:r w:rsidRPr="00FD78A3">
              <w:rPr>
                <w:szCs w:val="20"/>
              </w:rPr>
              <w:t>342271</w:t>
            </w:r>
          </w:p>
          <w:p w14:paraId="719F735D" w14:textId="77777777" w:rsidR="00540694" w:rsidRPr="00FD78A3" w:rsidRDefault="00540694" w:rsidP="0043654D">
            <w:pPr>
              <w:spacing w:before="0" w:after="0"/>
              <w:rPr>
                <w:szCs w:val="20"/>
              </w:rPr>
            </w:pPr>
          </w:p>
          <w:p w14:paraId="42E2817F" w14:textId="70D2EE5E" w:rsidR="00540694" w:rsidRPr="00FD78A3" w:rsidRDefault="00540694" w:rsidP="0043654D">
            <w:pPr>
              <w:spacing w:before="0" w:after="0"/>
              <w:rPr>
                <w:szCs w:val="20"/>
              </w:rPr>
            </w:pPr>
            <w:r w:rsidRPr="00FD78A3">
              <w:rPr>
                <w:szCs w:val="20"/>
              </w:rPr>
              <w:lastRenderedPageBreak/>
              <w:t>Date: 25/08/2020</w:t>
            </w:r>
          </w:p>
        </w:tc>
        <w:tc>
          <w:tcPr>
            <w:tcW w:w="3677" w:type="dxa"/>
          </w:tcPr>
          <w:p w14:paraId="3A3C57EA" w14:textId="450DCAD5" w:rsidR="002F6EFF" w:rsidRPr="00FD78A3" w:rsidRDefault="00146689" w:rsidP="00AD1283">
            <w:pPr>
              <w:spacing w:before="0" w:after="0"/>
              <w:rPr>
                <w:szCs w:val="20"/>
              </w:rPr>
            </w:pPr>
            <w:r w:rsidRPr="00FD78A3">
              <w:rPr>
                <w:szCs w:val="20"/>
              </w:rPr>
              <w:lastRenderedPageBreak/>
              <w:t xml:space="preserve">Edwards Lifesciences Pty Ltd - </w:t>
            </w:r>
            <w:r w:rsidR="00F315C8" w:rsidRPr="00FD78A3">
              <w:rPr>
                <w:szCs w:val="20"/>
              </w:rPr>
              <w:t xml:space="preserve">PASCAL Transcatheter Valve Repair System – </w:t>
            </w:r>
            <w:r w:rsidR="00F315C8" w:rsidRPr="00FD78A3">
              <w:rPr>
                <w:szCs w:val="20"/>
              </w:rPr>
              <w:lastRenderedPageBreak/>
              <w:t>Guide Sheath - Catheter, intravascular, guiding</w:t>
            </w:r>
            <w:r w:rsidRPr="00FD78A3">
              <w:rPr>
                <w:szCs w:val="20"/>
              </w:rPr>
              <w:t xml:space="preserve"> </w:t>
            </w:r>
          </w:p>
          <w:p w14:paraId="04591F5B" w14:textId="77777777" w:rsidR="00206569" w:rsidRPr="00FD78A3" w:rsidRDefault="00206569" w:rsidP="00AD1283">
            <w:pPr>
              <w:spacing w:before="0" w:after="0"/>
              <w:rPr>
                <w:szCs w:val="20"/>
              </w:rPr>
            </w:pPr>
          </w:p>
          <w:p w14:paraId="32AEEF14" w14:textId="77777777" w:rsidR="00206569" w:rsidRPr="00FD78A3" w:rsidRDefault="00206569" w:rsidP="00206569">
            <w:pPr>
              <w:spacing w:before="0" w:after="0"/>
              <w:rPr>
                <w:szCs w:val="20"/>
              </w:rPr>
            </w:pPr>
            <w:r w:rsidRPr="00FD78A3">
              <w:rPr>
                <w:szCs w:val="20"/>
              </w:rPr>
              <w:t>The Guide Sheath set includes a steerable Guide Sheath and Introducer. The Guide Sheath provides left atrial access. It has a</w:t>
            </w:r>
          </w:p>
          <w:p w14:paraId="5EABC05F" w14:textId="6AC69D79" w:rsidR="00206569" w:rsidRPr="00FD78A3" w:rsidRDefault="00206569" w:rsidP="00206569">
            <w:pPr>
              <w:spacing w:before="0" w:after="0"/>
              <w:rPr>
                <w:szCs w:val="20"/>
              </w:rPr>
            </w:pPr>
            <w:r w:rsidRPr="00FD78A3">
              <w:rPr>
                <w:szCs w:val="20"/>
              </w:rPr>
              <w:t>hydrophilic coating and a rotational control knob which actuates the flexion mechanism to position the Guide Sheath at the target</w:t>
            </w:r>
            <w:r w:rsidR="003636B2" w:rsidRPr="00FD78A3">
              <w:rPr>
                <w:szCs w:val="20"/>
              </w:rPr>
              <w:t xml:space="preserve"> </w:t>
            </w:r>
            <w:r w:rsidRPr="00FD78A3">
              <w:rPr>
                <w:szCs w:val="20"/>
              </w:rPr>
              <w:t>location. The Introducer is compatible with a 0.035 inch (0.89mm) guidewire.</w:t>
            </w:r>
          </w:p>
          <w:p w14:paraId="068EC3C6" w14:textId="7A9C7119" w:rsidR="003636B2" w:rsidRPr="00FD78A3" w:rsidRDefault="003636B2" w:rsidP="00206569">
            <w:pPr>
              <w:spacing w:before="0" w:after="0"/>
              <w:rPr>
                <w:szCs w:val="20"/>
              </w:rPr>
            </w:pPr>
          </w:p>
        </w:tc>
        <w:tc>
          <w:tcPr>
            <w:tcW w:w="2250" w:type="dxa"/>
          </w:tcPr>
          <w:p w14:paraId="2DF94637" w14:textId="77A2FDB4" w:rsidR="002F6EFF" w:rsidRPr="00FD78A3" w:rsidRDefault="00540694" w:rsidP="00A7122F">
            <w:pPr>
              <w:spacing w:before="0" w:after="0"/>
              <w:rPr>
                <w:szCs w:val="20"/>
              </w:rPr>
            </w:pPr>
            <w:r w:rsidRPr="00FD78A3">
              <w:lastRenderedPageBreak/>
              <w:t xml:space="preserve">The Edwards PASCAL valve repair system is indicated for the </w:t>
            </w:r>
            <w:r w:rsidRPr="00FD78A3">
              <w:lastRenderedPageBreak/>
              <w:t>percutaneous reconstruction of an insufficient mitral valve through tissue approximation. The PASCAL System - Guide Sheath is part of the Edwards PASCAL transcatheter valve repair system.</w:t>
            </w:r>
          </w:p>
        </w:tc>
        <w:tc>
          <w:tcPr>
            <w:tcW w:w="1371" w:type="dxa"/>
          </w:tcPr>
          <w:p w14:paraId="4F078A2A" w14:textId="7C03CE04" w:rsidR="002F6EFF" w:rsidRPr="00FD78A3" w:rsidRDefault="00540694" w:rsidP="0043654D">
            <w:pPr>
              <w:spacing w:before="0" w:after="0"/>
            </w:pPr>
            <w:r w:rsidRPr="00FD78A3">
              <w:lastRenderedPageBreak/>
              <w:t>Edwards Lifesciences LLC</w:t>
            </w:r>
          </w:p>
        </w:tc>
      </w:tr>
      <w:tr w:rsidR="00E40467" w:rsidRPr="00B7761E" w14:paraId="59DDE42F" w14:textId="77777777" w:rsidTr="003636B2">
        <w:tc>
          <w:tcPr>
            <w:tcW w:w="1434" w:type="dxa"/>
          </w:tcPr>
          <w:p w14:paraId="53E6D658" w14:textId="77777777" w:rsidR="00E40467" w:rsidRPr="00FD78A3" w:rsidRDefault="00205F38" w:rsidP="0043654D">
            <w:pPr>
              <w:spacing w:before="0" w:after="0"/>
              <w:rPr>
                <w:szCs w:val="20"/>
              </w:rPr>
            </w:pPr>
            <w:r w:rsidRPr="00FD78A3">
              <w:rPr>
                <w:szCs w:val="20"/>
              </w:rPr>
              <w:t>32</w:t>
            </w:r>
            <w:r w:rsidR="0099595C" w:rsidRPr="00FD78A3">
              <w:rPr>
                <w:szCs w:val="20"/>
              </w:rPr>
              <w:t>9680</w:t>
            </w:r>
          </w:p>
          <w:p w14:paraId="51B2FCBF" w14:textId="77777777" w:rsidR="0099595C" w:rsidRPr="00FD78A3" w:rsidRDefault="0099595C" w:rsidP="0043654D">
            <w:pPr>
              <w:spacing w:before="0" w:after="0"/>
              <w:rPr>
                <w:szCs w:val="20"/>
              </w:rPr>
            </w:pPr>
          </w:p>
          <w:p w14:paraId="5653729C" w14:textId="77777777" w:rsidR="0099595C" w:rsidRPr="00FD78A3" w:rsidRDefault="0099595C" w:rsidP="0043654D">
            <w:pPr>
              <w:spacing w:before="0" w:after="0"/>
              <w:rPr>
                <w:szCs w:val="20"/>
              </w:rPr>
            </w:pPr>
            <w:r w:rsidRPr="00FD78A3">
              <w:rPr>
                <w:szCs w:val="20"/>
              </w:rPr>
              <w:t>Date:</w:t>
            </w:r>
          </w:p>
          <w:p w14:paraId="2D84424E" w14:textId="5772FBDA" w:rsidR="00E40467" w:rsidRPr="00FD78A3" w:rsidRDefault="0048107B" w:rsidP="0043654D">
            <w:pPr>
              <w:spacing w:before="0" w:after="0"/>
              <w:rPr>
                <w:szCs w:val="20"/>
              </w:rPr>
            </w:pPr>
            <w:r w:rsidRPr="00FD78A3">
              <w:rPr>
                <w:szCs w:val="20"/>
              </w:rPr>
              <w:t>10/02/2020</w:t>
            </w:r>
          </w:p>
        </w:tc>
        <w:tc>
          <w:tcPr>
            <w:tcW w:w="3677" w:type="dxa"/>
          </w:tcPr>
          <w:p w14:paraId="45F076C3" w14:textId="179ABBC6" w:rsidR="00E40467" w:rsidRPr="00FD78A3" w:rsidRDefault="00EB6056" w:rsidP="00AD1283">
            <w:pPr>
              <w:spacing w:before="0" w:after="0"/>
              <w:rPr>
                <w:szCs w:val="20"/>
              </w:rPr>
            </w:pPr>
            <w:r w:rsidRPr="00FD78A3">
              <w:rPr>
                <w:szCs w:val="20"/>
              </w:rPr>
              <w:t xml:space="preserve">Edwards Lifesciences Pty Ltd - </w:t>
            </w:r>
            <w:r w:rsidR="000E102B" w:rsidRPr="00FD78A3">
              <w:rPr>
                <w:szCs w:val="20"/>
              </w:rPr>
              <w:t>Cardiac implantation catheter holder</w:t>
            </w:r>
          </w:p>
        </w:tc>
        <w:tc>
          <w:tcPr>
            <w:tcW w:w="2250" w:type="dxa"/>
          </w:tcPr>
          <w:p w14:paraId="0C2A450D" w14:textId="77777777" w:rsidR="00BE6A18" w:rsidRPr="00FD78A3" w:rsidRDefault="00BE6A18" w:rsidP="00BE6A18">
            <w:pPr>
              <w:spacing w:before="0" w:after="0"/>
            </w:pPr>
            <w:r w:rsidRPr="00FD78A3">
              <w:t>The Edwards PASCAL valve repair system is indicated for the</w:t>
            </w:r>
          </w:p>
          <w:p w14:paraId="4CA7B001" w14:textId="77777777" w:rsidR="00BE6A18" w:rsidRPr="00FD78A3" w:rsidRDefault="00BE6A18" w:rsidP="00BE6A18">
            <w:pPr>
              <w:spacing w:before="0" w:after="0"/>
            </w:pPr>
            <w:r w:rsidRPr="00FD78A3">
              <w:t>percutaneous reconstruction of an insufficient mitral valve through tissue</w:t>
            </w:r>
          </w:p>
          <w:p w14:paraId="5817FD9D" w14:textId="77777777" w:rsidR="00BE6A18" w:rsidRPr="00FD78A3" w:rsidRDefault="00BE6A18" w:rsidP="00BE6A18">
            <w:pPr>
              <w:spacing w:before="0" w:after="0"/>
            </w:pPr>
            <w:r w:rsidRPr="00FD78A3">
              <w:t>approximation. The PASCAL System - Stabilizer is part of the Edwards</w:t>
            </w:r>
          </w:p>
          <w:p w14:paraId="3508FB2B" w14:textId="2B69556A" w:rsidR="00E40467" w:rsidRPr="00FD78A3" w:rsidRDefault="00BE6A18" w:rsidP="00A7122F">
            <w:pPr>
              <w:spacing w:before="0" w:after="0"/>
            </w:pPr>
            <w:r w:rsidRPr="00FD78A3">
              <w:t>PASCAL transcatheter valve repair system.</w:t>
            </w:r>
          </w:p>
        </w:tc>
        <w:tc>
          <w:tcPr>
            <w:tcW w:w="1371" w:type="dxa"/>
          </w:tcPr>
          <w:p w14:paraId="349882C7" w14:textId="05CC691C" w:rsidR="00E40467" w:rsidRPr="00FD78A3" w:rsidRDefault="00C958FF" w:rsidP="0043654D">
            <w:pPr>
              <w:spacing w:before="0" w:after="0"/>
            </w:pPr>
            <w:r w:rsidRPr="00FD78A3">
              <w:t>Edwards Lifesciences LLC</w:t>
            </w:r>
          </w:p>
        </w:tc>
      </w:tr>
      <w:tr w:rsidR="00E40467" w:rsidRPr="00B7761E" w14:paraId="3746D2E7" w14:textId="77777777" w:rsidTr="003636B2">
        <w:tc>
          <w:tcPr>
            <w:tcW w:w="1434" w:type="dxa"/>
          </w:tcPr>
          <w:p w14:paraId="4AAB215C" w14:textId="77777777" w:rsidR="00E40467" w:rsidRPr="00FD78A3" w:rsidRDefault="00534537" w:rsidP="0043654D">
            <w:pPr>
              <w:spacing w:before="0" w:after="0"/>
              <w:rPr>
                <w:szCs w:val="20"/>
              </w:rPr>
            </w:pPr>
            <w:r w:rsidRPr="00FD78A3">
              <w:rPr>
                <w:szCs w:val="20"/>
              </w:rPr>
              <w:t>32</w:t>
            </w:r>
            <w:r w:rsidR="00B95995" w:rsidRPr="00FD78A3">
              <w:rPr>
                <w:szCs w:val="20"/>
              </w:rPr>
              <w:t>9150</w:t>
            </w:r>
          </w:p>
          <w:p w14:paraId="00C0E438" w14:textId="77777777" w:rsidR="00B95995" w:rsidRPr="00FD78A3" w:rsidRDefault="00B95995" w:rsidP="0043654D">
            <w:pPr>
              <w:spacing w:before="0" w:after="0"/>
              <w:rPr>
                <w:szCs w:val="20"/>
              </w:rPr>
            </w:pPr>
          </w:p>
          <w:p w14:paraId="42C454D3" w14:textId="77777777" w:rsidR="00B95995" w:rsidRPr="00FD78A3" w:rsidRDefault="00B95995" w:rsidP="0043654D">
            <w:pPr>
              <w:spacing w:before="0" w:after="0"/>
              <w:rPr>
                <w:szCs w:val="20"/>
              </w:rPr>
            </w:pPr>
            <w:r w:rsidRPr="00FD78A3">
              <w:rPr>
                <w:szCs w:val="20"/>
              </w:rPr>
              <w:t xml:space="preserve">Date: </w:t>
            </w:r>
          </w:p>
          <w:p w14:paraId="2067681A" w14:textId="584FE263" w:rsidR="00E40467" w:rsidRPr="00FD78A3" w:rsidRDefault="00DE5056" w:rsidP="0043654D">
            <w:pPr>
              <w:spacing w:before="0" w:after="0"/>
              <w:rPr>
                <w:szCs w:val="20"/>
              </w:rPr>
            </w:pPr>
            <w:r w:rsidRPr="00FD78A3">
              <w:rPr>
                <w:szCs w:val="20"/>
              </w:rPr>
              <w:t>24/01/2020</w:t>
            </w:r>
          </w:p>
        </w:tc>
        <w:tc>
          <w:tcPr>
            <w:tcW w:w="3677" w:type="dxa"/>
          </w:tcPr>
          <w:p w14:paraId="3A1173A7" w14:textId="4C4709B9" w:rsidR="00E40467" w:rsidRPr="00FD78A3" w:rsidRDefault="001C6869" w:rsidP="00AD1283">
            <w:pPr>
              <w:spacing w:before="0" w:after="0"/>
              <w:rPr>
                <w:szCs w:val="20"/>
              </w:rPr>
            </w:pPr>
            <w:r w:rsidRPr="00FD78A3">
              <w:rPr>
                <w:szCs w:val="20"/>
              </w:rPr>
              <w:t>Edwards Lifesciences Pty Ltd - Cardiac implantation catheter table</w:t>
            </w:r>
          </w:p>
        </w:tc>
        <w:tc>
          <w:tcPr>
            <w:tcW w:w="2250" w:type="dxa"/>
          </w:tcPr>
          <w:p w14:paraId="56E3BBA4" w14:textId="77777777" w:rsidR="00190422" w:rsidRPr="00FD78A3" w:rsidRDefault="00190422" w:rsidP="00190422">
            <w:pPr>
              <w:spacing w:before="0" w:after="0"/>
            </w:pPr>
            <w:r w:rsidRPr="00FD78A3">
              <w:t>The Edwards PASCAL valve repair system is indicated for the</w:t>
            </w:r>
          </w:p>
          <w:p w14:paraId="79A255AC" w14:textId="77777777" w:rsidR="00190422" w:rsidRPr="00FD78A3" w:rsidRDefault="00190422" w:rsidP="00190422">
            <w:pPr>
              <w:spacing w:before="0" w:after="0"/>
            </w:pPr>
            <w:r w:rsidRPr="00FD78A3">
              <w:t>percutaneous reconstruction of an insufficient mitral valve through tissue</w:t>
            </w:r>
          </w:p>
          <w:p w14:paraId="63BD922E" w14:textId="77777777" w:rsidR="00190422" w:rsidRPr="00FD78A3" w:rsidRDefault="00190422" w:rsidP="00190422">
            <w:pPr>
              <w:spacing w:before="0" w:after="0"/>
            </w:pPr>
            <w:r w:rsidRPr="00FD78A3">
              <w:t>approximation. The PASCAL System Table</w:t>
            </w:r>
          </w:p>
          <w:p w14:paraId="7A9DE1B9" w14:textId="77777777" w:rsidR="00190422" w:rsidRPr="00FD78A3" w:rsidRDefault="00190422" w:rsidP="00190422">
            <w:pPr>
              <w:spacing w:before="0" w:after="0"/>
            </w:pPr>
            <w:r w:rsidRPr="00FD78A3">
              <w:t>is part of the Edwards</w:t>
            </w:r>
          </w:p>
          <w:p w14:paraId="4A8EAF13" w14:textId="15E96F72" w:rsidR="00E40467" w:rsidRPr="00FD78A3" w:rsidRDefault="00190422" w:rsidP="00A7122F">
            <w:pPr>
              <w:spacing w:before="0" w:after="0"/>
            </w:pPr>
            <w:r w:rsidRPr="00FD78A3">
              <w:t>PASCAL transcatheter valve repair system.</w:t>
            </w:r>
          </w:p>
        </w:tc>
        <w:tc>
          <w:tcPr>
            <w:tcW w:w="1371" w:type="dxa"/>
          </w:tcPr>
          <w:p w14:paraId="5EDF4AD6" w14:textId="54D6E432" w:rsidR="00E40467" w:rsidRPr="00FD78A3" w:rsidRDefault="009306EB" w:rsidP="0043654D">
            <w:pPr>
              <w:spacing w:before="0" w:after="0"/>
            </w:pPr>
            <w:r w:rsidRPr="00FD78A3">
              <w:t>Edwards Lifesciences LLC</w:t>
            </w:r>
          </w:p>
        </w:tc>
      </w:tr>
      <w:tr w:rsidR="00AA416E" w14:paraId="28510095" w14:textId="77777777" w:rsidTr="003636B2">
        <w:tc>
          <w:tcPr>
            <w:tcW w:w="1434" w:type="dxa"/>
          </w:tcPr>
          <w:p w14:paraId="63F18755" w14:textId="53A7D735" w:rsidR="007914B2" w:rsidRPr="008A2F20" w:rsidRDefault="00EE60FE" w:rsidP="0043654D">
            <w:pPr>
              <w:spacing w:before="0" w:after="0"/>
              <w:rPr>
                <w:szCs w:val="20"/>
                <w:highlight w:val="green"/>
              </w:rPr>
            </w:pPr>
            <w:r w:rsidRPr="00EE60FE">
              <w:rPr>
                <w:b/>
                <w:bCs/>
              </w:rPr>
              <w:t>REDACTED</w:t>
            </w:r>
          </w:p>
        </w:tc>
        <w:tc>
          <w:tcPr>
            <w:tcW w:w="3677" w:type="dxa"/>
          </w:tcPr>
          <w:p w14:paraId="43E1AC35" w14:textId="68F7F7C6" w:rsidR="003636B2" w:rsidRPr="008A2F20" w:rsidRDefault="00EE60FE" w:rsidP="00EE60FE">
            <w:pPr>
              <w:spacing w:before="0" w:after="0"/>
              <w:rPr>
                <w:szCs w:val="20"/>
                <w:highlight w:val="green"/>
              </w:rPr>
            </w:pPr>
            <w:r w:rsidRPr="00EE60FE">
              <w:rPr>
                <w:b/>
                <w:bCs/>
              </w:rPr>
              <w:t>REDACTED</w:t>
            </w:r>
          </w:p>
        </w:tc>
        <w:tc>
          <w:tcPr>
            <w:tcW w:w="2250" w:type="dxa"/>
          </w:tcPr>
          <w:p w14:paraId="43984F69" w14:textId="12298BEB" w:rsidR="00AA416E" w:rsidRPr="008A2F20" w:rsidRDefault="00EE60FE" w:rsidP="004A0374">
            <w:pPr>
              <w:spacing w:before="0" w:after="0"/>
              <w:rPr>
                <w:highlight w:val="green"/>
              </w:rPr>
            </w:pPr>
            <w:r w:rsidRPr="00EE60FE">
              <w:rPr>
                <w:b/>
                <w:bCs/>
              </w:rPr>
              <w:t>REDACTED</w:t>
            </w:r>
          </w:p>
        </w:tc>
        <w:tc>
          <w:tcPr>
            <w:tcW w:w="1371" w:type="dxa"/>
          </w:tcPr>
          <w:p w14:paraId="452B4709" w14:textId="13FFCE1C" w:rsidR="00AA416E" w:rsidRPr="008A2F20" w:rsidRDefault="004A0374" w:rsidP="0043654D">
            <w:pPr>
              <w:spacing w:before="0" w:after="0"/>
              <w:rPr>
                <w:highlight w:val="green"/>
              </w:rPr>
            </w:pPr>
            <w:r w:rsidRPr="00EE60FE">
              <w:t>Edwards Lifesciences LLC</w:t>
            </w:r>
          </w:p>
        </w:tc>
      </w:tr>
    </w:tbl>
    <w:p w14:paraId="76683D27" w14:textId="77777777" w:rsidR="00A9214B" w:rsidRPr="0043654D" w:rsidRDefault="00A9214B" w:rsidP="0043654D">
      <w:pPr>
        <w:spacing w:before="0" w:after="0"/>
        <w:ind w:left="284"/>
        <w:rPr>
          <w:szCs w:val="20"/>
        </w:rPr>
      </w:pPr>
    </w:p>
    <w:p w14:paraId="4D6789F5"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18244C7B" w14:textId="2981DC25" w:rsidR="0047581D" w:rsidRPr="00E521F9" w:rsidRDefault="001123A7" w:rsidP="00F06C03">
      <w:pPr>
        <w:spacing w:before="0" w:after="0"/>
        <w:ind w:left="360"/>
        <w:rPr>
          <w:szCs w:val="20"/>
        </w:rPr>
      </w:pPr>
      <w:r w:rsidRPr="00E521F9">
        <w:rPr>
          <w:szCs w:val="20"/>
        </w:rPr>
        <w:fldChar w:fldCharType="begin">
          <w:ffData>
            <w:name w:val=""/>
            <w:enabled/>
            <w:calcOnExit w:val="0"/>
            <w:checkBox>
              <w:sizeAuto/>
              <w:default w:val="1"/>
            </w:checkBox>
          </w:ffData>
        </w:fldChar>
      </w:r>
      <w:r w:rsidRPr="00E521F9">
        <w:rPr>
          <w:szCs w:val="20"/>
        </w:rPr>
        <w:instrText xml:space="preserve"> FORMCHECKBOX </w:instrText>
      </w:r>
      <w:r w:rsidR="006264EF">
        <w:rPr>
          <w:szCs w:val="20"/>
        </w:rPr>
      </w:r>
      <w:r w:rsidR="006264EF">
        <w:rPr>
          <w:szCs w:val="20"/>
        </w:rPr>
        <w:fldChar w:fldCharType="separate"/>
      </w:r>
      <w:r w:rsidRPr="00E521F9">
        <w:rPr>
          <w:szCs w:val="20"/>
        </w:rPr>
        <w:fldChar w:fldCharType="end"/>
      </w:r>
      <w:r w:rsidR="00DC1970" w:rsidRPr="00E521F9">
        <w:rPr>
          <w:szCs w:val="20"/>
        </w:rPr>
        <w:t xml:space="preserve"> </w:t>
      </w:r>
      <w:r w:rsidR="0047581D" w:rsidRPr="00E521F9">
        <w:rPr>
          <w:szCs w:val="20"/>
        </w:rPr>
        <w:t>Yes (please provide details below)</w:t>
      </w:r>
    </w:p>
    <w:p w14:paraId="4396C14E" w14:textId="77777777" w:rsidR="0047581D" w:rsidRDefault="0047581D" w:rsidP="00F06C03">
      <w:pPr>
        <w:spacing w:before="0" w:after="0"/>
        <w:ind w:left="360"/>
        <w:rPr>
          <w:szCs w:val="20"/>
        </w:rPr>
      </w:pPr>
      <w:r w:rsidRPr="00E521F9">
        <w:rPr>
          <w:szCs w:val="20"/>
        </w:rPr>
        <w:fldChar w:fldCharType="begin">
          <w:ffData>
            <w:name w:val="Check1"/>
            <w:enabled/>
            <w:calcOnExit w:val="0"/>
            <w:checkBox>
              <w:sizeAuto/>
              <w:default w:val="0"/>
            </w:checkBox>
          </w:ffData>
        </w:fldChar>
      </w:r>
      <w:r w:rsidRPr="00E521F9">
        <w:rPr>
          <w:szCs w:val="20"/>
        </w:rPr>
        <w:instrText xml:space="preserve"> FORMCHECKBOX </w:instrText>
      </w:r>
      <w:r w:rsidR="006264EF">
        <w:rPr>
          <w:szCs w:val="20"/>
        </w:rPr>
      </w:r>
      <w:r w:rsidR="006264EF">
        <w:rPr>
          <w:szCs w:val="20"/>
        </w:rPr>
        <w:fldChar w:fldCharType="separate"/>
      </w:r>
      <w:r w:rsidRPr="00E521F9">
        <w:rPr>
          <w:szCs w:val="20"/>
        </w:rPr>
        <w:fldChar w:fldCharType="end"/>
      </w:r>
      <w:r w:rsidRPr="00E521F9">
        <w:rPr>
          <w:szCs w:val="20"/>
        </w:rPr>
        <w:t xml:space="preserve"> No</w:t>
      </w:r>
    </w:p>
    <w:p w14:paraId="0982B723" w14:textId="77777777" w:rsidR="0047581D" w:rsidRDefault="0047581D" w:rsidP="0047581D">
      <w:pPr>
        <w:spacing w:before="0" w:after="0"/>
        <w:rPr>
          <w:b/>
          <w:szCs w:val="20"/>
        </w:rPr>
      </w:pPr>
    </w:p>
    <w:p w14:paraId="76B87F78" w14:textId="3B915B60" w:rsidR="0047581D" w:rsidRPr="00EE60FE" w:rsidRDefault="0047581D" w:rsidP="00F06C03">
      <w:pPr>
        <w:spacing w:before="0" w:after="0"/>
        <w:ind w:left="360"/>
        <w:rPr>
          <w:szCs w:val="20"/>
        </w:rPr>
      </w:pPr>
      <w:r w:rsidRPr="00EE60FE">
        <w:rPr>
          <w:szCs w:val="20"/>
        </w:rPr>
        <w:t xml:space="preserve">Date of submission to TGA:  </w:t>
      </w:r>
      <w:r w:rsidR="00EE60FE" w:rsidRPr="00EE60FE">
        <w:rPr>
          <w:b/>
          <w:bCs/>
        </w:rPr>
        <w:t>REDACTED</w:t>
      </w:r>
    </w:p>
    <w:p w14:paraId="1EFF22EB" w14:textId="7895250A" w:rsidR="0047581D" w:rsidRPr="00EE60FE" w:rsidRDefault="0047581D" w:rsidP="00F06C03">
      <w:pPr>
        <w:spacing w:before="0" w:after="0"/>
        <w:ind w:left="360"/>
      </w:pPr>
      <w:r w:rsidRPr="00EE60FE">
        <w:t xml:space="preserve">Estimated date by which TGA approval can be expected:  </w:t>
      </w:r>
      <w:r w:rsidR="00EE60FE" w:rsidRPr="00EE60FE">
        <w:rPr>
          <w:b/>
          <w:bCs/>
        </w:rPr>
        <w:t>REDACTED</w:t>
      </w:r>
    </w:p>
    <w:p w14:paraId="3CEB62D2" w14:textId="781291CD" w:rsidR="0047581D" w:rsidRPr="00EE60FE" w:rsidRDefault="0047581D" w:rsidP="00F06C03">
      <w:pPr>
        <w:spacing w:before="0" w:after="0"/>
        <w:ind w:left="360"/>
        <w:rPr>
          <w:szCs w:val="20"/>
        </w:rPr>
      </w:pPr>
      <w:r w:rsidRPr="00EE60FE">
        <w:rPr>
          <w:szCs w:val="20"/>
        </w:rPr>
        <w:t xml:space="preserve">TGA Application ID:  </w:t>
      </w:r>
      <w:r w:rsidR="00EE60FE" w:rsidRPr="00EE60FE">
        <w:rPr>
          <w:b/>
          <w:bCs/>
        </w:rPr>
        <w:t>REDACTED</w:t>
      </w:r>
    </w:p>
    <w:p w14:paraId="2D3AD6C6" w14:textId="0AB477CA" w:rsidR="0047581D" w:rsidRPr="00E521F9" w:rsidRDefault="0047581D" w:rsidP="00F06C03">
      <w:pPr>
        <w:spacing w:before="0" w:after="0"/>
        <w:ind w:left="360"/>
        <w:rPr>
          <w:szCs w:val="20"/>
        </w:rPr>
      </w:pPr>
      <w:r w:rsidRPr="00E521F9">
        <w:rPr>
          <w:szCs w:val="20"/>
        </w:rPr>
        <w:t xml:space="preserve">TGA approved indication(s), if applicable:  </w:t>
      </w:r>
      <w:r w:rsidR="007764E3" w:rsidRPr="00E521F9">
        <w:rPr>
          <w:szCs w:val="20"/>
        </w:rPr>
        <w:t>The Edwards PASCAL valve repair system is indicated for the percutaneous reconstruction of an insufficient mitral valve through tissue approximation. The PASCAL System - PASCAL Ace Implant System is part of the Edwards PASCAL Transcatheter valve repair system.</w:t>
      </w:r>
    </w:p>
    <w:p w14:paraId="454E4485" w14:textId="5282FB36" w:rsidR="003433D1" w:rsidRDefault="0047581D" w:rsidP="00F06C03">
      <w:pPr>
        <w:spacing w:before="0" w:after="0"/>
        <w:ind w:left="360"/>
        <w:rPr>
          <w:szCs w:val="20"/>
        </w:rPr>
      </w:pPr>
      <w:r w:rsidRPr="00E521F9">
        <w:rPr>
          <w:szCs w:val="20"/>
        </w:rPr>
        <w:t xml:space="preserve">TGA approved purpose(s), if applicable:  </w:t>
      </w:r>
      <w:r w:rsidR="007764E3" w:rsidRPr="00E521F9">
        <w:rPr>
          <w:szCs w:val="20"/>
        </w:rPr>
        <w:t xml:space="preserve">The Implant System consists of the Steerable Catheter (outermost layer), the Implant Catheter (innermost layer), and the Implant (implant Model 10000ISM). The Implant </w:t>
      </w:r>
      <w:r w:rsidR="007764E3" w:rsidRPr="00E521F9">
        <w:rPr>
          <w:szCs w:val="20"/>
        </w:rPr>
        <w:lastRenderedPageBreak/>
        <w:t>System percutaneously delivers the Implant to the valve via a femoral vein access using a transvenous approach. The implant is deployed and secured to the leaflets of the valve, acting as a filler in the regurgitant orifice. The primary components of the Implant are the spacer, paddles, and clasps made from Nitinol.</w:t>
      </w:r>
    </w:p>
    <w:p w14:paraId="71F64EAA" w14:textId="77777777" w:rsidR="003636B2" w:rsidRPr="0047581D" w:rsidRDefault="003636B2" w:rsidP="0047581D">
      <w:pPr>
        <w:spacing w:before="0" w:after="0"/>
        <w:rPr>
          <w:szCs w:val="20"/>
        </w:rPr>
      </w:pPr>
    </w:p>
    <w:p w14:paraId="66A76CF1"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7E5F609E" w14:textId="158CADB5" w:rsidR="00DD308E" w:rsidRPr="00D96D7F" w:rsidRDefault="00F06C03" w:rsidP="00D96D7F">
      <w:pPr>
        <w:spacing w:before="0" w:after="0"/>
        <w:ind w:left="360"/>
        <w:rPr>
          <w:szCs w:val="20"/>
        </w:rPr>
        <w:sectPr w:rsidR="00DD308E" w:rsidRPr="00D96D7F" w:rsidSect="00991EE4">
          <w:footerReference w:type="default" r:id="rId11"/>
          <w:pgSz w:w="11906" w:h="16838"/>
          <w:pgMar w:top="1440" w:right="1440" w:bottom="1440" w:left="1440" w:header="708" w:footer="708" w:gutter="0"/>
          <w:pgNumType w:start="0"/>
          <w:cols w:space="708"/>
          <w:titlePg/>
          <w:docGrid w:linePitch="360"/>
        </w:sectPr>
      </w:pPr>
      <w:r>
        <w:rPr>
          <w:szCs w:val="20"/>
        </w:rPr>
        <w:t>N/A</w:t>
      </w:r>
    </w:p>
    <w:p w14:paraId="2C0A8FB3"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2C379B13"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63" w:type="pct"/>
        <w:tblLayout w:type="fixed"/>
        <w:tblLook w:val="04A0" w:firstRow="1" w:lastRow="0" w:firstColumn="1" w:lastColumn="0" w:noHBand="0" w:noVBand="1"/>
        <w:tblCaption w:val="Summary of Evidence - Published"/>
      </w:tblPr>
      <w:tblGrid>
        <w:gridCol w:w="368"/>
        <w:gridCol w:w="1464"/>
        <w:gridCol w:w="1944"/>
        <w:gridCol w:w="4859"/>
        <w:gridCol w:w="2339"/>
        <w:gridCol w:w="3150"/>
      </w:tblGrid>
      <w:tr w:rsidR="001F0EF7" w14:paraId="6644A50E" w14:textId="77777777" w:rsidTr="001F0EF7">
        <w:trPr>
          <w:cantSplit/>
          <w:tblHeader/>
        </w:trPr>
        <w:tc>
          <w:tcPr>
            <w:tcW w:w="130" w:type="pct"/>
          </w:tcPr>
          <w:p w14:paraId="6C44E198" w14:textId="77777777" w:rsidR="00DD308E" w:rsidRDefault="00DD308E" w:rsidP="00855944">
            <w:pPr>
              <w:pStyle w:val="TableHEADER"/>
            </w:pPr>
          </w:p>
        </w:tc>
        <w:tc>
          <w:tcPr>
            <w:tcW w:w="518" w:type="pct"/>
          </w:tcPr>
          <w:p w14:paraId="298F7F2E" w14:textId="30250476" w:rsidR="00DD308E" w:rsidRDefault="00DD308E" w:rsidP="00855944">
            <w:pPr>
              <w:pStyle w:val="TableHEADER"/>
            </w:pPr>
            <w:r>
              <w:t>Type of study design</w:t>
            </w:r>
          </w:p>
        </w:tc>
        <w:tc>
          <w:tcPr>
            <w:tcW w:w="688" w:type="pct"/>
          </w:tcPr>
          <w:p w14:paraId="010EBE0A" w14:textId="19F7CD65" w:rsidR="00DD308E" w:rsidRDefault="00DD308E" w:rsidP="00855944">
            <w:pPr>
              <w:pStyle w:val="TableHEADER"/>
            </w:pPr>
            <w:r>
              <w:t>Title of journal article or research project</w:t>
            </w:r>
          </w:p>
        </w:tc>
        <w:tc>
          <w:tcPr>
            <w:tcW w:w="1720" w:type="pct"/>
          </w:tcPr>
          <w:p w14:paraId="2D9D2D32" w14:textId="6008F1A6" w:rsidR="00DD308E" w:rsidRDefault="00DD308E" w:rsidP="00855944">
            <w:pPr>
              <w:pStyle w:val="TableHEADER"/>
            </w:pPr>
            <w:r>
              <w:t>Short description of research</w:t>
            </w:r>
          </w:p>
        </w:tc>
        <w:tc>
          <w:tcPr>
            <w:tcW w:w="828" w:type="pct"/>
          </w:tcPr>
          <w:p w14:paraId="01DBAD69" w14:textId="522B4FD6" w:rsidR="00DD308E" w:rsidRDefault="00DD308E" w:rsidP="00855944">
            <w:pPr>
              <w:pStyle w:val="TableHEADER"/>
            </w:pPr>
            <w:r w:rsidRPr="00E82F54">
              <w:t xml:space="preserve">Website link to </w:t>
            </w:r>
            <w:r>
              <w:t xml:space="preserve">journal article or research </w:t>
            </w:r>
          </w:p>
        </w:tc>
        <w:tc>
          <w:tcPr>
            <w:tcW w:w="1115" w:type="pct"/>
          </w:tcPr>
          <w:p w14:paraId="639856BE" w14:textId="46284F68" w:rsidR="00DD308E" w:rsidRDefault="00DD308E" w:rsidP="00855944">
            <w:pPr>
              <w:pStyle w:val="TableHEADER"/>
            </w:pPr>
            <w:r w:rsidRPr="00E82F54">
              <w:t>Date</w:t>
            </w:r>
            <w:r>
              <w:t xml:space="preserve"> of publicatio</w:t>
            </w:r>
            <w:r w:rsidR="00DD114D">
              <w:t>n</w:t>
            </w:r>
          </w:p>
        </w:tc>
      </w:tr>
      <w:tr w:rsidR="001F0EF7" w:rsidRPr="004C66D0" w14:paraId="61BDB405" w14:textId="77777777" w:rsidTr="001F0EF7">
        <w:trPr>
          <w:cantSplit/>
        </w:trPr>
        <w:tc>
          <w:tcPr>
            <w:tcW w:w="130" w:type="pct"/>
          </w:tcPr>
          <w:p w14:paraId="727D0411" w14:textId="77777777" w:rsidR="00DD308E" w:rsidRPr="004C66D0" w:rsidRDefault="00DD308E" w:rsidP="00DD308E">
            <w:pPr>
              <w:rPr>
                <w:szCs w:val="20"/>
              </w:rPr>
            </w:pPr>
            <w:r w:rsidRPr="004C66D0">
              <w:rPr>
                <w:szCs w:val="20"/>
              </w:rPr>
              <w:t>1.</w:t>
            </w:r>
          </w:p>
        </w:tc>
        <w:tc>
          <w:tcPr>
            <w:tcW w:w="518" w:type="pct"/>
          </w:tcPr>
          <w:p w14:paraId="368FD3A7" w14:textId="77777777" w:rsidR="00F67842" w:rsidRPr="004C66D0" w:rsidRDefault="00F67842" w:rsidP="00F67842">
            <w:pPr>
              <w:rPr>
                <w:bCs/>
                <w:szCs w:val="20"/>
              </w:rPr>
            </w:pPr>
            <w:r w:rsidRPr="004C66D0">
              <w:rPr>
                <w:bCs/>
                <w:szCs w:val="20"/>
              </w:rPr>
              <w:t>Prospective, single-arm, observational study</w:t>
            </w:r>
          </w:p>
          <w:p w14:paraId="4111F54A" w14:textId="000F6C99" w:rsidR="00DD308E" w:rsidRPr="004C66D0" w:rsidRDefault="00F67842" w:rsidP="00F67842">
            <w:pPr>
              <w:rPr>
                <w:b/>
                <w:szCs w:val="20"/>
              </w:rPr>
            </w:pPr>
            <w:r w:rsidRPr="004C66D0">
              <w:rPr>
                <w:bCs/>
                <w:szCs w:val="20"/>
              </w:rPr>
              <w:t>Multicentr</w:t>
            </w:r>
            <w:r w:rsidR="00114F8B" w:rsidRPr="004C66D0">
              <w:rPr>
                <w:bCs/>
                <w:szCs w:val="20"/>
              </w:rPr>
              <w:t>e</w:t>
            </w:r>
            <w:r w:rsidRPr="004C66D0">
              <w:rPr>
                <w:bCs/>
                <w:szCs w:val="20"/>
              </w:rPr>
              <w:t>, international study, 14 sites in 7 countries</w:t>
            </w:r>
          </w:p>
        </w:tc>
        <w:tc>
          <w:tcPr>
            <w:tcW w:w="688" w:type="pct"/>
          </w:tcPr>
          <w:p w14:paraId="293D0D03" w14:textId="77777777" w:rsidR="00A05E68" w:rsidRPr="004C66D0" w:rsidRDefault="00A05E68" w:rsidP="00A05E68">
            <w:pPr>
              <w:pStyle w:val="TableText"/>
              <w:rPr>
                <w:rFonts w:asciiTheme="minorHAnsi" w:hAnsiTheme="minorHAnsi"/>
                <w:color w:val="auto"/>
                <w:sz w:val="20"/>
                <w:u w:val="single"/>
                <w:lang w:val="en-AU"/>
              </w:rPr>
            </w:pPr>
            <w:r w:rsidRPr="004C66D0">
              <w:rPr>
                <w:rFonts w:asciiTheme="minorHAnsi" w:hAnsiTheme="minorHAnsi"/>
                <w:color w:val="auto"/>
                <w:sz w:val="20"/>
                <w:u w:val="single"/>
                <w:lang w:val="en-AU"/>
              </w:rPr>
              <w:t>CLASP</w:t>
            </w:r>
          </w:p>
          <w:p w14:paraId="50A7B653" w14:textId="77777777" w:rsidR="00DD308E" w:rsidRPr="004C66D0" w:rsidRDefault="00A05E68" w:rsidP="00A05E68">
            <w:pPr>
              <w:rPr>
                <w:rStyle w:val="Hyperlink"/>
              </w:rPr>
            </w:pPr>
            <w:r w:rsidRPr="004C66D0">
              <w:t>(</w:t>
            </w:r>
            <w:hyperlink r:id="rId12" w:history="1">
              <w:r w:rsidRPr="004C66D0">
                <w:rPr>
                  <w:rStyle w:val="Hyperlink"/>
                </w:rPr>
                <w:t>NCT03170349</w:t>
              </w:r>
            </w:hyperlink>
            <w:r w:rsidRPr="004C66D0">
              <w:rPr>
                <w:rStyle w:val="Hyperlink"/>
              </w:rPr>
              <w:t>)</w:t>
            </w:r>
          </w:p>
          <w:p w14:paraId="68FBEE20" w14:textId="0808D1DC" w:rsidR="00A05E68" w:rsidRPr="004C66D0" w:rsidRDefault="00A05E68" w:rsidP="00A05E68">
            <w:pPr>
              <w:rPr>
                <w:b/>
                <w:szCs w:val="20"/>
              </w:rPr>
            </w:pPr>
            <w:r w:rsidRPr="004C66D0">
              <w:t>Multicentr</w:t>
            </w:r>
            <w:r w:rsidR="00114F8B" w:rsidRPr="004C66D0">
              <w:t>e</w:t>
            </w:r>
            <w:r w:rsidRPr="004C66D0">
              <w:t>, prospective, single-arm study of PASCAL Transcatheter Mitral Valve Repair in Patients with Severe Primary and Secondary</w:t>
            </w:r>
            <w:r w:rsidR="004717C5" w:rsidRPr="004C66D0">
              <w:t xml:space="preserve"> Mitral</w:t>
            </w:r>
            <w:r w:rsidRPr="004C66D0">
              <w:t xml:space="preserve"> </w:t>
            </w:r>
            <w:r w:rsidR="004717C5" w:rsidRPr="004C66D0">
              <w:t xml:space="preserve"> </w:t>
            </w:r>
            <w:r w:rsidRPr="004C66D0">
              <w:t>Regurgitation (CLASP)</w:t>
            </w:r>
          </w:p>
        </w:tc>
        <w:tc>
          <w:tcPr>
            <w:tcW w:w="1720" w:type="pct"/>
          </w:tcPr>
          <w:p w14:paraId="6AC98803" w14:textId="250A7583" w:rsidR="009F7E99" w:rsidRPr="004C66D0" w:rsidRDefault="009F7E99" w:rsidP="009F7E99">
            <w:pPr>
              <w:rPr>
                <w:u w:val="single"/>
              </w:rPr>
            </w:pPr>
            <w:r w:rsidRPr="004C66D0">
              <w:rPr>
                <w:u w:val="single"/>
              </w:rPr>
              <w:t>DMR and FMR</w:t>
            </w:r>
          </w:p>
          <w:p w14:paraId="4DAA7A0F" w14:textId="250A7583" w:rsidR="00A37F3F" w:rsidRPr="004C66D0" w:rsidRDefault="00A37F3F" w:rsidP="00F67842">
            <w:r w:rsidRPr="004C66D0">
              <w:t>The study</w:t>
            </w:r>
            <w:r w:rsidRPr="004C66D0">
              <w:rPr>
                <w:b/>
              </w:rPr>
              <w:t xml:space="preserve"> </w:t>
            </w:r>
            <w:r w:rsidRPr="004C66D0">
              <w:t>includes</w:t>
            </w:r>
            <w:r w:rsidR="005E7B5C" w:rsidRPr="004C66D0">
              <w:t xml:space="preserve"> both FMR and DMR</w:t>
            </w:r>
            <w:r w:rsidRPr="004C66D0">
              <w:t xml:space="preserve"> patients </w:t>
            </w:r>
            <w:r w:rsidR="00F67842" w:rsidRPr="004C66D0">
              <w:t>with clinically significant (≥ grade 3+)</w:t>
            </w:r>
            <w:r w:rsidRPr="004C66D0">
              <w:t xml:space="preserve"> </w:t>
            </w:r>
            <w:r w:rsidR="005E7B5C" w:rsidRPr="004C66D0">
              <w:t>MR</w:t>
            </w:r>
            <w:r w:rsidR="00383C50" w:rsidRPr="004C66D0">
              <w:t xml:space="preserve"> despite OMT</w:t>
            </w:r>
            <w:r w:rsidR="005E7B5C" w:rsidRPr="004C66D0">
              <w:t xml:space="preserve">, </w:t>
            </w:r>
            <w:r w:rsidRPr="004C66D0">
              <w:t xml:space="preserve">symptomatic NYHA II, III or IV, and </w:t>
            </w:r>
            <w:r w:rsidR="00B3446A" w:rsidRPr="004C66D0">
              <w:t xml:space="preserve">who </w:t>
            </w:r>
            <w:r w:rsidRPr="004C66D0">
              <w:t xml:space="preserve">were deemed candidates for </w:t>
            </w:r>
            <w:r w:rsidR="00F6074F" w:rsidRPr="004C66D0">
              <w:t>TM</w:t>
            </w:r>
            <w:r w:rsidR="00E401B7" w:rsidRPr="004C66D0">
              <w:t>Vr</w:t>
            </w:r>
            <w:r w:rsidRPr="004C66D0">
              <w:t xml:space="preserve"> by the local heart team. </w:t>
            </w:r>
            <w:r w:rsidR="00C07832" w:rsidRPr="004C66D0">
              <w:t>109</w:t>
            </w:r>
            <w:r w:rsidRPr="004C66D0">
              <w:t xml:space="preserve"> </w:t>
            </w:r>
            <w:r w:rsidR="00F057D7" w:rsidRPr="004C66D0">
              <w:t xml:space="preserve">patients </w:t>
            </w:r>
            <w:r w:rsidRPr="004C66D0">
              <w:t xml:space="preserve">were treated (67% FMR, 33% DMR); mean age 75.5 years, and 57% were </w:t>
            </w:r>
            <w:r w:rsidR="00C07832" w:rsidRPr="004C66D0">
              <w:t>NYHA</w:t>
            </w:r>
            <w:r w:rsidRPr="004C66D0">
              <w:t xml:space="preserve"> class III or IV</w:t>
            </w:r>
            <w:r w:rsidR="00F40AD7" w:rsidRPr="004C66D0">
              <w:t xml:space="preserve">. </w:t>
            </w:r>
            <w:r w:rsidRPr="004C66D0">
              <w:t>At 1 year, Kaplan-Meier survival was 92% (89% FMR</w:t>
            </w:r>
            <w:r w:rsidR="00F40AD7" w:rsidRPr="004C66D0">
              <w:t>,</w:t>
            </w:r>
            <w:r w:rsidRPr="004C66D0">
              <w:t xml:space="preserve"> 96% DMR) with 88% freedom from </w:t>
            </w:r>
            <w:r w:rsidR="00F007B3" w:rsidRPr="004C66D0">
              <w:t>HF</w:t>
            </w:r>
            <w:r w:rsidRPr="004C66D0">
              <w:t xml:space="preserve"> hospitalization (80% FMR, 100% DMR), MR was ≤1+ in 82% of patients (79% FMR, 86% DMR) and ≤2+ in 100% of patients, 88% of patients were </w:t>
            </w:r>
            <w:r w:rsidR="00174228" w:rsidRPr="004C66D0">
              <w:t>NYHA</w:t>
            </w:r>
            <w:r w:rsidRPr="004C66D0">
              <w:t xml:space="preserve"> class I or II, and </w:t>
            </w:r>
            <w:r w:rsidR="00174228" w:rsidRPr="004C66D0">
              <w:t>KCCQ</w:t>
            </w:r>
            <w:r w:rsidRPr="004C66D0">
              <w:t xml:space="preserve"> </w:t>
            </w:r>
            <w:r w:rsidR="001305BD" w:rsidRPr="004C66D0">
              <w:t xml:space="preserve">score </w:t>
            </w:r>
            <w:r w:rsidRPr="004C66D0">
              <w:t>improved by 14 points (p&lt;0.001 for all).</w:t>
            </w:r>
          </w:p>
          <w:p w14:paraId="23EB1E17" w14:textId="34646346" w:rsidR="00C07832" w:rsidRPr="004C66D0" w:rsidRDefault="00C07832" w:rsidP="00F67842">
            <w:pPr>
              <w:rPr>
                <w:bCs/>
                <w:szCs w:val="20"/>
              </w:rPr>
            </w:pPr>
          </w:p>
        </w:tc>
        <w:tc>
          <w:tcPr>
            <w:tcW w:w="828" w:type="pct"/>
          </w:tcPr>
          <w:p w14:paraId="2A026308" w14:textId="072850EA" w:rsidR="00DD308E" w:rsidRPr="004C66D0" w:rsidRDefault="00167E33" w:rsidP="00DD308E">
            <w:pPr>
              <w:rPr>
                <w:b/>
                <w:szCs w:val="20"/>
              </w:rPr>
            </w:pPr>
            <w:r w:rsidRPr="004C66D0">
              <w:rPr>
                <w:b/>
                <w:szCs w:val="20"/>
              </w:rPr>
              <w:t>1-year, 30-day outcomes</w:t>
            </w:r>
            <w:r w:rsidR="001F4878" w:rsidRPr="004C66D0">
              <w:rPr>
                <w:b/>
                <w:szCs w:val="20"/>
              </w:rPr>
              <w:t>:</w:t>
            </w:r>
            <w:r w:rsidRPr="004C66D0">
              <w:rPr>
                <w:b/>
                <w:szCs w:val="20"/>
              </w:rPr>
              <w:br/>
            </w:r>
            <w:r w:rsidR="00A64E57" w:rsidRPr="004C66D0">
              <w:rPr>
                <w:bCs/>
                <w:szCs w:val="20"/>
              </w:rPr>
              <w:t>https://www.jacc.org/</w:t>
            </w:r>
            <w:r w:rsidR="00A64E57" w:rsidRPr="004C66D0">
              <w:rPr>
                <w:bCs/>
                <w:szCs w:val="20"/>
              </w:rPr>
              <w:br/>
              <w:t>doi/full/10.1016/j.jcin.2020.06.019</w:t>
            </w:r>
          </w:p>
          <w:p w14:paraId="24B5A5CE" w14:textId="7DEF5387" w:rsidR="00167E33" w:rsidRPr="004C66D0" w:rsidRDefault="00167E33" w:rsidP="00DD308E">
            <w:pPr>
              <w:rPr>
                <w:b/>
                <w:szCs w:val="20"/>
              </w:rPr>
            </w:pPr>
            <w:r w:rsidRPr="004C66D0">
              <w:rPr>
                <w:b/>
                <w:szCs w:val="20"/>
              </w:rPr>
              <w:t xml:space="preserve">6-month outcomes: </w:t>
            </w:r>
            <w:r w:rsidRPr="004C66D0">
              <w:rPr>
                <w:bCs/>
                <w:szCs w:val="20"/>
              </w:rPr>
              <w:t>https://www.tctmd.com/slide/</w:t>
            </w:r>
            <w:r w:rsidRPr="004C66D0">
              <w:rPr>
                <w:bCs/>
                <w:szCs w:val="20"/>
              </w:rPr>
              <w:br/>
              <w:t>6-month-outcomes-multicenter</w:t>
            </w:r>
            <w:r w:rsidRPr="004C66D0">
              <w:rPr>
                <w:bCs/>
                <w:szCs w:val="20"/>
              </w:rPr>
              <w:br/>
              <w:t>-prospective-study-novel-pascal-transcatheter-mitral-repair</w:t>
            </w:r>
          </w:p>
          <w:p w14:paraId="0DEE1161" w14:textId="30B4D755" w:rsidR="001F4878" w:rsidRPr="004C66D0" w:rsidRDefault="001F4878" w:rsidP="00DD308E">
            <w:pPr>
              <w:rPr>
                <w:b/>
                <w:szCs w:val="20"/>
              </w:rPr>
            </w:pPr>
            <w:r w:rsidRPr="004C66D0">
              <w:rPr>
                <w:b/>
                <w:szCs w:val="20"/>
              </w:rPr>
              <w:t>30</w:t>
            </w:r>
            <w:r w:rsidR="00167E33" w:rsidRPr="004C66D0">
              <w:rPr>
                <w:b/>
                <w:szCs w:val="20"/>
              </w:rPr>
              <w:t>-d</w:t>
            </w:r>
            <w:r w:rsidRPr="004C66D0">
              <w:rPr>
                <w:b/>
                <w:szCs w:val="20"/>
              </w:rPr>
              <w:t xml:space="preserve">ay </w:t>
            </w:r>
            <w:r w:rsidR="00167E33" w:rsidRPr="004C66D0">
              <w:rPr>
                <w:b/>
                <w:szCs w:val="20"/>
              </w:rPr>
              <w:t xml:space="preserve">outcomes: </w:t>
            </w:r>
            <w:r w:rsidR="00A64E57" w:rsidRPr="004C66D0">
              <w:rPr>
                <w:bCs/>
                <w:szCs w:val="20"/>
              </w:rPr>
              <w:t>https://www.jacc.org/doi/</w:t>
            </w:r>
            <w:r w:rsidR="00A64E57" w:rsidRPr="004C66D0">
              <w:rPr>
                <w:bCs/>
                <w:szCs w:val="20"/>
              </w:rPr>
              <w:br/>
              <w:t>full/10.1016/j.jcin.2019.04.034</w:t>
            </w:r>
          </w:p>
        </w:tc>
        <w:tc>
          <w:tcPr>
            <w:tcW w:w="1115" w:type="pct"/>
          </w:tcPr>
          <w:p w14:paraId="11341C8D" w14:textId="6D352FC3" w:rsidR="00167E33" w:rsidRPr="004C66D0" w:rsidRDefault="00167E33" w:rsidP="00167E33">
            <w:r w:rsidRPr="004C66D0">
              <w:rPr>
                <w:b/>
                <w:bCs/>
              </w:rPr>
              <w:t>30-day outcomes</w:t>
            </w:r>
            <w:r w:rsidRPr="004C66D0">
              <w:t>:</w:t>
            </w:r>
            <w:r w:rsidRPr="004C66D0">
              <w:br/>
              <w:t>n = 62, Lim et al. (2019)</w:t>
            </w:r>
            <w:r w:rsidRPr="004C66D0">
              <w:br/>
              <w:t>n = 109, Webb et al. (</w:t>
            </w:r>
            <w:r w:rsidR="00BB5E63" w:rsidRPr="004C66D0">
              <w:t>2020)</w:t>
            </w:r>
          </w:p>
          <w:p w14:paraId="5A296894" w14:textId="351A0017" w:rsidR="00167E33" w:rsidRPr="004C66D0" w:rsidRDefault="00167E33" w:rsidP="00167E33">
            <w:r w:rsidRPr="004C66D0">
              <w:rPr>
                <w:b/>
                <w:bCs/>
              </w:rPr>
              <w:t>6-month outcomes:</w:t>
            </w:r>
            <w:r w:rsidRPr="004C66D0">
              <w:br/>
              <w:t>n = 62, Lim (2019)</w:t>
            </w:r>
          </w:p>
          <w:p w14:paraId="1F68B104" w14:textId="4DC5EC6E" w:rsidR="00167E33" w:rsidRPr="004C66D0" w:rsidRDefault="00167E33" w:rsidP="00167E33">
            <w:r w:rsidRPr="004C66D0">
              <w:rPr>
                <w:b/>
                <w:bCs/>
              </w:rPr>
              <w:t>1-year interim outcomes:</w:t>
            </w:r>
            <w:r w:rsidRPr="004C66D0">
              <w:br/>
              <w:t>n = 62, Webb et al.</w:t>
            </w:r>
            <w:r w:rsidR="00BB5E63" w:rsidRPr="004C66D0">
              <w:t xml:space="preserve"> (2020)</w:t>
            </w:r>
          </w:p>
          <w:p w14:paraId="0E5BA8C5" w14:textId="77777777" w:rsidR="00167E33" w:rsidRPr="004C66D0" w:rsidRDefault="00167E33" w:rsidP="00167E33">
            <w:r w:rsidRPr="004C66D0">
              <w:rPr>
                <w:b/>
                <w:bCs/>
              </w:rPr>
              <w:t>Estimated primary endpoint date</w:t>
            </w:r>
            <w:r w:rsidRPr="004C66D0">
              <w:t>: December 2019</w:t>
            </w:r>
          </w:p>
          <w:p w14:paraId="011D727C" w14:textId="6D664306" w:rsidR="00066E90" w:rsidRPr="004C66D0" w:rsidRDefault="00167E33" w:rsidP="00167E33">
            <w:pPr>
              <w:rPr>
                <w:bCs/>
                <w:szCs w:val="20"/>
              </w:rPr>
            </w:pPr>
            <w:r w:rsidRPr="004C66D0">
              <w:rPr>
                <w:b/>
                <w:bCs/>
              </w:rPr>
              <w:t>Estimated study completion date:</w:t>
            </w:r>
            <w:r w:rsidRPr="004C66D0">
              <w:t xml:space="preserve"> January 2024</w:t>
            </w:r>
          </w:p>
        </w:tc>
      </w:tr>
      <w:tr w:rsidR="001F0EF7" w:rsidRPr="004C66D0" w14:paraId="43EEAB8C" w14:textId="77777777" w:rsidTr="001F0EF7">
        <w:trPr>
          <w:cantSplit/>
        </w:trPr>
        <w:tc>
          <w:tcPr>
            <w:tcW w:w="130" w:type="pct"/>
          </w:tcPr>
          <w:p w14:paraId="45B00DC4" w14:textId="77777777" w:rsidR="00DD308E" w:rsidRPr="004C66D0" w:rsidRDefault="00DD308E" w:rsidP="00DD308E">
            <w:pPr>
              <w:rPr>
                <w:szCs w:val="20"/>
              </w:rPr>
            </w:pPr>
            <w:r w:rsidRPr="004C66D0">
              <w:rPr>
                <w:szCs w:val="20"/>
              </w:rPr>
              <w:lastRenderedPageBreak/>
              <w:t>2.</w:t>
            </w:r>
          </w:p>
        </w:tc>
        <w:tc>
          <w:tcPr>
            <w:tcW w:w="518" w:type="pct"/>
          </w:tcPr>
          <w:p w14:paraId="51F7847E" w14:textId="77777777" w:rsidR="00DD308E" w:rsidRPr="004C66D0" w:rsidRDefault="00940700" w:rsidP="00DD308E">
            <w:r w:rsidRPr="004C66D0">
              <w:t>Compassionate Use Study</w:t>
            </w:r>
          </w:p>
          <w:p w14:paraId="47301B93" w14:textId="77777777" w:rsidR="00940700" w:rsidRPr="004C66D0" w:rsidRDefault="00940700" w:rsidP="00940700">
            <w:pPr>
              <w:rPr>
                <w:bCs/>
                <w:szCs w:val="20"/>
              </w:rPr>
            </w:pPr>
            <w:r w:rsidRPr="004C66D0">
              <w:rPr>
                <w:bCs/>
                <w:szCs w:val="20"/>
              </w:rPr>
              <w:t>Observational, single-arm study</w:t>
            </w:r>
          </w:p>
          <w:p w14:paraId="0E0CF75E" w14:textId="36E5F9BE" w:rsidR="00940700" w:rsidRPr="004C66D0" w:rsidRDefault="00940700" w:rsidP="00940700">
            <w:pPr>
              <w:rPr>
                <w:b/>
                <w:szCs w:val="20"/>
              </w:rPr>
            </w:pPr>
            <w:r w:rsidRPr="004C66D0">
              <w:rPr>
                <w:bCs/>
                <w:szCs w:val="20"/>
              </w:rPr>
              <w:t xml:space="preserve">Worldwide; </w:t>
            </w:r>
            <w:r w:rsidR="0067416C" w:rsidRPr="004C66D0">
              <w:rPr>
                <w:bCs/>
                <w:szCs w:val="20"/>
              </w:rPr>
              <w:t>7</w:t>
            </w:r>
            <w:r w:rsidRPr="004C66D0">
              <w:rPr>
                <w:bCs/>
                <w:szCs w:val="20"/>
              </w:rPr>
              <w:t xml:space="preserve"> sites in 5 countries</w:t>
            </w:r>
          </w:p>
        </w:tc>
        <w:tc>
          <w:tcPr>
            <w:tcW w:w="688" w:type="pct"/>
          </w:tcPr>
          <w:p w14:paraId="681561CE" w14:textId="295852E5" w:rsidR="00635573" w:rsidRPr="004C66D0" w:rsidRDefault="00635573" w:rsidP="008547CA">
            <w:pPr>
              <w:rPr>
                <w:bCs/>
                <w:szCs w:val="20"/>
              </w:rPr>
            </w:pPr>
            <w:r w:rsidRPr="004C66D0">
              <w:rPr>
                <w:bCs/>
                <w:szCs w:val="20"/>
              </w:rPr>
              <w:t xml:space="preserve">Compassionate use of the PASCAL </w:t>
            </w:r>
            <w:r w:rsidR="008547CA" w:rsidRPr="004C66D0">
              <w:rPr>
                <w:bCs/>
                <w:szCs w:val="20"/>
              </w:rPr>
              <w:t>TMVr</w:t>
            </w:r>
            <w:r w:rsidRPr="004C66D0">
              <w:rPr>
                <w:bCs/>
                <w:szCs w:val="20"/>
              </w:rPr>
              <w:t xml:space="preserve"> system for patients with severe </w:t>
            </w:r>
            <w:r w:rsidR="008547CA" w:rsidRPr="004C66D0">
              <w:rPr>
                <w:bCs/>
                <w:szCs w:val="20"/>
              </w:rPr>
              <w:t>MR</w:t>
            </w:r>
            <w:r w:rsidRPr="004C66D0">
              <w:rPr>
                <w:bCs/>
                <w:szCs w:val="20"/>
              </w:rPr>
              <w:t>:</w:t>
            </w:r>
          </w:p>
          <w:p w14:paraId="227A787D" w14:textId="17560ABC" w:rsidR="00DD308E" w:rsidRPr="004C66D0" w:rsidRDefault="00635573" w:rsidP="00635573">
            <w:pPr>
              <w:rPr>
                <w:bCs/>
                <w:szCs w:val="20"/>
              </w:rPr>
            </w:pPr>
            <w:r w:rsidRPr="004C66D0">
              <w:rPr>
                <w:bCs/>
                <w:szCs w:val="20"/>
              </w:rPr>
              <w:t>a multicentre, prospective, observational, first-in-man study</w:t>
            </w:r>
          </w:p>
        </w:tc>
        <w:tc>
          <w:tcPr>
            <w:tcW w:w="1720" w:type="pct"/>
          </w:tcPr>
          <w:p w14:paraId="75906292" w14:textId="77777777" w:rsidR="00176DE8" w:rsidRPr="004C66D0" w:rsidRDefault="00176DE8" w:rsidP="00176DE8">
            <w:pPr>
              <w:rPr>
                <w:u w:val="single"/>
              </w:rPr>
            </w:pPr>
            <w:r w:rsidRPr="004C66D0">
              <w:rPr>
                <w:u w:val="single"/>
              </w:rPr>
              <w:t>DMR and FMR</w:t>
            </w:r>
          </w:p>
          <w:p w14:paraId="4F6D14BF" w14:textId="390E39BE" w:rsidR="00DD308E" w:rsidRPr="004C66D0" w:rsidRDefault="0067416C" w:rsidP="0067416C">
            <w:r w:rsidRPr="004C66D0">
              <w:t xml:space="preserve">In this multicentre, prospective, observational, first-in-man </w:t>
            </w:r>
            <w:r w:rsidR="0022305B" w:rsidRPr="004C66D0">
              <w:t xml:space="preserve">study, </w:t>
            </w:r>
            <w:r w:rsidR="004866F9" w:rsidRPr="004C66D0">
              <w:t xml:space="preserve">23 </w:t>
            </w:r>
            <w:r w:rsidRPr="004C66D0">
              <w:t xml:space="preserve">patients with symptomatic, severe </w:t>
            </w:r>
            <w:r w:rsidR="007573A2" w:rsidRPr="004C66D0">
              <w:t>FMR, DMR or</w:t>
            </w:r>
            <w:r w:rsidRPr="004C66D0">
              <w:t xml:space="preserve"> mixed </w:t>
            </w:r>
            <w:r w:rsidR="007573A2" w:rsidRPr="004C66D0">
              <w:t>etiology</w:t>
            </w:r>
            <w:r w:rsidRPr="004C66D0">
              <w:t xml:space="preserve"> deemed at high risk or inoperable</w:t>
            </w:r>
            <w:r w:rsidR="000F1AA3" w:rsidRPr="004C66D0">
              <w:t xml:space="preserve"> were </w:t>
            </w:r>
            <w:r w:rsidRPr="004C66D0">
              <w:t>treat</w:t>
            </w:r>
            <w:r w:rsidR="000F1AA3" w:rsidRPr="004C66D0">
              <w:t>ed</w:t>
            </w:r>
            <w:r w:rsidRPr="004C66D0">
              <w:t xml:space="preserve"> </w:t>
            </w:r>
            <w:r w:rsidR="003F7203" w:rsidRPr="004C66D0">
              <w:t xml:space="preserve">using the PASCAL TMVr system </w:t>
            </w:r>
            <w:r w:rsidRPr="004C66D0">
              <w:t xml:space="preserve">for moderate-to-severe (grade 3+) or severe (grade 4+) </w:t>
            </w:r>
            <w:r w:rsidR="009538D4" w:rsidRPr="004C66D0">
              <w:t>MR</w:t>
            </w:r>
            <w:r w:rsidRPr="004C66D0">
              <w:t xml:space="preserve">. At baseline, </w:t>
            </w:r>
            <w:r w:rsidR="001D52C7" w:rsidRPr="004C66D0">
              <w:t>all</w:t>
            </w:r>
            <w:r w:rsidRPr="004C66D0">
              <w:t xml:space="preserve"> patients were NYHA class III or IV. </w:t>
            </w:r>
            <w:r w:rsidR="00D77A1D" w:rsidRPr="004C66D0">
              <w:t>In 22 (96%) patients</w:t>
            </w:r>
            <w:r w:rsidR="00DD7140" w:rsidRPr="004C66D0">
              <w:t>,</w:t>
            </w:r>
            <w:r w:rsidR="00D77A1D" w:rsidRPr="004C66D0">
              <w:t xml:space="preserve"> </w:t>
            </w:r>
            <w:r w:rsidRPr="004C66D0">
              <w:t xml:space="preserve">residual </w:t>
            </w:r>
            <w:r w:rsidR="0098759A" w:rsidRPr="004C66D0">
              <w:t>MR</w:t>
            </w:r>
            <w:r w:rsidRPr="004C66D0">
              <w:t xml:space="preserve"> </w:t>
            </w:r>
            <w:r w:rsidR="00DD7140" w:rsidRPr="004C66D0">
              <w:t xml:space="preserve">was </w:t>
            </w:r>
            <w:r w:rsidRPr="004C66D0">
              <w:t xml:space="preserve">grade 2+ or less. </w:t>
            </w:r>
            <w:r w:rsidR="0098759A" w:rsidRPr="004C66D0">
              <w:t>T</w:t>
            </w:r>
            <w:r w:rsidRPr="004C66D0">
              <w:t>echnical success was achieved in 22 (96%) patients, and device success at 30 days was achieved in 18 (78%) patients.</w:t>
            </w:r>
            <w:r w:rsidR="0015089F" w:rsidRPr="004C66D0">
              <w:t xml:space="preserve"> </w:t>
            </w:r>
            <w:r w:rsidRPr="004C66D0">
              <w:t xml:space="preserve">Three patients (13%) died during the </w:t>
            </w:r>
            <w:r w:rsidR="00B4286B" w:rsidRPr="004C66D0">
              <w:t>30-day</w:t>
            </w:r>
            <w:r w:rsidRPr="004C66D0">
              <w:t xml:space="preserve"> follow-up. 19 (95%) patients </w:t>
            </w:r>
            <w:r w:rsidR="004D005D" w:rsidRPr="004C66D0">
              <w:t xml:space="preserve">were </w:t>
            </w:r>
            <w:r w:rsidRPr="004C66D0">
              <w:t xml:space="preserve">alive 30 days after implantation </w:t>
            </w:r>
            <w:r w:rsidR="004D005D" w:rsidRPr="004C66D0">
              <w:t xml:space="preserve">and </w:t>
            </w:r>
            <w:r w:rsidRPr="004C66D0">
              <w:t>were NYHA class I or II.</w:t>
            </w:r>
          </w:p>
        </w:tc>
        <w:tc>
          <w:tcPr>
            <w:tcW w:w="828" w:type="pct"/>
          </w:tcPr>
          <w:p w14:paraId="56124411" w14:textId="5627A129" w:rsidR="001C02B9" w:rsidRPr="004C66D0" w:rsidRDefault="001C02B9" w:rsidP="00DD308E">
            <w:pPr>
              <w:rPr>
                <w:b/>
                <w:szCs w:val="20"/>
              </w:rPr>
            </w:pPr>
            <w:r w:rsidRPr="004C66D0">
              <w:rPr>
                <w:b/>
                <w:szCs w:val="20"/>
              </w:rPr>
              <w:t>6-month outcomes:</w:t>
            </w:r>
            <w:r w:rsidRPr="004C66D0">
              <w:t xml:space="preserve"> </w:t>
            </w:r>
            <w:r w:rsidRPr="004C66D0">
              <w:rPr>
                <w:bCs/>
                <w:szCs w:val="20"/>
              </w:rPr>
              <w:t>https://www.tctmd.com/slide/pascal-system-transcatheter-mitral-leaflet-repair-initial-experience-and-outcomes</w:t>
            </w:r>
          </w:p>
          <w:p w14:paraId="26C1CC37" w14:textId="35C1F212" w:rsidR="00167E33" w:rsidRPr="004C66D0" w:rsidRDefault="00C83E59" w:rsidP="001F0EF7">
            <w:pPr>
              <w:rPr>
                <w:bCs/>
                <w:szCs w:val="20"/>
              </w:rPr>
            </w:pPr>
            <w:r w:rsidRPr="004C66D0">
              <w:rPr>
                <w:b/>
                <w:szCs w:val="20"/>
              </w:rPr>
              <w:t>30</w:t>
            </w:r>
            <w:r w:rsidR="001C02B9" w:rsidRPr="004C66D0">
              <w:rPr>
                <w:b/>
                <w:szCs w:val="20"/>
              </w:rPr>
              <w:t>-day outcomes</w:t>
            </w:r>
            <w:r w:rsidRPr="004C66D0">
              <w:rPr>
                <w:b/>
                <w:szCs w:val="20"/>
              </w:rPr>
              <w:t>:</w:t>
            </w:r>
            <w:r w:rsidR="001C02B9" w:rsidRPr="004C66D0">
              <w:rPr>
                <w:b/>
                <w:szCs w:val="20"/>
              </w:rPr>
              <w:br/>
            </w:r>
            <w:r w:rsidR="0067416C" w:rsidRPr="004C66D0">
              <w:rPr>
                <w:bCs/>
                <w:szCs w:val="20"/>
              </w:rPr>
              <w:t>https://www.thelancet.com/journals/lancet/</w:t>
            </w:r>
            <w:r w:rsidR="0067416C" w:rsidRPr="004C66D0">
              <w:rPr>
                <w:bCs/>
                <w:szCs w:val="20"/>
              </w:rPr>
              <w:br/>
              <w:t>article/PIIS0140-6736(17)31600-8/fulltext</w:t>
            </w:r>
          </w:p>
        </w:tc>
        <w:tc>
          <w:tcPr>
            <w:tcW w:w="1115" w:type="pct"/>
          </w:tcPr>
          <w:p w14:paraId="300BC6C1" w14:textId="7382ECA1" w:rsidR="00167E33" w:rsidRPr="004C66D0" w:rsidRDefault="00167E33" w:rsidP="00167E33">
            <w:pPr>
              <w:pStyle w:val="TableText"/>
              <w:rPr>
                <w:rFonts w:asciiTheme="minorHAnsi" w:hAnsiTheme="minorHAnsi"/>
                <w:b/>
                <w:bCs/>
                <w:color w:val="auto"/>
                <w:sz w:val="20"/>
                <w:lang w:val="en-AU"/>
              </w:rPr>
            </w:pPr>
            <w:r w:rsidRPr="004C66D0">
              <w:rPr>
                <w:rFonts w:asciiTheme="minorHAnsi" w:hAnsiTheme="minorHAnsi"/>
                <w:b/>
                <w:bCs/>
                <w:color w:val="auto"/>
                <w:sz w:val="20"/>
                <w:lang w:val="en-AU"/>
              </w:rPr>
              <w:t xml:space="preserve">30-day outcomes: </w:t>
            </w:r>
          </w:p>
          <w:p w14:paraId="00BCCFF5" w14:textId="1BAF7737" w:rsidR="00167E33" w:rsidRPr="004C66D0" w:rsidRDefault="00167E33" w:rsidP="00167E33">
            <w:pPr>
              <w:pStyle w:val="TableText"/>
              <w:rPr>
                <w:rFonts w:asciiTheme="minorHAnsi" w:hAnsiTheme="minorHAnsi"/>
                <w:color w:val="auto"/>
                <w:sz w:val="20"/>
                <w:lang w:val="en-AU"/>
              </w:rPr>
            </w:pPr>
            <w:r w:rsidRPr="004C66D0">
              <w:rPr>
                <w:rFonts w:asciiTheme="minorHAnsi" w:hAnsiTheme="minorHAnsi"/>
                <w:color w:val="auto"/>
                <w:sz w:val="20"/>
                <w:lang w:val="en-AU"/>
              </w:rPr>
              <w:t>Praz et al (2017)</w:t>
            </w:r>
          </w:p>
          <w:p w14:paraId="4ED4AE8F" w14:textId="6D1E55AE" w:rsidR="00167E33" w:rsidRPr="004C66D0" w:rsidRDefault="00167E33" w:rsidP="00167E33">
            <w:pPr>
              <w:pStyle w:val="TableText"/>
              <w:spacing w:before="120"/>
              <w:rPr>
                <w:rFonts w:asciiTheme="minorHAnsi" w:hAnsiTheme="minorHAnsi"/>
                <w:color w:val="auto"/>
                <w:sz w:val="20"/>
                <w:lang w:val="en-AU"/>
              </w:rPr>
            </w:pPr>
            <w:r w:rsidRPr="004C66D0">
              <w:rPr>
                <w:rFonts w:asciiTheme="minorHAnsi" w:hAnsiTheme="minorHAnsi"/>
                <w:b/>
                <w:bCs/>
                <w:color w:val="auto"/>
                <w:sz w:val="20"/>
                <w:lang w:val="en-AU"/>
              </w:rPr>
              <w:t>6-month outcomes:</w:t>
            </w:r>
            <w:r w:rsidRPr="004C66D0">
              <w:rPr>
                <w:rFonts w:asciiTheme="minorHAnsi" w:hAnsiTheme="minorHAnsi"/>
                <w:color w:val="auto"/>
                <w:sz w:val="20"/>
                <w:lang w:val="en-AU"/>
              </w:rPr>
              <w:br/>
              <w:t>Fam (2018)</w:t>
            </w:r>
          </w:p>
          <w:p w14:paraId="73C411E0" w14:textId="503972A0" w:rsidR="00DD308E" w:rsidRPr="004C66D0" w:rsidRDefault="00167E33" w:rsidP="00167E33">
            <w:pPr>
              <w:rPr>
                <w:b/>
                <w:szCs w:val="20"/>
              </w:rPr>
            </w:pPr>
            <w:r w:rsidRPr="004C66D0">
              <w:rPr>
                <w:b/>
                <w:bCs/>
              </w:rPr>
              <w:t>Estimated completion</w:t>
            </w:r>
            <w:r w:rsidRPr="004C66D0">
              <w:t>: TBD</w:t>
            </w:r>
          </w:p>
        </w:tc>
      </w:tr>
      <w:tr w:rsidR="001F0EF7" w:rsidRPr="004C66D0" w14:paraId="18DCA93C" w14:textId="77777777" w:rsidTr="001F0EF7">
        <w:trPr>
          <w:cantSplit/>
        </w:trPr>
        <w:tc>
          <w:tcPr>
            <w:tcW w:w="130" w:type="pct"/>
          </w:tcPr>
          <w:p w14:paraId="3637E65D" w14:textId="77777777" w:rsidR="00DD308E" w:rsidRPr="004C66D0" w:rsidRDefault="00DD308E" w:rsidP="00DD308E">
            <w:pPr>
              <w:rPr>
                <w:szCs w:val="20"/>
              </w:rPr>
            </w:pPr>
            <w:r w:rsidRPr="004C66D0">
              <w:rPr>
                <w:szCs w:val="20"/>
              </w:rPr>
              <w:t>3.</w:t>
            </w:r>
          </w:p>
        </w:tc>
        <w:tc>
          <w:tcPr>
            <w:tcW w:w="518" w:type="pct"/>
          </w:tcPr>
          <w:p w14:paraId="14B322FA" w14:textId="77777777" w:rsidR="00DD308E" w:rsidRPr="004C66D0" w:rsidRDefault="00931DB3" w:rsidP="00DD308E">
            <w:pPr>
              <w:rPr>
                <w:bCs/>
                <w:szCs w:val="20"/>
              </w:rPr>
            </w:pPr>
            <w:r w:rsidRPr="004C66D0">
              <w:rPr>
                <w:bCs/>
                <w:szCs w:val="20"/>
              </w:rPr>
              <w:t>German Registry Study</w:t>
            </w:r>
          </w:p>
          <w:p w14:paraId="198D42B9" w14:textId="79C101D1" w:rsidR="00931DB3" w:rsidRPr="004C66D0" w:rsidRDefault="00931DB3" w:rsidP="00DD308E">
            <w:pPr>
              <w:rPr>
                <w:bCs/>
                <w:szCs w:val="20"/>
              </w:rPr>
            </w:pPr>
            <w:r w:rsidRPr="004C66D0">
              <w:rPr>
                <w:bCs/>
                <w:szCs w:val="20"/>
              </w:rPr>
              <w:t>Observational study 3 sites in Germany</w:t>
            </w:r>
          </w:p>
        </w:tc>
        <w:tc>
          <w:tcPr>
            <w:tcW w:w="688" w:type="pct"/>
          </w:tcPr>
          <w:p w14:paraId="5B456AE1" w14:textId="79FCB006" w:rsidR="00DD308E" w:rsidRPr="004C66D0" w:rsidRDefault="00931DB3" w:rsidP="00931DB3">
            <w:r w:rsidRPr="004C66D0">
              <w:t>Mitral valve leaflet repair with the new PASCAL system: early real</w:t>
            </w:r>
            <w:r w:rsidRPr="004C66D0">
              <w:rPr>
                <w:rFonts w:ascii="Cambria Math" w:hAnsi="Cambria Math" w:cs="Cambria Math"/>
              </w:rPr>
              <w:t>‑</w:t>
            </w:r>
            <w:r w:rsidRPr="004C66D0">
              <w:t>world data from a German multicentre experience</w:t>
            </w:r>
          </w:p>
        </w:tc>
        <w:tc>
          <w:tcPr>
            <w:tcW w:w="1720" w:type="pct"/>
          </w:tcPr>
          <w:p w14:paraId="3F228309" w14:textId="77777777" w:rsidR="00176DE8" w:rsidRPr="004C66D0" w:rsidRDefault="00176DE8" w:rsidP="00176DE8">
            <w:pPr>
              <w:rPr>
                <w:u w:val="single"/>
              </w:rPr>
            </w:pPr>
            <w:r w:rsidRPr="004C66D0">
              <w:rPr>
                <w:u w:val="single"/>
              </w:rPr>
              <w:t>DMR and FMR</w:t>
            </w:r>
          </w:p>
          <w:p w14:paraId="11221202" w14:textId="729D83D6" w:rsidR="00DD308E" w:rsidRPr="004C66D0" w:rsidRDefault="00931DB3" w:rsidP="00931DB3">
            <w:r w:rsidRPr="004C66D0">
              <w:t>T</w:t>
            </w:r>
            <w:r w:rsidR="00314A1B" w:rsidRPr="004C66D0">
              <w:t xml:space="preserve">his study </w:t>
            </w:r>
            <w:r w:rsidR="00C62915" w:rsidRPr="004C66D0">
              <w:t>includes</w:t>
            </w:r>
            <w:r w:rsidRPr="004C66D0">
              <w:t xml:space="preserve"> </w:t>
            </w:r>
            <w:r w:rsidR="00C62915" w:rsidRPr="004C66D0">
              <w:t>the</w:t>
            </w:r>
            <w:r w:rsidRPr="004C66D0">
              <w:t xml:space="preserve"> </w:t>
            </w:r>
            <w:r w:rsidR="00325647" w:rsidRPr="004C66D0">
              <w:t xml:space="preserve">early </w:t>
            </w:r>
            <w:r w:rsidRPr="004C66D0">
              <w:t xml:space="preserve">practical use of the PASCAL </w:t>
            </w:r>
            <w:r w:rsidR="003F7203" w:rsidRPr="004C66D0">
              <w:t>TMVr</w:t>
            </w:r>
            <w:r w:rsidRPr="004C66D0">
              <w:t xml:space="preserve"> system, a total of 18 consecutive patients with severe, symptomatic MR were included in this German multicentre registry. </w:t>
            </w:r>
            <w:r w:rsidR="00C62915" w:rsidRPr="004C66D0">
              <w:t>Six</w:t>
            </w:r>
            <w:r w:rsidRPr="004C66D0">
              <w:t xml:space="preserve"> patient</w:t>
            </w:r>
            <w:r w:rsidR="00881155" w:rsidRPr="004C66D0">
              <w:t>s</w:t>
            </w:r>
            <w:r w:rsidR="009F28B4" w:rsidRPr="004C66D0">
              <w:t xml:space="preserve"> with FMR</w:t>
            </w:r>
            <w:r w:rsidR="00881155" w:rsidRPr="004C66D0">
              <w:t>,</w:t>
            </w:r>
            <w:r w:rsidR="00A1285D" w:rsidRPr="004C66D0">
              <w:t xml:space="preserve"> 2</w:t>
            </w:r>
            <w:r w:rsidR="009F28B4" w:rsidRPr="004C66D0">
              <w:t xml:space="preserve"> with</w:t>
            </w:r>
            <w:r w:rsidR="00A1285D" w:rsidRPr="004C66D0">
              <w:t xml:space="preserve"> DMR and 10 were mixed etiology</w:t>
            </w:r>
            <w:r w:rsidR="003F7203" w:rsidRPr="004C66D0">
              <w:t>.</w:t>
            </w:r>
            <w:r w:rsidRPr="004C66D0">
              <w:t xml:space="preserve"> The preprocedural severe MR present in all patients was reduced: grade 0 in 4 (22.2%), grade I in 11 (61.1%), grade II in 3 (16.7</w:t>
            </w:r>
            <w:r w:rsidR="0018341C" w:rsidRPr="004C66D0">
              <w:t>%)</w:t>
            </w:r>
            <w:r w:rsidRPr="004C66D0">
              <w:t>. There were no periprocedural complications.</w:t>
            </w:r>
          </w:p>
        </w:tc>
        <w:tc>
          <w:tcPr>
            <w:tcW w:w="828" w:type="pct"/>
          </w:tcPr>
          <w:p w14:paraId="63198927" w14:textId="7075F3F9" w:rsidR="00DD308E" w:rsidRPr="004C66D0" w:rsidRDefault="00BE6F45" w:rsidP="00DD308E">
            <w:pPr>
              <w:rPr>
                <w:bCs/>
                <w:szCs w:val="20"/>
              </w:rPr>
            </w:pPr>
            <w:r w:rsidRPr="004C66D0">
              <w:rPr>
                <w:bCs/>
                <w:szCs w:val="20"/>
              </w:rPr>
              <w:t>https://link.springer.com/article/</w:t>
            </w:r>
            <w:r w:rsidRPr="004C66D0">
              <w:rPr>
                <w:bCs/>
                <w:szCs w:val="20"/>
              </w:rPr>
              <w:br/>
              <w:t>10.1007/s00392-019-01538-3</w:t>
            </w:r>
          </w:p>
        </w:tc>
        <w:tc>
          <w:tcPr>
            <w:tcW w:w="1115" w:type="pct"/>
          </w:tcPr>
          <w:p w14:paraId="65AF805F" w14:textId="03232BBE" w:rsidR="00DD308E" w:rsidRPr="004C66D0" w:rsidRDefault="003657A4" w:rsidP="00DD308E">
            <w:pPr>
              <w:rPr>
                <w:b/>
                <w:szCs w:val="20"/>
              </w:rPr>
            </w:pPr>
            <w:r w:rsidRPr="004C66D0">
              <w:rPr>
                <w:b/>
                <w:bCs/>
              </w:rPr>
              <w:t>Discharge outcomes</w:t>
            </w:r>
            <w:r w:rsidRPr="004C66D0">
              <w:t xml:space="preserve">: </w:t>
            </w:r>
            <w:r w:rsidRPr="004C66D0">
              <w:br/>
            </w:r>
            <w:r w:rsidRPr="004C66D0">
              <w:rPr>
                <w:bCs/>
                <w:szCs w:val="20"/>
              </w:rPr>
              <w:t>Kriechbaum et al. (2020)</w:t>
            </w:r>
          </w:p>
        </w:tc>
      </w:tr>
    </w:tbl>
    <w:p w14:paraId="03777E64" w14:textId="16EA90E6" w:rsidR="00E768BC" w:rsidRPr="00044332" w:rsidRDefault="00044332" w:rsidP="00044332">
      <w:pPr>
        <w:spacing w:before="0" w:after="0"/>
        <w:ind w:left="432"/>
        <w:rPr>
          <w:iCs/>
          <w:szCs w:val="20"/>
        </w:rPr>
      </w:pPr>
      <w:r w:rsidRPr="004C66D0">
        <w:rPr>
          <w:b/>
          <w:bCs/>
          <w:iCs/>
          <w:szCs w:val="20"/>
        </w:rPr>
        <w:t>Abbreviations</w:t>
      </w:r>
      <w:r w:rsidRPr="004C66D0">
        <w:rPr>
          <w:iCs/>
          <w:szCs w:val="20"/>
        </w:rPr>
        <w:t xml:space="preserve">: </w:t>
      </w:r>
      <w:r w:rsidR="00D2322C" w:rsidRPr="004C66D0">
        <w:rPr>
          <w:iCs/>
          <w:szCs w:val="20"/>
        </w:rPr>
        <w:t>MR</w:t>
      </w:r>
      <w:r w:rsidR="00CA7492" w:rsidRPr="004C66D0">
        <w:rPr>
          <w:iCs/>
          <w:szCs w:val="20"/>
        </w:rPr>
        <w:t xml:space="preserve">, mitral regurgitation; </w:t>
      </w:r>
      <w:r w:rsidRPr="004C66D0">
        <w:rPr>
          <w:iCs/>
          <w:szCs w:val="20"/>
        </w:rPr>
        <w:t xml:space="preserve">DMR, degenerative mitral regurgitation; FMR, functional mitral regurgitation; </w:t>
      </w:r>
      <w:r w:rsidR="00D2322C" w:rsidRPr="004C66D0">
        <w:rPr>
          <w:iCs/>
          <w:szCs w:val="20"/>
        </w:rPr>
        <w:t xml:space="preserve">TMVr, Transcatheter Mitral Valve repair; </w:t>
      </w:r>
      <w:r w:rsidRPr="004C66D0">
        <w:rPr>
          <w:iCs/>
          <w:szCs w:val="20"/>
        </w:rPr>
        <w:t>HF, heart failure; MC, multicentre; MM, medical management; MN,</w:t>
      </w:r>
      <w:r w:rsidR="00D2322C" w:rsidRPr="004C66D0">
        <w:rPr>
          <w:iCs/>
          <w:szCs w:val="20"/>
        </w:rPr>
        <w:t xml:space="preserve"> </w:t>
      </w:r>
      <w:r w:rsidRPr="004C66D0">
        <w:rPr>
          <w:iCs/>
          <w:szCs w:val="20"/>
        </w:rPr>
        <w:t>multinational; NYHA, New York Heart Association; OMT, optimal medical therapy; RCT, randomised controlled trial; SOC, standard of care; RCT, Randomised</w:t>
      </w:r>
      <w:r w:rsidR="00D2322C" w:rsidRPr="004C66D0">
        <w:rPr>
          <w:iCs/>
          <w:szCs w:val="20"/>
        </w:rPr>
        <w:t xml:space="preserve"> </w:t>
      </w:r>
      <w:r w:rsidRPr="004C66D0">
        <w:rPr>
          <w:iCs/>
          <w:szCs w:val="20"/>
        </w:rPr>
        <w:t xml:space="preserve">Controlled Trial; </w:t>
      </w:r>
      <w:r w:rsidR="00C55B3F" w:rsidRPr="004C66D0">
        <w:rPr>
          <w:iCs/>
          <w:szCs w:val="20"/>
        </w:rPr>
        <w:t>KCCQ</w:t>
      </w:r>
      <w:r w:rsidR="00140FE0" w:rsidRPr="004C66D0">
        <w:rPr>
          <w:iCs/>
          <w:szCs w:val="20"/>
        </w:rPr>
        <w:t>,</w:t>
      </w:r>
      <w:r w:rsidR="00C55B3F" w:rsidRPr="004C66D0">
        <w:rPr>
          <w:iCs/>
          <w:szCs w:val="20"/>
        </w:rPr>
        <w:t xml:space="preserve"> Kansas City Cardiomyopathy Questionnaire</w:t>
      </w:r>
      <w:r w:rsidR="00140FE0" w:rsidRPr="004C66D0">
        <w:rPr>
          <w:iCs/>
          <w:szCs w:val="20"/>
        </w:rPr>
        <w:t>;</w:t>
      </w:r>
      <w:r w:rsidR="00C55B3F" w:rsidRPr="004C66D0">
        <w:rPr>
          <w:iCs/>
          <w:szCs w:val="20"/>
        </w:rPr>
        <w:t xml:space="preserve"> </w:t>
      </w:r>
      <w:r w:rsidR="00140FE0" w:rsidRPr="004C66D0">
        <w:rPr>
          <w:iCs/>
          <w:szCs w:val="20"/>
        </w:rPr>
        <w:t>6MWD, 6 Minute Walk Distance</w:t>
      </w:r>
    </w:p>
    <w:p w14:paraId="7ADCF074" w14:textId="106C378E" w:rsidR="00DD308E" w:rsidRDefault="00DD308E" w:rsidP="00DD114D">
      <w:pPr>
        <w:spacing w:before="0" w:after="0"/>
        <w:ind w:left="432"/>
        <w:rPr>
          <w:i/>
          <w:szCs w:val="20"/>
        </w:rPr>
      </w:pPr>
      <w:r>
        <w:rPr>
          <w:i/>
          <w:szCs w:val="20"/>
        </w:rPr>
        <w:t xml:space="preserve">* Categorise study design, for example meta-analysis, randomised trials, non-randomised trial or observational study, study of diagnostic accuracy, etc. </w:t>
      </w:r>
      <w:r>
        <w:rPr>
          <w:i/>
          <w:szCs w:val="20"/>
        </w:rPr>
        <w:br w:type="page"/>
      </w:r>
    </w:p>
    <w:p w14:paraId="09019B43"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1DAE1C67"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605"/>
        <w:gridCol w:w="1387"/>
        <w:gridCol w:w="1852"/>
        <w:gridCol w:w="7278"/>
        <w:gridCol w:w="1090"/>
        <w:gridCol w:w="1736"/>
      </w:tblGrid>
      <w:tr w:rsidR="004C49EF" w14:paraId="4BAEA372" w14:textId="77777777" w:rsidTr="004D005D">
        <w:trPr>
          <w:cantSplit/>
          <w:tblHeader/>
        </w:trPr>
        <w:tc>
          <w:tcPr>
            <w:tcW w:w="241" w:type="pct"/>
          </w:tcPr>
          <w:p w14:paraId="3B8464B3" w14:textId="77777777" w:rsidR="004C49EF" w:rsidRDefault="004C49EF" w:rsidP="00855944">
            <w:pPr>
              <w:pStyle w:val="TableHEADER"/>
            </w:pPr>
          </w:p>
        </w:tc>
        <w:tc>
          <w:tcPr>
            <w:tcW w:w="499" w:type="pct"/>
          </w:tcPr>
          <w:p w14:paraId="6117F33A" w14:textId="528F5DED" w:rsidR="004C49EF" w:rsidRDefault="004C49EF" w:rsidP="00855944">
            <w:pPr>
              <w:pStyle w:val="TableHEADER"/>
            </w:pPr>
            <w:r>
              <w:t>Type of study design</w:t>
            </w:r>
          </w:p>
        </w:tc>
        <w:tc>
          <w:tcPr>
            <w:tcW w:w="710" w:type="pct"/>
          </w:tcPr>
          <w:p w14:paraId="6EDAEDDB" w14:textId="61133CD0" w:rsidR="004C49EF" w:rsidRDefault="004C49EF" w:rsidP="00855944">
            <w:pPr>
              <w:pStyle w:val="TableHEADER"/>
            </w:pPr>
            <w:r>
              <w:t xml:space="preserve">Title of research </w:t>
            </w:r>
          </w:p>
        </w:tc>
        <w:tc>
          <w:tcPr>
            <w:tcW w:w="2633" w:type="pct"/>
          </w:tcPr>
          <w:p w14:paraId="5FE3D914" w14:textId="36FE1763" w:rsidR="004C49EF" w:rsidRDefault="00367C1B" w:rsidP="00855944">
            <w:pPr>
              <w:pStyle w:val="TableHEADER"/>
            </w:pPr>
            <w:r>
              <w:t>Short description of research</w:t>
            </w:r>
          </w:p>
        </w:tc>
        <w:tc>
          <w:tcPr>
            <w:tcW w:w="271" w:type="pct"/>
          </w:tcPr>
          <w:p w14:paraId="430BAB1C" w14:textId="7B175061" w:rsidR="004C49EF" w:rsidRDefault="004C49EF" w:rsidP="00855944">
            <w:pPr>
              <w:pStyle w:val="TableHEADER"/>
            </w:pPr>
            <w:r w:rsidRPr="00E82F54">
              <w:t xml:space="preserve">Website link to </w:t>
            </w:r>
            <w:r>
              <w:t xml:space="preserve">research </w:t>
            </w:r>
          </w:p>
        </w:tc>
        <w:tc>
          <w:tcPr>
            <w:tcW w:w="646" w:type="pct"/>
          </w:tcPr>
          <w:p w14:paraId="31B018A8" w14:textId="4CD3F97F" w:rsidR="004C49EF" w:rsidRDefault="004C49EF" w:rsidP="00855944">
            <w:pPr>
              <w:pStyle w:val="TableHEADER"/>
            </w:pPr>
            <w:r w:rsidRPr="00E82F54">
              <w:t>Date</w:t>
            </w:r>
          </w:p>
        </w:tc>
      </w:tr>
      <w:tr w:rsidR="004C49EF" w:rsidRPr="004C66D0" w14:paraId="4D0B3341" w14:textId="77777777" w:rsidTr="004D005D">
        <w:trPr>
          <w:cantSplit/>
        </w:trPr>
        <w:tc>
          <w:tcPr>
            <w:tcW w:w="241" w:type="pct"/>
          </w:tcPr>
          <w:p w14:paraId="7FB36CD0" w14:textId="2DD3A74F" w:rsidR="004C49EF" w:rsidRPr="00BE6B8B" w:rsidRDefault="0091304F" w:rsidP="00526478">
            <w:pPr>
              <w:rPr>
                <w:szCs w:val="20"/>
              </w:rPr>
            </w:pPr>
            <w:r w:rsidRPr="00BE6B8B">
              <w:rPr>
                <w:szCs w:val="20"/>
              </w:rPr>
              <w:t>1</w:t>
            </w:r>
            <w:r w:rsidR="004C49EF" w:rsidRPr="00BE6B8B">
              <w:rPr>
                <w:szCs w:val="20"/>
              </w:rPr>
              <w:t>.</w:t>
            </w:r>
          </w:p>
        </w:tc>
        <w:tc>
          <w:tcPr>
            <w:tcW w:w="499" w:type="pct"/>
          </w:tcPr>
          <w:p w14:paraId="212B6965" w14:textId="77777777" w:rsidR="0091304F" w:rsidRPr="00BE6B8B" w:rsidRDefault="0091304F" w:rsidP="0091304F">
            <w:r w:rsidRPr="00BE6B8B">
              <w:t>Prospective, single-arm, observational study</w:t>
            </w:r>
          </w:p>
          <w:p w14:paraId="2162594E" w14:textId="16F27A7F" w:rsidR="004C49EF" w:rsidRPr="00BE6B8B" w:rsidRDefault="0091304F" w:rsidP="0091304F">
            <w:pPr>
              <w:rPr>
                <w:b/>
              </w:rPr>
            </w:pPr>
            <w:r w:rsidRPr="00BE6B8B">
              <w:t>Multicent</w:t>
            </w:r>
            <w:r w:rsidR="009B2972" w:rsidRPr="00BE6B8B">
              <w:t>re</w:t>
            </w:r>
            <w:r w:rsidRPr="00BE6B8B">
              <w:t>, international study, 14 sites in 7 countries</w:t>
            </w:r>
          </w:p>
        </w:tc>
        <w:tc>
          <w:tcPr>
            <w:tcW w:w="710" w:type="pct"/>
          </w:tcPr>
          <w:p w14:paraId="2A491AF1" w14:textId="77777777" w:rsidR="0091304F" w:rsidRPr="00BE6B8B" w:rsidRDefault="0091304F" w:rsidP="0091304F">
            <w:pPr>
              <w:pStyle w:val="TableText"/>
              <w:rPr>
                <w:rFonts w:asciiTheme="minorHAnsi" w:hAnsiTheme="minorHAnsi"/>
                <w:color w:val="auto"/>
                <w:sz w:val="20"/>
                <w:u w:val="single"/>
                <w:lang w:val="en-AU"/>
              </w:rPr>
            </w:pPr>
            <w:r w:rsidRPr="00BE6B8B">
              <w:rPr>
                <w:rFonts w:asciiTheme="minorHAnsi" w:hAnsiTheme="minorHAnsi"/>
                <w:color w:val="auto"/>
                <w:sz w:val="20"/>
                <w:u w:val="single"/>
                <w:lang w:val="en-AU"/>
              </w:rPr>
              <w:t>CLASP</w:t>
            </w:r>
          </w:p>
          <w:p w14:paraId="519B493F" w14:textId="77777777" w:rsidR="0091304F" w:rsidRPr="00BE6B8B" w:rsidRDefault="0091304F" w:rsidP="0091304F">
            <w:pPr>
              <w:rPr>
                <w:rStyle w:val="Hyperlink"/>
              </w:rPr>
            </w:pPr>
            <w:r w:rsidRPr="00BE6B8B">
              <w:t>(</w:t>
            </w:r>
            <w:hyperlink r:id="rId13" w:history="1">
              <w:r w:rsidRPr="00BE6B8B">
                <w:rPr>
                  <w:rStyle w:val="Hyperlink"/>
                </w:rPr>
                <w:t>NCT03170349</w:t>
              </w:r>
            </w:hyperlink>
            <w:r w:rsidRPr="00BE6B8B">
              <w:rPr>
                <w:rStyle w:val="Hyperlink"/>
              </w:rPr>
              <w:t>)</w:t>
            </w:r>
          </w:p>
          <w:p w14:paraId="5508D4FC" w14:textId="10841415" w:rsidR="004C49EF" w:rsidRPr="00BE6B8B" w:rsidRDefault="0091304F" w:rsidP="0091304F">
            <w:pPr>
              <w:rPr>
                <w:b/>
                <w:szCs w:val="20"/>
              </w:rPr>
            </w:pPr>
            <w:r w:rsidRPr="00BE6B8B">
              <w:t>Multicent</w:t>
            </w:r>
            <w:r w:rsidR="009B2972" w:rsidRPr="00BE6B8B">
              <w:t>re</w:t>
            </w:r>
            <w:r w:rsidRPr="00BE6B8B">
              <w:t>, prospective, single-arm study of PASCAL Transcatheter Mitral Valve Repair in Patients with Severe Primary and Secondary Mitral Regurgitation (CLASP)</w:t>
            </w:r>
          </w:p>
        </w:tc>
        <w:tc>
          <w:tcPr>
            <w:tcW w:w="2633" w:type="pct"/>
          </w:tcPr>
          <w:p w14:paraId="27F2DF70" w14:textId="04F9DD48" w:rsidR="004C49EF" w:rsidRPr="00BE6B8B" w:rsidRDefault="000E74FC" w:rsidP="0091304F">
            <w:pPr>
              <w:rPr>
                <w:szCs w:val="20"/>
              </w:rPr>
            </w:pPr>
            <w:r w:rsidRPr="00BE6B8B">
              <w:rPr>
                <w:szCs w:val="20"/>
                <w:u w:val="single"/>
              </w:rPr>
              <w:t>POPULATION</w:t>
            </w:r>
            <w:r w:rsidRPr="00BE6B8B">
              <w:rPr>
                <w:szCs w:val="20"/>
              </w:rPr>
              <w:t>: Patients with clinically significant MR</w:t>
            </w:r>
            <w:r w:rsidR="00E46DDB" w:rsidRPr="00BE6B8B">
              <w:rPr>
                <w:szCs w:val="20"/>
              </w:rPr>
              <w:t xml:space="preserve"> (DMR and FMR)</w:t>
            </w:r>
            <w:r w:rsidRPr="00BE6B8B">
              <w:rPr>
                <w:szCs w:val="20"/>
              </w:rPr>
              <w:t xml:space="preserve"> (≥ grade 3+) despite </w:t>
            </w:r>
            <w:r w:rsidR="00F76091" w:rsidRPr="00BE6B8B">
              <w:rPr>
                <w:szCs w:val="20"/>
              </w:rPr>
              <w:t>OMT</w:t>
            </w:r>
          </w:p>
          <w:p w14:paraId="050884FF" w14:textId="513F4955" w:rsidR="000E74FC" w:rsidRPr="00BE6B8B" w:rsidRDefault="000E74FC" w:rsidP="000E74FC">
            <w:pPr>
              <w:rPr>
                <w:szCs w:val="20"/>
              </w:rPr>
            </w:pPr>
            <w:r w:rsidRPr="00BE6B8B">
              <w:rPr>
                <w:szCs w:val="20"/>
                <w:u w:val="single"/>
              </w:rPr>
              <w:t>INTERVENTION</w:t>
            </w:r>
            <w:r w:rsidR="00F00E78" w:rsidRPr="00BE6B8B">
              <w:rPr>
                <w:szCs w:val="20"/>
                <w:u w:val="single"/>
              </w:rPr>
              <w:t xml:space="preserve"> (N)</w:t>
            </w:r>
            <w:r w:rsidRPr="00BE6B8B">
              <w:rPr>
                <w:szCs w:val="20"/>
              </w:rPr>
              <w:t>: PASCAL</w:t>
            </w:r>
            <w:r w:rsidR="009B2972" w:rsidRPr="00BE6B8B">
              <w:rPr>
                <w:szCs w:val="20"/>
              </w:rPr>
              <w:t xml:space="preserve"> TMVr</w:t>
            </w:r>
            <w:r w:rsidRPr="00BE6B8B">
              <w:rPr>
                <w:szCs w:val="20"/>
              </w:rPr>
              <w:t xml:space="preserve"> system N=109</w:t>
            </w:r>
          </w:p>
          <w:p w14:paraId="799C409B" w14:textId="07306DD9" w:rsidR="000E74FC" w:rsidRPr="00BE6B8B" w:rsidRDefault="000E74FC" w:rsidP="000E74FC">
            <w:pPr>
              <w:rPr>
                <w:szCs w:val="20"/>
              </w:rPr>
            </w:pPr>
            <w:r w:rsidRPr="00BE6B8B">
              <w:rPr>
                <w:szCs w:val="20"/>
                <w:u w:val="single"/>
              </w:rPr>
              <w:t>PRIMARY ENDPOINTS:</w:t>
            </w:r>
            <w:r w:rsidRPr="00BE6B8B">
              <w:rPr>
                <w:szCs w:val="20"/>
              </w:rPr>
              <w:t xml:space="preserve"> </w:t>
            </w:r>
            <w:r w:rsidR="00E46DDB" w:rsidRPr="00BE6B8B">
              <w:rPr>
                <w:szCs w:val="20"/>
              </w:rPr>
              <w:br/>
            </w:r>
            <w:r w:rsidRPr="00BE6B8B">
              <w:rPr>
                <w:b/>
                <w:bCs/>
                <w:szCs w:val="20"/>
              </w:rPr>
              <w:t>Coprimary technical endpoints</w:t>
            </w:r>
            <w:r w:rsidRPr="00BE6B8B">
              <w:rPr>
                <w:szCs w:val="20"/>
              </w:rPr>
              <w:t>:</w:t>
            </w:r>
            <w:r w:rsidR="009B2972" w:rsidRPr="00BE6B8B">
              <w:rPr>
                <w:szCs w:val="20"/>
              </w:rPr>
              <w:t xml:space="preserve"> 1. </w:t>
            </w:r>
            <w:r w:rsidRPr="00BE6B8B">
              <w:rPr>
                <w:szCs w:val="20"/>
              </w:rPr>
              <w:t>Procedural success</w:t>
            </w:r>
            <w:r w:rsidR="00E46DDB" w:rsidRPr="00BE6B8B">
              <w:rPr>
                <w:szCs w:val="20"/>
              </w:rPr>
              <w:t>:</w:t>
            </w:r>
            <w:r w:rsidR="005E01E8" w:rsidRPr="00BE6B8B">
              <w:rPr>
                <w:szCs w:val="20"/>
              </w:rPr>
              <w:t xml:space="preserve"> </w:t>
            </w:r>
            <w:r w:rsidRPr="00BE6B8B">
              <w:rPr>
                <w:szCs w:val="20"/>
              </w:rPr>
              <w:t xml:space="preserve">At least one device </w:t>
            </w:r>
            <w:r w:rsidR="009B2972" w:rsidRPr="00BE6B8B">
              <w:rPr>
                <w:szCs w:val="20"/>
              </w:rPr>
              <w:t>deployed,</w:t>
            </w:r>
            <w:r w:rsidRPr="00BE6B8B">
              <w:rPr>
                <w:szCs w:val="20"/>
              </w:rPr>
              <w:t xml:space="preserve"> and delivery system successfully retrieved</w:t>
            </w:r>
            <w:r w:rsidR="009B2972" w:rsidRPr="00BE6B8B">
              <w:rPr>
                <w:szCs w:val="20"/>
              </w:rPr>
              <w:t xml:space="preserve">. 2. </w:t>
            </w:r>
            <w:r w:rsidRPr="00BE6B8B">
              <w:rPr>
                <w:szCs w:val="20"/>
              </w:rPr>
              <w:t xml:space="preserve">MR reduction to ≤ 2+ </w:t>
            </w:r>
            <w:r w:rsidR="009B2972" w:rsidRPr="00BE6B8B">
              <w:rPr>
                <w:szCs w:val="20"/>
              </w:rPr>
              <w:t xml:space="preserve">grade </w:t>
            </w:r>
            <w:r w:rsidRPr="00BE6B8B">
              <w:rPr>
                <w:szCs w:val="20"/>
              </w:rPr>
              <w:t>at discharge</w:t>
            </w:r>
          </w:p>
          <w:p w14:paraId="6F8BBD0F" w14:textId="2C7623A9" w:rsidR="000E74FC" w:rsidRPr="00BE6B8B" w:rsidRDefault="000E74FC" w:rsidP="000E74FC">
            <w:pPr>
              <w:rPr>
                <w:szCs w:val="20"/>
              </w:rPr>
            </w:pPr>
            <w:r w:rsidRPr="00BE6B8B">
              <w:rPr>
                <w:b/>
                <w:bCs/>
                <w:szCs w:val="20"/>
              </w:rPr>
              <w:t>Clinical success</w:t>
            </w:r>
            <w:r w:rsidR="00E46DDB" w:rsidRPr="00BE6B8B">
              <w:rPr>
                <w:szCs w:val="20"/>
              </w:rPr>
              <w:t>:</w:t>
            </w:r>
            <w:r w:rsidR="005E01E8" w:rsidRPr="00BE6B8B">
              <w:rPr>
                <w:szCs w:val="20"/>
              </w:rPr>
              <w:t xml:space="preserve"> </w:t>
            </w:r>
            <w:r w:rsidRPr="00BE6B8B">
              <w:rPr>
                <w:szCs w:val="20"/>
              </w:rPr>
              <w:t>Procedural success wit</w:t>
            </w:r>
            <w:r w:rsidR="00151E19" w:rsidRPr="00BE6B8B">
              <w:rPr>
                <w:szCs w:val="20"/>
              </w:rPr>
              <w:t>h</w:t>
            </w:r>
            <w:r w:rsidRPr="00BE6B8B">
              <w:rPr>
                <w:szCs w:val="20"/>
              </w:rPr>
              <w:t xml:space="preserve"> MR reduction to ≤ 2+ </w:t>
            </w:r>
            <w:r w:rsidR="00151E19" w:rsidRPr="00BE6B8B">
              <w:rPr>
                <w:szCs w:val="20"/>
              </w:rPr>
              <w:t xml:space="preserve">grade </w:t>
            </w:r>
            <w:r w:rsidRPr="00BE6B8B">
              <w:rPr>
                <w:szCs w:val="20"/>
              </w:rPr>
              <w:t>and without MAEs at 30 days</w:t>
            </w:r>
          </w:p>
          <w:p w14:paraId="13BA6003" w14:textId="0FC40B6F" w:rsidR="000E74FC" w:rsidRPr="00BE6B8B" w:rsidRDefault="000E74FC" w:rsidP="000E74FC">
            <w:pPr>
              <w:rPr>
                <w:szCs w:val="20"/>
              </w:rPr>
            </w:pPr>
            <w:r w:rsidRPr="00BE6B8B">
              <w:rPr>
                <w:b/>
                <w:bCs/>
                <w:szCs w:val="20"/>
              </w:rPr>
              <w:t>Safety endpoint</w:t>
            </w:r>
            <w:r w:rsidR="00E46DDB" w:rsidRPr="00BE6B8B">
              <w:rPr>
                <w:szCs w:val="20"/>
              </w:rPr>
              <w:t>:</w:t>
            </w:r>
            <w:r w:rsidR="009B2972" w:rsidRPr="00BE6B8B">
              <w:rPr>
                <w:szCs w:val="20"/>
              </w:rPr>
              <w:t xml:space="preserve"> </w:t>
            </w:r>
            <w:r w:rsidRPr="00BE6B8B">
              <w:rPr>
                <w:szCs w:val="20"/>
              </w:rPr>
              <w:t>A composite of MAE rate at 30 days defined as:</w:t>
            </w:r>
            <w:r w:rsidR="009B2972" w:rsidRPr="00BE6B8B">
              <w:rPr>
                <w:szCs w:val="20"/>
              </w:rPr>
              <w:t xml:space="preserve"> </w:t>
            </w:r>
            <w:r w:rsidR="00151E19" w:rsidRPr="00BE6B8B">
              <w:rPr>
                <w:szCs w:val="20"/>
              </w:rPr>
              <w:t>CV</w:t>
            </w:r>
            <w:r w:rsidRPr="00BE6B8B">
              <w:rPr>
                <w:szCs w:val="20"/>
              </w:rPr>
              <w:t xml:space="preserve"> mortality, stroke, </w:t>
            </w:r>
            <w:r w:rsidR="00151E19" w:rsidRPr="00BE6B8B">
              <w:rPr>
                <w:szCs w:val="20"/>
              </w:rPr>
              <w:t>MI</w:t>
            </w:r>
            <w:r w:rsidRPr="00BE6B8B">
              <w:rPr>
                <w:szCs w:val="20"/>
              </w:rPr>
              <w:t>, new need for renal replacement therapy, severe bleeding</w:t>
            </w:r>
            <w:r w:rsidR="00DD426C" w:rsidRPr="00BE6B8B">
              <w:rPr>
                <w:szCs w:val="20"/>
              </w:rPr>
              <w:t>.</w:t>
            </w:r>
          </w:p>
          <w:p w14:paraId="4EDFA49B" w14:textId="37A7B257" w:rsidR="00E46DDB" w:rsidRPr="00BE6B8B" w:rsidRDefault="00766AD8" w:rsidP="002C51FD">
            <w:pPr>
              <w:rPr>
                <w:szCs w:val="20"/>
              </w:rPr>
            </w:pPr>
            <w:r w:rsidRPr="00BE6B8B">
              <w:rPr>
                <w:szCs w:val="20"/>
                <w:u w:val="single"/>
              </w:rPr>
              <w:t xml:space="preserve">OTHER </w:t>
            </w:r>
            <w:r w:rsidR="000E74FC" w:rsidRPr="00BE6B8B">
              <w:rPr>
                <w:szCs w:val="20"/>
                <w:u w:val="single"/>
              </w:rPr>
              <w:t>SECONDARY ENDPOINTS</w:t>
            </w:r>
            <w:r w:rsidRPr="00BE6B8B">
              <w:rPr>
                <w:szCs w:val="20"/>
                <w:u w:val="single"/>
              </w:rPr>
              <w:t xml:space="preserve"> </w:t>
            </w:r>
            <w:r w:rsidRPr="00BE6B8B">
              <w:rPr>
                <w:szCs w:val="20"/>
              </w:rPr>
              <w:t>include</w:t>
            </w:r>
            <w:r w:rsidR="009E2B01" w:rsidRPr="00BE6B8B">
              <w:rPr>
                <w:szCs w:val="20"/>
              </w:rPr>
              <w:t xml:space="preserve">: </w:t>
            </w:r>
            <w:r w:rsidR="00E46DDB" w:rsidRPr="00BE6B8B">
              <w:rPr>
                <w:szCs w:val="20"/>
              </w:rPr>
              <w:t xml:space="preserve">Recurrent </w:t>
            </w:r>
            <w:r w:rsidR="001E16BB" w:rsidRPr="00BE6B8B">
              <w:rPr>
                <w:szCs w:val="20"/>
              </w:rPr>
              <w:t xml:space="preserve">HF </w:t>
            </w:r>
            <w:r w:rsidR="00E46DDB" w:rsidRPr="00BE6B8B">
              <w:rPr>
                <w:szCs w:val="20"/>
              </w:rPr>
              <w:t>admission</w:t>
            </w:r>
            <w:r w:rsidR="001E16BB" w:rsidRPr="00BE6B8B">
              <w:rPr>
                <w:szCs w:val="20"/>
              </w:rPr>
              <w:t xml:space="preserve">, </w:t>
            </w:r>
            <w:r w:rsidR="00DD426C" w:rsidRPr="00BE6B8B">
              <w:rPr>
                <w:szCs w:val="20"/>
              </w:rPr>
              <w:t>r</w:t>
            </w:r>
            <w:r w:rsidR="00E46DDB" w:rsidRPr="00BE6B8B">
              <w:rPr>
                <w:szCs w:val="20"/>
              </w:rPr>
              <w:t>eintervention for treatment of MR</w:t>
            </w:r>
            <w:r w:rsidR="00DD426C" w:rsidRPr="00BE6B8B">
              <w:rPr>
                <w:szCs w:val="20"/>
              </w:rPr>
              <w:t xml:space="preserve">, </w:t>
            </w:r>
            <w:r w:rsidR="00E46DDB" w:rsidRPr="00BE6B8B">
              <w:rPr>
                <w:szCs w:val="20"/>
              </w:rPr>
              <w:t>6MWD</w:t>
            </w:r>
            <w:r w:rsidR="00DD426C" w:rsidRPr="00BE6B8B">
              <w:rPr>
                <w:szCs w:val="20"/>
              </w:rPr>
              <w:t xml:space="preserve">, </w:t>
            </w:r>
            <w:r w:rsidR="00E46DDB" w:rsidRPr="00BE6B8B">
              <w:rPr>
                <w:szCs w:val="20"/>
              </w:rPr>
              <w:t>NYHA</w:t>
            </w:r>
          </w:p>
        </w:tc>
        <w:tc>
          <w:tcPr>
            <w:tcW w:w="271" w:type="pct"/>
          </w:tcPr>
          <w:p w14:paraId="7EFA3646" w14:textId="0493D4D3" w:rsidR="00705D42" w:rsidRPr="00BE6B8B" w:rsidRDefault="000C3714" w:rsidP="00526478">
            <w:pPr>
              <w:rPr>
                <w:b/>
                <w:bCs/>
              </w:rPr>
            </w:pPr>
            <w:r w:rsidRPr="00BE6B8B">
              <w:rPr>
                <w:b/>
                <w:bCs/>
              </w:rPr>
              <w:t>2-</w:t>
            </w:r>
            <w:r w:rsidR="0091304F" w:rsidRPr="00BE6B8B">
              <w:rPr>
                <w:b/>
                <w:bCs/>
              </w:rPr>
              <w:t xml:space="preserve">Year </w:t>
            </w:r>
            <w:r w:rsidRPr="00BE6B8B">
              <w:rPr>
                <w:b/>
                <w:bCs/>
              </w:rPr>
              <w:t>outcomes</w:t>
            </w:r>
            <w:r w:rsidR="0091304F" w:rsidRPr="00BE6B8B">
              <w:rPr>
                <w:b/>
                <w:bCs/>
              </w:rPr>
              <w:t xml:space="preserve">: </w:t>
            </w:r>
          </w:p>
          <w:p w14:paraId="74BABF13" w14:textId="08D884BC" w:rsidR="004C49EF" w:rsidRPr="00BE6B8B" w:rsidRDefault="00566F31" w:rsidP="00526478">
            <w:pPr>
              <w:rPr>
                <w:b/>
                <w:szCs w:val="20"/>
              </w:rPr>
            </w:pPr>
            <w:r w:rsidRPr="00BE6B8B">
              <w:rPr>
                <w:b/>
                <w:szCs w:val="20"/>
              </w:rPr>
              <w:t>N/A</w:t>
            </w:r>
          </w:p>
        </w:tc>
        <w:tc>
          <w:tcPr>
            <w:tcW w:w="646" w:type="pct"/>
          </w:tcPr>
          <w:p w14:paraId="3B4123E7" w14:textId="44654822" w:rsidR="004C49EF" w:rsidRPr="00BE6B8B" w:rsidRDefault="0091304F" w:rsidP="00526478">
            <w:pPr>
              <w:rPr>
                <w:b/>
                <w:szCs w:val="20"/>
              </w:rPr>
            </w:pPr>
            <w:r w:rsidRPr="00BE6B8B">
              <w:rPr>
                <w:b/>
                <w:szCs w:val="20"/>
              </w:rPr>
              <w:t>2021</w:t>
            </w:r>
          </w:p>
        </w:tc>
      </w:tr>
      <w:tr w:rsidR="004C49EF" w:rsidRPr="004C66D0" w14:paraId="183EB278" w14:textId="77777777" w:rsidTr="00BE6B8B">
        <w:trPr>
          <w:cantSplit/>
        </w:trPr>
        <w:tc>
          <w:tcPr>
            <w:tcW w:w="241" w:type="pct"/>
            <w:shd w:val="clear" w:color="auto" w:fill="auto"/>
          </w:tcPr>
          <w:p w14:paraId="41BA1264" w14:textId="73DDACDD" w:rsidR="004C49EF" w:rsidRPr="00BE6B8B" w:rsidRDefault="0091304F" w:rsidP="00526478">
            <w:pPr>
              <w:rPr>
                <w:szCs w:val="20"/>
              </w:rPr>
            </w:pPr>
            <w:r w:rsidRPr="00BE6B8B">
              <w:rPr>
                <w:szCs w:val="20"/>
              </w:rPr>
              <w:lastRenderedPageBreak/>
              <w:t>2</w:t>
            </w:r>
            <w:r w:rsidR="004C49EF" w:rsidRPr="00BE6B8B">
              <w:rPr>
                <w:szCs w:val="20"/>
              </w:rPr>
              <w:t>.</w:t>
            </w:r>
          </w:p>
        </w:tc>
        <w:tc>
          <w:tcPr>
            <w:tcW w:w="499" w:type="pct"/>
            <w:shd w:val="clear" w:color="auto" w:fill="auto"/>
          </w:tcPr>
          <w:p w14:paraId="02397275" w14:textId="77777777" w:rsidR="004C49EF" w:rsidRPr="00BE6B8B" w:rsidRDefault="00264A19" w:rsidP="00526478">
            <w:pPr>
              <w:rPr>
                <w:bCs/>
                <w:szCs w:val="20"/>
              </w:rPr>
            </w:pPr>
            <w:r w:rsidRPr="00BE6B8B">
              <w:rPr>
                <w:bCs/>
                <w:szCs w:val="20"/>
              </w:rPr>
              <w:t>Prospective, multicenter, randomized, open-label, controlled, parallel trial of the PASCAL repair system vs. MitraClip</w:t>
            </w:r>
          </w:p>
          <w:p w14:paraId="1A604EA3" w14:textId="70E8AB26" w:rsidR="00264A19" w:rsidRPr="00BE6B8B" w:rsidRDefault="00264A19" w:rsidP="00526478">
            <w:pPr>
              <w:rPr>
                <w:bCs/>
                <w:szCs w:val="20"/>
              </w:rPr>
            </w:pPr>
            <w:r w:rsidRPr="00BE6B8B">
              <w:t>57 sites in the United States</w:t>
            </w:r>
          </w:p>
        </w:tc>
        <w:tc>
          <w:tcPr>
            <w:tcW w:w="710" w:type="pct"/>
            <w:shd w:val="clear" w:color="auto" w:fill="auto"/>
          </w:tcPr>
          <w:p w14:paraId="4200EF94" w14:textId="77777777" w:rsidR="00264A19" w:rsidRPr="00BE6B8B" w:rsidRDefault="00264A19" w:rsidP="00264A19">
            <w:pPr>
              <w:pStyle w:val="TableText"/>
              <w:rPr>
                <w:rFonts w:asciiTheme="minorHAnsi" w:hAnsiTheme="minorHAnsi"/>
                <w:bCs/>
                <w:color w:val="auto"/>
                <w:sz w:val="20"/>
                <w:szCs w:val="20"/>
                <w:lang w:val="en-AU"/>
              </w:rPr>
            </w:pPr>
            <w:r w:rsidRPr="00BE6B8B">
              <w:rPr>
                <w:rFonts w:asciiTheme="minorHAnsi" w:hAnsiTheme="minorHAnsi"/>
                <w:bCs/>
                <w:color w:val="auto"/>
                <w:sz w:val="20"/>
                <w:szCs w:val="20"/>
                <w:lang w:val="en-AU"/>
              </w:rPr>
              <w:t>CLASP IID/IIF</w:t>
            </w:r>
          </w:p>
          <w:p w14:paraId="7BB5818D" w14:textId="38F3CE78" w:rsidR="004C49EF" w:rsidRPr="00BE6B8B" w:rsidRDefault="00264A19" w:rsidP="00264A19">
            <w:pPr>
              <w:rPr>
                <w:b/>
                <w:szCs w:val="20"/>
              </w:rPr>
            </w:pPr>
            <w:r w:rsidRPr="00BE6B8B">
              <w:t>(</w:t>
            </w:r>
            <w:hyperlink r:id="rId14" w:history="1">
              <w:r w:rsidRPr="00BE6B8B">
                <w:rPr>
                  <w:rStyle w:val="Hyperlink"/>
                </w:rPr>
                <w:t>NCT03706833</w:t>
              </w:r>
            </w:hyperlink>
            <w:r w:rsidRPr="00BE6B8B">
              <w:t>)</w:t>
            </w:r>
          </w:p>
        </w:tc>
        <w:tc>
          <w:tcPr>
            <w:tcW w:w="2633" w:type="pct"/>
            <w:shd w:val="clear" w:color="auto" w:fill="auto"/>
          </w:tcPr>
          <w:p w14:paraId="65E7100C" w14:textId="0DF8A368" w:rsidR="004C49EF" w:rsidRPr="00BE6B8B" w:rsidRDefault="00703A23" w:rsidP="00526478">
            <w:r w:rsidRPr="00BE6B8B">
              <w:rPr>
                <w:u w:val="single"/>
              </w:rPr>
              <w:t>POPULATION</w:t>
            </w:r>
            <w:r w:rsidRPr="00BE6B8B">
              <w:t xml:space="preserve">: </w:t>
            </w:r>
            <w:r w:rsidR="00264A19" w:rsidRPr="00BE6B8B">
              <w:t xml:space="preserve">Patients with clinically significant MR (≥ grade 3+) despite </w:t>
            </w:r>
            <w:r w:rsidR="00CC4D8A" w:rsidRPr="00BE6B8B">
              <w:t>OMT</w:t>
            </w:r>
          </w:p>
          <w:p w14:paraId="46EA6F9B" w14:textId="0F0A882E" w:rsidR="00264A19" w:rsidRPr="00BE6B8B" w:rsidRDefault="00703A23" w:rsidP="00485617">
            <w:r w:rsidRPr="00BE6B8B">
              <w:rPr>
                <w:u w:val="single"/>
              </w:rPr>
              <w:t>INTERVENTION (N):</w:t>
            </w:r>
            <w:r w:rsidRPr="00BE6B8B">
              <w:br/>
            </w:r>
            <w:r w:rsidR="00485617" w:rsidRPr="00BE6B8B">
              <w:rPr>
                <w:szCs w:val="20"/>
              </w:rPr>
              <w:t>Four treatment arms:</w:t>
            </w:r>
            <w:r w:rsidR="00952AA4" w:rsidRPr="00BE6B8B">
              <w:rPr>
                <w:szCs w:val="20"/>
              </w:rPr>
              <w:t xml:space="preserve"> 1. </w:t>
            </w:r>
            <w:r w:rsidR="00485617" w:rsidRPr="00BE6B8B">
              <w:rPr>
                <w:szCs w:val="20"/>
              </w:rPr>
              <w:t xml:space="preserve">PASCAL </w:t>
            </w:r>
            <w:r w:rsidR="00952AA4" w:rsidRPr="00BE6B8B">
              <w:rPr>
                <w:szCs w:val="20"/>
              </w:rPr>
              <w:t>TMVr</w:t>
            </w:r>
            <w:r w:rsidR="00485617" w:rsidRPr="00BE6B8B">
              <w:rPr>
                <w:szCs w:val="20"/>
              </w:rPr>
              <w:t xml:space="preserve"> system in patients with </w:t>
            </w:r>
            <w:r w:rsidR="00952AA4" w:rsidRPr="00BE6B8B">
              <w:rPr>
                <w:szCs w:val="20"/>
              </w:rPr>
              <w:t>DMR</w:t>
            </w:r>
            <w:r w:rsidR="00BE7E46" w:rsidRPr="00BE6B8B">
              <w:rPr>
                <w:szCs w:val="20"/>
              </w:rPr>
              <w:t xml:space="preserve">, 2. </w:t>
            </w:r>
            <w:r w:rsidR="00485617" w:rsidRPr="00BE6B8B">
              <w:rPr>
                <w:szCs w:val="20"/>
              </w:rPr>
              <w:t xml:space="preserve">MitraClip in patients with </w:t>
            </w:r>
            <w:r w:rsidR="00BE7E46" w:rsidRPr="00BE6B8B">
              <w:rPr>
                <w:szCs w:val="20"/>
              </w:rPr>
              <w:t xml:space="preserve">DMR, 3. </w:t>
            </w:r>
            <w:r w:rsidR="00485617" w:rsidRPr="00BE6B8B">
              <w:rPr>
                <w:szCs w:val="20"/>
              </w:rPr>
              <w:t xml:space="preserve">PASCAL </w:t>
            </w:r>
            <w:r w:rsidR="00BE7E46" w:rsidRPr="00BE6B8B">
              <w:rPr>
                <w:szCs w:val="20"/>
              </w:rPr>
              <w:t>TMVr</w:t>
            </w:r>
            <w:r w:rsidR="00485617" w:rsidRPr="00BE6B8B">
              <w:rPr>
                <w:szCs w:val="20"/>
              </w:rPr>
              <w:t xml:space="preserve"> system in patients with </w:t>
            </w:r>
            <w:r w:rsidR="00BE7E46" w:rsidRPr="00BE6B8B">
              <w:rPr>
                <w:szCs w:val="20"/>
              </w:rPr>
              <w:t>FMR</w:t>
            </w:r>
            <w:r w:rsidR="00485617" w:rsidRPr="00BE6B8B">
              <w:rPr>
                <w:szCs w:val="20"/>
              </w:rPr>
              <w:t xml:space="preserve"> on GDMT</w:t>
            </w:r>
            <w:r w:rsidR="00BE7E46" w:rsidRPr="00BE6B8B">
              <w:rPr>
                <w:szCs w:val="20"/>
              </w:rPr>
              <w:t xml:space="preserve">, and 4. </w:t>
            </w:r>
            <w:r w:rsidR="00485617" w:rsidRPr="00BE6B8B">
              <w:rPr>
                <w:szCs w:val="20"/>
              </w:rPr>
              <w:t xml:space="preserve">MitraClip in patients with </w:t>
            </w:r>
            <w:r w:rsidR="00BE7E46" w:rsidRPr="00BE6B8B">
              <w:rPr>
                <w:szCs w:val="20"/>
              </w:rPr>
              <w:t>FMR</w:t>
            </w:r>
            <w:r w:rsidR="00485617" w:rsidRPr="00BE6B8B">
              <w:rPr>
                <w:szCs w:val="20"/>
              </w:rPr>
              <w:t xml:space="preserve"> on GDMT</w:t>
            </w:r>
            <w:r w:rsidR="00BE7E46" w:rsidRPr="00BE6B8B">
              <w:rPr>
                <w:szCs w:val="20"/>
              </w:rPr>
              <w:t xml:space="preserve">, </w:t>
            </w:r>
            <w:r w:rsidR="00485617" w:rsidRPr="00BE6B8B">
              <w:rPr>
                <w:szCs w:val="20"/>
              </w:rPr>
              <w:t>N = 1,275 (planned)</w:t>
            </w:r>
          </w:p>
          <w:p w14:paraId="18FF8531" w14:textId="377176BE" w:rsidR="00485617" w:rsidRPr="00BE6B8B" w:rsidRDefault="00485617" w:rsidP="00485617">
            <w:pPr>
              <w:rPr>
                <w:szCs w:val="20"/>
              </w:rPr>
            </w:pPr>
            <w:r w:rsidRPr="00BE6B8B">
              <w:rPr>
                <w:szCs w:val="20"/>
                <w:u w:val="single"/>
              </w:rPr>
              <w:t>PRIMARY ENDPOINTS</w:t>
            </w:r>
            <w:r w:rsidR="002C51FD" w:rsidRPr="00BE6B8B">
              <w:rPr>
                <w:szCs w:val="20"/>
                <w:u w:val="single"/>
              </w:rPr>
              <w:t>:</w:t>
            </w:r>
            <w:r w:rsidRPr="00BE6B8B">
              <w:rPr>
                <w:szCs w:val="20"/>
              </w:rPr>
              <w:br/>
              <w:t>Coprimary technical endpoints:</w:t>
            </w:r>
            <w:r w:rsidR="00517D44" w:rsidRPr="00BE6B8B">
              <w:rPr>
                <w:szCs w:val="20"/>
              </w:rPr>
              <w:t xml:space="preserve"> 1. </w:t>
            </w:r>
            <w:r w:rsidRPr="00BE6B8B">
              <w:rPr>
                <w:szCs w:val="20"/>
              </w:rPr>
              <w:t xml:space="preserve">Proportion of patients with MR severity </w:t>
            </w:r>
            <w:r w:rsidR="00517D44" w:rsidRPr="00BE6B8B">
              <w:rPr>
                <w:szCs w:val="20"/>
              </w:rPr>
              <w:t xml:space="preserve">reduction, 2. </w:t>
            </w:r>
            <w:r w:rsidRPr="00BE6B8B">
              <w:rPr>
                <w:szCs w:val="20"/>
              </w:rPr>
              <w:t xml:space="preserve">Proportion of patients with recurrent </w:t>
            </w:r>
            <w:r w:rsidR="00517D44" w:rsidRPr="00BE6B8B">
              <w:rPr>
                <w:szCs w:val="20"/>
              </w:rPr>
              <w:t>HF</w:t>
            </w:r>
            <w:r w:rsidRPr="00BE6B8B">
              <w:rPr>
                <w:szCs w:val="20"/>
              </w:rPr>
              <w:t xml:space="preserve"> hospitalizations and all-cause mortality</w:t>
            </w:r>
          </w:p>
          <w:p w14:paraId="1EDDD60D" w14:textId="63935C60" w:rsidR="00485617" w:rsidRPr="00BE6B8B" w:rsidRDefault="00485617" w:rsidP="00485617">
            <w:pPr>
              <w:rPr>
                <w:szCs w:val="20"/>
              </w:rPr>
            </w:pPr>
            <w:r w:rsidRPr="00BE6B8B">
              <w:rPr>
                <w:szCs w:val="20"/>
              </w:rPr>
              <w:t>Safety primary endpoint:</w:t>
            </w:r>
            <w:r w:rsidR="00517D44" w:rsidRPr="00BE6B8B">
              <w:rPr>
                <w:szCs w:val="20"/>
              </w:rPr>
              <w:t xml:space="preserve"> C</w:t>
            </w:r>
            <w:r w:rsidRPr="00BE6B8B">
              <w:rPr>
                <w:szCs w:val="20"/>
              </w:rPr>
              <w:t>omposite MAE rate at 30 days, defined as:</w:t>
            </w:r>
            <w:r w:rsidR="00517D44" w:rsidRPr="00BE6B8B">
              <w:rPr>
                <w:szCs w:val="20"/>
              </w:rPr>
              <w:t xml:space="preserve"> CV</w:t>
            </w:r>
            <w:r w:rsidRPr="00BE6B8B">
              <w:rPr>
                <w:szCs w:val="20"/>
              </w:rPr>
              <w:t xml:space="preserve"> mortality, stroke, </w:t>
            </w:r>
            <w:r w:rsidR="00517D44" w:rsidRPr="00BE6B8B">
              <w:rPr>
                <w:szCs w:val="20"/>
              </w:rPr>
              <w:t>MI</w:t>
            </w:r>
            <w:r w:rsidRPr="00BE6B8B">
              <w:rPr>
                <w:szCs w:val="20"/>
              </w:rPr>
              <w:t>, new need for renal replacement therapy, severe bleeding</w:t>
            </w:r>
          </w:p>
          <w:p w14:paraId="54700077" w14:textId="16E52746" w:rsidR="00485617" w:rsidRPr="00BE6B8B" w:rsidRDefault="00485617" w:rsidP="00485617">
            <w:pPr>
              <w:rPr>
                <w:szCs w:val="20"/>
              </w:rPr>
            </w:pPr>
            <w:r w:rsidRPr="00BE6B8B">
              <w:rPr>
                <w:szCs w:val="20"/>
                <w:u w:val="single"/>
              </w:rPr>
              <w:t>SECONDARY ENDPOINTS</w:t>
            </w:r>
            <w:r w:rsidR="002C51FD" w:rsidRPr="00BE6B8B">
              <w:rPr>
                <w:szCs w:val="20"/>
                <w:u w:val="single"/>
              </w:rPr>
              <w:t>:</w:t>
            </w:r>
            <w:r w:rsidRPr="00BE6B8B">
              <w:rPr>
                <w:szCs w:val="20"/>
              </w:rPr>
              <w:br/>
              <w:t>Follow-up at 30 days, 6 months, 12 months, and 5 years:</w:t>
            </w:r>
            <w:r w:rsidR="00517D44" w:rsidRPr="00BE6B8B">
              <w:rPr>
                <w:szCs w:val="20"/>
              </w:rPr>
              <w:t xml:space="preserve"> </w:t>
            </w:r>
            <w:r w:rsidRPr="00BE6B8B">
              <w:rPr>
                <w:szCs w:val="20"/>
              </w:rPr>
              <w:t>6MWD</w:t>
            </w:r>
            <w:r w:rsidR="00517D44" w:rsidRPr="00BE6B8B">
              <w:rPr>
                <w:szCs w:val="20"/>
              </w:rPr>
              <w:t xml:space="preserve">, </w:t>
            </w:r>
            <w:r w:rsidRPr="00BE6B8B">
              <w:rPr>
                <w:szCs w:val="20"/>
              </w:rPr>
              <w:t>KCCQ and SF-36</w:t>
            </w:r>
          </w:p>
          <w:p w14:paraId="7D380338" w14:textId="52D2BE09" w:rsidR="00485617" w:rsidRPr="00BE6B8B" w:rsidRDefault="00485617" w:rsidP="00485617">
            <w:pPr>
              <w:rPr>
                <w:szCs w:val="20"/>
              </w:rPr>
            </w:pPr>
            <w:r w:rsidRPr="00BE6B8B">
              <w:rPr>
                <w:szCs w:val="20"/>
              </w:rPr>
              <w:t>Safety:</w:t>
            </w:r>
            <w:r w:rsidR="00517D44" w:rsidRPr="00BE6B8B">
              <w:rPr>
                <w:szCs w:val="20"/>
              </w:rPr>
              <w:t xml:space="preserve"> </w:t>
            </w:r>
            <w:r w:rsidRPr="00BE6B8B">
              <w:rPr>
                <w:szCs w:val="20"/>
              </w:rPr>
              <w:t>Rates of various adverse events at 6 and 12 months:</w:t>
            </w:r>
            <w:r w:rsidR="009A20C7" w:rsidRPr="00BE6B8B">
              <w:rPr>
                <w:szCs w:val="20"/>
              </w:rPr>
              <w:t xml:space="preserve"> </w:t>
            </w:r>
            <w:r w:rsidRPr="00BE6B8B">
              <w:rPr>
                <w:szCs w:val="20"/>
              </w:rPr>
              <w:t>All-cause mortalit</w:t>
            </w:r>
            <w:r w:rsidR="009A20C7" w:rsidRPr="00BE6B8B">
              <w:rPr>
                <w:szCs w:val="20"/>
              </w:rPr>
              <w:t xml:space="preserve">y, </w:t>
            </w:r>
            <w:r w:rsidR="00B85DF9" w:rsidRPr="00BE6B8B">
              <w:rPr>
                <w:szCs w:val="20"/>
              </w:rPr>
              <w:t>HF</w:t>
            </w:r>
            <w:r w:rsidRPr="00BE6B8B">
              <w:rPr>
                <w:szCs w:val="20"/>
              </w:rPr>
              <w:t xml:space="preserve"> hospitalization</w:t>
            </w:r>
            <w:r w:rsidR="009A20C7" w:rsidRPr="00BE6B8B">
              <w:rPr>
                <w:szCs w:val="20"/>
              </w:rPr>
              <w:t>, n</w:t>
            </w:r>
            <w:r w:rsidRPr="00BE6B8B">
              <w:rPr>
                <w:szCs w:val="20"/>
              </w:rPr>
              <w:t xml:space="preserve">ew onset </w:t>
            </w:r>
            <w:r w:rsidR="00B85DF9" w:rsidRPr="00BE6B8B">
              <w:rPr>
                <w:szCs w:val="20"/>
              </w:rPr>
              <w:t>AF</w:t>
            </w:r>
            <w:r w:rsidR="002C51FD" w:rsidRPr="00BE6B8B">
              <w:rPr>
                <w:szCs w:val="20"/>
              </w:rPr>
              <w:t xml:space="preserve">; </w:t>
            </w:r>
            <w:r w:rsidRPr="00BE6B8B">
              <w:rPr>
                <w:szCs w:val="20"/>
              </w:rPr>
              <w:t xml:space="preserve">Rates of </w:t>
            </w:r>
            <w:r w:rsidR="00EF73C7" w:rsidRPr="00BE6B8B">
              <w:rPr>
                <w:szCs w:val="20"/>
              </w:rPr>
              <w:t>AEs</w:t>
            </w:r>
            <w:r w:rsidRPr="00BE6B8B">
              <w:rPr>
                <w:szCs w:val="20"/>
              </w:rPr>
              <w:t xml:space="preserve"> at 12 months:</w:t>
            </w:r>
            <w:r w:rsidR="009A20C7" w:rsidRPr="00BE6B8B">
              <w:rPr>
                <w:szCs w:val="20"/>
              </w:rPr>
              <w:t xml:space="preserve"> </w:t>
            </w:r>
            <w:r w:rsidRPr="00BE6B8B">
              <w:rPr>
                <w:szCs w:val="20"/>
              </w:rPr>
              <w:t>Severe M</w:t>
            </w:r>
            <w:r w:rsidR="009A20C7" w:rsidRPr="00BE6B8B">
              <w:rPr>
                <w:szCs w:val="20"/>
              </w:rPr>
              <w:t>R, w</w:t>
            </w:r>
            <w:r w:rsidRPr="00BE6B8B">
              <w:rPr>
                <w:szCs w:val="20"/>
              </w:rPr>
              <w:t>orsening MR</w:t>
            </w:r>
            <w:r w:rsidR="009A20C7" w:rsidRPr="00BE6B8B">
              <w:rPr>
                <w:szCs w:val="20"/>
              </w:rPr>
              <w:t xml:space="preserve">, </w:t>
            </w:r>
            <w:r w:rsidRPr="00BE6B8B">
              <w:rPr>
                <w:szCs w:val="20"/>
              </w:rPr>
              <w:t>Strok</w:t>
            </w:r>
            <w:r w:rsidR="009A20C7" w:rsidRPr="00BE6B8B">
              <w:rPr>
                <w:szCs w:val="20"/>
              </w:rPr>
              <w:t xml:space="preserve">e, </w:t>
            </w:r>
            <w:r w:rsidR="00A218C9" w:rsidRPr="00BE6B8B">
              <w:rPr>
                <w:szCs w:val="20"/>
              </w:rPr>
              <w:t>TIA</w:t>
            </w:r>
            <w:r w:rsidR="009A20C7" w:rsidRPr="00BE6B8B">
              <w:rPr>
                <w:szCs w:val="20"/>
              </w:rPr>
              <w:t>, MAEs,</w:t>
            </w:r>
            <w:r w:rsidR="000C3714" w:rsidRPr="00BE6B8B">
              <w:rPr>
                <w:szCs w:val="20"/>
              </w:rPr>
              <w:t xml:space="preserve"> </w:t>
            </w:r>
            <w:r w:rsidRPr="00BE6B8B">
              <w:rPr>
                <w:szCs w:val="20"/>
              </w:rPr>
              <w:t>Renal complications</w:t>
            </w:r>
            <w:r w:rsidR="00423F35" w:rsidRPr="00BE6B8B">
              <w:rPr>
                <w:szCs w:val="20"/>
              </w:rPr>
              <w:t xml:space="preserve">, </w:t>
            </w:r>
            <w:r w:rsidRPr="00BE6B8B">
              <w:rPr>
                <w:szCs w:val="20"/>
              </w:rPr>
              <w:t>Residual atrial septal defect by Doppler</w:t>
            </w:r>
          </w:p>
        </w:tc>
        <w:tc>
          <w:tcPr>
            <w:tcW w:w="271" w:type="pct"/>
            <w:shd w:val="clear" w:color="auto" w:fill="auto"/>
          </w:tcPr>
          <w:p w14:paraId="68E06511" w14:textId="14E0DAD0" w:rsidR="004C49EF" w:rsidRPr="00BE6B8B" w:rsidRDefault="00566F31" w:rsidP="00526478">
            <w:pPr>
              <w:rPr>
                <w:b/>
                <w:szCs w:val="20"/>
              </w:rPr>
            </w:pPr>
            <w:r w:rsidRPr="00BE6B8B">
              <w:rPr>
                <w:b/>
                <w:szCs w:val="20"/>
              </w:rPr>
              <w:t>N/A</w:t>
            </w:r>
          </w:p>
        </w:tc>
        <w:tc>
          <w:tcPr>
            <w:tcW w:w="646" w:type="pct"/>
            <w:shd w:val="clear" w:color="auto" w:fill="auto"/>
          </w:tcPr>
          <w:p w14:paraId="6765FEE6" w14:textId="77777777" w:rsidR="00167E33" w:rsidRPr="00BE6B8B" w:rsidRDefault="00167E33" w:rsidP="00167E33">
            <w:pPr>
              <w:rPr>
                <w:bCs/>
                <w:szCs w:val="20"/>
              </w:rPr>
            </w:pPr>
            <w:r w:rsidRPr="00BE6B8B">
              <w:rPr>
                <w:bCs/>
                <w:szCs w:val="20"/>
              </w:rPr>
              <w:t>Ongoing: 5-year follow-up</w:t>
            </w:r>
          </w:p>
          <w:p w14:paraId="4EF09F43" w14:textId="77777777" w:rsidR="00167E33" w:rsidRPr="00BE6B8B" w:rsidRDefault="00167E33" w:rsidP="00167E33">
            <w:pPr>
              <w:rPr>
                <w:bCs/>
                <w:szCs w:val="20"/>
              </w:rPr>
            </w:pPr>
            <w:r w:rsidRPr="00BE6B8B">
              <w:rPr>
                <w:bCs/>
                <w:szCs w:val="20"/>
              </w:rPr>
              <w:t>Estimated primary endpoint completion: December 31, 2023</w:t>
            </w:r>
          </w:p>
          <w:p w14:paraId="03922268" w14:textId="001AA1CA" w:rsidR="004C49EF" w:rsidRPr="00BE6B8B" w:rsidRDefault="00167E33" w:rsidP="00167E33">
            <w:pPr>
              <w:rPr>
                <w:b/>
                <w:szCs w:val="20"/>
              </w:rPr>
            </w:pPr>
            <w:r w:rsidRPr="00BE6B8B">
              <w:rPr>
                <w:bCs/>
                <w:szCs w:val="20"/>
              </w:rPr>
              <w:t>Estimated study completion: January 31, 2028</w:t>
            </w:r>
          </w:p>
        </w:tc>
      </w:tr>
      <w:tr w:rsidR="00566F31" w:rsidRPr="004C66D0" w14:paraId="63E30F35" w14:textId="77777777" w:rsidTr="004D005D">
        <w:trPr>
          <w:cantSplit/>
        </w:trPr>
        <w:tc>
          <w:tcPr>
            <w:tcW w:w="241" w:type="pct"/>
          </w:tcPr>
          <w:p w14:paraId="38517265" w14:textId="44C78856" w:rsidR="00566F31" w:rsidRPr="00BE6B8B" w:rsidRDefault="00566F31" w:rsidP="00566F31">
            <w:pPr>
              <w:rPr>
                <w:szCs w:val="20"/>
              </w:rPr>
            </w:pPr>
            <w:r w:rsidRPr="00BE6B8B">
              <w:rPr>
                <w:szCs w:val="20"/>
              </w:rPr>
              <w:lastRenderedPageBreak/>
              <w:t>3.</w:t>
            </w:r>
          </w:p>
        </w:tc>
        <w:tc>
          <w:tcPr>
            <w:tcW w:w="499" w:type="pct"/>
          </w:tcPr>
          <w:p w14:paraId="35940AA7" w14:textId="77777777" w:rsidR="00566F31" w:rsidRPr="00BE6B8B" w:rsidRDefault="00566F31" w:rsidP="00566F31">
            <w:r w:rsidRPr="00BE6B8B">
              <w:t>Postmarket follow-up safety registry</w:t>
            </w:r>
          </w:p>
          <w:p w14:paraId="279E6D80" w14:textId="0B697DB7" w:rsidR="00566F31" w:rsidRPr="00BE6B8B" w:rsidRDefault="00566F31" w:rsidP="00566F31">
            <w:pPr>
              <w:rPr>
                <w:b/>
                <w:szCs w:val="20"/>
              </w:rPr>
            </w:pPr>
            <w:r w:rsidRPr="00BE6B8B">
              <w:t>Maximum of 100 sites in Europe</w:t>
            </w:r>
          </w:p>
        </w:tc>
        <w:tc>
          <w:tcPr>
            <w:tcW w:w="710" w:type="pct"/>
          </w:tcPr>
          <w:p w14:paraId="03DB950E" w14:textId="5A3A0560" w:rsidR="00566F31" w:rsidRPr="00BE6B8B" w:rsidRDefault="00566F31" w:rsidP="00566F31">
            <w:pPr>
              <w:rPr>
                <w:b/>
                <w:szCs w:val="20"/>
              </w:rPr>
            </w:pPr>
            <w:r w:rsidRPr="00BE6B8B">
              <w:t>MiCLASP</w:t>
            </w:r>
          </w:p>
        </w:tc>
        <w:tc>
          <w:tcPr>
            <w:tcW w:w="2633" w:type="pct"/>
          </w:tcPr>
          <w:p w14:paraId="304822F7" w14:textId="11A9AE3D" w:rsidR="00566F31" w:rsidRPr="00BE6B8B" w:rsidRDefault="00566F31" w:rsidP="00566F31">
            <w:r w:rsidRPr="00BE6B8B">
              <w:rPr>
                <w:u w:val="single"/>
              </w:rPr>
              <w:t>POPULATION</w:t>
            </w:r>
            <w:r w:rsidR="00703A23" w:rsidRPr="00BE6B8B">
              <w:rPr>
                <w:u w:val="single"/>
              </w:rPr>
              <w:t>:</w:t>
            </w:r>
            <w:r w:rsidR="00703A23" w:rsidRPr="00BE6B8B">
              <w:t xml:space="preserve"> Patients with clinically significant (≥ grade 2+) MR despite </w:t>
            </w:r>
            <w:r w:rsidR="007F4ABC" w:rsidRPr="00BE6B8B">
              <w:t>OMT</w:t>
            </w:r>
          </w:p>
          <w:p w14:paraId="4B99E1D7" w14:textId="03E53A30" w:rsidR="00566F31" w:rsidRPr="00BE6B8B" w:rsidRDefault="00566F31" w:rsidP="00703A23">
            <w:pPr>
              <w:pStyle w:val="TableText"/>
              <w:rPr>
                <w:rFonts w:asciiTheme="minorHAnsi" w:hAnsiTheme="minorHAnsi"/>
                <w:color w:val="auto"/>
                <w:sz w:val="20"/>
                <w:lang w:val="en-AU"/>
              </w:rPr>
            </w:pPr>
            <w:r w:rsidRPr="00BE6B8B">
              <w:rPr>
                <w:rFonts w:asciiTheme="minorHAnsi" w:hAnsiTheme="minorHAnsi"/>
                <w:color w:val="auto"/>
                <w:sz w:val="20"/>
                <w:u w:val="single"/>
                <w:lang w:val="en-AU"/>
              </w:rPr>
              <w:t>INTERVENTION</w:t>
            </w:r>
            <w:r w:rsidR="00703A23" w:rsidRPr="00BE6B8B">
              <w:rPr>
                <w:rFonts w:asciiTheme="minorHAnsi" w:hAnsiTheme="minorHAnsi"/>
                <w:color w:val="auto"/>
                <w:sz w:val="20"/>
                <w:u w:val="single"/>
                <w:lang w:val="en-AU"/>
              </w:rPr>
              <w:t xml:space="preserve"> (N):</w:t>
            </w:r>
            <w:r w:rsidR="00703A23" w:rsidRPr="00BE6B8B">
              <w:rPr>
                <w:rFonts w:asciiTheme="minorHAnsi" w:hAnsiTheme="minorHAnsi"/>
                <w:color w:val="auto"/>
                <w:sz w:val="20"/>
                <w:lang w:val="en-AU"/>
              </w:rPr>
              <w:t xml:space="preserve"> PASCAL </w:t>
            </w:r>
            <w:r w:rsidR="007F4ABC" w:rsidRPr="00BE6B8B">
              <w:rPr>
                <w:rFonts w:asciiTheme="minorHAnsi" w:hAnsiTheme="minorHAnsi"/>
                <w:color w:val="auto"/>
                <w:sz w:val="20"/>
                <w:lang w:val="en-AU"/>
              </w:rPr>
              <w:t>TMVr</w:t>
            </w:r>
            <w:r w:rsidR="00703A23" w:rsidRPr="00BE6B8B">
              <w:rPr>
                <w:rFonts w:asciiTheme="minorHAnsi" w:hAnsiTheme="minorHAnsi"/>
                <w:color w:val="auto"/>
                <w:sz w:val="20"/>
                <w:lang w:val="en-AU"/>
              </w:rPr>
              <w:t xml:space="preserve"> system. Up to 300 patients.</w:t>
            </w:r>
          </w:p>
          <w:p w14:paraId="07178482" w14:textId="317F68FD" w:rsidR="00703A23" w:rsidRPr="00BE6B8B" w:rsidRDefault="00566F31" w:rsidP="00703A23">
            <w:pPr>
              <w:rPr>
                <w:bCs/>
                <w:szCs w:val="20"/>
              </w:rPr>
            </w:pPr>
            <w:r w:rsidRPr="00BE6B8B">
              <w:rPr>
                <w:bCs/>
                <w:szCs w:val="20"/>
                <w:u w:val="single"/>
              </w:rPr>
              <w:t>PRIMARY ENDPOINTS</w:t>
            </w:r>
            <w:r w:rsidR="00703A23" w:rsidRPr="00BE6B8B">
              <w:rPr>
                <w:bCs/>
                <w:szCs w:val="20"/>
                <w:u w:val="single"/>
              </w:rPr>
              <w:t>:</w:t>
            </w:r>
            <w:r w:rsidR="00703A23" w:rsidRPr="00BE6B8B">
              <w:rPr>
                <w:bCs/>
                <w:szCs w:val="20"/>
              </w:rPr>
              <w:br/>
            </w:r>
            <w:r w:rsidR="00703A23" w:rsidRPr="00BE6B8B">
              <w:rPr>
                <w:b/>
                <w:szCs w:val="20"/>
              </w:rPr>
              <w:t>Primary technical endpoint</w:t>
            </w:r>
            <w:r w:rsidR="00703A23" w:rsidRPr="00BE6B8B">
              <w:rPr>
                <w:bCs/>
                <w:szCs w:val="20"/>
              </w:rPr>
              <w:t>:</w:t>
            </w:r>
            <w:r w:rsidR="007F4ABC" w:rsidRPr="00BE6B8B">
              <w:rPr>
                <w:bCs/>
                <w:szCs w:val="20"/>
              </w:rPr>
              <w:t xml:space="preserve"> </w:t>
            </w:r>
            <w:r w:rsidR="00703A23" w:rsidRPr="00BE6B8B">
              <w:rPr>
                <w:bCs/>
                <w:szCs w:val="20"/>
              </w:rPr>
              <w:t xml:space="preserve"> MR severity at discharge</w:t>
            </w:r>
          </w:p>
          <w:p w14:paraId="755B04EF" w14:textId="31E0F343" w:rsidR="00566F31" w:rsidRPr="00BE6B8B" w:rsidRDefault="00703A23" w:rsidP="00703A23">
            <w:pPr>
              <w:rPr>
                <w:bCs/>
                <w:szCs w:val="20"/>
              </w:rPr>
            </w:pPr>
            <w:r w:rsidRPr="00BE6B8B">
              <w:rPr>
                <w:b/>
                <w:szCs w:val="20"/>
              </w:rPr>
              <w:t>Primary safety endpoint</w:t>
            </w:r>
            <w:r w:rsidRPr="00BE6B8B">
              <w:rPr>
                <w:bCs/>
                <w:szCs w:val="20"/>
              </w:rPr>
              <w:t>:</w:t>
            </w:r>
            <w:r w:rsidR="007F4ABC" w:rsidRPr="00BE6B8B">
              <w:rPr>
                <w:bCs/>
                <w:szCs w:val="20"/>
              </w:rPr>
              <w:t xml:space="preserve"> C</w:t>
            </w:r>
            <w:r w:rsidRPr="00BE6B8B">
              <w:rPr>
                <w:bCs/>
                <w:szCs w:val="20"/>
              </w:rPr>
              <w:t>omposite MAE rate at 30 day</w:t>
            </w:r>
            <w:r w:rsidR="00B85DF9" w:rsidRPr="00BE6B8B">
              <w:rPr>
                <w:bCs/>
                <w:szCs w:val="20"/>
              </w:rPr>
              <w:t>s</w:t>
            </w:r>
            <w:r w:rsidRPr="00BE6B8B">
              <w:rPr>
                <w:bCs/>
                <w:szCs w:val="20"/>
              </w:rPr>
              <w:t>:</w:t>
            </w:r>
            <w:r w:rsidR="00942018" w:rsidRPr="00BE6B8B">
              <w:rPr>
                <w:bCs/>
                <w:szCs w:val="20"/>
              </w:rPr>
              <w:t xml:space="preserve"> </w:t>
            </w:r>
            <w:r w:rsidR="007F4ABC" w:rsidRPr="00BE6B8B">
              <w:rPr>
                <w:bCs/>
                <w:szCs w:val="20"/>
              </w:rPr>
              <w:t>CV</w:t>
            </w:r>
            <w:r w:rsidRPr="00BE6B8B">
              <w:rPr>
                <w:bCs/>
                <w:szCs w:val="20"/>
              </w:rPr>
              <w:t xml:space="preserve"> mortality, stroke, </w:t>
            </w:r>
            <w:r w:rsidR="007F4ABC" w:rsidRPr="00BE6B8B">
              <w:rPr>
                <w:bCs/>
                <w:szCs w:val="20"/>
              </w:rPr>
              <w:t>MI</w:t>
            </w:r>
            <w:r w:rsidRPr="00BE6B8B">
              <w:rPr>
                <w:bCs/>
                <w:szCs w:val="20"/>
              </w:rPr>
              <w:t>, new need for renal replacement therapy, severe bleeding</w:t>
            </w:r>
          </w:p>
          <w:p w14:paraId="1BB20F5A" w14:textId="2F58FAA1" w:rsidR="00703A23" w:rsidRPr="00BE6B8B" w:rsidRDefault="00566F31" w:rsidP="00942018">
            <w:pPr>
              <w:spacing w:after="0"/>
              <w:rPr>
                <w:b/>
                <w:szCs w:val="20"/>
              </w:rPr>
            </w:pPr>
            <w:r w:rsidRPr="00BE6B8B">
              <w:rPr>
                <w:bCs/>
                <w:szCs w:val="20"/>
                <w:u w:val="single"/>
              </w:rPr>
              <w:t>SECONDARY ENDPOINTS</w:t>
            </w:r>
            <w:r w:rsidR="00703A23" w:rsidRPr="00BE6B8B">
              <w:rPr>
                <w:bCs/>
                <w:szCs w:val="20"/>
                <w:u w:val="single"/>
              </w:rPr>
              <w:t>:</w:t>
            </w:r>
            <w:r w:rsidR="00703A23" w:rsidRPr="00BE6B8B">
              <w:rPr>
                <w:bCs/>
                <w:szCs w:val="20"/>
              </w:rPr>
              <w:br/>
              <w:t xml:space="preserve">Follow-up at 30 days, 6 </w:t>
            </w:r>
            <w:r w:rsidR="0048516A" w:rsidRPr="00BE6B8B">
              <w:rPr>
                <w:bCs/>
                <w:szCs w:val="20"/>
              </w:rPr>
              <w:t>and</w:t>
            </w:r>
            <w:r w:rsidR="00703A23" w:rsidRPr="00BE6B8B">
              <w:rPr>
                <w:bCs/>
                <w:szCs w:val="20"/>
              </w:rPr>
              <w:t xml:space="preserve"> 12 months and 5 years:</w:t>
            </w:r>
            <w:r w:rsidR="007F4ABC" w:rsidRPr="00BE6B8B">
              <w:rPr>
                <w:bCs/>
                <w:szCs w:val="20"/>
              </w:rPr>
              <w:t xml:space="preserve"> </w:t>
            </w:r>
            <w:r w:rsidR="00703A23" w:rsidRPr="00BE6B8B">
              <w:rPr>
                <w:bCs/>
                <w:szCs w:val="20"/>
              </w:rPr>
              <w:t>KCCQ and SF-3</w:t>
            </w:r>
            <w:r w:rsidR="007F4ABC" w:rsidRPr="00BE6B8B">
              <w:rPr>
                <w:bCs/>
                <w:szCs w:val="20"/>
              </w:rPr>
              <w:t>6,</w:t>
            </w:r>
            <w:r w:rsidR="00703A23" w:rsidRPr="00BE6B8B">
              <w:rPr>
                <w:bCs/>
                <w:szCs w:val="20"/>
              </w:rPr>
              <w:t xml:space="preserve"> 6MW</w:t>
            </w:r>
            <w:r w:rsidR="007F4ABC" w:rsidRPr="00BE6B8B">
              <w:rPr>
                <w:bCs/>
                <w:szCs w:val="20"/>
              </w:rPr>
              <w:t>D,</w:t>
            </w:r>
            <w:r w:rsidR="00703A23" w:rsidRPr="00BE6B8B">
              <w:rPr>
                <w:bCs/>
                <w:szCs w:val="20"/>
              </w:rPr>
              <w:t xml:space="preserve"> NYHA </w:t>
            </w:r>
            <w:r w:rsidR="00703A23" w:rsidRPr="00BE6B8B">
              <w:rPr>
                <w:bCs/>
                <w:szCs w:val="20"/>
              </w:rPr>
              <w:br/>
            </w:r>
            <w:r w:rsidR="00703A23" w:rsidRPr="00BE6B8B">
              <w:rPr>
                <w:b/>
                <w:szCs w:val="20"/>
              </w:rPr>
              <w:t>Procedural success</w:t>
            </w:r>
            <w:r w:rsidR="00703A23" w:rsidRPr="00BE6B8B">
              <w:rPr>
                <w:bCs/>
                <w:szCs w:val="20"/>
              </w:rPr>
              <w:t xml:space="preserve">: Device deployment success with MR reduction to ≤ 2+ </w:t>
            </w:r>
            <w:r w:rsidR="00A172B3" w:rsidRPr="00BE6B8B">
              <w:rPr>
                <w:bCs/>
                <w:szCs w:val="20"/>
              </w:rPr>
              <w:t xml:space="preserve">grade </w:t>
            </w:r>
            <w:r w:rsidR="00703A23" w:rsidRPr="00BE6B8B">
              <w:rPr>
                <w:bCs/>
                <w:szCs w:val="20"/>
              </w:rPr>
              <w:t>at discharge and without the need for a surgical or percutaneous intervention before hospital discharge</w:t>
            </w:r>
          </w:p>
          <w:p w14:paraId="3BC59E96" w14:textId="40E57B54" w:rsidR="00703A23" w:rsidRPr="00BE6B8B" w:rsidRDefault="00703A23" w:rsidP="00703A23">
            <w:pPr>
              <w:rPr>
                <w:bCs/>
                <w:szCs w:val="20"/>
              </w:rPr>
            </w:pPr>
            <w:r w:rsidRPr="00BE6B8B">
              <w:rPr>
                <w:b/>
                <w:szCs w:val="20"/>
              </w:rPr>
              <w:t>Clinical success</w:t>
            </w:r>
            <w:r w:rsidRPr="00BE6B8B">
              <w:rPr>
                <w:bCs/>
                <w:szCs w:val="20"/>
              </w:rPr>
              <w:t xml:space="preserve">: Procedural success with reduction of MR to ≤ 2+ </w:t>
            </w:r>
            <w:r w:rsidR="00A172B3" w:rsidRPr="00BE6B8B">
              <w:rPr>
                <w:bCs/>
                <w:szCs w:val="20"/>
              </w:rPr>
              <w:t xml:space="preserve">grade </w:t>
            </w:r>
            <w:r w:rsidRPr="00BE6B8B">
              <w:rPr>
                <w:bCs/>
                <w:szCs w:val="20"/>
              </w:rPr>
              <w:t>and without MAEs at 30 days</w:t>
            </w:r>
          </w:p>
          <w:p w14:paraId="19F1ED7D" w14:textId="614560C3" w:rsidR="00703A23" w:rsidRPr="00BE6B8B" w:rsidRDefault="00703A23" w:rsidP="00703A23">
            <w:pPr>
              <w:rPr>
                <w:bCs/>
                <w:szCs w:val="20"/>
              </w:rPr>
            </w:pPr>
            <w:r w:rsidRPr="00BE6B8B">
              <w:rPr>
                <w:b/>
                <w:szCs w:val="20"/>
              </w:rPr>
              <w:t>Safety</w:t>
            </w:r>
            <w:r w:rsidR="007F4ABC" w:rsidRPr="00BE6B8B">
              <w:rPr>
                <w:b/>
                <w:szCs w:val="20"/>
              </w:rPr>
              <w:t xml:space="preserve">: </w:t>
            </w:r>
            <w:r w:rsidR="007F4ABC" w:rsidRPr="00BE6B8B">
              <w:rPr>
                <w:bCs/>
                <w:szCs w:val="20"/>
              </w:rPr>
              <w:t>CV</w:t>
            </w:r>
            <w:r w:rsidRPr="00BE6B8B">
              <w:rPr>
                <w:bCs/>
                <w:szCs w:val="20"/>
              </w:rPr>
              <w:t xml:space="preserve"> mortalit</w:t>
            </w:r>
            <w:r w:rsidR="007F4ABC" w:rsidRPr="00BE6B8B">
              <w:rPr>
                <w:bCs/>
                <w:szCs w:val="20"/>
              </w:rPr>
              <w:t>y,</w:t>
            </w:r>
            <w:r w:rsidRPr="00BE6B8B">
              <w:rPr>
                <w:bCs/>
                <w:szCs w:val="20"/>
              </w:rPr>
              <w:t xml:space="preserve"> Strok</w:t>
            </w:r>
            <w:r w:rsidR="007F4ABC" w:rsidRPr="00BE6B8B">
              <w:rPr>
                <w:bCs/>
                <w:szCs w:val="20"/>
              </w:rPr>
              <w:t>e,</w:t>
            </w:r>
            <w:r w:rsidRPr="00BE6B8B">
              <w:rPr>
                <w:bCs/>
                <w:szCs w:val="20"/>
              </w:rPr>
              <w:t xml:space="preserve"> </w:t>
            </w:r>
            <w:r w:rsidR="007F4ABC" w:rsidRPr="00BE6B8B">
              <w:rPr>
                <w:bCs/>
                <w:szCs w:val="20"/>
              </w:rPr>
              <w:t xml:space="preserve">MI, </w:t>
            </w:r>
            <w:r w:rsidR="00C6324E" w:rsidRPr="00BE6B8B">
              <w:rPr>
                <w:bCs/>
                <w:szCs w:val="20"/>
              </w:rPr>
              <w:t>MV</w:t>
            </w:r>
            <w:r w:rsidRPr="00BE6B8B">
              <w:rPr>
                <w:bCs/>
                <w:szCs w:val="20"/>
              </w:rPr>
              <w:t xml:space="preserve"> reintervention</w:t>
            </w:r>
            <w:r w:rsidR="007F4ABC" w:rsidRPr="00BE6B8B">
              <w:rPr>
                <w:bCs/>
                <w:szCs w:val="20"/>
              </w:rPr>
              <w:t xml:space="preserve">; </w:t>
            </w:r>
            <w:r w:rsidR="00B85DF9" w:rsidRPr="00BE6B8B">
              <w:rPr>
                <w:bCs/>
                <w:szCs w:val="20"/>
              </w:rPr>
              <w:t>m</w:t>
            </w:r>
            <w:r w:rsidRPr="00BE6B8B">
              <w:rPr>
                <w:bCs/>
                <w:szCs w:val="20"/>
              </w:rPr>
              <w:t>ajor access site, vascular, and cardiac structural complications</w:t>
            </w:r>
            <w:r w:rsidR="007F4ABC" w:rsidRPr="00BE6B8B">
              <w:rPr>
                <w:bCs/>
                <w:szCs w:val="20"/>
              </w:rPr>
              <w:t xml:space="preserve">; </w:t>
            </w:r>
            <w:r w:rsidRPr="00BE6B8B">
              <w:rPr>
                <w:bCs/>
                <w:szCs w:val="20"/>
              </w:rPr>
              <w:t>Device embolizatio</w:t>
            </w:r>
            <w:r w:rsidR="007F4ABC" w:rsidRPr="00BE6B8B">
              <w:rPr>
                <w:bCs/>
                <w:szCs w:val="20"/>
              </w:rPr>
              <w:t>n;</w:t>
            </w:r>
            <w:r w:rsidR="007733DF" w:rsidRPr="00BE6B8B">
              <w:rPr>
                <w:bCs/>
                <w:szCs w:val="20"/>
              </w:rPr>
              <w:t xml:space="preserve"> </w:t>
            </w:r>
            <w:r w:rsidRPr="00BE6B8B">
              <w:rPr>
                <w:bCs/>
                <w:szCs w:val="20"/>
              </w:rPr>
              <w:t>Renal complications requiring unplanned dialysis or renal replacement therap</w:t>
            </w:r>
            <w:r w:rsidR="007733DF" w:rsidRPr="00BE6B8B">
              <w:rPr>
                <w:bCs/>
                <w:szCs w:val="20"/>
              </w:rPr>
              <w:t>y</w:t>
            </w:r>
            <w:r w:rsidR="007F4ABC" w:rsidRPr="00BE6B8B">
              <w:rPr>
                <w:bCs/>
                <w:szCs w:val="20"/>
              </w:rPr>
              <w:t>; s</w:t>
            </w:r>
            <w:r w:rsidRPr="00BE6B8B">
              <w:rPr>
                <w:bCs/>
                <w:szCs w:val="20"/>
              </w:rPr>
              <w:t>evere bleeding</w:t>
            </w:r>
          </w:p>
        </w:tc>
        <w:tc>
          <w:tcPr>
            <w:tcW w:w="271" w:type="pct"/>
          </w:tcPr>
          <w:p w14:paraId="71309F1C" w14:textId="32FA45E6" w:rsidR="00566F31" w:rsidRPr="00BE6B8B" w:rsidRDefault="00566F31" w:rsidP="00566F31">
            <w:pPr>
              <w:rPr>
                <w:b/>
                <w:szCs w:val="20"/>
              </w:rPr>
            </w:pPr>
            <w:r w:rsidRPr="00BE6B8B">
              <w:t>N/A</w:t>
            </w:r>
          </w:p>
        </w:tc>
        <w:tc>
          <w:tcPr>
            <w:tcW w:w="646" w:type="pct"/>
          </w:tcPr>
          <w:p w14:paraId="18ED7AE4" w14:textId="77777777" w:rsidR="00566F31" w:rsidRPr="00BE6B8B" w:rsidRDefault="00566F31" w:rsidP="00566F31">
            <w:pPr>
              <w:pStyle w:val="TableText"/>
              <w:rPr>
                <w:rFonts w:asciiTheme="minorHAnsi" w:hAnsiTheme="minorHAnsi"/>
                <w:color w:val="auto"/>
                <w:sz w:val="20"/>
                <w:lang w:val="en-AU"/>
              </w:rPr>
            </w:pPr>
            <w:r w:rsidRPr="00BE6B8B">
              <w:rPr>
                <w:rFonts w:asciiTheme="minorHAnsi" w:hAnsiTheme="minorHAnsi"/>
                <w:color w:val="auto"/>
                <w:sz w:val="20"/>
                <w:lang w:val="en-AU"/>
              </w:rPr>
              <w:t>Ongoing</w:t>
            </w:r>
          </w:p>
          <w:p w14:paraId="6990462E" w14:textId="77777777" w:rsidR="00566F31" w:rsidRPr="00BE6B8B" w:rsidRDefault="00566F31" w:rsidP="00566F31">
            <w:pPr>
              <w:pStyle w:val="TableText"/>
              <w:spacing w:before="120"/>
              <w:rPr>
                <w:rFonts w:asciiTheme="minorHAnsi" w:hAnsiTheme="minorHAnsi"/>
                <w:color w:val="auto"/>
                <w:sz w:val="20"/>
                <w:lang w:val="en-AU"/>
              </w:rPr>
            </w:pPr>
            <w:r w:rsidRPr="00BE6B8B">
              <w:rPr>
                <w:rFonts w:asciiTheme="minorHAnsi" w:hAnsiTheme="minorHAnsi"/>
                <w:color w:val="auto"/>
                <w:sz w:val="20"/>
                <w:lang w:val="en-AU"/>
              </w:rPr>
              <w:t>Estimated endpoint completion: TBD</w:t>
            </w:r>
          </w:p>
          <w:p w14:paraId="7154F90B" w14:textId="5EE14C3E" w:rsidR="00566F31" w:rsidRPr="00BE6B8B" w:rsidRDefault="00566F31" w:rsidP="00566F31">
            <w:pPr>
              <w:rPr>
                <w:b/>
                <w:szCs w:val="20"/>
              </w:rPr>
            </w:pPr>
            <w:r w:rsidRPr="00BE6B8B">
              <w:t>Estimated study completion: TBD</w:t>
            </w:r>
          </w:p>
        </w:tc>
      </w:tr>
      <w:tr w:rsidR="00566F31" w:rsidRPr="00BE6B8B" w14:paraId="76BED20B" w14:textId="77777777" w:rsidTr="004D005D">
        <w:trPr>
          <w:cantSplit/>
        </w:trPr>
        <w:tc>
          <w:tcPr>
            <w:tcW w:w="241" w:type="pct"/>
          </w:tcPr>
          <w:p w14:paraId="18CB59F8" w14:textId="0F01F75D" w:rsidR="00566F31" w:rsidRPr="00BE6B8B" w:rsidRDefault="00566F31" w:rsidP="00566F31">
            <w:pPr>
              <w:rPr>
                <w:szCs w:val="20"/>
              </w:rPr>
            </w:pPr>
            <w:r w:rsidRPr="00BE6B8B">
              <w:rPr>
                <w:szCs w:val="20"/>
              </w:rPr>
              <w:t>4.</w:t>
            </w:r>
          </w:p>
        </w:tc>
        <w:tc>
          <w:tcPr>
            <w:tcW w:w="499" w:type="pct"/>
          </w:tcPr>
          <w:p w14:paraId="4C474048" w14:textId="4527414C" w:rsidR="00566F31" w:rsidRPr="00BE6B8B" w:rsidRDefault="00DB6E87" w:rsidP="00566F31">
            <w:pPr>
              <w:rPr>
                <w:b/>
                <w:szCs w:val="20"/>
              </w:rPr>
            </w:pPr>
            <w:r w:rsidRPr="00BE6B8B">
              <w:t>Prospective, observational, international registry</w:t>
            </w:r>
          </w:p>
        </w:tc>
        <w:tc>
          <w:tcPr>
            <w:tcW w:w="710" w:type="pct"/>
          </w:tcPr>
          <w:p w14:paraId="20EC4389" w14:textId="77777777" w:rsidR="00566F31" w:rsidRPr="00BE6B8B" w:rsidRDefault="00DB6E87" w:rsidP="00566F31">
            <w:r w:rsidRPr="00BE6B8B">
              <w:t>PASCAL Registry</w:t>
            </w:r>
          </w:p>
          <w:p w14:paraId="2D5D38F6" w14:textId="77777777" w:rsidR="007E4717" w:rsidRPr="00BE6B8B" w:rsidRDefault="007E4717" w:rsidP="00566F31">
            <w:pPr>
              <w:rPr>
                <w:b/>
                <w:szCs w:val="20"/>
              </w:rPr>
            </w:pPr>
          </w:p>
          <w:p w14:paraId="6479E50B" w14:textId="330BE979" w:rsidR="007E4717" w:rsidRPr="00BE6B8B" w:rsidRDefault="007E4717" w:rsidP="00566F31">
            <w:pPr>
              <w:rPr>
                <w:b/>
                <w:szCs w:val="20"/>
              </w:rPr>
            </w:pPr>
          </w:p>
        </w:tc>
        <w:tc>
          <w:tcPr>
            <w:tcW w:w="2633" w:type="pct"/>
          </w:tcPr>
          <w:p w14:paraId="58D7BF36" w14:textId="0BB60529" w:rsidR="00566F31" w:rsidRPr="00BE6B8B" w:rsidRDefault="00DB6E87" w:rsidP="00566F31">
            <w:r w:rsidRPr="00BE6B8B">
              <w:rPr>
                <w:u w:val="single"/>
              </w:rPr>
              <w:t>POPULATION:</w:t>
            </w:r>
            <w:r w:rsidR="00D96852" w:rsidRPr="00BE6B8B">
              <w:t xml:space="preserve"> Patients with clinically significant MR (≥ grade 2+) despite </w:t>
            </w:r>
            <w:r w:rsidR="009F2A88" w:rsidRPr="00BE6B8B">
              <w:t>OMT</w:t>
            </w:r>
          </w:p>
          <w:p w14:paraId="3A8DB160" w14:textId="5F032E46" w:rsidR="00DB6E87" w:rsidRPr="00BE6B8B" w:rsidRDefault="00DB6E87" w:rsidP="00D96852">
            <w:pPr>
              <w:rPr>
                <w:bCs/>
              </w:rPr>
            </w:pPr>
            <w:r w:rsidRPr="00BE6B8B">
              <w:rPr>
                <w:bCs/>
                <w:u w:val="single"/>
              </w:rPr>
              <w:t>INTERVENTION (N):</w:t>
            </w:r>
            <w:r w:rsidR="00D96852" w:rsidRPr="00BE6B8B">
              <w:t xml:space="preserve"> </w:t>
            </w:r>
            <w:r w:rsidR="00D96852" w:rsidRPr="00BE6B8B">
              <w:rPr>
                <w:bCs/>
              </w:rPr>
              <w:t xml:space="preserve">PASCAL </w:t>
            </w:r>
            <w:r w:rsidR="002A4D73" w:rsidRPr="00BE6B8B">
              <w:rPr>
                <w:bCs/>
              </w:rPr>
              <w:t>TMVr</w:t>
            </w:r>
            <w:r w:rsidR="00D96852" w:rsidRPr="00BE6B8B">
              <w:rPr>
                <w:bCs/>
              </w:rPr>
              <w:t xml:space="preserve"> system. N = 200 (planned).</w:t>
            </w:r>
          </w:p>
          <w:p w14:paraId="230C9925" w14:textId="03B40F4B" w:rsidR="00DB6E87" w:rsidRPr="00BE6B8B" w:rsidRDefault="00DB6E87" w:rsidP="00D96852">
            <w:pPr>
              <w:rPr>
                <w:bCs/>
              </w:rPr>
            </w:pPr>
            <w:r w:rsidRPr="00BE6B8B">
              <w:rPr>
                <w:bCs/>
                <w:u w:val="single"/>
              </w:rPr>
              <w:t>PRIMARY ENDPOINTS:</w:t>
            </w:r>
            <w:r w:rsidR="00D96852" w:rsidRPr="00BE6B8B">
              <w:rPr>
                <w:bCs/>
              </w:rPr>
              <w:t xml:space="preserve"> </w:t>
            </w:r>
            <w:r w:rsidR="00D96852" w:rsidRPr="00BE6B8B">
              <w:rPr>
                <w:bCs/>
              </w:rPr>
              <w:br/>
            </w:r>
            <w:r w:rsidR="00D96852" w:rsidRPr="00BE6B8B">
              <w:rPr>
                <w:b/>
              </w:rPr>
              <w:t>Technical endpoint</w:t>
            </w:r>
            <w:r w:rsidR="00D96852" w:rsidRPr="00BE6B8B">
              <w:rPr>
                <w:bCs/>
              </w:rPr>
              <w:t>:</w:t>
            </w:r>
            <w:r w:rsidR="002A4D73" w:rsidRPr="00BE6B8B">
              <w:rPr>
                <w:bCs/>
              </w:rPr>
              <w:t xml:space="preserve"> </w:t>
            </w:r>
            <w:r w:rsidR="00D96852" w:rsidRPr="00BE6B8B">
              <w:rPr>
                <w:bCs/>
              </w:rPr>
              <w:t xml:space="preserve">MR reduction to ≤ 2+ </w:t>
            </w:r>
            <w:r w:rsidR="002A4D73" w:rsidRPr="00BE6B8B">
              <w:rPr>
                <w:bCs/>
              </w:rPr>
              <w:t xml:space="preserve">grade </w:t>
            </w:r>
            <w:r w:rsidR="00D96852" w:rsidRPr="00BE6B8B">
              <w:rPr>
                <w:bCs/>
              </w:rPr>
              <w:t>at 30 days and 12 months</w:t>
            </w:r>
            <w:r w:rsidR="00D96852" w:rsidRPr="00BE6B8B">
              <w:rPr>
                <w:bCs/>
              </w:rPr>
              <w:br/>
            </w:r>
            <w:r w:rsidR="00D96852" w:rsidRPr="00BE6B8B">
              <w:rPr>
                <w:b/>
              </w:rPr>
              <w:t>Safety endpoint</w:t>
            </w:r>
            <w:r w:rsidR="00D96852" w:rsidRPr="00BE6B8B">
              <w:rPr>
                <w:bCs/>
              </w:rPr>
              <w:t xml:space="preserve">: </w:t>
            </w:r>
            <w:r w:rsidR="002A4D73" w:rsidRPr="00BE6B8B">
              <w:rPr>
                <w:bCs/>
              </w:rPr>
              <w:t>C</w:t>
            </w:r>
            <w:r w:rsidR="00D96852" w:rsidRPr="00BE6B8B">
              <w:rPr>
                <w:bCs/>
              </w:rPr>
              <w:t>omposite of MAE</w:t>
            </w:r>
            <w:r w:rsidR="00A172B3" w:rsidRPr="00BE6B8B">
              <w:rPr>
                <w:bCs/>
              </w:rPr>
              <w:t>s</w:t>
            </w:r>
            <w:r w:rsidR="00D96852" w:rsidRPr="00BE6B8B">
              <w:rPr>
                <w:bCs/>
              </w:rPr>
              <w:t xml:space="preserve"> rate at 30 days, defined as:</w:t>
            </w:r>
            <w:r w:rsidR="009F2A88" w:rsidRPr="00BE6B8B">
              <w:rPr>
                <w:bCs/>
              </w:rPr>
              <w:t xml:space="preserve"> </w:t>
            </w:r>
            <w:r w:rsidR="002A4D73" w:rsidRPr="00BE6B8B">
              <w:rPr>
                <w:bCs/>
              </w:rPr>
              <w:t>CV</w:t>
            </w:r>
            <w:r w:rsidR="00D96852" w:rsidRPr="00BE6B8B">
              <w:rPr>
                <w:bCs/>
              </w:rPr>
              <w:t xml:space="preserve"> mortality, stroke, </w:t>
            </w:r>
            <w:r w:rsidR="00453CDC" w:rsidRPr="00BE6B8B">
              <w:rPr>
                <w:bCs/>
              </w:rPr>
              <w:t>MI</w:t>
            </w:r>
            <w:r w:rsidR="00D96852" w:rsidRPr="00BE6B8B">
              <w:rPr>
                <w:bCs/>
              </w:rPr>
              <w:t>, new need for renal replacement therapy, severe bleeding</w:t>
            </w:r>
          </w:p>
          <w:p w14:paraId="15A1752D" w14:textId="6262EBA3" w:rsidR="00D96852" w:rsidRPr="00BE6B8B" w:rsidRDefault="00DB6E87" w:rsidP="00D96852">
            <w:pPr>
              <w:rPr>
                <w:bCs/>
                <w:szCs w:val="20"/>
              </w:rPr>
            </w:pPr>
            <w:r w:rsidRPr="00BE6B8B">
              <w:rPr>
                <w:bCs/>
                <w:szCs w:val="20"/>
                <w:u w:val="single"/>
              </w:rPr>
              <w:t>SECONDARY ENDPOINTS:</w:t>
            </w:r>
            <w:r w:rsidR="00771A53" w:rsidRPr="00BE6B8B">
              <w:rPr>
                <w:bCs/>
                <w:szCs w:val="20"/>
                <w:u w:val="single"/>
              </w:rPr>
              <w:t xml:space="preserve"> </w:t>
            </w:r>
            <w:r w:rsidR="00D96852" w:rsidRPr="00BE6B8B">
              <w:rPr>
                <w:bCs/>
                <w:szCs w:val="20"/>
              </w:rPr>
              <w:t>Follow-up at 30 days, 6 months, 12 months, and 5 years:</w:t>
            </w:r>
            <w:r w:rsidR="00453CDC" w:rsidRPr="00BE6B8B">
              <w:rPr>
                <w:bCs/>
                <w:szCs w:val="20"/>
              </w:rPr>
              <w:t xml:space="preserve"> </w:t>
            </w:r>
            <w:r w:rsidR="00D96852" w:rsidRPr="00BE6B8B">
              <w:rPr>
                <w:bCs/>
                <w:szCs w:val="20"/>
              </w:rPr>
              <w:t>6MWD</w:t>
            </w:r>
            <w:r w:rsidR="00453CDC" w:rsidRPr="00BE6B8B">
              <w:rPr>
                <w:bCs/>
                <w:szCs w:val="20"/>
              </w:rPr>
              <w:t xml:space="preserve">, </w:t>
            </w:r>
            <w:r w:rsidR="00D96852" w:rsidRPr="00BE6B8B">
              <w:rPr>
                <w:bCs/>
                <w:szCs w:val="20"/>
              </w:rPr>
              <w:t>NYHA class</w:t>
            </w:r>
            <w:r w:rsidR="00CD4AF9" w:rsidRPr="00BE6B8B">
              <w:rPr>
                <w:bCs/>
                <w:szCs w:val="20"/>
              </w:rPr>
              <w:t xml:space="preserve">; </w:t>
            </w:r>
            <w:r w:rsidR="00D96852" w:rsidRPr="00BE6B8B">
              <w:rPr>
                <w:bCs/>
                <w:szCs w:val="20"/>
              </w:rPr>
              <w:t>KCCQ and EQ-5D-5L at 30 days and 12 months</w:t>
            </w:r>
          </w:p>
          <w:p w14:paraId="3354BD80" w14:textId="7725EC37" w:rsidR="00DB6E87" w:rsidRPr="00BE6B8B" w:rsidRDefault="00DB6E87" w:rsidP="00D96852">
            <w:pPr>
              <w:rPr>
                <w:bCs/>
                <w:szCs w:val="20"/>
              </w:rPr>
            </w:pPr>
          </w:p>
        </w:tc>
        <w:tc>
          <w:tcPr>
            <w:tcW w:w="271" w:type="pct"/>
          </w:tcPr>
          <w:p w14:paraId="54F69D8F" w14:textId="79CECDC2" w:rsidR="00566F31" w:rsidRPr="00BE6B8B" w:rsidRDefault="00D96852" w:rsidP="00566F31">
            <w:pPr>
              <w:rPr>
                <w:b/>
                <w:szCs w:val="20"/>
              </w:rPr>
            </w:pPr>
            <w:r w:rsidRPr="00BE6B8B">
              <w:t>N/A</w:t>
            </w:r>
          </w:p>
        </w:tc>
        <w:tc>
          <w:tcPr>
            <w:tcW w:w="646" w:type="pct"/>
          </w:tcPr>
          <w:p w14:paraId="7970846A" w14:textId="77777777" w:rsidR="00D96852" w:rsidRPr="00BE6B8B" w:rsidRDefault="00D96852" w:rsidP="00D96852">
            <w:r w:rsidRPr="00BE6B8B">
              <w:t>Ongoing</w:t>
            </w:r>
          </w:p>
          <w:p w14:paraId="6C94E1B9" w14:textId="77777777" w:rsidR="00D96852" w:rsidRPr="00BE6B8B" w:rsidRDefault="00D96852" w:rsidP="00D96852">
            <w:r w:rsidRPr="00BE6B8B">
              <w:t>Estimated endpoint completion: TBD</w:t>
            </w:r>
          </w:p>
          <w:p w14:paraId="14074A6C" w14:textId="26A462EE" w:rsidR="00566F31" w:rsidRPr="00BE6B8B" w:rsidRDefault="00D96852" w:rsidP="00D96852">
            <w:pPr>
              <w:rPr>
                <w:b/>
                <w:szCs w:val="20"/>
              </w:rPr>
            </w:pPr>
            <w:r w:rsidRPr="00BE6B8B">
              <w:t>Estimated study completion: TBD</w:t>
            </w:r>
          </w:p>
        </w:tc>
      </w:tr>
      <w:tr w:rsidR="00A9017B" w:rsidRPr="00BE6B8B" w14:paraId="0C233305" w14:textId="77777777" w:rsidTr="004D005D">
        <w:trPr>
          <w:cantSplit/>
        </w:trPr>
        <w:tc>
          <w:tcPr>
            <w:tcW w:w="241" w:type="pct"/>
          </w:tcPr>
          <w:p w14:paraId="7E0FC1BE" w14:textId="7EABD89C" w:rsidR="00A9017B" w:rsidRPr="00BE6B8B" w:rsidRDefault="00A9017B" w:rsidP="00566F31">
            <w:pPr>
              <w:rPr>
                <w:szCs w:val="20"/>
              </w:rPr>
            </w:pPr>
            <w:r w:rsidRPr="00BE6B8B">
              <w:rPr>
                <w:szCs w:val="20"/>
              </w:rPr>
              <w:lastRenderedPageBreak/>
              <w:t>5.</w:t>
            </w:r>
          </w:p>
        </w:tc>
        <w:tc>
          <w:tcPr>
            <w:tcW w:w="499" w:type="pct"/>
          </w:tcPr>
          <w:p w14:paraId="3D8880A6" w14:textId="2363B929" w:rsidR="00A9017B" w:rsidRPr="00BE6B8B" w:rsidRDefault="00A9017B" w:rsidP="00566F31">
            <w:r w:rsidRPr="00BE6B8B">
              <w:t>Retrospective, observational, international registry</w:t>
            </w:r>
          </w:p>
        </w:tc>
        <w:tc>
          <w:tcPr>
            <w:tcW w:w="710" w:type="pct"/>
          </w:tcPr>
          <w:p w14:paraId="218ECA61" w14:textId="77777777" w:rsidR="00A9017B" w:rsidRPr="00BE6B8B" w:rsidRDefault="00A9017B" w:rsidP="00A9017B">
            <w:r w:rsidRPr="00BE6B8B">
              <w:t>EURO-SMR</w:t>
            </w:r>
          </w:p>
          <w:p w14:paraId="38BC2610" w14:textId="7DF6B8DC" w:rsidR="00A9017B" w:rsidRPr="00BE6B8B" w:rsidRDefault="00A9017B" w:rsidP="00A9017B">
            <w:r w:rsidRPr="00BE6B8B">
              <w:t>DRKS00017428</w:t>
            </w:r>
          </w:p>
        </w:tc>
        <w:tc>
          <w:tcPr>
            <w:tcW w:w="2633" w:type="pct"/>
          </w:tcPr>
          <w:p w14:paraId="32D8FD19" w14:textId="368CAF63" w:rsidR="00A9017B" w:rsidRPr="00BE6B8B" w:rsidRDefault="00A9017B" w:rsidP="00566F31">
            <w:r w:rsidRPr="00BE6B8B">
              <w:rPr>
                <w:u w:val="single"/>
              </w:rPr>
              <w:t>POPULATION</w:t>
            </w:r>
            <w:r w:rsidRPr="00BE6B8B">
              <w:t xml:space="preserve">: Severe secondary symptomatic MR. Moderate </w:t>
            </w:r>
            <w:r w:rsidR="00517D44" w:rsidRPr="00BE6B8B">
              <w:t>FMR</w:t>
            </w:r>
            <w:r w:rsidRPr="00BE6B8B">
              <w:t xml:space="preserve"> if repeat hospitalizations for </w:t>
            </w:r>
            <w:r w:rsidR="00517D44" w:rsidRPr="00BE6B8B">
              <w:t>HF</w:t>
            </w:r>
            <w:r w:rsidRPr="00BE6B8B">
              <w:t xml:space="preserve"> were necessary in the past due to worsening of MR</w:t>
            </w:r>
          </w:p>
          <w:p w14:paraId="27261A8B" w14:textId="6EBBA754" w:rsidR="00A9017B" w:rsidRPr="00BE6B8B" w:rsidRDefault="00A9017B" w:rsidP="00A9017B">
            <w:pPr>
              <w:pStyle w:val="Tablebullet1"/>
              <w:numPr>
                <w:ilvl w:val="0"/>
                <w:numId w:val="0"/>
              </w:numPr>
              <w:ind w:left="187" w:hanging="187"/>
              <w:rPr>
                <w:rFonts w:asciiTheme="minorHAnsi" w:eastAsiaTheme="minorHAnsi" w:hAnsiTheme="minorHAnsi" w:cstheme="minorBidi"/>
                <w:color w:val="auto"/>
                <w:sz w:val="20"/>
                <w:szCs w:val="22"/>
                <w:lang w:val="en-AU"/>
              </w:rPr>
            </w:pPr>
            <w:r w:rsidRPr="00BE6B8B">
              <w:rPr>
                <w:rFonts w:asciiTheme="minorHAnsi" w:eastAsiaTheme="minorHAnsi" w:hAnsiTheme="minorHAnsi" w:cstheme="minorBidi"/>
                <w:color w:val="auto"/>
                <w:sz w:val="20"/>
                <w:szCs w:val="22"/>
                <w:u w:val="single"/>
                <w:lang w:val="en-AU"/>
              </w:rPr>
              <w:t>INTERVENTION (N):</w:t>
            </w:r>
            <w:r w:rsidRPr="00BE6B8B">
              <w:rPr>
                <w:rFonts w:asciiTheme="minorHAnsi" w:eastAsiaTheme="minorHAnsi" w:hAnsiTheme="minorHAnsi" w:cstheme="minorBidi"/>
                <w:color w:val="auto"/>
                <w:sz w:val="20"/>
                <w:szCs w:val="22"/>
                <w:lang w:val="en-AU"/>
              </w:rPr>
              <w:t xml:space="preserve"> PASCAL </w:t>
            </w:r>
            <w:r w:rsidR="00C6324E" w:rsidRPr="00BE6B8B">
              <w:rPr>
                <w:rFonts w:asciiTheme="minorHAnsi" w:eastAsiaTheme="minorHAnsi" w:hAnsiTheme="minorHAnsi" w:cstheme="minorBidi"/>
                <w:color w:val="auto"/>
                <w:sz w:val="20"/>
                <w:szCs w:val="22"/>
                <w:lang w:val="en-AU"/>
              </w:rPr>
              <w:t>TMVr</w:t>
            </w:r>
            <w:r w:rsidRPr="00BE6B8B">
              <w:rPr>
                <w:rFonts w:asciiTheme="minorHAnsi" w:eastAsiaTheme="minorHAnsi" w:hAnsiTheme="minorHAnsi" w:cstheme="minorBidi"/>
                <w:color w:val="auto"/>
                <w:sz w:val="20"/>
                <w:szCs w:val="22"/>
                <w:lang w:val="en-AU"/>
              </w:rPr>
              <w:t xml:space="preserve"> system, MitraClip, Cardioband, Carillon</w:t>
            </w:r>
          </w:p>
          <w:p w14:paraId="60FDABB2" w14:textId="0ECA1E02" w:rsidR="00A9017B" w:rsidRPr="00BE6B8B" w:rsidRDefault="00A9017B" w:rsidP="00566F31">
            <w:r w:rsidRPr="00BE6B8B">
              <w:rPr>
                <w:u w:val="single"/>
              </w:rPr>
              <w:t>PRIMARY ENDPOINTS</w:t>
            </w:r>
            <w:r w:rsidRPr="00BE6B8B">
              <w:t>: All-cause death</w:t>
            </w:r>
          </w:p>
          <w:p w14:paraId="250D11C6" w14:textId="0CC81B49" w:rsidR="00A9017B" w:rsidRPr="00BE6B8B" w:rsidRDefault="00C5394A" w:rsidP="00A9017B">
            <w:r w:rsidRPr="00BE6B8B">
              <w:rPr>
                <w:u w:val="single"/>
              </w:rPr>
              <w:t xml:space="preserve">OTHER </w:t>
            </w:r>
            <w:r w:rsidR="00A9017B" w:rsidRPr="00BE6B8B">
              <w:rPr>
                <w:u w:val="single"/>
              </w:rPr>
              <w:t>SECONDARY ENDPOINTS</w:t>
            </w:r>
            <w:r w:rsidR="00771A53" w:rsidRPr="00BE6B8B">
              <w:rPr>
                <w:u w:val="single"/>
              </w:rPr>
              <w:t>:</w:t>
            </w:r>
            <w:r w:rsidR="00771A53" w:rsidRPr="00BE6B8B">
              <w:t xml:space="preserve"> </w:t>
            </w:r>
            <w:r w:rsidR="00A9017B" w:rsidRPr="00BE6B8B">
              <w:t xml:space="preserve">Hospitalization for </w:t>
            </w:r>
            <w:r w:rsidRPr="00BE6B8B">
              <w:t xml:space="preserve">HF, </w:t>
            </w:r>
            <w:r w:rsidR="00A9017B" w:rsidRPr="00BE6B8B">
              <w:t>NYHA</w:t>
            </w:r>
            <w:r w:rsidRPr="00BE6B8B">
              <w:t>,</w:t>
            </w:r>
            <w:r w:rsidR="00A9017B" w:rsidRPr="00BE6B8B">
              <w:t xml:space="preserve"> MR grade</w:t>
            </w:r>
          </w:p>
        </w:tc>
        <w:tc>
          <w:tcPr>
            <w:tcW w:w="271" w:type="pct"/>
          </w:tcPr>
          <w:p w14:paraId="016FAA3B" w14:textId="3E7AECE4" w:rsidR="00A9017B" w:rsidRPr="00BE6B8B" w:rsidRDefault="00A9017B" w:rsidP="00566F31">
            <w:r w:rsidRPr="00BE6B8B">
              <w:t>N/A</w:t>
            </w:r>
          </w:p>
        </w:tc>
        <w:tc>
          <w:tcPr>
            <w:tcW w:w="646" w:type="pct"/>
          </w:tcPr>
          <w:p w14:paraId="48FF280B" w14:textId="77777777" w:rsidR="00A9017B" w:rsidRPr="00BE6B8B" w:rsidRDefault="00A9017B" w:rsidP="00A9017B">
            <w:r w:rsidRPr="00BE6B8B">
              <w:t>Ongoing</w:t>
            </w:r>
          </w:p>
          <w:p w14:paraId="7FAFFB8B" w14:textId="77777777" w:rsidR="00A9017B" w:rsidRPr="00BE6B8B" w:rsidRDefault="00A9017B" w:rsidP="00A9017B">
            <w:r w:rsidRPr="00BE6B8B">
              <w:t>Estimated endpoint completion: not reported</w:t>
            </w:r>
          </w:p>
          <w:p w14:paraId="33E24FFC" w14:textId="1D5203A0" w:rsidR="00A9017B" w:rsidRPr="00BE6B8B" w:rsidRDefault="00A9017B" w:rsidP="00A9017B">
            <w:r w:rsidRPr="00BE6B8B">
              <w:t>Estimated study completion: not reported</w:t>
            </w:r>
          </w:p>
        </w:tc>
      </w:tr>
    </w:tbl>
    <w:p w14:paraId="0988BC26" w14:textId="08C978AB" w:rsidR="0015089F" w:rsidRPr="00044332" w:rsidRDefault="0015089F" w:rsidP="0015089F">
      <w:pPr>
        <w:spacing w:before="0" w:after="0"/>
        <w:ind w:left="432"/>
        <w:rPr>
          <w:iCs/>
          <w:szCs w:val="20"/>
        </w:rPr>
      </w:pPr>
      <w:r w:rsidRPr="00BE6B8B">
        <w:rPr>
          <w:b/>
          <w:bCs/>
          <w:iCs/>
          <w:szCs w:val="20"/>
        </w:rPr>
        <w:t>Abbreviations</w:t>
      </w:r>
      <w:r w:rsidRPr="00BE6B8B">
        <w:rPr>
          <w:iCs/>
          <w:szCs w:val="20"/>
        </w:rPr>
        <w:t xml:space="preserve">: MR, mitral regurgitation; DMR, degenerative mitral regurgitation; FMR, functional mitral regurgitation; </w:t>
      </w:r>
      <w:r w:rsidR="00C6324E" w:rsidRPr="00BE6B8B">
        <w:rPr>
          <w:iCs/>
          <w:szCs w:val="20"/>
        </w:rPr>
        <w:t xml:space="preserve">MV, mitral valve; </w:t>
      </w:r>
      <w:r w:rsidRPr="00BE6B8B">
        <w:rPr>
          <w:iCs/>
          <w:szCs w:val="20"/>
        </w:rPr>
        <w:t xml:space="preserve">TMVr, Transcatheter Mitral Valve repair; HF, heart failure; MM, medical management; MN, multinational; NYHA, New York Heart Association; OMT, optimal medical therapy; </w:t>
      </w:r>
      <w:r w:rsidR="009F2A88" w:rsidRPr="00BE6B8B">
        <w:rPr>
          <w:iCs/>
          <w:szCs w:val="20"/>
        </w:rPr>
        <w:t xml:space="preserve">GDMT, Goal Directed Medical Therapy; </w:t>
      </w:r>
      <w:r w:rsidRPr="00BE6B8B">
        <w:rPr>
          <w:iCs/>
          <w:szCs w:val="20"/>
        </w:rPr>
        <w:t xml:space="preserve">RCT, randomised controlled trial; KCCQ, Kansas City Cardiomyopathy Questionnaire; </w:t>
      </w:r>
      <w:r w:rsidR="00517D44" w:rsidRPr="00BE6B8B">
        <w:rPr>
          <w:szCs w:val="20"/>
        </w:rPr>
        <w:t xml:space="preserve">SF-36, Short-Form 36 Questionnaire; </w:t>
      </w:r>
      <w:r w:rsidRPr="00BE6B8B">
        <w:rPr>
          <w:iCs/>
          <w:szCs w:val="20"/>
        </w:rPr>
        <w:t>6MWD, 6 Minute Walk Distance</w:t>
      </w:r>
      <w:r w:rsidR="00151E19" w:rsidRPr="00BE6B8B">
        <w:rPr>
          <w:iCs/>
          <w:szCs w:val="20"/>
        </w:rPr>
        <w:t xml:space="preserve">; TIA, </w:t>
      </w:r>
      <w:r w:rsidR="007F4ABC" w:rsidRPr="00BE6B8B">
        <w:rPr>
          <w:szCs w:val="20"/>
        </w:rPr>
        <w:t>Transient ischemic attack</w:t>
      </w:r>
      <w:r w:rsidR="00151E19" w:rsidRPr="00BE6B8B">
        <w:rPr>
          <w:iCs/>
          <w:szCs w:val="20"/>
        </w:rPr>
        <w:t xml:space="preserve">; </w:t>
      </w:r>
      <w:r w:rsidR="00C5394A" w:rsidRPr="00BE6B8B">
        <w:rPr>
          <w:iCs/>
          <w:szCs w:val="20"/>
        </w:rPr>
        <w:t>MI, Myocardial infarction</w:t>
      </w:r>
      <w:r w:rsidR="00517D44" w:rsidRPr="00BE6B8B">
        <w:rPr>
          <w:iCs/>
          <w:szCs w:val="20"/>
        </w:rPr>
        <w:t xml:space="preserve">; AE, </w:t>
      </w:r>
      <w:r w:rsidR="00517D44" w:rsidRPr="00BE6B8B">
        <w:rPr>
          <w:szCs w:val="20"/>
        </w:rPr>
        <w:t>adverse events; MAE, Major adverse events;</w:t>
      </w:r>
      <w:r w:rsidR="00B85DF9" w:rsidRPr="00BE6B8B">
        <w:rPr>
          <w:szCs w:val="20"/>
        </w:rPr>
        <w:t xml:space="preserve"> AF, atrial fibrillation,</w:t>
      </w:r>
    </w:p>
    <w:p w14:paraId="70CDE0F6"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253C3ED8"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1343B984"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7FF5B87A" w14:textId="77777777" w:rsidR="00B6480A" w:rsidRPr="00325E5B" w:rsidRDefault="00D91995" w:rsidP="00A727B6">
      <w:pPr>
        <w:ind w:left="426"/>
      </w:pPr>
      <w:r w:rsidRPr="00325E5B">
        <w:t xml:space="preserve">Cardiac Society of Australian and New Zealand (CSANZ) </w:t>
      </w:r>
    </w:p>
    <w:p w14:paraId="2830B6A6" w14:textId="08BAC3C9" w:rsidR="00A727B6" w:rsidRPr="00A727B6" w:rsidRDefault="00D91995" w:rsidP="00A727B6">
      <w:pPr>
        <w:ind w:left="426"/>
      </w:pPr>
      <w:r w:rsidRPr="00325E5B">
        <w:t>Australia and New Zealand Society of Cardiac and Thoracic Surgeons (ANZSCTS)</w:t>
      </w:r>
    </w:p>
    <w:p w14:paraId="6FDBD2E5"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7DB62B5F" w14:textId="77777777" w:rsidR="00B6480A" w:rsidRPr="00325E5B" w:rsidRDefault="00B6480A" w:rsidP="00B6480A">
      <w:pPr>
        <w:ind w:left="360"/>
      </w:pPr>
      <w:r w:rsidRPr="00325E5B">
        <w:t xml:space="preserve">Cardiac Society of Australian and New Zealand </w:t>
      </w:r>
    </w:p>
    <w:p w14:paraId="50AADDF6" w14:textId="77777777" w:rsidR="00B6480A" w:rsidRDefault="00B6480A" w:rsidP="00B6480A">
      <w:pPr>
        <w:ind w:left="360"/>
      </w:pPr>
      <w:r w:rsidRPr="00325E5B">
        <w:t>Australian &amp; New Zealand Society of Cardiac &amp; Thoracic Surgeons</w:t>
      </w:r>
    </w:p>
    <w:p w14:paraId="4D5E9E94" w14:textId="77777777"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41F66E21" w14:textId="62374E25" w:rsidR="00E82F54" w:rsidRPr="00CE6DED" w:rsidRDefault="00FC5103" w:rsidP="00A727B6">
      <w:pPr>
        <w:ind w:left="426"/>
      </w:pPr>
      <w:r w:rsidRPr="00CE6DED">
        <w:t>Consumer Health Forum of Australia</w:t>
      </w:r>
    </w:p>
    <w:p w14:paraId="7EBDDD5F" w14:textId="5A3A6FE3" w:rsidR="00B6480A" w:rsidRDefault="00B6480A" w:rsidP="00A727B6">
      <w:pPr>
        <w:ind w:left="426"/>
        <w:rPr>
          <w:szCs w:val="20"/>
        </w:rPr>
      </w:pPr>
      <w:r w:rsidRPr="00CE6DED">
        <w:t>Hearts4Hearts</w:t>
      </w:r>
    </w:p>
    <w:p w14:paraId="25EBC414"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60CDEFCE" w14:textId="37060BC8" w:rsidR="00EE6450" w:rsidRDefault="00D91995" w:rsidP="00EE6450">
      <w:pPr>
        <w:ind w:left="426"/>
        <w:rPr>
          <w:szCs w:val="20"/>
        </w:rPr>
      </w:pPr>
      <w:r w:rsidRPr="00B80915">
        <w:rPr>
          <w:szCs w:val="20"/>
        </w:rPr>
        <w:t>Abbott (MitraClip™ Transcatheter Mitral Valve Repair)</w:t>
      </w:r>
    </w:p>
    <w:p w14:paraId="5775A90C" w14:textId="7DFEC368" w:rsidR="00E82F54" w:rsidRPr="00EE60FE" w:rsidRDefault="00E82F54" w:rsidP="00530204">
      <w:pPr>
        <w:pStyle w:val="Heading2"/>
      </w:pPr>
      <w:r w:rsidRPr="00154B00">
        <w:t xml:space="preserve">Nominate two experts who could be approached about the proposed medical service and the current </w:t>
      </w:r>
      <w:r w:rsidRPr="00EE60FE">
        <w:t>clinical management of the service(s):</w:t>
      </w:r>
    </w:p>
    <w:p w14:paraId="319B5F1F" w14:textId="309D094C" w:rsidR="00D91995" w:rsidRPr="00EE60FE" w:rsidRDefault="00D91995" w:rsidP="00D91995"/>
    <w:p w14:paraId="310FF0B6" w14:textId="234F8048" w:rsidR="00D91995" w:rsidRPr="00EE60FE" w:rsidRDefault="00D91995" w:rsidP="00D91995">
      <w:pPr>
        <w:ind w:left="360"/>
      </w:pPr>
      <w:r w:rsidRPr="00EE60FE">
        <w:t xml:space="preserve">Name of expert 1: </w:t>
      </w:r>
      <w:r w:rsidR="00EE60FE" w:rsidRPr="00EE60FE">
        <w:rPr>
          <w:b/>
          <w:bCs/>
        </w:rPr>
        <w:t>REDACTED</w:t>
      </w:r>
    </w:p>
    <w:p w14:paraId="4B92482A" w14:textId="5D6E5BC2" w:rsidR="00D91995" w:rsidRPr="00EE60FE" w:rsidRDefault="00D91995" w:rsidP="00D91995">
      <w:pPr>
        <w:ind w:left="360"/>
      </w:pPr>
      <w:r w:rsidRPr="00EE60FE">
        <w:t xml:space="preserve">Telephone number(s): </w:t>
      </w:r>
      <w:r w:rsidR="00EE60FE" w:rsidRPr="00EE60FE">
        <w:rPr>
          <w:b/>
          <w:bCs/>
        </w:rPr>
        <w:t>REDACTED</w:t>
      </w:r>
    </w:p>
    <w:p w14:paraId="45E74920" w14:textId="6AC9A121" w:rsidR="00D91995" w:rsidRPr="00EE60FE" w:rsidRDefault="00D91995" w:rsidP="00D91995">
      <w:pPr>
        <w:ind w:left="360"/>
      </w:pPr>
      <w:r w:rsidRPr="00EE60FE">
        <w:t xml:space="preserve">Email address: </w:t>
      </w:r>
      <w:r w:rsidR="00EE60FE" w:rsidRPr="00EE60FE">
        <w:rPr>
          <w:b/>
          <w:bCs/>
        </w:rPr>
        <w:t>REDACTED</w:t>
      </w:r>
      <w:r w:rsidR="00EE60FE" w:rsidRPr="00EE60FE">
        <w:t xml:space="preserve"> </w:t>
      </w:r>
    </w:p>
    <w:p w14:paraId="54ED309B" w14:textId="160F7A0A" w:rsidR="00D91995" w:rsidRPr="00EE60FE" w:rsidRDefault="00D91995" w:rsidP="00D91995">
      <w:pPr>
        <w:ind w:left="360"/>
      </w:pPr>
      <w:r w:rsidRPr="00EE60FE">
        <w:t xml:space="preserve">Justification of expertise: </w:t>
      </w:r>
      <w:r w:rsidR="00EE60FE" w:rsidRPr="00EE60FE">
        <w:rPr>
          <w:b/>
          <w:bCs/>
        </w:rPr>
        <w:t>REDACTED</w:t>
      </w:r>
    </w:p>
    <w:p w14:paraId="2A6E9E4D" w14:textId="77777777" w:rsidR="00D91995" w:rsidRPr="00EE60FE" w:rsidRDefault="00D91995" w:rsidP="00D91995">
      <w:pPr>
        <w:ind w:left="360"/>
      </w:pPr>
    </w:p>
    <w:p w14:paraId="70BBAA57" w14:textId="6C166EF7" w:rsidR="00D91995" w:rsidRPr="00EE60FE" w:rsidRDefault="00D91995" w:rsidP="00D91995">
      <w:pPr>
        <w:ind w:left="360"/>
      </w:pPr>
      <w:r w:rsidRPr="00EE60FE">
        <w:t xml:space="preserve">Name of expert 2: </w:t>
      </w:r>
      <w:r w:rsidR="00EE60FE" w:rsidRPr="00EE60FE">
        <w:rPr>
          <w:b/>
          <w:bCs/>
        </w:rPr>
        <w:t>REDACTED</w:t>
      </w:r>
    </w:p>
    <w:p w14:paraId="6A82B88D" w14:textId="63E2E2B6" w:rsidR="00D91995" w:rsidRPr="00EE60FE" w:rsidRDefault="00D91995" w:rsidP="00D91995">
      <w:pPr>
        <w:ind w:left="360"/>
      </w:pPr>
      <w:r w:rsidRPr="00EE60FE">
        <w:t xml:space="preserve">Telephone number(s): </w:t>
      </w:r>
      <w:r w:rsidR="00EE60FE" w:rsidRPr="00EE60FE">
        <w:rPr>
          <w:b/>
          <w:bCs/>
        </w:rPr>
        <w:t>REDACTED</w:t>
      </w:r>
    </w:p>
    <w:p w14:paraId="36AA32F7" w14:textId="77777777" w:rsidR="00EE60FE" w:rsidRPr="00EE60FE" w:rsidRDefault="00D91995" w:rsidP="00D91995">
      <w:pPr>
        <w:ind w:left="360"/>
        <w:rPr>
          <w:b/>
          <w:bCs/>
        </w:rPr>
      </w:pPr>
      <w:r w:rsidRPr="00EE60FE">
        <w:t xml:space="preserve">Email address: </w:t>
      </w:r>
      <w:r w:rsidR="00EE60FE" w:rsidRPr="00EE60FE">
        <w:rPr>
          <w:b/>
          <w:bCs/>
        </w:rPr>
        <w:t>REDACTED</w:t>
      </w:r>
    </w:p>
    <w:p w14:paraId="6CC4D73D" w14:textId="4279CAA5" w:rsidR="00D91995" w:rsidRDefault="00EE60FE" w:rsidP="00D91995">
      <w:pPr>
        <w:ind w:left="360"/>
      </w:pPr>
      <w:r w:rsidRPr="00EE60FE">
        <w:t xml:space="preserve"> </w:t>
      </w:r>
      <w:r w:rsidR="00D91995" w:rsidRPr="00EE60FE">
        <w:t xml:space="preserve">Justification of expertise: </w:t>
      </w:r>
      <w:r w:rsidRPr="00EE60FE">
        <w:rPr>
          <w:b/>
          <w:bCs/>
        </w:rPr>
        <w:t>REDACTED</w:t>
      </w:r>
    </w:p>
    <w:p w14:paraId="49C348C1" w14:textId="56823E50" w:rsidR="0048516A" w:rsidRDefault="0048516A" w:rsidP="00E82F54">
      <w:pPr>
        <w:ind w:left="426"/>
        <w:rPr>
          <w:i/>
          <w:szCs w:val="20"/>
        </w:rPr>
      </w:pPr>
    </w:p>
    <w:p w14:paraId="1DB8B499" w14:textId="77777777" w:rsidR="00E82F54" w:rsidRPr="00154B00" w:rsidRDefault="00E82F54" w:rsidP="00E82F54">
      <w:pPr>
        <w:ind w:left="426"/>
        <w:rPr>
          <w:i/>
          <w:szCs w:val="20"/>
        </w:rPr>
      </w:pPr>
      <w:r w:rsidRPr="00154B00">
        <w:rPr>
          <w:i/>
          <w:szCs w:val="20"/>
        </w:rPr>
        <w:t>Please note that the Department may also consult with other referrers, proceduralists and disease specialists to obtain their insight.</w:t>
      </w:r>
    </w:p>
    <w:p w14:paraId="51F5097A" w14:textId="77777777" w:rsidR="003433D1" w:rsidRDefault="003433D1">
      <w:pPr>
        <w:rPr>
          <w:b/>
          <w:sz w:val="32"/>
          <w:szCs w:val="32"/>
        </w:rPr>
      </w:pPr>
      <w:r>
        <w:rPr>
          <w:b/>
          <w:sz w:val="32"/>
          <w:szCs w:val="32"/>
        </w:rPr>
        <w:br w:type="page"/>
      </w:r>
    </w:p>
    <w:p w14:paraId="40797A7E"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0F5D0034" w14:textId="77777777" w:rsidR="0021185D" w:rsidRPr="005C3AE7" w:rsidRDefault="005C3AE7" w:rsidP="00DD114D">
      <w:pPr>
        <w:pStyle w:val="Subtitle"/>
        <w:ind w:left="0"/>
      </w:pPr>
      <w:r w:rsidRPr="005C3AE7">
        <w:t xml:space="preserve">PART 6a – </w:t>
      </w:r>
      <w:r w:rsidR="0021185D" w:rsidRPr="005C3AE7">
        <w:t>INFORMATION ABOUT THE PROPOSED POPULATION</w:t>
      </w:r>
    </w:p>
    <w:p w14:paraId="7DDD88DA" w14:textId="24073363"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w:t>
      </w:r>
      <w:r w:rsidR="00EC5D1E">
        <w:t>-</w:t>
      </w:r>
      <w:r w:rsidR="0018630F" w:rsidRPr="00A96329">
        <w:t>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24056E43" w14:textId="77777777" w:rsidR="00C552C1" w:rsidRDefault="003560C4" w:rsidP="00942065">
      <w:pPr>
        <w:ind w:left="426"/>
        <w:rPr>
          <w:szCs w:val="20"/>
        </w:rPr>
      </w:pPr>
      <w:r w:rsidRPr="003560C4">
        <w:rPr>
          <w:szCs w:val="20"/>
        </w:rPr>
        <w:t>Mitral regurgitation (MR), also known as mitral insufficiency, is a condition in which incompetency</w:t>
      </w:r>
      <w:r>
        <w:rPr>
          <w:szCs w:val="20"/>
        </w:rPr>
        <w:t xml:space="preserve"> </w:t>
      </w:r>
      <w:r w:rsidRPr="003560C4">
        <w:rPr>
          <w:szCs w:val="20"/>
        </w:rPr>
        <w:t>of the mitral valve causes abnormal backflow of blood from the left ventricle to the left atrium</w:t>
      </w:r>
      <w:r>
        <w:rPr>
          <w:szCs w:val="20"/>
        </w:rPr>
        <w:t xml:space="preserve"> </w:t>
      </w:r>
      <w:r w:rsidRPr="003560C4">
        <w:rPr>
          <w:szCs w:val="20"/>
        </w:rPr>
        <w:t xml:space="preserve">during the systolic phase of the cardiac cycle. </w:t>
      </w:r>
    </w:p>
    <w:p w14:paraId="7016F515" w14:textId="28AFFEB7" w:rsidR="003560C4" w:rsidRPr="00325E5B" w:rsidRDefault="003560C4" w:rsidP="00942065">
      <w:pPr>
        <w:ind w:left="426"/>
        <w:rPr>
          <w:szCs w:val="20"/>
        </w:rPr>
      </w:pPr>
      <w:r w:rsidRPr="00325E5B">
        <w:rPr>
          <w:szCs w:val="20"/>
        </w:rPr>
        <w:t>There are two types of MR</w:t>
      </w:r>
      <w:r w:rsidR="002B35E2" w:rsidRPr="00325E5B">
        <w:rPr>
          <w:szCs w:val="20"/>
        </w:rPr>
        <w:t xml:space="preserve"> (see Table 1, below)</w:t>
      </w:r>
      <w:r w:rsidRPr="00325E5B">
        <w:rPr>
          <w:szCs w:val="20"/>
        </w:rPr>
        <w:t>: degenerative and functional. Degenerative mitral regurgitation (DMR), also known as primary MR, refers to regurgitation resulting from the structural abnormality of the mitral valve leaflets and/or valve apparatus. In contrast, functional mitral regurgitation (FMR), also known as secondary MR, occurs when the valve and/or valve apparatus is structurally normal, but dysfunction, distortion, or dilation</w:t>
      </w:r>
      <w:r w:rsidR="00942065" w:rsidRPr="00325E5B">
        <w:rPr>
          <w:szCs w:val="20"/>
        </w:rPr>
        <w:t xml:space="preserve"> </w:t>
      </w:r>
      <w:r w:rsidRPr="00325E5B">
        <w:rPr>
          <w:szCs w:val="20"/>
        </w:rPr>
        <w:t>of the left atrial or ventricular chambers results in tethering of the leaflets and/or mitral annular</w:t>
      </w:r>
      <w:r w:rsidR="00942065" w:rsidRPr="00325E5B">
        <w:rPr>
          <w:szCs w:val="20"/>
        </w:rPr>
        <w:t xml:space="preserve"> </w:t>
      </w:r>
      <w:r w:rsidRPr="00325E5B">
        <w:rPr>
          <w:szCs w:val="20"/>
        </w:rPr>
        <w:t>dilation.</w:t>
      </w:r>
    </w:p>
    <w:p w14:paraId="5D2CF52B" w14:textId="652BB5D9" w:rsidR="00221DEE" w:rsidRPr="00E521F9" w:rsidRDefault="004C69C2" w:rsidP="00221DEE">
      <w:pPr>
        <w:rPr>
          <w:szCs w:val="20"/>
        </w:rPr>
      </w:pPr>
      <w:r w:rsidRPr="00E521F9">
        <w:rPr>
          <w:szCs w:val="20"/>
        </w:rPr>
        <w:t xml:space="preserve">Table </w:t>
      </w:r>
      <w:r w:rsidR="00981E11" w:rsidRPr="00E521F9">
        <w:rPr>
          <w:szCs w:val="20"/>
        </w:rPr>
        <w:t>1</w:t>
      </w:r>
      <w:r w:rsidRPr="00E521F9">
        <w:rPr>
          <w:szCs w:val="20"/>
        </w:rPr>
        <w:t xml:space="preserve">. </w:t>
      </w:r>
      <w:r w:rsidR="002B35E2" w:rsidRPr="00E521F9">
        <w:rPr>
          <w:szCs w:val="20"/>
        </w:rPr>
        <w:t>Overview of MR Classification</w:t>
      </w:r>
      <w:r w:rsidR="00CC4680">
        <w:rPr>
          <w:szCs w:val="20"/>
        </w:rPr>
        <w:t xml:space="preserve"> </w:t>
      </w:r>
      <w:r w:rsidR="00CC4680">
        <w:t>(contents of table described below)</w:t>
      </w:r>
    </w:p>
    <w:p w14:paraId="6748EEED" w14:textId="78271F21" w:rsidR="00EE60FE" w:rsidRPr="00EE60FE" w:rsidRDefault="00EE60FE" w:rsidP="00EE60FE">
      <w:pPr>
        <w:spacing w:before="0" w:after="0"/>
        <w:ind w:left="426"/>
        <w:rPr>
          <w:sz w:val="18"/>
          <w:szCs w:val="20"/>
        </w:rPr>
      </w:pPr>
      <w:r w:rsidRPr="00EE60FE">
        <w:rPr>
          <w:szCs w:val="20"/>
        </w:rPr>
        <w:t xml:space="preserve">The information presented in </w:t>
      </w:r>
      <w:r w:rsidRPr="00EE60FE">
        <w:rPr>
          <w:b/>
          <w:bCs/>
          <w:szCs w:val="20"/>
        </w:rPr>
        <w:t>Table 1</w:t>
      </w:r>
      <w:r w:rsidRPr="00EE60FE">
        <w:rPr>
          <w:szCs w:val="20"/>
        </w:rPr>
        <w:t xml:space="preserve"> summarises the points on MR Classification that can be found in Chapter 23 ‘Mitral Valve Malformations’, including Table 23-2, from </w:t>
      </w:r>
      <w:hyperlink r:id="rId15" w:history="1">
        <w:r w:rsidRPr="00EE60FE">
          <w:rPr>
            <w:rStyle w:val="Hyperlink"/>
            <w:szCs w:val="20"/>
          </w:rPr>
          <w:t>(Carpentier et al. (2010))</w:t>
        </w:r>
      </w:hyperlink>
      <w:r w:rsidRPr="00EE60FE">
        <w:rPr>
          <w:szCs w:val="20"/>
        </w:rPr>
        <w:t xml:space="preserve"> Carpentier A, Adams DH, Filsoufi F. Carpentier's reconstructive valve surgery: from valve analysis to valve reconstruction. Philadelphia, PA: Saunders; 2010.</w:t>
      </w:r>
    </w:p>
    <w:p w14:paraId="12DFE5C9" w14:textId="77777777" w:rsidR="00B10F0C" w:rsidRPr="00D21214" w:rsidRDefault="00B10F0C" w:rsidP="00942065">
      <w:pPr>
        <w:ind w:left="426"/>
        <w:rPr>
          <w:szCs w:val="20"/>
          <w:highlight w:val="green"/>
        </w:rPr>
      </w:pPr>
    </w:p>
    <w:p w14:paraId="04FC13FA" w14:textId="58E934D0" w:rsidR="00B72C5D" w:rsidRPr="00325E5B" w:rsidRDefault="00B72C5D" w:rsidP="00942065">
      <w:pPr>
        <w:ind w:left="426"/>
        <w:rPr>
          <w:szCs w:val="20"/>
        </w:rPr>
      </w:pPr>
      <w:r w:rsidRPr="00325E5B">
        <w:rPr>
          <w:szCs w:val="20"/>
        </w:rPr>
        <w:t>MR is nearly two separate diseases with different definitions, different therapies, and different outcomes (</w:t>
      </w:r>
      <w:r w:rsidR="009668C3" w:rsidRPr="00325E5B">
        <w:t>Carabello</w:t>
      </w:r>
      <w:r w:rsidR="001E0AD2" w:rsidRPr="00325E5B">
        <w:t xml:space="preserve"> et al., 201</w:t>
      </w:r>
      <w:r w:rsidR="009668C3" w:rsidRPr="00325E5B">
        <w:t>4</w:t>
      </w:r>
      <w:r w:rsidR="001E0AD2" w:rsidRPr="00325E5B">
        <w:t>)</w:t>
      </w:r>
      <w:r w:rsidR="009668C3" w:rsidRPr="00325E5B">
        <w:t xml:space="preserve"> (</w:t>
      </w:r>
      <w:r w:rsidR="0026152A" w:rsidRPr="00325E5B">
        <w:t>El Sa</w:t>
      </w:r>
      <w:r w:rsidR="00E40BB1" w:rsidRPr="00325E5B">
        <w:t>bbagh</w:t>
      </w:r>
      <w:r w:rsidRPr="00325E5B">
        <w:t xml:space="preserve"> </w:t>
      </w:r>
      <w:r w:rsidR="001152D9" w:rsidRPr="00325E5B">
        <w:t xml:space="preserve">et al., </w:t>
      </w:r>
      <w:r w:rsidR="004E0E6F" w:rsidRPr="00325E5B">
        <w:t>2018</w:t>
      </w:r>
      <w:r w:rsidR="004C0251" w:rsidRPr="00325E5B">
        <w:t>)</w:t>
      </w:r>
      <w:r w:rsidRPr="00325E5B">
        <w:rPr>
          <w:szCs w:val="20"/>
        </w:rPr>
        <w:t xml:space="preserve"> (Figure </w:t>
      </w:r>
      <w:r w:rsidR="00EC67D9" w:rsidRPr="00325E5B">
        <w:rPr>
          <w:szCs w:val="20"/>
        </w:rPr>
        <w:t>1</w:t>
      </w:r>
      <w:r w:rsidRPr="00325E5B">
        <w:rPr>
          <w:szCs w:val="20"/>
        </w:rPr>
        <w:t>). Primary regurgitation involves structural alteration of the valvular apparatus; secondary regurgitation occurs when cardiac chamber remodeling affecting a structurally normal valve, leading to insufficient coaptation</w:t>
      </w:r>
      <w:r w:rsidR="00BA2916" w:rsidRPr="00325E5B">
        <w:rPr>
          <w:szCs w:val="20"/>
        </w:rPr>
        <w:t xml:space="preserve"> (Zoghbi et al.,2003)</w:t>
      </w:r>
      <w:r w:rsidRPr="00325E5B">
        <w:rPr>
          <w:szCs w:val="20"/>
        </w:rPr>
        <w:t>. For both primary and secondary MR, the restoration of mitral competence with mitral repair improves patients’ LV function and survival</w:t>
      </w:r>
      <w:r w:rsidR="00BA2916" w:rsidRPr="00325E5B">
        <w:rPr>
          <w:szCs w:val="20"/>
        </w:rPr>
        <w:t xml:space="preserve"> (Sarano et al</w:t>
      </w:r>
      <w:r w:rsidR="00716775" w:rsidRPr="00325E5B">
        <w:rPr>
          <w:szCs w:val="20"/>
        </w:rPr>
        <w:t>.,1995) (C</w:t>
      </w:r>
      <w:r w:rsidR="00AD65C1" w:rsidRPr="00325E5B">
        <w:rPr>
          <w:szCs w:val="20"/>
        </w:rPr>
        <w:t>hikwe et al., 2011)</w:t>
      </w:r>
      <w:r w:rsidRPr="00325E5B">
        <w:rPr>
          <w:szCs w:val="20"/>
        </w:rPr>
        <w:t>. It is important to distinguish primary MR from secondary MR, as therapeutic approaches and outcomes differ.</w:t>
      </w:r>
    </w:p>
    <w:p w14:paraId="004BEECB" w14:textId="4F73CF76" w:rsidR="00D06749" w:rsidRPr="00636EE1" w:rsidRDefault="00EC67D9" w:rsidP="00EE60FE">
      <w:pPr>
        <w:rPr>
          <w:szCs w:val="20"/>
        </w:rPr>
      </w:pPr>
      <w:r w:rsidRPr="00636EE1">
        <w:rPr>
          <w:szCs w:val="20"/>
        </w:rPr>
        <w:t xml:space="preserve">Figure 1. Classification of the Etiology of Primary and Secondary MR </w:t>
      </w:r>
    </w:p>
    <w:p w14:paraId="4EAC9B80" w14:textId="58EC34BA" w:rsidR="00EE60FE" w:rsidRPr="00EE60FE" w:rsidRDefault="00EE60FE" w:rsidP="00EE60FE">
      <w:pPr>
        <w:spacing w:before="0" w:after="0"/>
        <w:ind w:left="426"/>
        <w:rPr>
          <w:sz w:val="18"/>
          <w:szCs w:val="20"/>
        </w:rPr>
      </w:pPr>
      <w:r w:rsidRPr="00EE60FE">
        <w:rPr>
          <w:b/>
          <w:bCs/>
          <w:szCs w:val="20"/>
        </w:rPr>
        <w:t>Figure 1</w:t>
      </w:r>
      <w:r w:rsidRPr="00EE60FE">
        <w:rPr>
          <w:szCs w:val="20"/>
        </w:rPr>
        <w:t xml:space="preserve"> shows the classification of the etiology of Primary and Secondary MR is reproduced from the Central Illustration ‘Classification of the Etiology of MR’ from </w:t>
      </w:r>
      <w:hyperlink r:id="rId16" w:history="1">
        <w:r w:rsidRPr="00EE60FE">
          <w:rPr>
            <w:rStyle w:val="Hyperlink"/>
            <w:szCs w:val="20"/>
            <w:lang w:val="en-US"/>
          </w:rPr>
          <w:t>(El Sabbagh et al. (2018))</w:t>
        </w:r>
      </w:hyperlink>
      <w:r w:rsidRPr="00EE60FE">
        <w:rPr>
          <w:szCs w:val="20"/>
          <w:lang w:val="en-US"/>
        </w:rPr>
        <w:t xml:space="preserve"> A. El Sabbagh, Y.N.V. Reddy, R.A. Nishimura. Mitral valve regurgitation in the contemporary era: insights into diagnosis, management, and future directions. J Am Coll Cardiol Img, 11 (2018), pp. 628-643.</w:t>
      </w:r>
    </w:p>
    <w:p w14:paraId="3AA15F39" w14:textId="77777777" w:rsidR="00CC4680" w:rsidRDefault="00CC4680" w:rsidP="00CC4680">
      <w:pPr>
        <w:ind w:left="426"/>
        <w:rPr>
          <w:szCs w:val="20"/>
        </w:rPr>
      </w:pPr>
    </w:p>
    <w:p w14:paraId="5AF9A4D7" w14:textId="323BC92C" w:rsidR="00412EF6" w:rsidRPr="00325E5B" w:rsidRDefault="003560C4" w:rsidP="00CC4680">
      <w:pPr>
        <w:ind w:left="426"/>
        <w:rPr>
          <w:szCs w:val="20"/>
        </w:rPr>
      </w:pPr>
      <w:r w:rsidRPr="00325E5B">
        <w:rPr>
          <w:szCs w:val="20"/>
        </w:rPr>
        <w:t xml:space="preserve">Mitral regurgitation (MR) </w:t>
      </w:r>
      <w:r w:rsidR="00412EF6" w:rsidRPr="00325E5B">
        <w:rPr>
          <w:szCs w:val="20"/>
        </w:rPr>
        <w:t>considered to be one of the most common heart valve disorders internationally</w:t>
      </w:r>
      <w:r w:rsidR="00AD65C1" w:rsidRPr="00325E5B">
        <w:rPr>
          <w:szCs w:val="20"/>
        </w:rPr>
        <w:t xml:space="preserve"> (</w:t>
      </w:r>
      <w:r w:rsidR="009275E0" w:rsidRPr="00325E5B">
        <w:rPr>
          <w:szCs w:val="20"/>
        </w:rPr>
        <w:t>Dzaidzko et al., 2018)</w:t>
      </w:r>
      <w:r w:rsidR="00412EF6" w:rsidRPr="00325E5B">
        <w:rPr>
          <w:szCs w:val="20"/>
        </w:rPr>
        <w:t>, with a particularly high prevalence in the aging populations of industrialized nations. Mitral valve disease diagnosis increases with age, and disease progression commonly leads to more severe, symptomatic MR.</w:t>
      </w:r>
    </w:p>
    <w:p w14:paraId="3635AB57" w14:textId="5FEDFA26" w:rsidR="00412EF6" w:rsidRPr="00325E5B" w:rsidRDefault="00412EF6" w:rsidP="00412EF6">
      <w:pPr>
        <w:ind w:left="426"/>
        <w:rPr>
          <w:szCs w:val="20"/>
        </w:rPr>
      </w:pPr>
      <w:r w:rsidRPr="00325E5B">
        <w:rPr>
          <w:szCs w:val="20"/>
        </w:rPr>
        <w:t xml:space="preserve">In a prospective study of 79,043 patients who were referred to a community open-access echocardiography service between 2001 and 2011 for suspected heart failure, the </w:t>
      </w:r>
      <w:r w:rsidR="00912F23" w:rsidRPr="00325E5B">
        <w:rPr>
          <w:szCs w:val="20"/>
        </w:rPr>
        <w:t>prevalence</w:t>
      </w:r>
      <w:r w:rsidRPr="00325E5B">
        <w:rPr>
          <w:szCs w:val="20"/>
        </w:rPr>
        <w:t xml:space="preserve"> of MR was 12.5% and was the most common left-sided valve pathology</w:t>
      </w:r>
      <w:r w:rsidR="003751CB" w:rsidRPr="00325E5B">
        <w:rPr>
          <w:szCs w:val="20"/>
        </w:rPr>
        <w:t xml:space="preserve"> (Marciniak et al.</w:t>
      </w:r>
      <w:r w:rsidR="00C45A69" w:rsidRPr="00325E5B">
        <w:rPr>
          <w:szCs w:val="20"/>
        </w:rPr>
        <w:t>, 2017)</w:t>
      </w:r>
      <w:r w:rsidRPr="00325E5B">
        <w:rPr>
          <w:szCs w:val="20"/>
        </w:rPr>
        <w:t xml:space="preserve">. </w:t>
      </w:r>
      <w:r w:rsidR="00044DB5" w:rsidRPr="00325E5B">
        <w:rPr>
          <w:szCs w:val="20"/>
        </w:rPr>
        <w:t>The Euro Heart Survey on valvular heart disease</w:t>
      </w:r>
      <w:r w:rsidR="009063E4" w:rsidRPr="00325E5B">
        <w:rPr>
          <w:szCs w:val="20"/>
        </w:rPr>
        <w:t xml:space="preserve"> </w:t>
      </w:r>
      <w:r w:rsidR="00534DCF" w:rsidRPr="00325E5B">
        <w:rPr>
          <w:szCs w:val="20"/>
        </w:rPr>
        <w:t xml:space="preserve">that </w:t>
      </w:r>
      <w:r w:rsidR="009063E4" w:rsidRPr="00325E5B">
        <w:rPr>
          <w:szCs w:val="20"/>
        </w:rPr>
        <w:t xml:space="preserve">included 5001 patients from 92 </w:t>
      </w:r>
      <w:r w:rsidR="0048516A" w:rsidRPr="00325E5B">
        <w:rPr>
          <w:szCs w:val="20"/>
        </w:rPr>
        <w:t>centres</w:t>
      </w:r>
      <w:r w:rsidR="009063E4" w:rsidRPr="00325E5B">
        <w:rPr>
          <w:szCs w:val="20"/>
        </w:rPr>
        <w:t xml:space="preserve"> in 25 European countries</w:t>
      </w:r>
      <w:r w:rsidRPr="00325E5B">
        <w:rPr>
          <w:szCs w:val="20"/>
        </w:rPr>
        <w:t xml:space="preserve"> reported that </w:t>
      </w:r>
      <w:r w:rsidR="00E435B3" w:rsidRPr="00325E5B">
        <w:rPr>
          <w:szCs w:val="20"/>
        </w:rPr>
        <w:t xml:space="preserve">valvular intervention was </w:t>
      </w:r>
      <w:r w:rsidR="003A0FB7" w:rsidRPr="00325E5B">
        <w:rPr>
          <w:szCs w:val="20"/>
        </w:rPr>
        <w:t>indicated</w:t>
      </w:r>
      <w:r w:rsidR="00E435B3" w:rsidRPr="00325E5B">
        <w:rPr>
          <w:szCs w:val="20"/>
        </w:rPr>
        <w:t xml:space="preserve"> in </w:t>
      </w:r>
      <w:r w:rsidRPr="00325E5B">
        <w:rPr>
          <w:szCs w:val="20"/>
        </w:rPr>
        <w:t>4</w:t>
      </w:r>
      <w:r w:rsidR="00FD0392" w:rsidRPr="00325E5B">
        <w:rPr>
          <w:szCs w:val="20"/>
        </w:rPr>
        <w:t>8</w:t>
      </w:r>
      <w:r w:rsidR="002E7E8E" w:rsidRPr="00325E5B">
        <w:rPr>
          <w:szCs w:val="20"/>
        </w:rPr>
        <w:t>.7</w:t>
      </w:r>
      <w:r w:rsidRPr="00325E5B">
        <w:rPr>
          <w:szCs w:val="20"/>
        </w:rPr>
        <w:t xml:space="preserve">% of </w:t>
      </w:r>
      <w:r w:rsidR="00E435B3" w:rsidRPr="00325E5B">
        <w:rPr>
          <w:szCs w:val="20"/>
        </w:rPr>
        <w:t xml:space="preserve">the </w:t>
      </w:r>
      <w:r w:rsidRPr="00325E5B">
        <w:rPr>
          <w:szCs w:val="20"/>
        </w:rPr>
        <w:t>patients with severe symptomatic</w:t>
      </w:r>
      <w:r w:rsidR="003A0FB7" w:rsidRPr="00325E5B">
        <w:rPr>
          <w:szCs w:val="20"/>
        </w:rPr>
        <w:t xml:space="preserve"> MR</w:t>
      </w:r>
      <w:r w:rsidR="00C45A69" w:rsidRPr="00325E5B">
        <w:rPr>
          <w:szCs w:val="20"/>
        </w:rPr>
        <w:t xml:space="preserve"> (</w:t>
      </w:r>
      <w:r w:rsidR="0048516A" w:rsidRPr="00325E5B">
        <w:rPr>
          <w:szCs w:val="20"/>
        </w:rPr>
        <w:t>L</w:t>
      </w:r>
      <w:r w:rsidR="00C45A69" w:rsidRPr="00325E5B">
        <w:rPr>
          <w:szCs w:val="20"/>
        </w:rPr>
        <w:t>ung et al.</w:t>
      </w:r>
      <w:r w:rsidR="00D77827" w:rsidRPr="00325E5B">
        <w:rPr>
          <w:szCs w:val="20"/>
        </w:rPr>
        <w:t>, 2003)</w:t>
      </w:r>
      <w:r w:rsidRPr="00325E5B">
        <w:rPr>
          <w:szCs w:val="20"/>
        </w:rPr>
        <w:t xml:space="preserve">. </w:t>
      </w:r>
      <w:r w:rsidR="00DB0580" w:rsidRPr="00325E5B">
        <w:rPr>
          <w:szCs w:val="20"/>
        </w:rPr>
        <w:t>Severe symptomatic</w:t>
      </w:r>
      <w:r w:rsidRPr="00325E5B">
        <w:rPr>
          <w:szCs w:val="20"/>
        </w:rPr>
        <w:t xml:space="preserve"> patients presented with heart failure symptoms due to MR</w:t>
      </w:r>
      <w:r w:rsidR="00CC2AF4" w:rsidRPr="00325E5B">
        <w:rPr>
          <w:szCs w:val="20"/>
        </w:rPr>
        <w:t xml:space="preserve"> </w:t>
      </w:r>
      <w:r w:rsidRPr="00325E5B">
        <w:rPr>
          <w:szCs w:val="20"/>
        </w:rPr>
        <w:t>persist</w:t>
      </w:r>
      <w:r w:rsidR="00CC2AF4" w:rsidRPr="00325E5B">
        <w:rPr>
          <w:szCs w:val="20"/>
        </w:rPr>
        <w:t xml:space="preserve"> even after revascularization and optimization of medical therapy</w:t>
      </w:r>
      <w:r w:rsidR="007A1303" w:rsidRPr="00325E5B">
        <w:rPr>
          <w:szCs w:val="20"/>
        </w:rPr>
        <w:t>, and exhibit decreased exercise tolerance and exertional dyspnea</w:t>
      </w:r>
      <w:r w:rsidR="00143A8A" w:rsidRPr="00325E5B">
        <w:rPr>
          <w:szCs w:val="20"/>
        </w:rPr>
        <w:t xml:space="preserve"> (</w:t>
      </w:r>
      <w:r w:rsidR="003A0B4F" w:rsidRPr="00325E5B">
        <w:rPr>
          <w:szCs w:val="20"/>
        </w:rPr>
        <w:t xml:space="preserve">Nishimura et al, </w:t>
      </w:r>
      <w:r w:rsidR="0081481A" w:rsidRPr="00325E5B">
        <w:rPr>
          <w:szCs w:val="20"/>
        </w:rPr>
        <w:t>2017)</w:t>
      </w:r>
      <w:r w:rsidRPr="00325E5B">
        <w:rPr>
          <w:szCs w:val="20"/>
        </w:rPr>
        <w:t>.</w:t>
      </w:r>
    </w:p>
    <w:p w14:paraId="55899FCA" w14:textId="7C2A2B01" w:rsidR="00F0183A" w:rsidRPr="00325E5B" w:rsidRDefault="00412EF6" w:rsidP="00412EF6">
      <w:pPr>
        <w:ind w:left="426"/>
        <w:rPr>
          <w:szCs w:val="20"/>
        </w:rPr>
      </w:pPr>
      <w:r w:rsidRPr="00325E5B">
        <w:rPr>
          <w:szCs w:val="20"/>
        </w:rPr>
        <w:lastRenderedPageBreak/>
        <w:t>At a 10-year follow-up, 90% of patients with severe MR will have died or undergone surgical repair because of developing and progressing MR symptoms</w:t>
      </w:r>
      <w:r w:rsidR="0081481A" w:rsidRPr="00325E5B">
        <w:rPr>
          <w:szCs w:val="20"/>
        </w:rPr>
        <w:t xml:space="preserve"> (Ling et al., </w:t>
      </w:r>
      <w:r w:rsidR="001D0983" w:rsidRPr="00325E5B">
        <w:rPr>
          <w:szCs w:val="20"/>
        </w:rPr>
        <w:t>1997)</w:t>
      </w:r>
      <w:r w:rsidR="0048516A" w:rsidRPr="00325E5B">
        <w:rPr>
          <w:szCs w:val="20"/>
        </w:rPr>
        <w:t xml:space="preserve"> </w:t>
      </w:r>
      <w:r w:rsidR="001D0983" w:rsidRPr="00325E5B">
        <w:rPr>
          <w:szCs w:val="20"/>
        </w:rPr>
        <w:t>(Tri</w:t>
      </w:r>
      <w:r w:rsidR="00B641E0" w:rsidRPr="00325E5B">
        <w:rPr>
          <w:szCs w:val="20"/>
        </w:rPr>
        <w:t>bouilloy et</w:t>
      </w:r>
      <w:r w:rsidR="00142BE0" w:rsidRPr="00325E5B">
        <w:rPr>
          <w:szCs w:val="20"/>
        </w:rPr>
        <w:t xml:space="preserve"> al.,</w:t>
      </w:r>
      <w:r w:rsidR="006C0A72" w:rsidRPr="00325E5B">
        <w:rPr>
          <w:szCs w:val="20"/>
        </w:rPr>
        <w:t xml:space="preserve"> 2009)</w:t>
      </w:r>
      <w:r w:rsidRPr="00325E5B">
        <w:rPr>
          <w:szCs w:val="20"/>
        </w:rPr>
        <w:t xml:space="preserve">. Annual mortality rates in patients with moderate-to-severe MR who were medically managed due to their high surgical risk (New York Heart Association [NYHA] class III/IV)  have been found to range from 26.2% </w:t>
      </w:r>
      <w:r w:rsidR="00E03E5A" w:rsidRPr="00325E5B">
        <w:rPr>
          <w:szCs w:val="20"/>
        </w:rPr>
        <w:t>(Velaz</w:t>
      </w:r>
      <w:r w:rsidR="00187856" w:rsidRPr="00325E5B">
        <w:rPr>
          <w:szCs w:val="20"/>
        </w:rPr>
        <w:t>quez</w:t>
      </w:r>
      <w:r w:rsidRPr="00325E5B">
        <w:rPr>
          <w:szCs w:val="20"/>
        </w:rPr>
        <w:t xml:space="preserve"> </w:t>
      </w:r>
      <w:r w:rsidR="00896D85" w:rsidRPr="00325E5B">
        <w:rPr>
          <w:szCs w:val="20"/>
        </w:rPr>
        <w:t xml:space="preserve">et al., </w:t>
      </w:r>
      <w:r w:rsidR="00C31356" w:rsidRPr="00325E5B">
        <w:rPr>
          <w:szCs w:val="20"/>
        </w:rPr>
        <w:t>2015)</w:t>
      </w:r>
      <w:r w:rsidRPr="00325E5B">
        <w:rPr>
          <w:szCs w:val="20"/>
        </w:rPr>
        <w:t xml:space="preserve"> (in a sample in which most patients had secondary MR) to 34.0% (in a sample of patients with primary MR)</w:t>
      </w:r>
      <w:r w:rsidR="005B549A" w:rsidRPr="00325E5B">
        <w:rPr>
          <w:szCs w:val="20"/>
        </w:rPr>
        <w:t xml:space="preserve"> (El Sabbagh et al.,</w:t>
      </w:r>
      <w:r w:rsidR="003042F1" w:rsidRPr="00325E5B">
        <w:rPr>
          <w:szCs w:val="20"/>
        </w:rPr>
        <w:t>2018)</w:t>
      </w:r>
      <w:r w:rsidRPr="00325E5B">
        <w:rPr>
          <w:szCs w:val="20"/>
        </w:rPr>
        <w:t>.</w:t>
      </w:r>
    </w:p>
    <w:p w14:paraId="736D0677" w14:textId="212F6898" w:rsidR="003C600B" w:rsidRPr="00154B00" w:rsidRDefault="0008418B" w:rsidP="00412EF6">
      <w:pPr>
        <w:ind w:left="426"/>
        <w:rPr>
          <w:szCs w:val="20"/>
        </w:rPr>
      </w:pPr>
      <w:r w:rsidRPr="00325E5B">
        <w:rPr>
          <w:szCs w:val="20"/>
        </w:rPr>
        <w:t>Even in communities with well-equipped medical facilities and good access to treatment, the vast majority of patients with moderate-to-severe isolated MR are not referred for surgical treatment</w:t>
      </w:r>
      <w:r w:rsidR="003042F1" w:rsidRPr="00325E5B">
        <w:rPr>
          <w:szCs w:val="20"/>
        </w:rPr>
        <w:t xml:space="preserve"> (</w:t>
      </w:r>
      <w:r w:rsidR="00070084" w:rsidRPr="00325E5B">
        <w:rPr>
          <w:szCs w:val="20"/>
        </w:rPr>
        <w:t>Dzia</w:t>
      </w:r>
      <w:r w:rsidR="00A31F03" w:rsidRPr="00325E5B">
        <w:rPr>
          <w:szCs w:val="20"/>
        </w:rPr>
        <w:t xml:space="preserve">dzko et al., </w:t>
      </w:r>
      <w:r w:rsidR="001F7B5B" w:rsidRPr="00325E5B">
        <w:rPr>
          <w:szCs w:val="20"/>
        </w:rPr>
        <w:t>2018)</w:t>
      </w:r>
      <w:r w:rsidRPr="00325E5B">
        <w:rPr>
          <w:szCs w:val="20"/>
        </w:rPr>
        <w:t>. Given the high incidence of heart failure associated with MR, poor outcomes, and severe excess mortality across all subgroups (including patients with moderate MR), Dziadzko et al. (2018) strongly suggested that their data represented a “call for action” to expand MR treatment options in all subsets of patients.</w:t>
      </w:r>
    </w:p>
    <w:p w14:paraId="1BAC1386"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32BCF300" w14:textId="73AED854" w:rsidR="00F0183A" w:rsidRPr="00325E5B" w:rsidRDefault="00F0183A" w:rsidP="00053775">
      <w:pPr>
        <w:ind w:left="426"/>
        <w:rPr>
          <w:szCs w:val="20"/>
        </w:rPr>
      </w:pPr>
      <w:r w:rsidRPr="00325E5B">
        <w:t>The proposed population</w:t>
      </w:r>
      <w:r w:rsidR="00ED488B" w:rsidRPr="00325E5B">
        <w:t xml:space="preserve"> </w:t>
      </w:r>
      <w:r w:rsidR="00F028F5" w:rsidRPr="00325E5B">
        <w:t xml:space="preserve">is </w:t>
      </w:r>
      <w:r w:rsidR="00F028F5" w:rsidRPr="00325E5B">
        <w:rPr>
          <w:szCs w:val="20"/>
        </w:rPr>
        <w:t>p</w:t>
      </w:r>
      <w:r w:rsidRPr="00325E5B">
        <w:rPr>
          <w:szCs w:val="20"/>
        </w:rPr>
        <w:t>atients with moderate-severe or severe MR as determined by echocardiography and objective and</w:t>
      </w:r>
      <w:r w:rsidR="00F028F5" w:rsidRPr="00325E5B">
        <w:t xml:space="preserve"> </w:t>
      </w:r>
      <w:r w:rsidRPr="00325E5B">
        <w:rPr>
          <w:szCs w:val="20"/>
        </w:rPr>
        <w:t>subjective measures (i.e. MR grading of 3+ [moderate-severe] or 4+ [severe]), who are symptomatic</w:t>
      </w:r>
      <w:r w:rsidR="00F028F5" w:rsidRPr="00325E5B">
        <w:rPr>
          <w:szCs w:val="20"/>
        </w:rPr>
        <w:t xml:space="preserve"> </w:t>
      </w:r>
      <w:r w:rsidRPr="00325E5B">
        <w:rPr>
          <w:szCs w:val="20"/>
        </w:rPr>
        <w:t>(NYHA functional class II or greater).</w:t>
      </w:r>
      <w:r w:rsidR="00680F82" w:rsidRPr="00325E5B">
        <w:rPr>
          <w:szCs w:val="20"/>
        </w:rPr>
        <w:t xml:space="preserve"> Patient selection should be performed</w:t>
      </w:r>
      <w:r w:rsidRPr="00325E5B">
        <w:rPr>
          <w:szCs w:val="20"/>
        </w:rPr>
        <w:t xml:space="preserve"> by a multi-disciplinary heart team (MDHT) </w:t>
      </w:r>
      <w:r w:rsidR="00680F82" w:rsidRPr="00325E5B">
        <w:rPr>
          <w:szCs w:val="20"/>
        </w:rPr>
        <w:t>specializing in the treatment of mitral regurgitation to assess patient</w:t>
      </w:r>
      <w:r w:rsidRPr="00325E5B">
        <w:rPr>
          <w:szCs w:val="20"/>
        </w:rPr>
        <w:t xml:space="preserve"> risk </w:t>
      </w:r>
      <w:r w:rsidR="00680F82" w:rsidRPr="00325E5B">
        <w:rPr>
          <w:szCs w:val="20"/>
        </w:rPr>
        <w:t>and anatomical suitability</w:t>
      </w:r>
      <w:r w:rsidRPr="00325E5B">
        <w:rPr>
          <w:szCs w:val="20"/>
        </w:rPr>
        <w:t>.</w:t>
      </w:r>
    </w:p>
    <w:p w14:paraId="5D2884BC" w14:textId="4DD3805E" w:rsidR="00CB4F26" w:rsidRPr="00730091" w:rsidRDefault="00F0183A" w:rsidP="00053775">
      <w:pPr>
        <w:ind w:left="426"/>
      </w:pPr>
      <w:r w:rsidRPr="00730091">
        <w:rPr>
          <w:b/>
          <w:bCs/>
        </w:rPr>
        <w:t>Rationale</w:t>
      </w:r>
      <w:r w:rsidR="007C4810" w:rsidRPr="00730091">
        <w:rPr>
          <w:b/>
          <w:bCs/>
        </w:rPr>
        <w:t>:</w:t>
      </w:r>
      <w:r w:rsidR="00053775" w:rsidRPr="00730091">
        <w:br/>
      </w:r>
      <w:r w:rsidRPr="00730091">
        <w:t>The proposed population for MR is consistent with that in MSAC Application 1192.</w:t>
      </w:r>
      <w:r w:rsidR="00EA64E2" w:rsidRPr="00730091">
        <w:t>3</w:t>
      </w:r>
      <w:r w:rsidRPr="00730091">
        <w:t xml:space="preserve"> for DMR</w:t>
      </w:r>
      <w:r w:rsidR="00F538E2" w:rsidRPr="00730091">
        <w:t xml:space="preserve"> and FMR</w:t>
      </w:r>
      <w:r w:rsidRPr="00730091">
        <w:t xml:space="preserve">. </w:t>
      </w:r>
      <w:r w:rsidR="004F74B5" w:rsidRPr="00730091">
        <w:t>As ackno</w:t>
      </w:r>
      <w:r w:rsidR="002879B2" w:rsidRPr="00730091">
        <w:t>wledged in that application, “</w:t>
      </w:r>
      <w:r w:rsidRPr="00730091">
        <w:t>MSAC has</w:t>
      </w:r>
      <w:r w:rsidR="00053775" w:rsidRPr="00730091">
        <w:t xml:space="preserve"> </w:t>
      </w:r>
      <w:r w:rsidRPr="00730091">
        <w:t>recognised that “there is a clinical need in a small patient population identified as being eligible for the</w:t>
      </w:r>
      <w:r w:rsidR="00053775" w:rsidRPr="00730091">
        <w:t xml:space="preserve"> </w:t>
      </w:r>
      <w:r w:rsidRPr="00730091">
        <w:t>intervention” (MSAC Application 1192.2 public summary document [PSD])</w:t>
      </w:r>
      <w:r w:rsidR="002879B2" w:rsidRPr="00730091">
        <w:t>”</w:t>
      </w:r>
      <w:r w:rsidRPr="00730091">
        <w:t xml:space="preserve">. </w:t>
      </w:r>
    </w:p>
    <w:p w14:paraId="5220CB8C" w14:textId="6F18FF31" w:rsidR="005A69DC" w:rsidRPr="00730091" w:rsidRDefault="002879B2" w:rsidP="001F010E">
      <w:pPr>
        <w:ind w:left="426"/>
      </w:pPr>
      <w:r w:rsidRPr="00730091">
        <w:t xml:space="preserve">Australian </w:t>
      </w:r>
      <w:r w:rsidR="004776AE" w:rsidRPr="00730091">
        <w:t>c</w:t>
      </w:r>
      <w:r w:rsidR="00F0183A" w:rsidRPr="00730091">
        <w:t>linician feedback confirmed</w:t>
      </w:r>
      <w:r w:rsidR="00053775" w:rsidRPr="00730091">
        <w:t xml:space="preserve"> </w:t>
      </w:r>
      <w:r w:rsidR="00F0183A" w:rsidRPr="00730091">
        <w:t xml:space="preserve">that there is an unmet clinical need in </w:t>
      </w:r>
      <w:r w:rsidR="0083686E" w:rsidRPr="00730091">
        <w:t xml:space="preserve">mitral repair therapeutic options for </w:t>
      </w:r>
      <w:r w:rsidR="000F010E" w:rsidRPr="00730091">
        <w:t>the proposed MR population</w:t>
      </w:r>
      <w:r w:rsidR="00F0183A" w:rsidRPr="00730091">
        <w:t xml:space="preserve">, </w:t>
      </w:r>
      <w:r w:rsidR="00CA2AEB" w:rsidRPr="00730091">
        <w:t>which is</w:t>
      </w:r>
      <w:r w:rsidR="00F0183A" w:rsidRPr="00730091">
        <w:t xml:space="preserve"> consistent with the </w:t>
      </w:r>
      <w:r w:rsidR="00EB3458" w:rsidRPr="00730091">
        <w:t xml:space="preserve">treatment </w:t>
      </w:r>
      <w:r w:rsidR="00F0183A" w:rsidRPr="00730091">
        <w:t>population proposed</w:t>
      </w:r>
      <w:r w:rsidR="00BD78AB" w:rsidRPr="00730091">
        <w:t xml:space="preserve"> in MSAC Application </w:t>
      </w:r>
      <w:r w:rsidR="00263194" w:rsidRPr="00730091">
        <w:t xml:space="preserve">1192.3 and that of the CLASP </w:t>
      </w:r>
      <w:r w:rsidR="0003306F" w:rsidRPr="00730091">
        <w:t>(Edwards PASCAL Transcatheter Mitral Valve Repair System Study) trial</w:t>
      </w:r>
      <w:r w:rsidR="00F0183A" w:rsidRPr="00730091">
        <w:t xml:space="preserve">. </w:t>
      </w:r>
      <w:r w:rsidR="00CB4AC8" w:rsidRPr="00730091">
        <w:t>Australian c</w:t>
      </w:r>
      <w:r w:rsidR="00354359" w:rsidRPr="00730091">
        <w:t xml:space="preserve">linician feedback </w:t>
      </w:r>
      <w:r w:rsidR="00CB4AC8" w:rsidRPr="00730091">
        <w:t>also</w:t>
      </w:r>
      <w:r w:rsidR="00354359" w:rsidRPr="00730091">
        <w:t xml:space="preserve"> </w:t>
      </w:r>
      <w:r w:rsidR="00B13D4D" w:rsidRPr="00730091">
        <w:t>anticipates the</w:t>
      </w:r>
      <w:r w:rsidR="005A69DC" w:rsidRPr="00730091">
        <w:t xml:space="preserve"> consensus/position statement from the Australian Clinical society to provide a set of guidelines to be</w:t>
      </w:r>
      <w:r w:rsidR="001F010E" w:rsidRPr="00730091">
        <w:t xml:space="preserve"> </w:t>
      </w:r>
      <w:r w:rsidR="005A69DC" w:rsidRPr="00730091">
        <w:t>used by the MDHT in identifying patients.</w:t>
      </w:r>
    </w:p>
    <w:p w14:paraId="6734A2CD" w14:textId="45F08139" w:rsidR="00DD3069" w:rsidRPr="00730091" w:rsidRDefault="00DD3069" w:rsidP="007C4810">
      <w:pPr>
        <w:spacing w:after="0"/>
        <w:ind w:left="426"/>
        <w:rPr>
          <w:b/>
          <w:bCs/>
          <w:lang w:val="en-US"/>
        </w:rPr>
      </w:pPr>
      <w:r w:rsidRPr="00730091">
        <w:rPr>
          <w:b/>
          <w:bCs/>
          <w:lang w:val="en-US"/>
        </w:rPr>
        <w:t xml:space="preserve">Mitral </w:t>
      </w:r>
      <w:r w:rsidR="008B57F6" w:rsidRPr="00730091">
        <w:rPr>
          <w:b/>
          <w:bCs/>
          <w:lang w:val="en-US"/>
        </w:rPr>
        <w:t>Regurgitation Pathology</w:t>
      </w:r>
      <w:r w:rsidR="007C4810" w:rsidRPr="00730091">
        <w:rPr>
          <w:b/>
          <w:bCs/>
          <w:lang w:val="en-US"/>
        </w:rPr>
        <w:t>:</w:t>
      </w:r>
    </w:p>
    <w:p w14:paraId="22910F3D" w14:textId="7655D9C1" w:rsidR="00DD3069" w:rsidRPr="00730091" w:rsidRDefault="00DD3069" w:rsidP="00A1040A">
      <w:pPr>
        <w:ind w:left="426"/>
        <w:rPr>
          <w:lang w:val="en-US"/>
        </w:rPr>
      </w:pPr>
      <w:r w:rsidRPr="00730091">
        <w:rPr>
          <w:lang w:val="en-US"/>
        </w:rPr>
        <w:t>A patient will generally be referred by a general practitioner to a cardiologist if the presence of MR is</w:t>
      </w:r>
      <w:r w:rsidR="00A1040A" w:rsidRPr="00730091">
        <w:rPr>
          <w:lang w:val="en-US"/>
        </w:rPr>
        <w:t xml:space="preserve"> </w:t>
      </w:r>
      <w:r w:rsidRPr="00730091">
        <w:rPr>
          <w:lang w:val="en-US"/>
        </w:rPr>
        <w:t>suspected, who in turn refers the patient to either an interventional cardiologist or a cardiothoracic</w:t>
      </w:r>
      <w:r w:rsidR="00A1040A" w:rsidRPr="00730091">
        <w:rPr>
          <w:lang w:val="en-US"/>
        </w:rPr>
        <w:t xml:space="preserve"> </w:t>
      </w:r>
      <w:r w:rsidRPr="00730091">
        <w:rPr>
          <w:lang w:val="en-US"/>
        </w:rPr>
        <w:t>surgeon.</w:t>
      </w:r>
    </w:p>
    <w:p w14:paraId="77DA668B" w14:textId="1E0CBC93" w:rsidR="00DD3069" w:rsidRDefault="00DD3069" w:rsidP="009A25C4">
      <w:pPr>
        <w:ind w:left="426"/>
        <w:rPr>
          <w:lang w:val="en-US"/>
        </w:rPr>
      </w:pPr>
      <w:r w:rsidRPr="00730091">
        <w:rPr>
          <w:lang w:val="en-US"/>
        </w:rPr>
        <w:t>The first step after MR has been detected is to perform an assessment of the anatomy to determine the</w:t>
      </w:r>
      <w:r w:rsidR="009A25C4" w:rsidRPr="00730091">
        <w:rPr>
          <w:lang w:val="en-US"/>
        </w:rPr>
        <w:t xml:space="preserve"> </w:t>
      </w:r>
      <w:r w:rsidRPr="00730091">
        <w:rPr>
          <w:lang w:val="en-US"/>
        </w:rPr>
        <w:t>mechanism of regurgitation, FMR or DMR. In DMR there is leaflet abnormally whereas in FMR there is</w:t>
      </w:r>
      <w:r w:rsidR="009A25C4" w:rsidRPr="00730091">
        <w:rPr>
          <w:lang w:val="en-US"/>
        </w:rPr>
        <w:t xml:space="preserve"> </w:t>
      </w:r>
      <w:r w:rsidRPr="00730091">
        <w:rPr>
          <w:lang w:val="en-US"/>
        </w:rPr>
        <w:t xml:space="preserve">ventricular </w:t>
      </w:r>
      <w:r w:rsidR="00535A70" w:rsidRPr="00730091">
        <w:rPr>
          <w:lang w:val="en-US"/>
        </w:rPr>
        <w:t>remodeling</w:t>
      </w:r>
      <w:r w:rsidRPr="00730091">
        <w:rPr>
          <w:lang w:val="en-US"/>
        </w:rPr>
        <w:t xml:space="preserve"> (Figure 4, Table 2) (Zhogbi et al 2017).</w:t>
      </w:r>
    </w:p>
    <w:p w14:paraId="17D476AD" w14:textId="0339A233" w:rsidR="001113FF" w:rsidRPr="00E521F9" w:rsidRDefault="001113FF" w:rsidP="001113FF">
      <w:pPr>
        <w:rPr>
          <w:lang w:val="en-US"/>
        </w:rPr>
      </w:pPr>
      <w:r w:rsidRPr="00E521F9">
        <w:rPr>
          <w:lang w:val="en-US"/>
        </w:rPr>
        <w:t>Table</w:t>
      </w:r>
      <w:r w:rsidR="00F6670D" w:rsidRPr="00E521F9">
        <w:rPr>
          <w:lang w:val="en-US"/>
        </w:rPr>
        <w:t xml:space="preserve"> 2</w:t>
      </w:r>
      <w:r w:rsidRPr="00E521F9">
        <w:rPr>
          <w:lang w:val="en-US"/>
        </w:rPr>
        <w:t>. Etiology of Primary and Secondary MR</w:t>
      </w:r>
      <w:r w:rsidR="00CC4680">
        <w:rPr>
          <w:lang w:val="en-US"/>
        </w:rPr>
        <w:t xml:space="preserve"> </w:t>
      </w:r>
      <w:r w:rsidR="00CC4680">
        <w:t>(contents of table described below)</w:t>
      </w:r>
    </w:p>
    <w:p w14:paraId="7A8E34CA" w14:textId="682BD630" w:rsidR="00EE60FE" w:rsidRPr="00EE60FE" w:rsidRDefault="00EE60FE" w:rsidP="00EE60FE">
      <w:pPr>
        <w:spacing w:before="0" w:after="0"/>
        <w:ind w:left="426"/>
        <w:rPr>
          <w:sz w:val="18"/>
          <w:szCs w:val="20"/>
        </w:rPr>
      </w:pPr>
      <w:r w:rsidRPr="00EE60FE">
        <w:rPr>
          <w:szCs w:val="20"/>
        </w:rPr>
        <w:t xml:space="preserve">The information presented in </w:t>
      </w:r>
      <w:r w:rsidRPr="00EE60FE">
        <w:rPr>
          <w:b/>
          <w:bCs/>
          <w:szCs w:val="20"/>
        </w:rPr>
        <w:t>Table 2</w:t>
      </w:r>
      <w:r w:rsidRPr="00EE60FE">
        <w:rPr>
          <w:szCs w:val="20"/>
        </w:rPr>
        <w:t xml:space="preserve"> is reproduced from Table 5 ‘ Etiology of primary and secondary MR’ from </w:t>
      </w:r>
      <w:hyperlink r:id="rId17" w:history="1">
        <w:r w:rsidRPr="00EE60FE">
          <w:rPr>
            <w:rStyle w:val="Hyperlink"/>
            <w:szCs w:val="20"/>
            <w:lang w:val="en-US"/>
          </w:rPr>
          <w:t>(Zoghbi et al. (2017))</w:t>
        </w:r>
      </w:hyperlink>
      <w:r w:rsidRPr="00EE60FE">
        <w:rPr>
          <w:szCs w:val="20"/>
          <w:lang w:val="en-US"/>
        </w:rPr>
        <w:t xml:space="preserve"> Zoghbi W.A., Adams D., Bonow R.O. Recommendations for noninvasive evaluation of native valvular regurgitation: a report from the American Society of Echocardiography developed in collaboration with the Society for Cardiovascular Magnetic Resonance. J Am Soc Echocardiogr. 2017;30:303–371.</w:t>
      </w:r>
    </w:p>
    <w:p w14:paraId="2ADC8048" w14:textId="3C8C2624" w:rsidR="0072677A" w:rsidRPr="00D21214" w:rsidRDefault="0072677A" w:rsidP="0072677A">
      <w:pPr>
        <w:rPr>
          <w:highlight w:val="green"/>
          <w:lang w:val="en-US"/>
        </w:rPr>
      </w:pPr>
    </w:p>
    <w:p w14:paraId="189F91D7" w14:textId="17E6A001" w:rsidR="00336651" w:rsidRPr="00730091" w:rsidRDefault="00336651" w:rsidP="00322A8A">
      <w:pPr>
        <w:ind w:left="426"/>
        <w:rPr>
          <w:lang w:val="en-US"/>
        </w:rPr>
      </w:pPr>
      <w:r w:rsidRPr="00730091">
        <w:rPr>
          <w:lang w:val="en-US"/>
        </w:rPr>
        <w:t>Doppler echocardiography (transthoracic echocardiography [TTE]) is the primary imaging used to determine the severity for MR. However, no single Doppler and echocardiographic parameter is sufficiently precise for MR to be quantified in an individual patient</w:t>
      </w:r>
      <w:r w:rsidR="005437CE" w:rsidRPr="00730091">
        <w:rPr>
          <w:lang w:val="en-US"/>
        </w:rPr>
        <w:t xml:space="preserve"> (Zoghbi et al</w:t>
      </w:r>
      <w:r w:rsidR="00507B4B" w:rsidRPr="00730091">
        <w:rPr>
          <w:lang w:val="en-US"/>
        </w:rPr>
        <w:t>., 20</w:t>
      </w:r>
      <w:r w:rsidR="00AE64DF" w:rsidRPr="00730091">
        <w:rPr>
          <w:lang w:val="en-US"/>
        </w:rPr>
        <w:t>17)</w:t>
      </w:r>
      <w:r w:rsidRPr="00730091">
        <w:rPr>
          <w:lang w:val="en-US"/>
        </w:rPr>
        <w:t>. An integrated approach to determining the severity of MR is suggested by the American Society of Echocardiography (ASE).</w:t>
      </w:r>
    </w:p>
    <w:p w14:paraId="209BA80C" w14:textId="6BEA848C" w:rsidR="00E179CF" w:rsidRPr="00E521F9" w:rsidRDefault="00E179CF" w:rsidP="00037AEE">
      <w:pPr>
        <w:rPr>
          <w:lang w:val="en-US"/>
        </w:rPr>
      </w:pPr>
      <w:r w:rsidRPr="00E521F9">
        <w:rPr>
          <w:lang w:val="en-US"/>
        </w:rPr>
        <w:lastRenderedPageBreak/>
        <w:t xml:space="preserve">Table </w:t>
      </w:r>
      <w:r w:rsidR="00463E70" w:rsidRPr="00E521F9">
        <w:rPr>
          <w:lang w:val="en-US"/>
        </w:rPr>
        <w:t>3</w:t>
      </w:r>
      <w:r w:rsidRPr="00E521F9">
        <w:rPr>
          <w:lang w:val="en-US"/>
        </w:rPr>
        <w:t>. Grading of the severity of chronic MR by echocardiography (ASE)</w:t>
      </w:r>
      <w:r w:rsidR="00CC4680">
        <w:rPr>
          <w:lang w:val="en-US"/>
        </w:rPr>
        <w:t xml:space="preserve"> </w:t>
      </w:r>
      <w:r w:rsidR="00CC4680">
        <w:t>(contents of table described below)</w:t>
      </w:r>
    </w:p>
    <w:p w14:paraId="1375A508" w14:textId="752EC748" w:rsidR="0065235E" w:rsidRDefault="00EE60FE" w:rsidP="008F390B">
      <w:pPr>
        <w:spacing w:before="0" w:after="0"/>
        <w:ind w:left="426"/>
        <w:rPr>
          <w:sz w:val="18"/>
          <w:szCs w:val="20"/>
        </w:rPr>
      </w:pPr>
      <w:r w:rsidRPr="00EE60FE">
        <w:rPr>
          <w:szCs w:val="20"/>
        </w:rPr>
        <w:t xml:space="preserve">The information presented in </w:t>
      </w:r>
      <w:r w:rsidRPr="00EE60FE">
        <w:rPr>
          <w:b/>
          <w:bCs/>
          <w:szCs w:val="20"/>
        </w:rPr>
        <w:t>Table 3</w:t>
      </w:r>
      <w:r w:rsidRPr="00EE60FE">
        <w:rPr>
          <w:szCs w:val="20"/>
        </w:rPr>
        <w:t xml:space="preserve"> is reproduced from Table 8 ‘Grading the severity of chronic MR by echocardiography’ from </w:t>
      </w:r>
      <w:hyperlink r:id="rId18" w:history="1">
        <w:r w:rsidRPr="00EE60FE">
          <w:rPr>
            <w:rStyle w:val="Hyperlink"/>
            <w:szCs w:val="20"/>
          </w:rPr>
          <w:t>(Zoghbi et al. (2017))</w:t>
        </w:r>
      </w:hyperlink>
      <w:r w:rsidRPr="00EE60FE">
        <w:rPr>
          <w:szCs w:val="20"/>
        </w:rPr>
        <w:t xml:space="preserve"> Zoghbi W.A., Adams D., Bonow R.O. Recommendations for noninvasive evaluation of native valvular regurgitation: a report from the American Society of Echocardiography developed in collaboration with the Society for Cardiovascular Magnetic Resonance. J Am Soc Echocardiogr. 2017;30:303–371.</w:t>
      </w:r>
    </w:p>
    <w:p w14:paraId="1EA01549" w14:textId="77777777" w:rsidR="008F390B" w:rsidRPr="008F390B" w:rsidRDefault="008F390B" w:rsidP="008F390B">
      <w:pPr>
        <w:spacing w:before="0" w:after="0"/>
        <w:ind w:left="426"/>
        <w:rPr>
          <w:sz w:val="18"/>
          <w:szCs w:val="20"/>
        </w:rPr>
      </w:pPr>
    </w:p>
    <w:p w14:paraId="3E2BE264" w14:textId="4FD7E0B4" w:rsidR="00357F0F" w:rsidRPr="00730091" w:rsidRDefault="00357F0F" w:rsidP="009D0BC2">
      <w:pPr>
        <w:ind w:left="426"/>
        <w:rPr>
          <w:lang w:val="en-US"/>
        </w:rPr>
      </w:pPr>
      <w:r w:rsidRPr="00730091">
        <w:rPr>
          <w:lang w:val="en-US"/>
        </w:rPr>
        <w:t>As shown in</w:t>
      </w:r>
      <w:r w:rsidR="00E179CF" w:rsidRPr="00730091">
        <w:rPr>
          <w:lang w:val="en-US"/>
        </w:rPr>
        <w:t xml:space="preserve"> Table</w:t>
      </w:r>
      <w:r w:rsidR="00037D7E" w:rsidRPr="00730091">
        <w:rPr>
          <w:lang w:val="en-US"/>
        </w:rPr>
        <w:t xml:space="preserve"> 4</w:t>
      </w:r>
      <w:r w:rsidRPr="00730091">
        <w:rPr>
          <w:lang w:val="en-US"/>
        </w:rPr>
        <w:t>, there is substantial overlap between the ESC/EACTS and AHA/ACC guidelines regarding recommendations for intervention in patients with primary MR.</w:t>
      </w:r>
    </w:p>
    <w:p w14:paraId="0C9A799A" w14:textId="5CCBE425" w:rsidR="00BE6E62" w:rsidRPr="00E521F9" w:rsidRDefault="00BE6E62" w:rsidP="00357F0F">
      <w:pPr>
        <w:rPr>
          <w:lang w:val="en-US"/>
        </w:rPr>
      </w:pPr>
      <w:r w:rsidRPr="00E521F9">
        <w:rPr>
          <w:lang w:val="en-US"/>
        </w:rPr>
        <w:t xml:space="preserve">Table </w:t>
      </w:r>
      <w:r w:rsidR="00037AEE" w:rsidRPr="00E521F9">
        <w:rPr>
          <w:lang w:val="en-US"/>
        </w:rPr>
        <w:t>4</w:t>
      </w:r>
      <w:r w:rsidRPr="00E521F9">
        <w:rPr>
          <w:lang w:val="en-US"/>
        </w:rPr>
        <w:t xml:space="preserve">. Overview of </w:t>
      </w:r>
      <w:r w:rsidR="008120D2" w:rsidRPr="00E521F9">
        <w:rPr>
          <w:lang w:val="en-US"/>
        </w:rPr>
        <w:t>R</w:t>
      </w:r>
      <w:r w:rsidRPr="00E521F9">
        <w:rPr>
          <w:lang w:val="en-US"/>
        </w:rPr>
        <w:t>ecommendations for Intervention in Patients with Primary MR, by Guideline</w:t>
      </w:r>
      <w:r w:rsidR="00CC4680">
        <w:rPr>
          <w:lang w:val="en-US"/>
        </w:rPr>
        <w:t xml:space="preserve"> </w:t>
      </w:r>
      <w:r w:rsidR="00CC4680">
        <w:t>(contents of table described below)</w:t>
      </w:r>
    </w:p>
    <w:p w14:paraId="0855495F" w14:textId="3FDE3412" w:rsidR="00EE60FE" w:rsidRPr="00EE60FE" w:rsidRDefault="00EE60FE" w:rsidP="00EE60FE">
      <w:pPr>
        <w:pStyle w:val="ListParagraph"/>
        <w:spacing w:before="0" w:after="0"/>
        <w:contextualSpacing w:val="0"/>
        <w:rPr>
          <w:sz w:val="18"/>
          <w:szCs w:val="20"/>
        </w:rPr>
      </w:pPr>
      <w:r w:rsidRPr="00EE60FE">
        <w:rPr>
          <w:szCs w:val="20"/>
        </w:rPr>
        <w:t xml:space="preserve">The information presented in </w:t>
      </w:r>
      <w:r w:rsidRPr="00EE60FE">
        <w:rPr>
          <w:b/>
          <w:bCs/>
          <w:szCs w:val="20"/>
        </w:rPr>
        <w:t>Table 4</w:t>
      </w:r>
      <w:r w:rsidRPr="00EE60FE">
        <w:rPr>
          <w:szCs w:val="20"/>
        </w:rPr>
        <w:t xml:space="preserve"> outlines recommendations for intervention in patients with Primary MR from the ESC/EACTS and AHA/ACC guidelines. Recommendations from the ESC/EACTS Guidelines are reproduced from Section 6.1.2 in </w:t>
      </w:r>
      <w:hyperlink r:id="rId19" w:history="1">
        <w:r w:rsidRPr="00EE60FE">
          <w:rPr>
            <w:rStyle w:val="Hyperlink"/>
            <w:szCs w:val="20"/>
          </w:rPr>
          <w:t>(Baumgartner et al. (2017))</w:t>
        </w:r>
      </w:hyperlink>
      <w:r w:rsidRPr="00EE60FE">
        <w:rPr>
          <w:szCs w:val="20"/>
        </w:rPr>
        <w:t xml:space="preserve">, p. 2760  ‘Indications for Intervention’. Recommendations from the AHA/ACC Guidelines are reproduced from </w:t>
      </w:r>
      <w:hyperlink r:id="rId20" w:history="1">
        <w:r w:rsidRPr="00EE60FE">
          <w:rPr>
            <w:rStyle w:val="Hyperlink"/>
            <w:szCs w:val="20"/>
            <w:lang w:val="en-US"/>
          </w:rPr>
          <w:t>(Nishimural et al. (2017))</w:t>
        </w:r>
      </w:hyperlink>
      <w:r w:rsidRPr="00EE60FE">
        <w:rPr>
          <w:szCs w:val="20"/>
        </w:rPr>
        <w:t xml:space="preserve">  Section 7.3.3 and </w:t>
      </w:r>
      <w:hyperlink r:id="rId21" w:history="1">
        <w:r w:rsidRPr="00EE60FE">
          <w:rPr>
            <w:rStyle w:val="Hyperlink"/>
            <w:szCs w:val="20"/>
          </w:rPr>
          <w:t>Nishimura et al. (2014),</w:t>
        </w:r>
      </w:hyperlink>
      <w:r w:rsidRPr="00EE60FE">
        <w:rPr>
          <w:szCs w:val="20"/>
        </w:rPr>
        <w:t xml:space="preserve">  Table 17, Section 7.3.3. </w:t>
      </w:r>
    </w:p>
    <w:p w14:paraId="4AEC7CDB" w14:textId="77777777" w:rsidR="00EE60FE" w:rsidRPr="00EE60FE" w:rsidRDefault="006264EF" w:rsidP="00EE60FE">
      <w:pPr>
        <w:pStyle w:val="ListParagraph"/>
        <w:numPr>
          <w:ilvl w:val="0"/>
          <w:numId w:val="50"/>
        </w:numPr>
        <w:spacing w:before="0" w:after="0"/>
        <w:contextualSpacing w:val="0"/>
        <w:rPr>
          <w:sz w:val="18"/>
          <w:szCs w:val="20"/>
        </w:rPr>
      </w:pPr>
      <w:hyperlink r:id="rId22" w:history="1">
        <w:r w:rsidR="00EE60FE" w:rsidRPr="00EE60FE">
          <w:rPr>
            <w:rStyle w:val="Hyperlink"/>
            <w:szCs w:val="20"/>
            <w:lang w:val="en-US"/>
          </w:rPr>
          <w:t>(Baumgartner et al. (2017))</w:t>
        </w:r>
      </w:hyperlink>
      <w:r w:rsidR="00EE60FE" w:rsidRPr="00EE60FE">
        <w:rPr>
          <w:szCs w:val="20"/>
          <w:lang w:val="en-US"/>
        </w:rPr>
        <w:t xml:space="preserve"> Baumgartner H, Falk V, Bax JJ, De Bonis M, Hamm C, Holm PJ, et al. 2017 ESC/EACTS guidelines for the management of valvular heart disease. Eur Heart J. 2017 Sep;38(36):2739-91.</w:t>
      </w:r>
    </w:p>
    <w:p w14:paraId="6D7EB200" w14:textId="77777777" w:rsidR="00EE60FE" w:rsidRPr="00EE60FE" w:rsidRDefault="006264EF" w:rsidP="00EE60FE">
      <w:pPr>
        <w:pStyle w:val="ListParagraph"/>
        <w:numPr>
          <w:ilvl w:val="0"/>
          <w:numId w:val="50"/>
        </w:numPr>
        <w:spacing w:before="0" w:after="0"/>
        <w:contextualSpacing w:val="0"/>
        <w:rPr>
          <w:sz w:val="18"/>
          <w:szCs w:val="20"/>
        </w:rPr>
      </w:pPr>
      <w:hyperlink r:id="rId23" w:history="1">
        <w:r w:rsidR="00EE60FE" w:rsidRPr="00EE60FE">
          <w:rPr>
            <w:rStyle w:val="Hyperlink"/>
            <w:szCs w:val="20"/>
            <w:lang w:val="en-US"/>
          </w:rPr>
          <w:t>(Nishimural et al. (2017))</w:t>
        </w:r>
      </w:hyperlink>
      <w:r w:rsidR="00EE60FE" w:rsidRPr="00EE60FE">
        <w:rPr>
          <w:szCs w:val="20"/>
          <w:lang w:val="en-US"/>
        </w:rPr>
        <w:t xml:space="preserve"> Nishimura RA, Otto CM, Bonow RO, Carabello BA, Erwin JP, 3rd, Guyton RA, et al.2017 AHA/ACC Focused Update of the 2014 AHA/ACC Guideline for the Management of Patients With Valvular Heart Disease: A Report of the American College of Cardiology/American Heart Association Task Force on Clinical Practice Guidelines.Circ.2017;135:e1159-e1195.</w:t>
      </w:r>
    </w:p>
    <w:p w14:paraId="307F9F0A" w14:textId="77777777" w:rsidR="00EE60FE" w:rsidRPr="00EE60FE" w:rsidRDefault="006264EF" w:rsidP="00EE60FE">
      <w:pPr>
        <w:pStyle w:val="ListParagraph"/>
        <w:numPr>
          <w:ilvl w:val="0"/>
          <w:numId w:val="50"/>
        </w:numPr>
        <w:spacing w:before="0" w:after="0"/>
        <w:contextualSpacing w:val="0"/>
        <w:rPr>
          <w:sz w:val="18"/>
          <w:szCs w:val="20"/>
        </w:rPr>
      </w:pPr>
      <w:hyperlink r:id="rId24" w:history="1">
        <w:r w:rsidR="00EE60FE" w:rsidRPr="00EE60FE">
          <w:rPr>
            <w:rStyle w:val="Hyperlink"/>
            <w:szCs w:val="20"/>
            <w:lang w:val="en-US"/>
          </w:rPr>
          <w:t>(Nishimura et al. (2014))</w:t>
        </w:r>
      </w:hyperlink>
      <w:r w:rsidR="00EE60FE" w:rsidRPr="00EE60FE">
        <w:rPr>
          <w:szCs w:val="20"/>
          <w:lang w:val="en-US"/>
        </w:rPr>
        <w:t xml:space="preserve"> Nishimura RA, Otto CM, Bonow RO, Carabello BA, Erwin JP, 3rd, Guyton RA, et al. 2014 AHA/ACC guideline for the management of patients with valvular heart disease: a report of the American College of Cardiology/American Heart Association Task Force on Practice Guidelines. J Thorac Cardiovasc Surg. 2014 Jul;148(1):e1-e132.</w:t>
      </w:r>
    </w:p>
    <w:p w14:paraId="12851AE1" w14:textId="77777777" w:rsidR="007B05AF" w:rsidRPr="00D21214" w:rsidRDefault="007B05AF" w:rsidP="00213A37">
      <w:pPr>
        <w:rPr>
          <w:highlight w:val="green"/>
          <w:lang w:val="en-US"/>
        </w:rPr>
      </w:pPr>
    </w:p>
    <w:p w14:paraId="67D3DD1E" w14:textId="35D333CC" w:rsidR="00213A37" w:rsidRPr="00730091" w:rsidRDefault="00213A37" w:rsidP="00535A70">
      <w:pPr>
        <w:ind w:left="360"/>
        <w:rPr>
          <w:lang w:val="en-US"/>
        </w:rPr>
      </w:pPr>
      <w:r w:rsidRPr="00730091">
        <w:rPr>
          <w:lang w:val="en-US"/>
        </w:rPr>
        <w:t xml:space="preserve">As shown in Table </w:t>
      </w:r>
      <w:r w:rsidR="00097D1A" w:rsidRPr="00730091">
        <w:rPr>
          <w:lang w:val="en-US"/>
        </w:rPr>
        <w:t>5</w:t>
      </w:r>
      <w:r w:rsidRPr="00730091">
        <w:rPr>
          <w:lang w:val="en-US"/>
        </w:rPr>
        <w:t xml:space="preserve">, there is some overlap between the ESC/EACTS and AHA/ACC guidelines regarding recommendations for intervention in patients with secondary MR and minimal overlap of these recommendations with the AATS guidelines. </w:t>
      </w:r>
    </w:p>
    <w:p w14:paraId="6754D245" w14:textId="2F58C0D9" w:rsidR="00D830E8" w:rsidRPr="00E521F9" w:rsidRDefault="00BE6E62" w:rsidP="007B05AF">
      <w:pPr>
        <w:rPr>
          <w:lang w:val="en-US"/>
        </w:rPr>
      </w:pPr>
      <w:r w:rsidRPr="00E521F9">
        <w:rPr>
          <w:lang w:val="en-US"/>
        </w:rPr>
        <w:t xml:space="preserve">Table </w:t>
      </w:r>
      <w:r w:rsidR="00E57150" w:rsidRPr="00E521F9">
        <w:rPr>
          <w:lang w:val="en-US"/>
        </w:rPr>
        <w:t>5</w:t>
      </w:r>
      <w:r w:rsidRPr="00E521F9">
        <w:rPr>
          <w:lang w:val="en-US"/>
        </w:rPr>
        <w:t>. Overview of Recommendations for Intervention in Patients with Secondary MR</w:t>
      </w:r>
      <w:r w:rsidR="00CC4680">
        <w:rPr>
          <w:lang w:val="en-US"/>
        </w:rPr>
        <w:t xml:space="preserve"> </w:t>
      </w:r>
      <w:r w:rsidR="00CC4680">
        <w:t>(contents of table described below)</w:t>
      </w:r>
    </w:p>
    <w:p w14:paraId="31905EE4" w14:textId="725BAB3A" w:rsidR="00EE60FE" w:rsidRDefault="00EE60FE" w:rsidP="00EE60FE">
      <w:pPr>
        <w:spacing w:before="0" w:after="0"/>
        <w:ind w:left="720"/>
        <w:rPr>
          <w:szCs w:val="20"/>
        </w:rPr>
      </w:pPr>
      <w:r w:rsidRPr="00EE60FE">
        <w:rPr>
          <w:szCs w:val="20"/>
        </w:rPr>
        <w:t xml:space="preserve">The information presented in </w:t>
      </w:r>
      <w:r w:rsidRPr="00EE60FE">
        <w:rPr>
          <w:b/>
          <w:bCs/>
          <w:szCs w:val="20"/>
        </w:rPr>
        <w:t>Table 5</w:t>
      </w:r>
      <w:r w:rsidRPr="00EE60FE">
        <w:rPr>
          <w:szCs w:val="20"/>
        </w:rPr>
        <w:t xml:space="preserve"> outlines recommendations for intervention in patients with Secondary MR from the ESC/EACTS, AHA/ACC, and AATS guidelines. Recommendations from the ESC/EACTS Guidelines are reproduced from Section 6.2.2 in </w:t>
      </w:r>
      <w:hyperlink r:id="rId25" w:history="1">
        <w:r w:rsidRPr="00EE60FE">
          <w:rPr>
            <w:rStyle w:val="Hyperlink"/>
            <w:szCs w:val="20"/>
          </w:rPr>
          <w:t>(Baumgartner et al. (2017))</w:t>
        </w:r>
      </w:hyperlink>
      <w:r w:rsidRPr="00EE60FE">
        <w:rPr>
          <w:szCs w:val="20"/>
        </w:rPr>
        <w:t xml:space="preserve">, p. 2761  ‘Indications for Intervention’ . Recommendations from the AHA/ACC Guidelines are reproduced from </w:t>
      </w:r>
      <w:hyperlink r:id="rId26" w:history="1">
        <w:r w:rsidRPr="00EE60FE">
          <w:rPr>
            <w:rStyle w:val="Hyperlink"/>
            <w:szCs w:val="20"/>
            <w:lang w:val="en-US"/>
          </w:rPr>
          <w:t>(Nishimura et al. (2017))</w:t>
        </w:r>
      </w:hyperlink>
      <w:r w:rsidRPr="00EE60FE">
        <w:rPr>
          <w:szCs w:val="20"/>
        </w:rPr>
        <w:t xml:space="preserve"> Section 7.4.3 and </w:t>
      </w:r>
      <w:hyperlink r:id="rId27" w:history="1">
        <w:r w:rsidRPr="00EE60FE">
          <w:rPr>
            <w:rStyle w:val="Hyperlink"/>
            <w:szCs w:val="20"/>
          </w:rPr>
          <w:t>Nishimura et al. (2014),</w:t>
        </w:r>
      </w:hyperlink>
      <w:r w:rsidRPr="00EE60FE">
        <w:rPr>
          <w:szCs w:val="20"/>
        </w:rPr>
        <w:t xml:space="preserve">  Table 18, Section 7.4.3. Recommendations from the AATS are reproduced from </w:t>
      </w:r>
      <w:hyperlink r:id="rId28" w:history="1">
        <w:r w:rsidRPr="00EE60FE">
          <w:rPr>
            <w:rStyle w:val="Hyperlink"/>
            <w:szCs w:val="20"/>
            <w:lang w:val="en-US"/>
          </w:rPr>
          <w:t>(Kron et al. (2017))</w:t>
        </w:r>
      </w:hyperlink>
      <w:r w:rsidRPr="00EE60FE">
        <w:rPr>
          <w:szCs w:val="20"/>
          <w:lang w:val="en-US"/>
        </w:rPr>
        <w:t xml:space="preserve"> </w:t>
      </w:r>
      <w:r w:rsidRPr="00EE60FE">
        <w:rPr>
          <w:szCs w:val="20"/>
        </w:rPr>
        <w:t>Sections IV-VI.</w:t>
      </w:r>
    </w:p>
    <w:p w14:paraId="41C4BAB2" w14:textId="77777777" w:rsidR="00EE60FE" w:rsidRPr="00EE60FE" w:rsidRDefault="00EE60FE" w:rsidP="00EE60FE">
      <w:pPr>
        <w:spacing w:before="0" w:after="0"/>
        <w:ind w:left="720"/>
        <w:rPr>
          <w:sz w:val="18"/>
          <w:szCs w:val="20"/>
        </w:rPr>
      </w:pPr>
    </w:p>
    <w:p w14:paraId="0A95170A" w14:textId="77777777" w:rsidR="00EE60FE" w:rsidRPr="00EE60FE" w:rsidRDefault="006264EF" w:rsidP="00EE60FE">
      <w:pPr>
        <w:pStyle w:val="ListParagraph"/>
        <w:numPr>
          <w:ilvl w:val="0"/>
          <w:numId w:val="50"/>
        </w:numPr>
        <w:spacing w:before="0" w:after="0"/>
        <w:contextualSpacing w:val="0"/>
        <w:rPr>
          <w:sz w:val="18"/>
          <w:szCs w:val="20"/>
        </w:rPr>
      </w:pPr>
      <w:hyperlink r:id="rId29" w:history="1">
        <w:r w:rsidR="00EE60FE" w:rsidRPr="00EE60FE">
          <w:rPr>
            <w:rStyle w:val="Hyperlink"/>
            <w:szCs w:val="20"/>
            <w:lang w:val="en-US"/>
          </w:rPr>
          <w:t>(Baumgartner et al. (2017))</w:t>
        </w:r>
      </w:hyperlink>
      <w:r w:rsidR="00EE60FE" w:rsidRPr="00EE60FE">
        <w:rPr>
          <w:szCs w:val="20"/>
          <w:lang w:val="en-US"/>
        </w:rPr>
        <w:t xml:space="preserve"> Baumgartner H, Falk V, Bax JJ, De Bonis M, Hamm C, Holm PJ, et al. 2017 ESC/EACTS guidelines for the management of valvular heart disease. Eur Heart J. 2017 Sep;38(36):2739-91.</w:t>
      </w:r>
    </w:p>
    <w:p w14:paraId="14A195AE" w14:textId="77777777" w:rsidR="00EE60FE" w:rsidRPr="00EE60FE" w:rsidRDefault="006264EF" w:rsidP="00EE60FE">
      <w:pPr>
        <w:pStyle w:val="ListParagraph"/>
        <w:numPr>
          <w:ilvl w:val="0"/>
          <w:numId w:val="50"/>
        </w:numPr>
        <w:spacing w:before="0" w:after="0"/>
        <w:contextualSpacing w:val="0"/>
        <w:rPr>
          <w:sz w:val="18"/>
          <w:szCs w:val="20"/>
        </w:rPr>
      </w:pPr>
      <w:hyperlink r:id="rId30" w:history="1">
        <w:r w:rsidR="00EE60FE" w:rsidRPr="00EE60FE">
          <w:rPr>
            <w:rStyle w:val="Hyperlink"/>
            <w:szCs w:val="20"/>
            <w:lang w:val="en-US"/>
          </w:rPr>
          <w:t>(Nishimura et al. (2014))</w:t>
        </w:r>
      </w:hyperlink>
      <w:r w:rsidR="00EE60FE" w:rsidRPr="00EE60FE">
        <w:rPr>
          <w:szCs w:val="20"/>
          <w:lang w:val="en-US"/>
        </w:rPr>
        <w:t xml:space="preserve"> Nishimura RA, Otto CM, Bonow RO, Carabello BA, Erwin JP, 3rd, Guyton RA, et al. 2014 AHA/ACC guideline for the management of patients with valvular heart disease: a report of the American College of Cardiology/American Heart Association Task Force on Practice Guidelines. J Thorac Cardiovasc Surg. 2014 Jul;148(1):e1-e132.</w:t>
      </w:r>
    </w:p>
    <w:p w14:paraId="15F7ECC9" w14:textId="77777777" w:rsidR="00EE60FE" w:rsidRPr="00EE60FE" w:rsidRDefault="006264EF" w:rsidP="00EE60FE">
      <w:pPr>
        <w:pStyle w:val="ListParagraph"/>
        <w:numPr>
          <w:ilvl w:val="0"/>
          <w:numId w:val="50"/>
        </w:numPr>
        <w:spacing w:before="0" w:after="0"/>
        <w:contextualSpacing w:val="0"/>
        <w:rPr>
          <w:sz w:val="18"/>
          <w:szCs w:val="20"/>
        </w:rPr>
      </w:pPr>
      <w:hyperlink r:id="rId31" w:history="1">
        <w:r w:rsidR="00EE60FE" w:rsidRPr="00EE60FE">
          <w:rPr>
            <w:rStyle w:val="Hyperlink"/>
            <w:szCs w:val="20"/>
            <w:lang w:val="en-US"/>
          </w:rPr>
          <w:t>(Nishimura et al. (2017))</w:t>
        </w:r>
      </w:hyperlink>
      <w:r w:rsidR="00EE60FE" w:rsidRPr="00EE60FE">
        <w:rPr>
          <w:szCs w:val="20"/>
          <w:lang w:val="en-US"/>
        </w:rPr>
        <w:t xml:space="preserve"> Nishimura RA, Otto CM, Bonow RO, Carabello BA, Erwin JP, 3rd, Guyton RA, et al.2017 AHA/ACC Focused Update of the 2014 AHA/ACC Guideline for the Management of Patients With Valvular Heart Disease: A Report of the American College of Cardiology/American Heart Association Task Force on Clinical Practice Guidelines.Circ.2017;135:e1159-e1195.</w:t>
      </w:r>
    </w:p>
    <w:p w14:paraId="634393D0" w14:textId="77777777" w:rsidR="00EE60FE" w:rsidRPr="00EE60FE" w:rsidRDefault="006264EF" w:rsidP="00EE60FE">
      <w:pPr>
        <w:pStyle w:val="ListParagraph"/>
        <w:numPr>
          <w:ilvl w:val="0"/>
          <w:numId w:val="50"/>
        </w:numPr>
        <w:spacing w:before="0" w:after="0"/>
        <w:contextualSpacing w:val="0"/>
        <w:rPr>
          <w:sz w:val="18"/>
          <w:szCs w:val="20"/>
        </w:rPr>
      </w:pPr>
      <w:hyperlink r:id="rId32" w:history="1">
        <w:r w:rsidR="00EE60FE" w:rsidRPr="00EE60FE">
          <w:rPr>
            <w:rStyle w:val="Hyperlink"/>
            <w:szCs w:val="20"/>
            <w:lang w:val="en-US"/>
          </w:rPr>
          <w:t>(Kron et al. (2017))</w:t>
        </w:r>
      </w:hyperlink>
      <w:r w:rsidR="00EE60FE" w:rsidRPr="00EE60FE">
        <w:rPr>
          <w:szCs w:val="20"/>
          <w:lang w:val="en-US"/>
        </w:rPr>
        <w:t xml:space="preserve"> Kron IL, LaPar DJ, Acker MA, Adams DH, Ailawadi G, Bolling SF, et al. 2016 update to the American Association for Thoracic Surgery (AATS) consensus guidelines: ischemic mitral valve regurgitation. J Thorac Cardiovasc Surg. 2017 May;153(5):e97-e114.</w:t>
      </w:r>
    </w:p>
    <w:p w14:paraId="79001D20" w14:textId="77777777" w:rsidR="00BE6E62" w:rsidRPr="00322A8A" w:rsidRDefault="00BE6E62" w:rsidP="00322A8A">
      <w:pPr>
        <w:ind w:left="426"/>
        <w:rPr>
          <w:lang w:val="en-US"/>
        </w:rPr>
      </w:pPr>
    </w:p>
    <w:p w14:paraId="4742E6E1"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28973889" w14:textId="77777777" w:rsidR="00535A70" w:rsidRPr="00730091" w:rsidRDefault="00B40187" w:rsidP="00FD675A">
      <w:pPr>
        <w:pStyle w:val="Subtitle"/>
        <w:rPr>
          <w:b w:val="0"/>
          <w:i w:val="0"/>
          <w:u w:val="none"/>
        </w:rPr>
      </w:pPr>
      <w:r w:rsidRPr="00730091">
        <w:rPr>
          <w:b w:val="0"/>
          <w:i w:val="0"/>
          <w:u w:val="none"/>
        </w:rPr>
        <w:t>A search of the literature identified no Australian specific clinical management pathways for patients with mitral regurgitation. The ESC/EACT</w:t>
      </w:r>
      <w:r w:rsidR="005A7F58" w:rsidRPr="00730091">
        <w:rPr>
          <w:b w:val="0"/>
          <w:i w:val="0"/>
          <w:u w:val="none"/>
        </w:rPr>
        <w:t>S</w:t>
      </w:r>
      <w:r w:rsidRPr="00730091">
        <w:rPr>
          <w:b w:val="0"/>
          <w:i w:val="0"/>
          <w:u w:val="none"/>
        </w:rPr>
        <w:t xml:space="preserve"> (2017) and the AHA/ACC (2017) guidelines were </w:t>
      </w:r>
      <w:r w:rsidR="00BE052F" w:rsidRPr="00730091">
        <w:rPr>
          <w:b w:val="0"/>
          <w:i w:val="0"/>
          <w:u w:val="none"/>
        </w:rPr>
        <w:t xml:space="preserve">summarised </w:t>
      </w:r>
      <w:r w:rsidR="005A7F58" w:rsidRPr="00730091">
        <w:rPr>
          <w:b w:val="0"/>
          <w:i w:val="0"/>
          <w:u w:val="none"/>
        </w:rPr>
        <w:t xml:space="preserve">regarding indications for surgical intervention </w:t>
      </w:r>
      <w:r w:rsidR="00BE052F" w:rsidRPr="00730091">
        <w:rPr>
          <w:b w:val="0"/>
          <w:i w:val="0"/>
          <w:u w:val="none"/>
        </w:rPr>
        <w:t>above in response to question 2</w:t>
      </w:r>
      <w:r w:rsidR="000C13D0" w:rsidRPr="00730091">
        <w:rPr>
          <w:b w:val="0"/>
          <w:i w:val="0"/>
          <w:u w:val="none"/>
        </w:rPr>
        <w:t xml:space="preserve">5 </w:t>
      </w:r>
      <w:r w:rsidRPr="00730091">
        <w:rPr>
          <w:b w:val="0"/>
          <w:i w:val="0"/>
          <w:u w:val="none"/>
        </w:rPr>
        <w:t>for this Application.</w:t>
      </w:r>
      <w:r w:rsidR="005A7F58" w:rsidRPr="00730091">
        <w:rPr>
          <w:b w:val="0"/>
          <w:i w:val="0"/>
          <w:u w:val="none"/>
        </w:rPr>
        <w:t xml:space="preserve"> </w:t>
      </w:r>
    </w:p>
    <w:p w14:paraId="37CB8DAF" w14:textId="77777777" w:rsidR="00535A70" w:rsidRPr="00D21214" w:rsidRDefault="00535A70" w:rsidP="00FD675A">
      <w:pPr>
        <w:pStyle w:val="Subtitle"/>
        <w:rPr>
          <w:b w:val="0"/>
          <w:i w:val="0"/>
          <w:highlight w:val="green"/>
          <w:u w:val="none"/>
        </w:rPr>
      </w:pPr>
    </w:p>
    <w:p w14:paraId="501EBE4C" w14:textId="7B63565A" w:rsidR="00FD675A" w:rsidRPr="00D21214" w:rsidRDefault="00D15ACB" w:rsidP="00535A70">
      <w:pPr>
        <w:pStyle w:val="Subtitle"/>
        <w:ind w:left="360"/>
        <w:rPr>
          <w:b w:val="0"/>
          <w:i w:val="0"/>
          <w:highlight w:val="green"/>
          <w:u w:val="none"/>
        </w:rPr>
      </w:pPr>
      <w:r w:rsidRPr="00730091">
        <w:rPr>
          <w:b w:val="0"/>
          <w:i w:val="0"/>
          <w:u w:val="none"/>
        </w:rPr>
        <w:t xml:space="preserve">The ESC/EACTS guidelines and AHA/ACC guidelines are fairly consistent in their recommendations regarding medical therapy for patients with primary MR (Table </w:t>
      </w:r>
      <w:r w:rsidR="006D2FE0" w:rsidRPr="00730091">
        <w:rPr>
          <w:b w:val="0"/>
          <w:i w:val="0"/>
          <w:u w:val="none"/>
        </w:rPr>
        <w:t>6</w:t>
      </w:r>
      <w:r w:rsidRPr="00730091">
        <w:rPr>
          <w:b w:val="0"/>
          <w:i w:val="0"/>
          <w:u w:val="none"/>
        </w:rPr>
        <w:t>). The ESC/EACTS guidelines note that medical therapy should be considered for patients with chronic primary MR after the development of heart failure who are not suitable for surgery or when symptoms persist following surgery. Similarly, the AHA/ACC guidelines note that medical therapy for systolic dysfunction is reasonable in symptomatic patients with chronic primary MR and LVEF &lt; 60% in whom surgery is not being considered (class IIa; level of evidence [LOE] B). The ESC/EACTS guidelines and AHA/ACC guidelines also both recommend against the use of vasodilators in certain patients with primary MR.</w:t>
      </w:r>
      <w:r w:rsidR="00FD675A" w:rsidRPr="00D21214">
        <w:rPr>
          <w:b w:val="0"/>
          <w:i w:val="0"/>
          <w:highlight w:val="green"/>
          <w:u w:val="none"/>
        </w:rPr>
        <w:br/>
      </w:r>
    </w:p>
    <w:p w14:paraId="77FCAF15" w14:textId="0276E77D" w:rsidR="0024167D" w:rsidRPr="00730091" w:rsidRDefault="00D15ACB" w:rsidP="00535A70">
      <w:pPr>
        <w:pStyle w:val="Subtitle"/>
        <w:ind w:left="360"/>
        <w:rPr>
          <w:b w:val="0"/>
          <w:i w:val="0"/>
          <w:u w:val="none"/>
        </w:rPr>
      </w:pPr>
      <w:r w:rsidRPr="00730091">
        <w:rPr>
          <w:b w:val="0"/>
          <w:i w:val="0"/>
          <w:u w:val="none"/>
        </w:rPr>
        <w:t>There are some differences between European guidelines and American guidelines on the specific cut</w:t>
      </w:r>
      <w:r w:rsidR="008D4B05" w:rsidRPr="00730091">
        <w:rPr>
          <w:b w:val="0"/>
          <w:i w:val="0"/>
          <w:u w:val="none"/>
        </w:rPr>
        <w:t>-</w:t>
      </w:r>
      <w:r w:rsidRPr="00730091">
        <w:rPr>
          <w:b w:val="0"/>
          <w:i w:val="0"/>
          <w:u w:val="none"/>
        </w:rPr>
        <w:t>offs with respect to the quantitative parameters used to determine severity of MR. The European Society of Cardiology/European Association for Cardio-Thoracic Surgery (ESC/EACT) guidelines for the management of heart valve disease (2017) specifies a lower EROA and regurgitant volume cut</w:t>
      </w:r>
      <w:r w:rsidR="008D4B05" w:rsidRPr="00730091">
        <w:rPr>
          <w:b w:val="0"/>
          <w:i w:val="0"/>
          <w:u w:val="none"/>
        </w:rPr>
        <w:t>-</w:t>
      </w:r>
      <w:r w:rsidRPr="00730091">
        <w:rPr>
          <w:b w:val="0"/>
          <w:i w:val="0"/>
          <w:u w:val="none"/>
        </w:rPr>
        <w:t xml:space="preserve">offs for severe secondary MR (Table </w:t>
      </w:r>
      <w:r w:rsidR="00097D1A" w:rsidRPr="00730091">
        <w:rPr>
          <w:b w:val="0"/>
          <w:i w:val="0"/>
          <w:u w:val="none"/>
        </w:rPr>
        <w:t>3</w:t>
      </w:r>
      <w:r w:rsidRPr="00730091">
        <w:rPr>
          <w:b w:val="0"/>
          <w:i w:val="0"/>
          <w:u w:val="none"/>
        </w:rPr>
        <w:t>) than the ASE guidelines. In the ASE guidelines, severe FMR is defined as EROA ≥ 0.40 cm2 and regurgitant volume ≥ 60 mL/beat. However, the ESC/EACT guidelines specify significantly lower cut</w:t>
      </w:r>
      <w:r w:rsidR="008D4B05" w:rsidRPr="00730091">
        <w:rPr>
          <w:b w:val="0"/>
          <w:i w:val="0"/>
          <w:u w:val="none"/>
        </w:rPr>
        <w:t>-</w:t>
      </w:r>
      <w:r w:rsidRPr="00730091">
        <w:rPr>
          <w:b w:val="0"/>
          <w:i w:val="0"/>
          <w:u w:val="none"/>
        </w:rPr>
        <w:t>offs (EROA ≥ 0.20 cm2 and regurgitant volume ≥ 30 mL/beat). For classification of severe DMR, the ACC/AHA (2017) and ES/EACT (2017) guidelines are consistent regarding EROA and regurgitant volume (&gt; 0.40 cm2 and ≥ 60 mL/beat). ESC/EACT (2019) guidelines provide different cut</w:t>
      </w:r>
      <w:r w:rsidR="008D4B05" w:rsidRPr="00730091">
        <w:rPr>
          <w:b w:val="0"/>
          <w:i w:val="0"/>
          <w:u w:val="none"/>
        </w:rPr>
        <w:t>-</w:t>
      </w:r>
      <w:r w:rsidRPr="00730091">
        <w:rPr>
          <w:b w:val="0"/>
          <w:i w:val="0"/>
          <w:u w:val="none"/>
        </w:rPr>
        <w:t>offs for DMR and FMR, but the ASE guidelines do not differentiate between etiology in the classification of severity of MR.</w:t>
      </w:r>
    </w:p>
    <w:p w14:paraId="607E12FE" w14:textId="77777777" w:rsidR="00310A15" w:rsidRPr="00D21214" w:rsidRDefault="00310A15" w:rsidP="00310A15">
      <w:pPr>
        <w:rPr>
          <w:highlight w:val="green"/>
        </w:rPr>
      </w:pPr>
    </w:p>
    <w:p w14:paraId="10ACF6BE" w14:textId="29CAD53C" w:rsidR="00A459A8" w:rsidRPr="00636EE1" w:rsidRDefault="00A459A8" w:rsidP="00A459A8">
      <w:r w:rsidRPr="00636EE1">
        <w:t xml:space="preserve">Table </w:t>
      </w:r>
      <w:r w:rsidR="00E57150" w:rsidRPr="00636EE1">
        <w:t>6</w:t>
      </w:r>
      <w:r w:rsidRPr="00636EE1">
        <w:t xml:space="preserve">. Comparison of ESC/EACTS and AHA/ACC Recommended </w:t>
      </w:r>
      <w:r w:rsidR="009E3002" w:rsidRPr="00636EE1">
        <w:t>Medical Therapy in Patients with Primary MR</w:t>
      </w:r>
      <w:r w:rsidR="00CC4680">
        <w:t xml:space="preserve"> (contents of table described below)</w:t>
      </w:r>
    </w:p>
    <w:p w14:paraId="2AF0FF17" w14:textId="0FDEB896" w:rsidR="00EE60FE" w:rsidRPr="00EE60FE" w:rsidRDefault="00EE60FE" w:rsidP="008F390B">
      <w:pPr>
        <w:spacing w:before="0" w:after="0"/>
        <w:ind w:left="360"/>
        <w:rPr>
          <w:sz w:val="18"/>
          <w:szCs w:val="20"/>
        </w:rPr>
      </w:pPr>
      <w:r w:rsidRPr="00EE60FE">
        <w:rPr>
          <w:szCs w:val="20"/>
        </w:rPr>
        <w:t xml:space="preserve">The information presented in </w:t>
      </w:r>
      <w:r w:rsidRPr="00EE60FE">
        <w:rPr>
          <w:b/>
          <w:bCs/>
          <w:szCs w:val="20"/>
        </w:rPr>
        <w:t>Table 6</w:t>
      </w:r>
      <w:r w:rsidRPr="00EE60FE">
        <w:rPr>
          <w:szCs w:val="20"/>
        </w:rPr>
        <w:t xml:space="preserve"> contains recommendations for medical therapy in patients with Primary MR from the ESC/EACTS and AHA/ACC guidelines. Recommendations from the ESC/EACTS Guidelines are reproduced from Section 6.1.3 in </w:t>
      </w:r>
      <w:hyperlink r:id="rId33" w:history="1">
        <w:r w:rsidRPr="00EE60FE">
          <w:rPr>
            <w:rStyle w:val="Hyperlink"/>
            <w:szCs w:val="20"/>
          </w:rPr>
          <w:t>(Baumgartner et al. (2017))</w:t>
        </w:r>
      </w:hyperlink>
      <w:r w:rsidRPr="00EE60FE">
        <w:rPr>
          <w:szCs w:val="20"/>
        </w:rPr>
        <w:t xml:space="preserve">. Recommendations from the AHA/ACC Guidelines are reproduced from </w:t>
      </w:r>
      <w:hyperlink r:id="rId34" w:history="1">
        <w:r w:rsidRPr="00EE60FE">
          <w:rPr>
            <w:rStyle w:val="Hyperlink"/>
            <w:szCs w:val="20"/>
          </w:rPr>
          <w:t>(Nishimura et al. (2014))</w:t>
        </w:r>
      </w:hyperlink>
      <w:r w:rsidRPr="00EE60FE">
        <w:rPr>
          <w:szCs w:val="20"/>
        </w:rPr>
        <w:t>, Section 7.1.2.</w:t>
      </w:r>
    </w:p>
    <w:p w14:paraId="7A76D950" w14:textId="77777777" w:rsidR="00EE60FE" w:rsidRPr="00EE60FE" w:rsidRDefault="006264EF" w:rsidP="00EE60FE">
      <w:pPr>
        <w:pStyle w:val="ListParagraph"/>
        <w:numPr>
          <w:ilvl w:val="0"/>
          <w:numId w:val="50"/>
        </w:numPr>
        <w:spacing w:before="0" w:after="0"/>
        <w:contextualSpacing w:val="0"/>
        <w:rPr>
          <w:sz w:val="18"/>
          <w:szCs w:val="20"/>
        </w:rPr>
      </w:pPr>
      <w:hyperlink r:id="rId35" w:history="1">
        <w:r w:rsidR="00EE60FE" w:rsidRPr="00EE60FE">
          <w:rPr>
            <w:rStyle w:val="Hyperlink"/>
            <w:szCs w:val="20"/>
            <w:lang w:val="en-US"/>
          </w:rPr>
          <w:t>(Baumgartner et al. (2017))</w:t>
        </w:r>
      </w:hyperlink>
      <w:r w:rsidR="00EE60FE" w:rsidRPr="00EE60FE">
        <w:rPr>
          <w:szCs w:val="20"/>
          <w:lang w:val="en-US"/>
        </w:rPr>
        <w:t xml:space="preserve"> Baumgartner H, Falk V, Bax JJ, De Bonis M, Hamm C, Holm PJ, et al. 2017 ESC/EACTS guidelines for the management of valvular heart disease. Eur Heart J. 2017 Sep;38(36):2739-91.</w:t>
      </w:r>
    </w:p>
    <w:p w14:paraId="3C7BC89A" w14:textId="77777777" w:rsidR="00EE60FE" w:rsidRPr="00EE60FE" w:rsidRDefault="006264EF" w:rsidP="00EE60FE">
      <w:pPr>
        <w:pStyle w:val="ListParagraph"/>
        <w:numPr>
          <w:ilvl w:val="0"/>
          <w:numId w:val="50"/>
        </w:numPr>
        <w:spacing w:before="0" w:after="0"/>
        <w:contextualSpacing w:val="0"/>
        <w:rPr>
          <w:sz w:val="18"/>
          <w:szCs w:val="20"/>
        </w:rPr>
      </w:pPr>
      <w:hyperlink r:id="rId36" w:history="1">
        <w:r w:rsidR="00EE60FE" w:rsidRPr="00EE60FE">
          <w:rPr>
            <w:rStyle w:val="Hyperlink"/>
            <w:szCs w:val="20"/>
            <w:lang w:val="en-US"/>
          </w:rPr>
          <w:t>(Nishimura et al. (2014))</w:t>
        </w:r>
      </w:hyperlink>
      <w:r w:rsidR="00EE60FE" w:rsidRPr="00EE60FE">
        <w:rPr>
          <w:szCs w:val="20"/>
          <w:lang w:val="en-US"/>
        </w:rPr>
        <w:t xml:space="preserve"> Nishimura RA, Otto CM, Bonow RO, Carabello BA, Erwin JP, 3rd, Guyton RA, et al. 2014 AHA/ACC guideline for the management of patients with valvular heart disease: a report of the American College of Cardiology/American Heart Association Task Force on Practice Guidelines. J Thorac Cardiovasc Surg. 2014 Jul;148(1):e1-e132.</w:t>
      </w:r>
    </w:p>
    <w:p w14:paraId="589D329F" w14:textId="77777777" w:rsidR="00811CF5" w:rsidRPr="00D21214" w:rsidRDefault="00811CF5" w:rsidP="00535A70">
      <w:pPr>
        <w:pStyle w:val="Subtitle"/>
        <w:ind w:left="360"/>
        <w:rPr>
          <w:b w:val="0"/>
          <w:i w:val="0"/>
          <w:highlight w:val="green"/>
          <w:u w:val="none"/>
        </w:rPr>
      </w:pPr>
    </w:p>
    <w:p w14:paraId="25C23BED" w14:textId="2DA632A1" w:rsidR="00E52FAB" w:rsidRPr="00730091" w:rsidRDefault="00310A15" w:rsidP="00811CF5">
      <w:pPr>
        <w:pStyle w:val="Subtitle"/>
        <w:rPr>
          <w:b w:val="0"/>
          <w:i w:val="0"/>
          <w:u w:val="none"/>
        </w:rPr>
      </w:pPr>
      <w:r w:rsidRPr="00730091">
        <w:rPr>
          <w:b w:val="0"/>
          <w:i w:val="0"/>
          <w:u w:val="none"/>
        </w:rPr>
        <w:t xml:space="preserve">As </w:t>
      </w:r>
      <w:r w:rsidR="00DD1C52" w:rsidRPr="00730091">
        <w:rPr>
          <w:b w:val="0"/>
          <w:i w:val="0"/>
          <w:u w:val="none"/>
        </w:rPr>
        <w:t xml:space="preserve">shown in Table </w:t>
      </w:r>
      <w:r w:rsidR="00252BD2" w:rsidRPr="00730091">
        <w:rPr>
          <w:b w:val="0"/>
          <w:i w:val="0"/>
          <w:u w:val="none"/>
        </w:rPr>
        <w:t>7</w:t>
      </w:r>
      <w:r w:rsidR="00DD1C52" w:rsidRPr="00730091">
        <w:rPr>
          <w:b w:val="0"/>
          <w:i w:val="0"/>
          <w:u w:val="none"/>
        </w:rPr>
        <w:t>, the ESC/EACTS, AHA/ACC, and AATS guidelines are fairly consistent in their recommendations regarding medical therapy for patients with secondary MR.</w:t>
      </w:r>
    </w:p>
    <w:p w14:paraId="44412F5C" w14:textId="77777777" w:rsidR="00811CF5" w:rsidRPr="00D21214" w:rsidRDefault="00811CF5" w:rsidP="00C82B48">
      <w:pPr>
        <w:rPr>
          <w:highlight w:val="green"/>
        </w:rPr>
      </w:pPr>
    </w:p>
    <w:p w14:paraId="0F901EC4" w14:textId="2813B2D3" w:rsidR="00C82B48" w:rsidRPr="00636EE1" w:rsidRDefault="00D828F8" w:rsidP="00C82B48">
      <w:r w:rsidRPr="00636EE1">
        <w:t xml:space="preserve">Table </w:t>
      </w:r>
      <w:r w:rsidR="00252BD2" w:rsidRPr="00636EE1">
        <w:t>7</w:t>
      </w:r>
      <w:r w:rsidRPr="00636EE1">
        <w:t>. Comparison of ESC/EACTS, AHA/ACC, and AATS Recommended Medical Therapy in Patients with Secondary MR</w:t>
      </w:r>
      <w:r w:rsidR="00CC4680">
        <w:t xml:space="preserve"> (contents of table described below)</w:t>
      </w:r>
    </w:p>
    <w:p w14:paraId="6D3FC1A5" w14:textId="71ABFE14" w:rsidR="00EE60FE" w:rsidRPr="00EE60FE" w:rsidRDefault="00EE60FE" w:rsidP="00EE60FE">
      <w:pPr>
        <w:spacing w:before="0" w:after="0"/>
        <w:ind w:left="720"/>
        <w:rPr>
          <w:szCs w:val="20"/>
        </w:rPr>
      </w:pPr>
      <w:r w:rsidRPr="00EE60FE">
        <w:rPr>
          <w:szCs w:val="20"/>
        </w:rPr>
        <w:lastRenderedPageBreak/>
        <w:t xml:space="preserve">The information presented in </w:t>
      </w:r>
      <w:r w:rsidRPr="00EE60FE">
        <w:rPr>
          <w:b/>
          <w:bCs/>
          <w:szCs w:val="20"/>
        </w:rPr>
        <w:t>Table 7</w:t>
      </w:r>
      <w:r w:rsidRPr="00EE60FE">
        <w:rPr>
          <w:szCs w:val="20"/>
        </w:rPr>
        <w:t xml:space="preserve"> contains recommendations for medical therapy in patients with Secondary MR from the ESC/EACTS, AHA/ACC, and AATS guidelines. Recommendations from the ESC/EACTS Guidelines are reproduced from Section 6.2.3 in</w:t>
      </w:r>
      <w:r w:rsidRPr="00EE60FE">
        <w:rPr>
          <w:sz w:val="22"/>
        </w:rPr>
        <w:t xml:space="preserve"> </w:t>
      </w:r>
      <w:hyperlink r:id="rId37" w:history="1">
        <w:r w:rsidRPr="00134550">
          <w:rPr>
            <w:rStyle w:val="Hyperlink"/>
            <w:szCs w:val="20"/>
          </w:rPr>
          <w:t>(Baumgartner et al. (2017))</w:t>
        </w:r>
      </w:hyperlink>
      <w:r w:rsidRPr="00134550">
        <w:rPr>
          <w:szCs w:val="20"/>
        </w:rPr>
        <w:t>.</w:t>
      </w:r>
      <w:r w:rsidRPr="00EE60FE">
        <w:rPr>
          <w:sz w:val="22"/>
        </w:rPr>
        <w:t xml:space="preserve"> </w:t>
      </w:r>
      <w:r w:rsidRPr="00EE60FE">
        <w:rPr>
          <w:szCs w:val="20"/>
        </w:rPr>
        <w:t xml:space="preserve">Recommendations from the AHA/ACC Guidelines are reproduced from </w:t>
      </w:r>
      <w:hyperlink r:id="rId38" w:history="1">
        <w:r w:rsidRPr="00EE60FE">
          <w:rPr>
            <w:rStyle w:val="Hyperlink"/>
            <w:szCs w:val="20"/>
          </w:rPr>
          <w:t>(Nishimura et al. (2017))</w:t>
        </w:r>
      </w:hyperlink>
      <w:r w:rsidRPr="00EE60FE">
        <w:rPr>
          <w:szCs w:val="20"/>
        </w:rPr>
        <w:t xml:space="preserve"> Table 2, Section 7.2 and </w:t>
      </w:r>
      <w:hyperlink r:id="rId39" w:history="1">
        <w:r w:rsidRPr="00EE60FE">
          <w:rPr>
            <w:rStyle w:val="Hyperlink"/>
            <w:szCs w:val="20"/>
          </w:rPr>
          <w:t>(Nishimura et al. (2014))</w:t>
        </w:r>
      </w:hyperlink>
      <w:r w:rsidRPr="00EE60FE">
        <w:rPr>
          <w:szCs w:val="20"/>
        </w:rPr>
        <w:t xml:space="preserve">, Section 7.1.2. Recommendations from the AATS are reproduced from </w:t>
      </w:r>
      <w:hyperlink r:id="rId40" w:history="1">
        <w:r w:rsidRPr="00EE60FE">
          <w:rPr>
            <w:rStyle w:val="Hyperlink"/>
            <w:szCs w:val="20"/>
            <w:lang w:val="en-US"/>
          </w:rPr>
          <w:t>(Kron et al. (2017))</w:t>
        </w:r>
      </w:hyperlink>
      <w:r w:rsidRPr="00EE60FE">
        <w:rPr>
          <w:szCs w:val="20"/>
        </w:rPr>
        <w:t>, Section IV and Section VI.</w:t>
      </w:r>
    </w:p>
    <w:p w14:paraId="41F4D0C6" w14:textId="77777777" w:rsidR="00EE60FE" w:rsidRPr="00EE60FE" w:rsidRDefault="006264EF" w:rsidP="00134550">
      <w:pPr>
        <w:pStyle w:val="ListParagraph"/>
        <w:numPr>
          <w:ilvl w:val="0"/>
          <w:numId w:val="50"/>
        </w:numPr>
        <w:spacing w:before="0" w:after="0"/>
        <w:contextualSpacing w:val="0"/>
        <w:rPr>
          <w:szCs w:val="20"/>
        </w:rPr>
      </w:pPr>
      <w:hyperlink r:id="rId41" w:history="1">
        <w:r w:rsidR="00EE60FE" w:rsidRPr="00EE60FE">
          <w:rPr>
            <w:rStyle w:val="Hyperlink"/>
            <w:szCs w:val="20"/>
            <w:lang w:val="en-US"/>
          </w:rPr>
          <w:t>(Baumgartner et al. (2017))</w:t>
        </w:r>
      </w:hyperlink>
      <w:r w:rsidR="00EE60FE" w:rsidRPr="00EE60FE">
        <w:rPr>
          <w:szCs w:val="20"/>
          <w:lang w:val="en-US"/>
        </w:rPr>
        <w:t xml:space="preserve"> Baumgartner H, Falk V, Bax JJ, De Bonis M, Hamm C, Holm PJ, et al. 2017 ESC/EACTS guidelines for the management of valvular heart disease. Eur Heart J. 2017 Sep;38(36):2739-91.</w:t>
      </w:r>
    </w:p>
    <w:p w14:paraId="67FA2341" w14:textId="77777777" w:rsidR="00EE60FE" w:rsidRPr="00EE60FE" w:rsidRDefault="006264EF" w:rsidP="00134550">
      <w:pPr>
        <w:pStyle w:val="ListParagraph"/>
        <w:numPr>
          <w:ilvl w:val="0"/>
          <w:numId w:val="50"/>
        </w:numPr>
        <w:spacing w:before="0" w:after="0"/>
        <w:contextualSpacing w:val="0"/>
        <w:rPr>
          <w:szCs w:val="20"/>
        </w:rPr>
      </w:pPr>
      <w:hyperlink r:id="rId42" w:history="1">
        <w:r w:rsidR="00EE60FE" w:rsidRPr="00EE60FE">
          <w:rPr>
            <w:rStyle w:val="Hyperlink"/>
            <w:szCs w:val="20"/>
            <w:lang w:val="en-US"/>
          </w:rPr>
          <w:t>(Nishimura et al. (2014))</w:t>
        </w:r>
      </w:hyperlink>
      <w:r w:rsidR="00EE60FE" w:rsidRPr="00EE60FE">
        <w:rPr>
          <w:szCs w:val="20"/>
          <w:lang w:val="en-US"/>
        </w:rPr>
        <w:t xml:space="preserve"> Nishimura RA, Otto CM, Bonow RO, Carabello BA, Erwin JP, 3rd, Guyton RA, et al. 2014 AHA/ACC guideline for the management of patients with valvular heart disease: a report of the American College of Cardiology/American Heart Association Task Force on Practice Guidelines. J Thorac Cardiovasc Surg. 2014 Jul;148(1):e1-e132.</w:t>
      </w:r>
    </w:p>
    <w:p w14:paraId="022760F7" w14:textId="77777777" w:rsidR="00EE60FE" w:rsidRPr="00EE60FE" w:rsidRDefault="006264EF" w:rsidP="00134550">
      <w:pPr>
        <w:pStyle w:val="ListParagraph"/>
        <w:numPr>
          <w:ilvl w:val="0"/>
          <w:numId w:val="50"/>
        </w:numPr>
        <w:spacing w:before="0" w:after="0"/>
        <w:contextualSpacing w:val="0"/>
        <w:rPr>
          <w:szCs w:val="20"/>
        </w:rPr>
      </w:pPr>
      <w:hyperlink r:id="rId43" w:history="1">
        <w:r w:rsidR="00EE60FE" w:rsidRPr="00EE60FE">
          <w:rPr>
            <w:rStyle w:val="Hyperlink"/>
            <w:szCs w:val="20"/>
            <w:lang w:val="en-US"/>
          </w:rPr>
          <w:t>(Nishimura et al. (2017))</w:t>
        </w:r>
      </w:hyperlink>
      <w:r w:rsidR="00EE60FE" w:rsidRPr="00EE60FE">
        <w:rPr>
          <w:szCs w:val="20"/>
          <w:lang w:val="en-US"/>
        </w:rPr>
        <w:t xml:space="preserve"> Nishimura RA, Otto CM, Bonow RO, Carabello BA, Erwin JP, 3rd, Guyton RA, et al.2017 AHA/ACC Focused Update of the 2014 AHA/ACC Guideline for the Management of Patients With Valvular Heart Disease: A Report of the American College of Cardiology/American Heart Association Task Force on Clinical Practice Guidelines.Circ.2017;135:e1159-e1195.</w:t>
      </w:r>
    </w:p>
    <w:p w14:paraId="3BBF89DF" w14:textId="77777777" w:rsidR="00EE60FE" w:rsidRPr="00EE60FE" w:rsidRDefault="006264EF" w:rsidP="00134550">
      <w:pPr>
        <w:pStyle w:val="ListParagraph"/>
        <w:numPr>
          <w:ilvl w:val="0"/>
          <w:numId w:val="50"/>
        </w:numPr>
        <w:spacing w:before="0" w:after="0"/>
        <w:contextualSpacing w:val="0"/>
        <w:rPr>
          <w:szCs w:val="20"/>
        </w:rPr>
      </w:pPr>
      <w:hyperlink r:id="rId44" w:history="1">
        <w:r w:rsidR="00EE60FE" w:rsidRPr="00EE60FE">
          <w:rPr>
            <w:rStyle w:val="Hyperlink"/>
            <w:szCs w:val="20"/>
            <w:lang w:val="en-US"/>
          </w:rPr>
          <w:t>(Kron et al. (2017))</w:t>
        </w:r>
      </w:hyperlink>
      <w:r w:rsidR="00EE60FE" w:rsidRPr="00EE60FE">
        <w:rPr>
          <w:szCs w:val="20"/>
          <w:lang w:val="en-US"/>
        </w:rPr>
        <w:t xml:space="preserve"> Kron IL, LaPar DJ, Acker MA, Adams DH, Ailawadi G, Bolling SF, et al. 2016 update to the American Association for Thoracic Surgery (AATS) consensus guidelines: ischemic mitral valve regurgitation. J Thorac Cardiovasc Surg. 2017 May;153(5):e97-e114.</w:t>
      </w:r>
    </w:p>
    <w:p w14:paraId="129E9095" w14:textId="77777777" w:rsidR="00D10517" w:rsidRPr="00D21214" w:rsidRDefault="00D10517" w:rsidP="00DD1C52">
      <w:pPr>
        <w:rPr>
          <w:highlight w:val="green"/>
        </w:rPr>
      </w:pPr>
    </w:p>
    <w:p w14:paraId="0C56C47C" w14:textId="7079FAFC" w:rsidR="00DD1C52" w:rsidRPr="00730091" w:rsidRDefault="004C19C5" w:rsidP="00134550">
      <w:pPr>
        <w:ind w:left="360"/>
      </w:pPr>
      <w:r w:rsidRPr="00730091">
        <w:t>Neither the ESC/EACTS guidelines nor the AHA/ACC guidelines provide specific recommendations regarding the use of CRT in patients with primary MR.</w:t>
      </w:r>
    </w:p>
    <w:p w14:paraId="6E07BCA4" w14:textId="6D8203CF" w:rsidR="004A4E91" w:rsidRPr="00730091" w:rsidRDefault="004A4E91" w:rsidP="00134550">
      <w:pPr>
        <w:ind w:left="360"/>
      </w:pPr>
      <w:r w:rsidRPr="00730091">
        <w:t>The ESC/EACTS guidelines note that indications for CRT should be evaluated in accordance with guidelines for the management of heart failure</w:t>
      </w:r>
      <w:r w:rsidR="00FF6077" w:rsidRPr="00730091">
        <w:t>; accordingly, recommendations from the 2016 ESC guidelines for the diagnosis</w:t>
      </w:r>
      <w:r w:rsidR="00EB3BDD" w:rsidRPr="00730091">
        <w:t xml:space="preserve"> and treatment of acute and chronic heart failure are presented below</w:t>
      </w:r>
      <w:r w:rsidR="006470A2" w:rsidRPr="00730091">
        <w:t>.</w:t>
      </w:r>
      <w:r w:rsidRPr="00730091">
        <w:t xml:space="preserve"> </w:t>
      </w:r>
      <w:r w:rsidR="00E154C4" w:rsidRPr="00730091">
        <w:t>R</w:t>
      </w:r>
      <w:r w:rsidRPr="00730091">
        <w:t>ecommendations regarding the use of CRT in patients with secondary MR f</w:t>
      </w:r>
      <w:r w:rsidR="00EB3BDD" w:rsidRPr="00730091">
        <w:t>rom</w:t>
      </w:r>
      <w:r w:rsidRPr="00730091">
        <w:t xml:space="preserve"> AHA/ACC, and AATS</w:t>
      </w:r>
      <w:r w:rsidR="00A17951" w:rsidRPr="00730091">
        <w:t xml:space="preserve"> are</w:t>
      </w:r>
      <w:r w:rsidRPr="00730091">
        <w:t xml:space="preserve"> </w:t>
      </w:r>
      <w:r w:rsidR="00EB3BDD" w:rsidRPr="00730091">
        <w:t xml:space="preserve">also </w:t>
      </w:r>
      <w:r w:rsidRPr="00730091">
        <w:t xml:space="preserve">shown in Table 8, </w:t>
      </w:r>
      <w:r w:rsidR="00EB3BDD" w:rsidRPr="00730091">
        <w:t xml:space="preserve">as </w:t>
      </w:r>
      <w:r w:rsidRPr="00730091">
        <w:t>there is some consistency across these guidelines regarding the use of CRT for patients with secondary MR.</w:t>
      </w:r>
    </w:p>
    <w:p w14:paraId="1D6408A7" w14:textId="5F5202FC" w:rsidR="006052EA" w:rsidRPr="00636EE1" w:rsidRDefault="006052EA" w:rsidP="00DD1C52">
      <w:r w:rsidRPr="00636EE1">
        <w:t>Table</w:t>
      </w:r>
      <w:r w:rsidR="00657328" w:rsidRPr="00636EE1">
        <w:t xml:space="preserve"> </w:t>
      </w:r>
      <w:r w:rsidR="00097D1A" w:rsidRPr="00636EE1">
        <w:t>8</w:t>
      </w:r>
      <w:r w:rsidRPr="00636EE1">
        <w:t>. Overview of Recommendations for Cardiac Resynchronization Therapy in Patients with Secondary MR, by Guideline</w:t>
      </w:r>
      <w:r w:rsidR="00CC4680">
        <w:t xml:space="preserve"> (contents of table described below)</w:t>
      </w:r>
    </w:p>
    <w:p w14:paraId="41BA4204" w14:textId="15F5FBC9" w:rsidR="00134550" w:rsidRPr="00134550" w:rsidRDefault="00134550" w:rsidP="00134550">
      <w:pPr>
        <w:spacing w:before="0" w:after="0"/>
        <w:ind w:left="360"/>
        <w:rPr>
          <w:sz w:val="18"/>
          <w:szCs w:val="20"/>
        </w:rPr>
      </w:pPr>
      <w:r w:rsidRPr="00134550">
        <w:rPr>
          <w:szCs w:val="20"/>
        </w:rPr>
        <w:t xml:space="preserve">The information presented in </w:t>
      </w:r>
      <w:r w:rsidRPr="00134550">
        <w:rPr>
          <w:b/>
          <w:bCs/>
          <w:szCs w:val="20"/>
        </w:rPr>
        <w:t>Table 8</w:t>
      </w:r>
      <w:r w:rsidRPr="00134550">
        <w:rPr>
          <w:szCs w:val="20"/>
        </w:rPr>
        <w:t xml:space="preserve"> contains recommendations for cardiac resynchronization therapy in patients with Secondary MR from the ESC/EACTS, AHA/ACC, and AATS guidelines. Recommendations from the ESC/EACTS Guidelines are reproduced from Section 6.2.2 in </w:t>
      </w:r>
      <w:hyperlink r:id="rId45" w:history="1">
        <w:r w:rsidRPr="00134550">
          <w:rPr>
            <w:rStyle w:val="Hyperlink"/>
            <w:szCs w:val="20"/>
          </w:rPr>
          <w:t>(Baumgartner et al. (2017))</w:t>
        </w:r>
      </w:hyperlink>
      <w:r w:rsidRPr="00134550">
        <w:rPr>
          <w:szCs w:val="20"/>
        </w:rPr>
        <w:t xml:space="preserve">. Recommendations from the AHA/ACC Guidelines are reproduced from </w:t>
      </w:r>
      <w:hyperlink r:id="rId46" w:history="1">
        <w:r w:rsidRPr="00134550">
          <w:rPr>
            <w:rStyle w:val="Hyperlink"/>
            <w:szCs w:val="20"/>
          </w:rPr>
          <w:t>(Nishimura et al. (2017))</w:t>
        </w:r>
      </w:hyperlink>
      <w:r w:rsidRPr="00134550">
        <w:rPr>
          <w:szCs w:val="20"/>
        </w:rPr>
        <w:t xml:space="preserve"> Figure 2, Section 7.4.3 and </w:t>
      </w:r>
      <w:hyperlink r:id="rId47" w:history="1">
        <w:r w:rsidRPr="00134550">
          <w:rPr>
            <w:rStyle w:val="Hyperlink"/>
            <w:szCs w:val="20"/>
          </w:rPr>
          <w:t>(Nishimura et al. (2014))</w:t>
        </w:r>
      </w:hyperlink>
      <w:r w:rsidRPr="00134550">
        <w:rPr>
          <w:szCs w:val="20"/>
        </w:rPr>
        <w:t xml:space="preserve">, Section 7.3.2, sub-bullet 3. Recommendations from the AATS are reproduced from </w:t>
      </w:r>
      <w:hyperlink r:id="rId48" w:history="1">
        <w:r w:rsidRPr="00134550">
          <w:rPr>
            <w:rStyle w:val="Hyperlink"/>
            <w:szCs w:val="20"/>
            <w:lang w:val="en-US"/>
          </w:rPr>
          <w:t>(Kron et al. (2017))</w:t>
        </w:r>
      </w:hyperlink>
      <w:r w:rsidRPr="00134550">
        <w:rPr>
          <w:szCs w:val="20"/>
        </w:rPr>
        <w:t>, Section IV.</w:t>
      </w:r>
    </w:p>
    <w:p w14:paraId="21835B29" w14:textId="77777777" w:rsidR="00134550" w:rsidRPr="00134550" w:rsidRDefault="006264EF" w:rsidP="00134550">
      <w:pPr>
        <w:pStyle w:val="ListParagraph"/>
        <w:numPr>
          <w:ilvl w:val="0"/>
          <w:numId w:val="50"/>
        </w:numPr>
        <w:spacing w:before="0" w:after="0"/>
        <w:contextualSpacing w:val="0"/>
        <w:rPr>
          <w:sz w:val="18"/>
          <w:szCs w:val="20"/>
        </w:rPr>
      </w:pPr>
      <w:hyperlink r:id="rId49" w:history="1">
        <w:r w:rsidR="00134550" w:rsidRPr="00134550">
          <w:rPr>
            <w:rStyle w:val="Hyperlink"/>
            <w:szCs w:val="20"/>
            <w:lang w:val="en-US"/>
          </w:rPr>
          <w:t>(Nishimura et al. (2014))</w:t>
        </w:r>
      </w:hyperlink>
      <w:r w:rsidR="00134550" w:rsidRPr="00134550">
        <w:rPr>
          <w:szCs w:val="20"/>
          <w:lang w:val="en-US"/>
        </w:rPr>
        <w:t xml:space="preserve"> Nishimura RA, Otto CM, Bonow RO, Carabello BA, Erwin JP, 3rd, Guyton RA, et al. 2014 AHA/ACC guideline for the management of patients with valvular heart disease: a report of the American College of Cardiology/American Heart Association Task Force on Practice Guidelines. J Thorac Cardiovasc Surg. 2014 Jul;148(1):e1-e132.</w:t>
      </w:r>
    </w:p>
    <w:p w14:paraId="474D0737" w14:textId="77777777" w:rsidR="00134550" w:rsidRPr="00134550" w:rsidRDefault="006264EF" w:rsidP="00134550">
      <w:pPr>
        <w:pStyle w:val="ListParagraph"/>
        <w:numPr>
          <w:ilvl w:val="0"/>
          <w:numId w:val="50"/>
        </w:numPr>
        <w:spacing w:before="0" w:after="0"/>
        <w:contextualSpacing w:val="0"/>
        <w:rPr>
          <w:sz w:val="18"/>
          <w:szCs w:val="20"/>
        </w:rPr>
      </w:pPr>
      <w:hyperlink r:id="rId50" w:history="1">
        <w:r w:rsidR="00134550" w:rsidRPr="00134550">
          <w:rPr>
            <w:rStyle w:val="Hyperlink"/>
            <w:szCs w:val="20"/>
            <w:lang w:val="en-US"/>
          </w:rPr>
          <w:t>(Nishimura et al. (2017))</w:t>
        </w:r>
      </w:hyperlink>
      <w:r w:rsidR="00134550" w:rsidRPr="00134550">
        <w:rPr>
          <w:szCs w:val="20"/>
          <w:lang w:val="en-US"/>
        </w:rPr>
        <w:t xml:space="preserve"> Nishimura RA, Otto CM, Bonow RO, Carabello BA, Erwin JP, 3rd, Guyton RA, et al.2017 AHA/ACC Focused Update of the 2014 AHA/ACC Guideline for the Management of Patients With Valvular Heart Disease: A Report of the American College of Cardiology/American Heart Association Task Force on Clinical Practice Guidelines.Circ.2017;135:e1159-e1195.</w:t>
      </w:r>
    </w:p>
    <w:p w14:paraId="711AA238" w14:textId="77777777" w:rsidR="00134550" w:rsidRPr="00134550" w:rsidRDefault="006264EF" w:rsidP="00134550">
      <w:pPr>
        <w:pStyle w:val="ListParagraph"/>
        <w:numPr>
          <w:ilvl w:val="0"/>
          <w:numId w:val="50"/>
        </w:numPr>
        <w:spacing w:before="0" w:after="0"/>
        <w:contextualSpacing w:val="0"/>
        <w:rPr>
          <w:sz w:val="18"/>
          <w:szCs w:val="20"/>
        </w:rPr>
      </w:pPr>
      <w:hyperlink r:id="rId51" w:history="1">
        <w:r w:rsidR="00134550" w:rsidRPr="00134550">
          <w:rPr>
            <w:rStyle w:val="Hyperlink"/>
            <w:szCs w:val="20"/>
            <w:lang w:val="en-US"/>
          </w:rPr>
          <w:t>(Kron et al. (2017))</w:t>
        </w:r>
      </w:hyperlink>
      <w:r w:rsidR="00134550" w:rsidRPr="00134550">
        <w:rPr>
          <w:szCs w:val="20"/>
          <w:lang w:val="en-US"/>
        </w:rPr>
        <w:t xml:space="preserve"> Kron IL, LaPar DJ, Acker MA, Adams DH, Ailawadi G, Bolling SF, et al. 2016 update to the American Association for Thoracic Surgery (AATS) consensus guidelines: ischemic mitral valve regurgitation. J Thorac Cardiovasc Surg. 2017 May;153(5):e97-e114.</w:t>
      </w:r>
    </w:p>
    <w:p w14:paraId="25CE24FF" w14:textId="77777777" w:rsidR="00134550" w:rsidRPr="00134550" w:rsidRDefault="006264EF" w:rsidP="00134550">
      <w:pPr>
        <w:pStyle w:val="ListParagraph"/>
        <w:numPr>
          <w:ilvl w:val="0"/>
          <w:numId w:val="50"/>
        </w:numPr>
        <w:spacing w:before="0" w:after="0"/>
        <w:contextualSpacing w:val="0"/>
        <w:rPr>
          <w:sz w:val="18"/>
          <w:szCs w:val="20"/>
        </w:rPr>
      </w:pPr>
      <w:hyperlink r:id="rId52" w:history="1">
        <w:r w:rsidR="00134550" w:rsidRPr="00134550">
          <w:rPr>
            <w:rStyle w:val="Hyperlink"/>
            <w:szCs w:val="20"/>
            <w:lang w:val="en-US"/>
          </w:rPr>
          <w:t>(Baumgartner et al. (2017))</w:t>
        </w:r>
      </w:hyperlink>
      <w:r w:rsidR="00134550" w:rsidRPr="00134550">
        <w:rPr>
          <w:szCs w:val="20"/>
          <w:lang w:val="en-US"/>
        </w:rPr>
        <w:t xml:space="preserve"> Baumgartner H, Falk V, Bax JJ, De Bonis M, Hamm C, Holm PJ, et al. 2017 ESC/EACTS guidelines for the management of valvular heart disease. Eur Heart J. 2017 Sep;38(36):2739-91.</w:t>
      </w:r>
    </w:p>
    <w:p w14:paraId="3627ACD2" w14:textId="77777777" w:rsidR="005A7F58" w:rsidRDefault="005A7F58" w:rsidP="5708903C">
      <w:pPr>
        <w:pStyle w:val="Subtitle"/>
        <w:ind w:left="0"/>
        <w:rPr>
          <w:b w:val="0"/>
          <w:i w:val="0"/>
          <w:u w:val="none"/>
        </w:rPr>
      </w:pPr>
    </w:p>
    <w:p w14:paraId="5EAD93F5" w14:textId="77777777" w:rsidR="008F390B" w:rsidRDefault="008F390B">
      <w:pPr>
        <w:spacing w:before="0" w:after="200" w:line="276" w:lineRule="auto"/>
        <w:rPr>
          <w:szCs w:val="20"/>
        </w:rPr>
      </w:pPr>
      <w:r>
        <w:rPr>
          <w:b/>
          <w:i/>
        </w:rPr>
        <w:br w:type="page"/>
      </w:r>
    </w:p>
    <w:p w14:paraId="53A7FC2C" w14:textId="031B4B97" w:rsidR="00383EA4" w:rsidRPr="00636EE1" w:rsidRDefault="000C13D0" w:rsidP="008F390B">
      <w:pPr>
        <w:pStyle w:val="Subtitle"/>
        <w:ind w:left="0"/>
        <w:rPr>
          <w:b w:val="0"/>
          <w:i w:val="0"/>
          <w:u w:val="none"/>
        </w:rPr>
      </w:pPr>
      <w:r w:rsidRPr="00636EE1">
        <w:rPr>
          <w:b w:val="0"/>
          <w:i w:val="0"/>
          <w:u w:val="none"/>
        </w:rPr>
        <w:lastRenderedPageBreak/>
        <w:t>Australian clinician</w:t>
      </w:r>
      <w:r w:rsidR="00571E74" w:rsidRPr="00636EE1">
        <w:rPr>
          <w:b w:val="0"/>
          <w:i w:val="0"/>
          <w:u w:val="none"/>
        </w:rPr>
        <w:t xml:space="preserve"> </w:t>
      </w:r>
      <w:r w:rsidR="00613D83" w:rsidRPr="00636EE1">
        <w:rPr>
          <w:b w:val="0"/>
          <w:i w:val="0"/>
          <w:u w:val="none"/>
        </w:rPr>
        <w:t xml:space="preserve">feedback was </w:t>
      </w:r>
      <w:r w:rsidR="00525148" w:rsidRPr="00636EE1">
        <w:rPr>
          <w:b w:val="0"/>
          <w:i w:val="0"/>
          <w:u w:val="none"/>
        </w:rPr>
        <w:t xml:space="preserve">queried </w:t>
      </w:r>
      <w:r w:rsidR="00802C1A" w:rsidRPr="00636EE1">
        <w:rPr>
          <w:b w:val="0"/>
          <w:i w:val="0"/>
          <w:u w:val="none"/>
        </w:rPr>
        <w:t xml:space="preserve">to establish </w:t>
      </w:r>
      <w:r w:rsidR="007A2CD6" w:rsidRPr="00636EE1">
        <w:rPr>
          <w:b w:val="0"/>
          <w:i w:val="0"/>
          <w:u w:val="none"/>
        </w:rPr>
        <w:t xml:space="preserve">the unmet need for MR patients that TMVr would </w:t>
      </w:r>
      <w:r w:rsidR="00E946F7" w:rsidRPr="00636EE1">
        <w:rPr>
          <w:b w:val="0"/>
          <w:i w:val="0"/>
          <w:u w:val="none"/>
        </w:rPr>
        <w:t xml:space="preserve">meet, </w:t>
      </w:r>
      <w:r w:rsidR="00CA762E" w:rsidRPr="00636EE1">
        <w:rPr>
          <w:b w:val="0"/>
          <w:i w:val="0"/>
          <w:u w:val="none"/>
        </w:rPr>
        <w:t xml:space="preserve">the clinical </w:t>
      </w:r>
      <w:r w:rsidR="00D01DEF" w:rsidRPr="00636EE1">
        <w:rPr>
          <w:b w:val="0"/>
          <w:i w:val="0"/>
          <w:u w:val="none"/>
        </w:rPr>
        <w:t xml:space="preserve">efficacy of the PASCAL Transcatheter Repair System, and </w:t>
      </w:r>
      <w:r w:rsidR="00E01168" w:rsidRPr="00636EE1">
        <w:rPr>
          <w:b w:val="0"/>
          <w:i w:val="0"/>
          <w:u w:val="none"/>
        </w:rPr>
        <w:t xml:space="preserve">the </w:t>
      </w:r>
      <w:r w:rsidR="00B22A5B" w:rsidRPr="00636EE1">
        <w:rPr>
          <w:b w:val="0"/>
          <w:i w:val="0"/>
          <w:u w:val="none"/>
        </w:rPr>
        <w:t>appropriate clinical</w:t>
      </w:r>
      <w:r w:rsidR="00740888" w:rsidRPr="00636EE1">
        <w:rPr>
          <w:b w:val="0"/>
          <w:i w:val="0"/>
          <w:u w:val="none"/>
        </w:rPr>
        <w:t xml:space="preserve"> pathway for </w:t>
      </w:r>
      <w:r w:rsidR="001C0CD8" w:rsidRPr="00636EE1">
        <w:rPr>
          <w:b w:val="0"/>
          <w:i w:val="0"/>
          <w:u w:val="none"/>
        </w:rPr>
        <w:t>utilization within the Australian</w:t>
      </w:r>
      <w:r w:rsidR="00525148" w:rsidRPr="00636EE1">
        <w:rPr>
          <w:b w:val="0"/>
          <w:i w:val="0"/>
          <w:u w:val="none"/>
        </w:rPr>
        <w:t xml:space="preserve"> </w:t>
      </w:r>
      <w:r w:rsidR="00527809" w:rsidRPr="00636EE1">
        <w:rPr>
          <w:b w:val="0"/>
          <w:i w:val="0"/>
          <w:u w:val="none"/>
        </w:rPr>
        <w:t>symp</w:t>
      </w:r>
      <w:r w:rsidR="00E46EFA" w:rsidRPr="00636EE1">
        <w:rPr>
          <w:b w:val="0"/>
          <w:i w:val="0"/>
          <w:u w:val="none"/>
        </w:rPr>
        <w:t>tomatic, severe MR patient population</w:t>
      </w:r>
      <w:r w:rsidR="00B50999" w:rsidRPr="00636EE1">
        <w:rPr>
          <w:b w:val="0"/>
          <w:i w:val="0"/>
          <w:u w:val="none"/>
        </w:rPr>
        <w:t>; their letters of support are attached to this application.</w:t>
      </w:r>
    </w:p>
    <w:p w14:paraId="26BC9B0C" w14:textId="77777777" w:rsidR="00F94414" w:rsidRPr="00636EE1" w:rsidRDefault="00F94414" w:rsidP="00F94414">
      <w:pPr>
        <w:rPr>
          <w:szCs w:val="20"/>
        </w:rPr>
      </w:pPr>
      <w:r w:rsidRPr="00636EE1">
        <w:rPr>
          <w:szCs w:val="20"/>
        </w:rPr>
        <w:t xml:space="preserve">The comparator medical service is the dominant transcatheter mitral valve repair device system and clip component in the TMVr landscape at present, and as TMVr is accepted as a much-needed therapeutic options for symptomatic, severe MR patients, guidelines that reflect treatment pathways will adapt, however, that time has not come. </w:t>
      </w:r>
    </w:p>
    <w:p w14:paraId="2C94DF8C" w14:textId="570132FF" w:rsidR="00F94414" w:rsidRPr="00636EE1" w:rsidRDefault="00F94414" w:rsidP="00F94414">
      <w:pPr>
        <w:rPr>
          <w:szCs w:val="20"/>
        </w:rPr>
      </w:pPr>
      <w:r w:rsidRPr="00636EE1">
        <w:rPr>
          <w:szCs w:val="20"/>
        </w:rPr>
        <w:t xml:space="preserve">The </w:t>
      </w:r>
      <w:r w:rsidR="00997D6B" w:rsidRPr="00636EE1">
        <w:rPr>
          <w:szCs w:val="20"/>
        </w:rPr>
        <w:t>PASCAL Transcatheter Mi</w:t>
      </w:r>
      <w:r w:rsidR="008E20BA" w:rsidRPr="00636EE1">
        <w:rPr>
          <w:szCs w:val="20"/>
        </w:rPr>
        <w:t>tral Valve Repair System’s</w:t>
      </w:r>
      <w:r w:rsidRPr="00636EE1">
        <w:rPr>
          <w:szCs w:val="20"/>
        </w:rPr>
        <w:t xml:space="preserve"> objective of the proposed medical service (TMVr) is to repair the mitral valve. Therefore, if placement of one </w:t>
      </w:r>
      <w:r w:rsidR="008E20BA" w:rsidRPr="00636EE1">
        <w:rPr>
          <w:szCs w:val="20"/>
        </w:rPr>
        <w:t>PASCAL implant</w:t>
      </w:r>
      <w:r w:rsidRPr="00636EE1">
        <w:rPr>
          <w:szCs w:val="20"/>
        </w:rPr>
        <w:t xml:space="preserve"> does not result in acceptable reduction in MR, a second </w:t>
      </w:r>
      <w:r w:rsidR="008E20BA" w:rsidRPr="00636EE1">
        <w:rPr>
          <w:szCs w:val="20"/>
        </w:rPr>
        <w:t>PASCAL implant</w:t>
      </w:r>
      <w:r w:rsidRPr="00636EE1">
        <w:rPr>
          <w:szCs w:val="20"/>
        </w:rPr>
        <w:t xml:space="preserve"> may be placed</w:t>
      </w:r>
      <w:r w:rsidR="000B0AE2" w:rsidRPr="00636EE1">
        <w:rPr>
          <w:szCs w:val="20"/>
        </w:rPr>
        <w:t>.</w:t>
      </w:r>
      <w:r w:rsidR="004E616D" w:rsidRPr="00636EE1">
        <w:rPr>
          <w:szCs w:val="20"/>
        </w:rPr>
        <w:t xml:space="preserve"> This is in line with our comparator, MitraClip.</w:t>
      </w:r>
    </w:p>
    <w:p w14:paraId="6650BC93" w14:textId="1ABD7F82" w:rsidR="00F94414" w:rsidRDefault="004E616D" w:rsidP="00F94414">
      <w:pPr>
        <w:rPr>
          <w:szCs w:val="20"/>
        </w:rPr>
      </w:pPr>
      <w:r w:rsidRPr="00636EE1">
        <w:rPr>
          <w:szCs w:val="20"/>
        </w:rPr>
        <w:t xml:space="preserve">Therefore, </w:t>
      </w:r>
      <w:r w:rsidR="00486A51" w:rsidRPr="00636EE1">
        <w:rPr>
          <w:szCs w:val="20"/>
        </w:rPr>
        <w:t xml:space="preserve">our </w:t>
      </w:r>
      <w:r w:rsidR="000B0C99" w:rsidRPr="00636EE1">
        <w:rPr>
          <w:szCs w:val="20"/>
        </w:rPr>
        <w:t>current clinical management pathway up until procedure mirrors that</w:t>
      </w:r>
      <w:r w:rsidR="00486A51" w:rsidRPr="00636EE1">
        <w:rPr>
          <w:szCs w:val="20"/>
        </w:rPr>
        <w:t xml:space="preserve"> </w:t>
      </w:r>
      <w:r w:rsidR="00B7144C" w:rsidRPr="00636EE1">
        <w:rPr>
          <w:szCs w:val="20"/>
        </w:rPr>
        <w:t>which</w:t>
      </w:r>
      <w:r w:rsidR="00F94414" w:rsidRPr="00636EE1">
        <w:rPr>
          <w:szCs w:val="20"/>
        </w:rPr>
        <w:t xml:space="preserve"> MSAC application 1192.3 from Abbott Vascular</w:t>
      </w:r>
      <w:r w:rsidR="00B7144C" w:rsidRPr="00636EE1">
        <w:rPr>
          <w:szCs w:val="20"/>
        </w:rPr>
        <w:t xml:space="preserve"> iterates</w:t>
      </w:r>
      <w:r w:rsidR="007B393D" w:rsidRPr="00636EE1">
        <w:rPr>
          <w:szCs w:val="20"/>
        </w:rPr>
        <w:t xml:space="preserve">. Per Abbott’s </w:t>
      </w:r>
      <w:r w:rsidR="005F029F" w:rsidRPr="00636EE1">
        <w:rPr>
          <w:szCs w:val="20"/>
        </w:rPr>
        <w:t>MSAC application 1192.3</w:t>
      </w:r>
      <w:r w:rsidR="00D921A3" w:rsidRPr="00636EE1">
        <w:rPr>
          <w:szCs w:val="20"/>
        </w:rPr>
        <w:t>’s</w:t>
      </w:r>
      <w:r w:rsidR="00F94414" w:rsidRPr="00636EE1">
        <w:rPr>
          <w:szCs w:val="20"/>
        </w:rPr>
        <w:t xml:space="preserve"> answer to question number 26 in relation to the clinical management pathway in DMR, “The clinical algorithm evaluated by MSAC in Application 1192.2 in 2016 was reviewed by four KOLs in January 2019. The resultant adapted clinical management algorithm for patients with severe DMR is provided in Figure 5. The standard treatment of patients with severe DMR (grade 3+ or 4+) is surgical repair (or replacement if repair is not feasible). However, in patients that are considered by the MDHT to be high risk surgical candidates, but considered suitable for MitraClip, TMVr provides a treatment option. The alternate treatment option in these patients is medical management.”</w:t>
      </w:r>
    </w:p>
    <w:p w14:paraId="425F2E84" w14:textId="77777777" w:rsidR="00F94414" w:rsidRDefault="00F94414" w:rsidP="00F94414">
      <w:r>
        <w:rPr>
          <w:noProof/>
          <w:lang w:eastAsia="en-AU"/>
        </w:rPr>
        <w:drawing>
          <wp:inline distT="0" distB="0" distL="0" distR="0" wp14:anchorId="678CE142" wp14:editId="49B4E2AE">
            <wp:extent cx="5731510" cy="4306570"/>
            <wp:effectExtent l="0" t="0" r="2540" b="0"/>
            <wp:docPr id="8" name="Picture 8"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
                    <pic:cNvPicPr/>
                  </pic:nvPicPr>
                  <pic:blipFill>
                    <a:blip r:embed="rId53">
                      <a:extLst>
                        <a:ext uri="{28A0092B-C50C-407E-A947-70E740481C1C}">
                          <a14:useLocalDpi xmlns:a14="http://schemas.microsoft.com/office/drawing/2010/main" val="0"/>
                        </a:ext>
                      </a:extLst>
                    </a:blip>
                    <a:stretch>
                      <a:fillRect/>
                    </a:stretch>
                  </pic:blipFill>
                  <pic:spPr>
                    <a:xfrm>
                      <a:off x="0" y="0"/>
                      <a:ext cx="5731510" cy="4306570"/>
                    </a:xfrm>
                    <a:prstGeom prst="rect">
                      <a:avLst/>
                    </a:prstGeom>
                  </pic:spPr>
                </pic:pic>
              </a:graphicData>
            </a:graphic>
          </wp:inline>
        </w:drawing>
      </w:r>
    </w:p>
    <w:p w14:paraId="588852FF" w14:textId="406A77BB" w:rsidR="00F94414" w:rsidRDefault="00F94414" w:rsidP="00F94414">
      <w:pPr>
        <w:rPr>
          <w:szCs w:val="20"/>
        </w:rPr>
      </w:pPr>
      <w:r w:rsidRPr="00636EE1">
        <w:rPr>
          <w:szCs w:val="20"/>
        </w:rPr>
        <w:t xml:space="preserve">Per MSAC application 1192.3 from Abbott Vascular, </w:t>
      </w:r>
      <w:r w:rsidR="00D921A3" w:rsidRPr="00636EE1">
        <w:rPr>
          <w:szCs w:val="20"/>
        </w:rPr>
        <w:t xml:space="preserve">their </w:t>
      </w:r>
      <w:r w:rsidRPr="00636EE1">
        <w:rPr>
          <w:szCs w:val="20"/>
        </w:rPr>
        <w:t>answer to question number 26 in relation to the clinical management pathway in FMR</w:t>
      </w:r>
      <w:r w:rsidR="00D921A3" w:rsidRPr="00636EE1">
        <w:rPr>
          <w:szCs w:val="20"/>
        </w:rPr>
        <w:t xml:space="preserve"> also applies to PASCAL:</w:t>
      </w:r>
      <w:r w:rsidRPr="00636EE1">
        <w:rPr>
          <w:szCs w:val="20"/>
        </w:rPr>
        <w:t xml:space="preserve"> “Based on discussion with four Australian KOLs, a consensus on the current clinical management algorithm for patients with severe FMR was provided (Figure 6). Severe FMR results in volume overload to a decompensated left ventricle which in turn leads to worsening the prognosis of the patient. In contrast to the DMR population, there is only scant evidence to indicate that correcting the MR in these patients with FMR results in increased survival or extended symptom improvement. </w:t>
      </w:r>
      <w:r w:rsidRPr="00636EE1">
        <w:rPr>
          <w:szCs w:val="20"/>
        </w:rPr>
        <w:lastRenderedPageBreak/>
        <w:t>Hence in this population, there is much less focus on surgical repair and the mainstay treatment is medical management. Given the less invasive nature of the TMVr compared with standard surgical approaches, this treatment option provides patients and clinicians with an alternate to medical management. Given the superiority of TMVr over optimal medial management (Stone et al., 2018), there is a high clinical need for this to be reimbursed on the MBS in Australia.”</w:t>
      </w:r>
    </w:p>
    <w:p w14:paraId="259E6C01" w14:textId="1E5F9B4F" w:rsidR="003873BF" w:rsidRDefault="00F94414" w:rsidP="50573BD9">
      <w:pPr>
        <w:rPr>
          <w:b/>
          <w:i/>
        </w:rPr>
      </w:pPr>
      <w:r>
        <w:rPr>
          <w:noProof/>
          <w:lang w:eastAsia="en-AU"/>
        </w:rPr>
        <w:drawing>
          <wp:inline distT="0" distB="0" distL="0" distR="0" wp14:anchorId="01A0DC48" wp14:editId="45B960FC">
            <wp:extent cx="5731510" cy="4019550"/>
            <wp:effectExtent l="0" t="0" r="2540" b="0"/>
            <wp:docPr id="9" name="Picture 9"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pic:cNvPicPr/>
                  </pic:nvPicPr>
                  <pic:blipFill>
                    <a:blip r:embed="rId54">
                      <a:extLst>
                        <a:ext uri="{28A0092B-C50C-407E-A947-70E740481C1C}">
                          <a14:useLocalDpi xmlns:a14="http://schemas.microsoft.com/office/drawing/2010/main" val="0"/>
                        </a:ext>
                      </a:extLst>
                    </a:blip>
                    <a:stretch>
                      <a:fillRect/>
                    </a:stretch>
                  </pic:blipFill>
                  <pic:spPr>
                    <a:xfrm>
                      <a:off x="0" y="0"/>
                      <a:ext cx="5731510" cy="4019550"/>
                    </a:xfrm>
                    <a:prstGeom prst="rect">
                      <a:avLst/>
                    </a:prstGeom>
                  </pic:spPr>
                </pic:pic>
              </a:graphicData>
            </a:graphic>
          </wp:inline>
        </w:drawing>
      </w:r>
      <w:r w:rsidR="00B40187" w:rsidRPr="50573BD9">
        <w:rPr>
          <w:b/>
          <w:bCs/>
          <w:i/>
          <w:iCs/>
        </w:rPr>
        <w:t xml:space="preserve"> </w:t>
      </w:r>
    </w:p>
    <w:p w14:paraId="19D65E08" w14:textId="77777777" w:rsidR="0093061E" w:rsidRDefault="0093061E" w:rsidP="00B40187">
      <w:pPr>
        <w:pStyle w:val="Subtitle"/>
        <w:ind w:left="0"/>
        <w:rPr>
          <w:b w:val="0"/>
          <w:i w:val="0"/>
          <w:szCs w:val="22"/>
          <w:u w:val="none"/>
        </w:rPr>
      </w:pPr>
    </w:p>
    <w:p w14:paraId="589183C9" w14:textId="6E53A463" w:rsidR="002A50FD" w:rsidRPr="00881F93" w:rsidRDefault="005C3AE7" w:rsidP="00B40187">
      <w:pPr>
        <w:pStyle w:val="Subtitle"/>
        <w:ind w:left="0"/>
      </w:pPr>
      <w:r>
        <w:t xml:space="preserve">PART 6b – </w:t>
      </w:r>
      <w:r w:rsidR="002A50FD" w:rsidRPr="00881F93">
        <w:t>INFORMATION ABOUT THE INTERVENTION</w:t>
      </w:r>
    </w:p>
    <w:p w14:paraId="6179A43D" w14:textId="4C557060" w:rsidR="002A50FD"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2CB06437" w14:textId="77777777" w:rsidR="00F81F09" w:rsidRDefault="00F81F09" w:rsidP="007D1E23">
      <w:pPr>
        <w:pStyle w:val="Heading2"/>
        <w:numPr>
          <w:ilvl w:val="0"/>
          <w:numId w:val="0"/>
        </w:numPr>
        <w:ind w:left="360"/>
        <w:rPr>
          <w:b w:val="0"/>
          <w:szCs w:val="22"/>
        </w:rPr>
      </w:pPr>
    </w:p>
    <w:p w14:paraId="762B1ECC" w14:textId="7BFF4CF8" w:rsidR="007D1E23" w:rsidRPr="00E9126B" w:rsidRDefault="007D1E23" w:rsidP="007D1E23">
      <w:pPr>
        <w:pStyle w:val="Heading2"/>
        <w:numPr>
          <w:ilvl w:val="0"/>
          <w:numId w:val="0"/>
        </w:numPr>
        <w:ind w:left="360"/>
        <w:rPr>
          <w:b w:val="0"/>
          <w:szCs w:val="22"/>
        </w:rPr>
      </w:pPr>
      <w:r w:rsidRPr="00E9126B">
        <w:rPr>
          <w:b w:val="0"/>
          <w:szCs w:val="22"/>
        </w:rPr>
        <w:t>Patients are screened and assessed for anatomical feasibility for device implantation by transthoracic echocardiography (TTE) and TEE. The TTEs are performed according to specific core laboratory protocols and previously published guidelines defined by the American Society of Echocardiography (ASE) for assessment of valve, ventricular function, and core laboratory measurements</w:t>
      </w:r>
      <w:r w:rsidR="00096ADB" w:rsidRPr="00E9126B">
        <w:rPr>
          <w:b w:val="0"/>
          <w:szCs w:val="22"/>
        </w:rPr>
        <w:t xml:space="preserve"> (Baumgartner et al.</w:t>
      </w:r>
      <w:r w:rsidR="008B0090" w:rsidRPr="00E9126B">
        <w:rPr>
          <w:b w:val="0"/>
          <w:szCs w:val="22"/>
        </w:rPr>
        <w:t xml:space="preserve">, 2017) (Zoghbi et al., </w:t>
      </w:r>
      <w:r w:rsidR="00A562A0" w:rsidRPr="00E9126B">
        <w:rPr>
          <w:b w:val="0"/>
          <w:szCs w:val="22"/>
        </w:rPr>
        <w:t>2017)</w:t>
      </w:r>
      <w:r w:rsidRPr="00E9126B">
        <w:rPr>
          <w:b w:val="0"/>
          <w:szCs w:val="22"/>
        </w:rPr>
        <w:t>. The MR severity is assessed using two-dimensional Doppler echocardiography and graded using the MR severity scale recommended by ASE</w:t>
      </w:r>
      <w:r w:rsidR="004A43B7" w:rsidRPr="00E9126B">
        <w:rPr>
          <w:b w:val="0"/>
          <w:szCs w:val="22"/>
        </w:rPr>
        <w:t xml:space="preserve"> (</w:t>
      </w:r>
      <w:r w:rsidR="003C290B" w:rsidRPr="00E9126B">
        <w:rPr>
          <w:b w:val="0"/>
          <w:szCs w:val="22"/>
        </w:rPr>
        <w:t>Zoghbi et al., 2017)</w:t>
      </w:r>
      <w:r w:rsidRPr="00E9126B">
        <w:rPr>
          <w:b w:val="0"/>
          <w:szCs w:val="22"/>
        </w:rPr>
        <w:t>.  The grading includes none/trace (0), mild (1+), mild-moderate (2+), moderate-severe (3+), and severe regurgitation (4+). Additionally, three-dimensional (3D) images allowing reconstruction of the mitral valve area at baseline and after device implantation are acquired. For assessment of the valve area, multiplanar reconstruction is performed as previously described</w:t>
      </w:r>
      <w:r w:rsidR="003C290B" w:rsidRPr="00E9126B">
        <w:rPr>
          <w:b w:val="0"/>
          <w:szCs w:val="22"/>
        </w:rPr>
        <w:t xml:space="preserve"> (Biaggi et al., 2013) (ALtiok et al</w:t>
      </w:r>
      <w:r w:rsidRPr="00E9126B">
        <w:rPr>
          <w:b w:val="0"/>
          <w:szCs w:val="22"/>
        </w:rPr>
        <w:t>.</w:t>
      </w:r>
      <w:r w:rsidR="00AB6BAE" w:rsidRPr="00E9126B">
        <w:rPr>
          <w:b w:val="0"/>
          <w:szCs w:val="22"/>
        </w:rPr>
        <w:t>, 2012).</w:t>
      </w:r>
      <w:r w:rsidRPr="00E9126B">
        <w:rPr>
          <w:b w:val="0"/>
          <w:szCs w:val="22"/>
        </w:rPr>
        <w:t xml:space="preserve"> All procedures are guided by TEE.</w:t>
      </w:r>
    </w:p>
    <w:p w14:paraId="0DFD49D6" w14:textId="77777777" w:rsidR="00BE2E0C" w:rsidRPr="00E9126B" w:rsidRDefault="00BE2E0C" w:rsidP="007D1E23">
      <w:pPr>
        <w:pStyle w:val="Heading2"/>
        <w:numPr>
          <w:ilvl w:val="0"/>
          <w:numId w:val="0"/>
        </w:numPr>
        <w:ind w:left="360"/>
        <w:rPr>
          <w:b w:val="0"/>
          <w:szCs w:val="22"/>
        </w:rPr>
      </w:pPr>
    </w:p>
    <w:p w14:paraId="6F497310" w14:textId="5AF74C9C" w:rsidR="007D1E23" w:rsidRPr="00E9126B" w:rsidRDefault="007D1E23" w:rsidP="007D1E23">
      <w:pPr>
        <w:pStyle w:val="Heading2"/>
        <w:numPr>
          <w:ilvl w:val="0"/>
          <w:numId w:val="0"/>
        </w:numPr>
        <w:ind w:left="360"/>
        <w:rPr>
          <w:b w:val="0"/>
          <w:szCs w:val="22"/>
        </w:rPr>
      </w:pPr>
      <w:r w:rsidRPr="00636EE1">
        <w:rPr>
          <w:b w:val="0"/>
          <w:szCs w:val="22"/>
        </w:rPr>
        <w:t xml:space="preserve">The procedure is performed under general </w:t>
      </w:r>
      <w:r w:rsidR="003F116F" w:rsidRPr="00636EE1">
        <w:rPr>
          <w:b w:val="0"/>
          <w:szCs w:val="22"/>
        </w:rPr>
        <w:t>anaesthesia</w:t>
      </w:r>
      <w:r w:rsidRPr="00636EE1">
        <w:rPr>
          <w:b w:val="0"/>
          <w:szCs w:val="22"/>
        </w:rPr>
        <w:t xml:space="preserve"> with hemodynamic monitoring in an operating room or in a hybrid operating room with fluoroscopic and echocardiographic (2D and 3D) imaging capabilities, on the beating heart via a femoral venous approach. The transvenous procedure begins by accessing the femoral vein using conventional percutaneous puncture methods.  A guidewire is inserted in the left atrium via transseptal access, and the guide sheath with introducer is inserted over the guidewire across the septum. The implant system is inserted into the guide sheath using a loader and advanced until the flex section exits the guide sheath. The steerable catheter is </w:t>
      </w:r>
      <w:r w:rsidR="003F116F" w:rsidRPr="00636EE1">
        <w:rPr>
          <w:b w:val="0"/>
          <w:szCs w:val="22"/>
        </w:rPr>
        <w:t>maneuvered</w:t>
      </w:r>
      <w:r w:rsidRPr="00636EE1">
        <w:rPr>
          <w:b w:val="0"/>
          <w:szCs w:val="22"/>
        </w:rPr>
        <w:t xml:space="preserve"> until the implant is </w:t>
      </w:r>
      <w:r w:rsidR="00A976FE" w:rsidRPr="00636EE1">
        <w:rPr>
          <w:b w:val="0"/>
          <w:szCs w:val="22"/>
        </w:rPr>
        <w:t>centred</w:t>
      </w:r>
      <w:r w:rsidRPr="00636EE1">
        <w:rPr>
          <w:b w:val="0"/>
          <w:szCs w:val="22"/>
        </w:rPr>
        <w:t xml:space="preserve"> in the target leaflet zone and appropriately aligned with the mitral annular plane using transesophageal </w:t>
      </w:r>
      <w:r w:rsidRPr="00636EE1">
        <w:rPr>
          <w:b w:val="0"/>
          <w:szCs w:val="22"/>
        </w:rPr>
        <w:lastRenderedPageBreak/>
        <w:t>echocardiography (TEE) guidance. The implant position is confirmed and adjusted as necessary to achieve the desired outcome, and then released.</w:t>
      </w:r>
    </w:p>
    <w:p w14:paraId="2C29918D" w14:textId="3B1A04DC" w:rsidR="00BE2E0C" w:rsidRPr="00E9126B" w:rsidRDefault="00BE2E0C" w:rsidP="004A471C">
      <w:pPr>
        <w:pStyle w:val="Heading2"/>
        <w:numPr>
          <w:ilvl w:val="0"/>
          <w:numId w:val="0"/>
        </w:numPr>
        <w:ind w:left="360"/>
        <w:rPr>
          <w:b w:val="0"/>
        </w:rPr>
      </w:pPr>
    </w:p>
    <w:p w14:paraId="70330156" w14:textId="6A622FBE" w:rsidR="004A471C" w:rsidRPr="004A471C" w:rsidRDefault="007D1E23" w:rsidP="0078115A">
      <w:pPr>
        <w:pStyle w:val="Heading2"/>
        <w:numPr>
          <w:ilvl w:val="0"/>
          <w:numId w:val="0"/>
        </w:numPr>
        <w:ind w:left="360"/>
        <w:rPr>
          <w:b w:val="0"/>
          <w:szCs w:val="22"/>
        </w:rPr>
      </w:pPr>
      <w:r w:rsidRPr="00E9126B">
        <w:rPr>
          <w:b w:val="0"/>
          <w:szCs w:val="22"/>
        </w:rPr>
        <w:t xml:space="preserve">The treatment is carried out by a multidisciplinary heart team including an interventional cardiologist, an echocardiograph, and an </w:t>
      </w:r>
      <w:r w:rsidR="003F116F" w:rsidRPr="00E9126B">
        <w:rPr>
          <w:b w:val="0"/>
          <w:szCs w:val="22"/>
        </w:rPr>
        <w:t>anaesthesiologist</w:t>
      </w:r>
      <w:r w:rsidRPr="00E9126B">
        <w:rPr>
          <w:b w:val="0"/>
          <w:szCs w:val="22"/>
        </w:rPr>
        <w:t>. The implantation can be done either by the cardiologist or the cardiac surgeon.</w:t>
      </w:r>
      <w:r w:rsidR="00296583">
        <w:rPr>
          <w:b w:val="0"/>
          <w:szCs w:val="22"/>
        </w:rPr>
        <w:br/>
      </w:r>
    </w:p>
    <w:p w14:paraId="7B66A359" w14:textId="751A2EA7" w:rsidR="000F78E3" w:rsidRDefault="000F78E3" w:rsidP="00336359">
      <w:pPr>
        <w:pStyle w:val="Heading2"/>
        <w:spacing w:after="0"/>
      </w:pPr>
      <w:r w:rsidRPr="00EC512C">
        <w:t>Does the proposed medical service include a registered trademark component with</w:t>
      </w:r>
      <w:r w:rsidR="009659A1" w:rsidRPr="00EC512C">
        <w:t xml:space="preserve"> </w:t>
      </w:r>
      <w:r w:rsidRPr="00EC512C">
        <w:t>characteristics that distinguishes it from other similar health components?</w:t>
      </w:r>
    </w:p>
    <w:p w14:paraId="29CF0936" w14:textId="77777777" w:rsidR="00336359" w:rsidRPr="00336359" w:rsidRDefault="00336359" w:rsidP="00BE69F7">
      <w:pPr>
        <w:spacing w:before="0" w:after="0"/>
        <w:jc w:val="both"/>
      </w:pPr>
    </w:p>
    <w:p w14:paraId="0126C031" w14:textId="39B03D0A" w:rsidR="00AF66CE" w:rsidRPr="00E002E1" w:rsidRDefault="00486874" w:rsidP="00BE69F7">
      <w:pPr>
        <w:pStyle w:val="Heading2"/>
        <w:numPr>
          <w:ilvl w:val="0"/>
          <w:numId w:val="0"/>
        </w:numPr>
        <w:spacing w:before="0" w:after="0"/>
        <w:ind w:left="360"/>
        <w:rPr>
          <w:b w:val="0"/>
          <w:szCs w:val="22"/>
        </w:rPr>
      </w:pPr>
      <w:r w:rsidRPr="00E9126B">
        <w:rPr>
          <w:b w:val="0"/>
          <w:szCs w:val="22"/>
        </w:rPr>
        <w:t>Edwards, Edwards Lifesciences, the stylized E logo, and PASCAL are trademarks or service marks of Edwards Lifesciences Corporation. All other trademarks are the property of their respective owners.</w:t>
      </w:r>
      <w:r w:rsidR="003958A3">
        <w:br/>
      </w:r>
    </w:p>
    <w:p w14:paraId="05109109" w14:textId="1BF993F2" w:rsidR="00336359" w:rsidRDefault="00C22AD8" w:rsidP="008F4307">
      <w:pPr>
        <w:pStyle w:val="Heading2"/>
        <w:spacing w:before="0" w:after="0"/>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29AB6A3B" w14:textId="77777777" w:rsidR="00C979F6" w:rsidRPr="00C979F6" w:rsidRDefault="00C979F6" w:rsidP="008F4307">
      <w:pPr>
        <w:spacing w:before="0" w:after="0"/>
      </w:pPr>
    </w:p>
    <w:p w14:paraId="4CC53A2B" w14:textId="77777777" w:rsidR="00C00D97" w:rsidRPr="0008070B" w:rsidRDefault="00C00D97" w:rsidP="008F4307">
      <w:pPr>
        <w:pStyle w:val="Heading2"/>
        <w:numPr>
          <w:ilvl w:val="0"/>
          <w:numId w:val="0"/>
        </w:numPr>
        <w:spacing w:before="0" w:after="0"/>
        <w:ind w:left="360"/>
        <w:rPr>
          <w:b w:val="0"/>
          <w:szCs w:val="22"/>
        </w:rPr>
      </w:pPr>
      <w:r w:rsidRPr="0008070B">
        <w:rPr>
          <w:b w:val="0"/>
          <w:szCs w:val="22"/>
        </w:rPr>
        <w:t>The proposed medical service includes a device component as part of the procedure, the implantation of</w:t>
      </w:r>
    </w:p>
    <w:p w14:paraId="32DC4FF1" w14:textId="0BF811D0" w:rsidR="00C00D97" w:rsidRDefault="00C00D97" w:rsidP="008F4307">
      <w:pPr>
        <w:pStyle w:val="Heading2"/>
        <w:numPr>
          <w:ilvl w:val="0"/>
          <w:numId w:val="0"/>
        </w:numPr>
        <w:spacing w:before="0" w:after="0"/>
        <w:ind w:left="360"/>
        <w:rPr>
          <w:b w:val="0"/>
          <w:szCs w:val="22"/>
        </w:rPr>
      </w:pPr>
      <w:r w:rsidRPr="0008070B">
        <w:rPr>
          <w:b w:val="0"/>
          <w:szCs w:val="22"/>
        </w:rPr>
        <w:t>PASCAL implant(s). Th</w:t>
      </w:r>
      <w:r w:rsidR="003732BD" w:rsidRPr="0008070B">
        <w:rPr>
          <w:b w:val="0"/>
          <w:szCs w:val="22"/>
        </w:rPr>
        <w:t>e</w:t>
      </w:r>
      <w:r w:rsidRPr="0008070B">
        <w:rPr>
          <w:b w:val="0"/>
          <w:szCs w:val="22"/>
        </w:rPr>
        <w:t xml:space="preserve"> proposed patient populations are currently managed with medical management</w:t>
      </w:r>
      <w:r w:rsidR="00B10C72" w:rsidRPr="0008070B">
        <w:rPr>
          <w:b w:val="0"/>
          <w:szCs w:val="22"/>
        </w:rPr>
        <w:t xml:space="preserve"> </w:t>
      </w:r>
      <w:r w:rsidR="00F52872" w:rsidRPr="0008070B">
        <w:rPr>
          <w:b w:val="0"/>
          <w:szCs w:val="22"/>
        </w:rPr>
        <w:t>and</w:t>
      </w:r>
      <w:r w:rsidR="001004E1" w:rsidRPr="0008070B">
        <w:rPr>
          <w:b w:val="0"/>
          <w:szCs w:val="22"/>
        </w:rPr>
        <w:t xml:space="preserve"> once the </w:t>
      </w:r>
      <w:r w:rsidR="006F7CF6" w:rsidRPr="0008070B">
        <w:rPr>
          <w:b w:val="0"/>
          <w:szCs w:val="22"/>
        </w:rPr>
        <w:t>MitraClip</w:t>
      </w:r>
      <w:r w:rsidR="001004E1" w:rsidRPr="0008070B">
        <w:rPr>
          <w:b w:val="0"/>
          <w:szCs w:val="22"/>
        </w:rPr>
        <w:t xml:space="preserve"> device</w:t>
      </w:r>
      <w:r w:rsidR="006F7CF6" w:rsidRPr="0008070B">
        <w:rPr>
          <w:b w:val="0"/>
          <w:szCs w:val="22"/>
        </w:rPr>
        <w:t xml:space="preserve"> </w:t>
      </w:r>
      <w:r w:rsidR="002B10EB" w:rsidRPr="0008070B">
        <w:rPr>
          <w:b w:val="0"/>
          <w:szCs w:val="22"/>
        </w:rPr>
        <w:t xml:space="preserve">from Abbott Vascular </w:t>
      </w:r>
      <w:r w:rsidR="00C30834" w:rsidRPr="0008070B">
        <w:rPr>
          <w:b w:val="0"/>
          <w:szCs w:val="22"/>
        </w:rPr>
        <w:t xml:space="preserve">receives </w:t>
      </w:r>
      <w:r w:rsidR="00BD773B" w:rsidRPr="0008070B">
        <w:rPr>
          <w:b w:val="0"/>
          <w:szCs w:val="22"/>
        </w:rPr>
        <w:t>a</w:t>
      </w:r>
      <w:r w:rsidR="00BB4B90" w:rsidRPr="0008070B">
        <w:rPr>
          <w:b w:val="0"/>
          <w:szCs w:val="22"/>
        </w:rPr>
        <w:t>n</w:t>
      </w:r>
      <w:r w:rsidR="00BD773B" w:rsidRPr="0008070B">
        <w:rPr>
          <w:b w:val="0"/>
          <w:szCs w:val="22"/>
        </w:rPr>
        <w:t xml:space="preserve"> MBS code</w:t>
      </w:r>
      <w:r w:rsidR="001820D8" w:rsidRPr="0008070B">
        <w:rPr>
          <w:b w:val="0"/>
          <w:szCs w:val="22"/>
        </w:rPr>
        <w:t>, will also be treated with this device</w:t>
      </w:r>
      <w:r w:rsidRPr="0008070B">
        <w:rPr>
          <w:b w:val="0"/>
          <w:szCs w:val="22"/>
        </w:rPr>
        <w:t>. As such, the proposed medical service</w:t>
      </w:r>
      <w:r w:rsidR="001820D8" w:rsidRPr="0008070B">
        <w:rPr>
          <w:b w:val="0"/>
          <w:szCs w:val="22"/>
        </w:rPr>
        <w:t xml:space="preserve"> currently</w:t>
      </w:r>
      <w:r w:rsidRPr="0008070B">
        <w:rPr>
          <w:b w:val="0"/>
          <w:szCs w:val="22"/>
        </w:rPr>
        <w:t xml:space="preserve"> involves a new approach towards </w:t>
      </w:r>
      <w:r w:rsidR="000E1EAF" w:rsidRPr="0008070B">
        <w:rPr>
          <w:b w:val="0"/>
          <w:szCs w:val="22"/>
        </w:rPr>
        <w:t xml:space="preserve">the </w:t>
      </w:r>
      <w:r w:rsidRPr="0008070B">
        <w:rPr>
          <w:b w:val="0"/>
          <w:szCs w:val="22"/>
        </w:rPr>
        <w:t xml:space="preserve">management </w:t>
      </w:r>
      <w:r w:rsidR="00A36A40" w:rsidRPr="0008070B">
        <w:rPr>
          <w:b w:val="0"/>
          <w:szCs w:val="22"/>
        </w:rPr>
        <w:t>of</w:t>
      </w:r>
      <w:r w:rsidRPr="0008070B">
        <w:rPr>
          <w:b w:val="0"/>
          <w:szCs w:val="22"/>
        </w:rPr>
        <w:t xml:space="preserve"> the proposed populations</w:t>
      </w:r>
      <w:r w:rsidR="00A36A40" w:rsidRPr="0008070B">
        <w:rPr>
          <w:b w:val="0"/>
          <w:szCs w:val="22"/>
        </w:rPr>
        <w:t xml:space="preserve"> </w:t>
      </w:r>
      <w:r w:rsidR="003227BB" w:rsidRPr="0008070B">
        <w:rPr>
          <w:b w:val="0"/>
          <w:szCs w:val="22"/>
        </w:rPr>
        <w:t>currently receiving medical management</w:t>
      </w:r>
      <w:r w:rsidR="0040032C" w:rsidRPr="0008070B">
        <w:rPr>
          <w:b w:val="0"/>
          <w:szCs w:val="22"/>
        </w:rPr>
        <w:t xml:space="preserve"> and</w:t>
      </w:r>
      <w:r w:rsidR="00D064B7" w:rsidRPr="0008070B">
        <w:rPr>
          <w:b w:val="0"/>
          <w:szCs w:val="22"/>
        </w:rPr>
        <w:t>,</w:t>
      </w:r>
      <w:r w:rsidR="00B66B8C" w:rsidRPr="0008070B">
        <w:rPr>
          <w:b w:val="0"/>
          <w:szCs w:val="22"/>
        </w:rPr>
        <w:t xml:space="preserve"> </w:t>
      </w:r>
      <w:r w:rsidR="00764F6C" w:rsidRPr="0008070B">
        <w:rPr>
          <w:b w:val="0"/>
          <w:szCs w:val="22"/>
        </w:rPr>
        <w:t>once approved</w:t>
      </w:r>
      <w:r w:rsidR="00B66B8C" w:rsidRPr="0008070B">
        <w:rPr>
          <w:b w:val="0"/>
          <w:szCs w:val="22"/>
        </w:rPr>
        <w:t xml:space="preserve">, the </w:t>
      </w:r>
      <w:r w:rsidR="00764F6C" w:rsidRPr="0008070B">
        <w:rPr>
          <w:b w:val="0"/>
          <w:szCs w:val="22"/>
        </w:rPr>
        <w:t>implantation of MitraClip(s).</w:t>
      </w:r>
      <w:r w:rsidR="000A355C">
        <w:rPr>
          <w:b w:val="0"/>
          <w:szCs w:val="22"/>
        </w:rPr>
        <w:t xml:space="preserve"> </w:t>
      </w:r>
      <w:r w:rsidR="003227BB">
        <w:rPr>
          <w:b w:val="0"/>
          <w:szCs w:val="22"/>
        </w:rPr>
        <w:t xml:space="preserve"> </w:t>
      </w:r>
    </w:p>
    <w:p w14:paraId="772C8A7F" w14:textId="77777777" w:rsidR="00761A71" w:rsidRDefault="00761A71" w:rsidP="00761A71">
      <w:pPr>
        <w:pStyle w:val="Heading2"/>
        <w:numPr>
          <w:ilvl w:val="0"/>
          <w:numId w:val="0"/>
        </w:numPr>
        <w:ind w:left="360"/>
      </w:pPr>
    </w:p>
    <w:p w14:paraId="48ECFEBE" w14:textId="5E68D7D2"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1975F9E5" w14:textId="77777777" w:rsidR="006F65AA" w:rsidRDefault="006F65AA" w:rsidP="005D4F26">
      <w:pPr>
        <w:pStyle w:val="Heading2"/>
        <w:numPr>
          <w:ilvl w:val="0"/>
          <w:numId w:val="0"/>
        </w:numPr>
        <w:ind w:left="360"/>
        <w:rPr>
          <w:b w:val="0"/>
          <w:szCs w:val="22"/>
        </w:rPr>
      </w:pPr>
    </w:p>
    <w:p w14:paraId="6BFC3453" w14:textId="77777777" w:rsidR="005D4F26" w:rsidRPr="00E9126B" w:rsidRDefault="005D4F26" w:rsidP="005D4F26">
      <w:pPr>
        <w:pStyle w:val="Heading2"/>
        <w:numPr>
          <w:ilvl w:val="0"/>
          <w:numId w:val="0"/>
        </w:numPr>
        <w:ind w:left="360"/>
        <w:rPr>
          <w:b w:val="0"/>
          <w:szCs w:val="22"/>
        </w:rPr>
      </w:pPr>
      <w:r w:rsidRPr="00E9126B">
        <w:rPr>
          <w:b w:val="0"/>
          <w:szCs w:val="22"/>
        </w:rPr>
        <w:t>The PASCAL system is contraindicated in patients with:</w:t>
      </w:r>
    </w:p>
    <w:p w14:paraId="45705614" w14:textId="4F703710" w:rsidR="005D4F26" w:rsidRPr="00E9126B" w:rsidRDefault="005D4F26" w:rsidP="006F65AA">
      <w:pPr>
        <w:pStyle w:val="Heading2"/>
        <w:numPr>
          <w:ilvl w:val="0"/>
          <w:numId w:val="19"/>
        </w:numPr>
        <w:rPr>
          <w:b w:val="0"/>
          <w:szCs w:val="22"/>
        </w:rPr>
      </w:pPr>
      <w:r w:rsidRPr="00E9126B">
        <w:rPr>
          <w:b w:val="0"/>
          <w:szCs w:val="22"/>
        </w:rPr>
        <w:t>Patient in whom a TEE is contraindicated or screening TEE is unsuccessful</w:t>
      </w:r>
    </w:p>
    <w:p w14:paraId="01A315E9" w14:textId="4FC86791" w:rsidR="005D4F26" w:rsidRPr="00E9126B" w:rsidRDefault="005D4F26" w:rsidP="006F65AA">
      <w:pPr>
        <w:pStyle w:val="Heading2"/>
        <w:numPr>
          <w:ilvl w:val="0"/>
          <w:numId w:val="19"/>
        </w:numPr>
        <w:rPr>
          <w:b w:val="0"/>
          <w:szCs w:val="22"/>
        </w:rPr>
      </w:pPr>
      <w:r w:rsidRPr="00E9126B">
        <w:rPr>
          <w:b w:val="0"/>
          <w:szCs w:val="22"/>
        </w:rPr>
        <w:t>Echocardiographic evidence of intracardiac mass, thrombus, or vegetation</w:t>
      </w:r>
    </w:p>
    <w:p w14:paraId="688C3A8C" w14:textId="563A0775" w:rsidR="005D4F26" w:rsidRPr="00E9126B" w:rsidRDefault="005D4F26" w:rsidP="006F65AA">
      <w:pPr>
        <w:pStyle w:val="Heading2"/>
        <w:numPr>
          <w:ilvl w:val="0"/>
          <w:numId w:val="19"/>
        </w:numPr>
        <w:rPr>
          <w:b w:val="0"/>
          <w:szCs w:val="22"/>
        </w:rPr>
      </w:pPr>
      <w:r w:rsidRPr="00E9126B">
        <w:rPr>
          <w:b w:val="0"/>
          <w:szCs w:val="22"/>
        </w:rPr>
        <w:t>Contraindication to transseptal catheterization</w:t>
      </w:r>
    </w:p>
    <w:p w14:paraId="62E5CF58" w14:textId="0B3CEEEC" w:rsidR="005D4F26" w:rsidRPr="00E9126B" w:rsidRDefault="005D4F26" w:rsidP="006F65AA">
      <w:pPr>
        <w:pStyle w:val="Heading2"/>
        <w:numPr>
          <w:ilvl w:val="0"/>
          <w:numId w:val="19"/>
        </w:numPr>
        <w:rPr>
          <w:b w:val="0"/>
          <w:szCs w:val="22"/>
        </w:rPr>
      </w:pPr>
      <w:r w:rsidRPr="00E9126B">
        <w:rPr>
          <w:b w:val="0"/>
          <w:szCs w:val="22"/>
        </w:rPr>
        <w:t>Presence of an occluded or thrombosed IVC filter that would interfere with the delivery catheter, or ipsilateral deep vein thrombosis is present</w:t>
      </w:r>
    </w:p>
    <w:p w14:paraId="175B47C6" w14:textId="3BA677ED" w:rsidR="005D4F26" w:rsidRPr="00E9126B" w:rsidRDefault="005D4F26" w:rsidP="006F65AA">
      <w:pPr>
        <w:pStyle w:val="Heading2"/>
        <w:numPr>
          <w:ilvl w:val="0"/>
          <w:numId w:val="19"/>
        </w:numPr>
        <w:rPr>
          <w:b w:val="0"/>
          <w:szCs w:val="22"/>
        </w:rPr>
      </w:pPr>
      <w:r w:rsidRPr="00E9126B">
        <w:rPr>
          <w:b w:val="0"/>
          <w:szCs w:val="22"/>
        </w:rPr>
        <w:t>Known hypersensitivity to nitinol or contraindication to procedural medications which cannot be adequately managed medically</w:t>
      </w:r>
    </w:p>
    <w:p w14:paraId="1CAB084B" w14:textId="7C538EAB" w:rsidR="009D1133" w:rsidRPr="00E9126B" w:rsidRDefault="005D4F26" w:rsidP="006F65AA">
      <w:pPr>
        <w:pStyle w:val="Heading2"/>
        <w:numPr>
          <w:ilvl w:val="0"/>
          <w:numId w:val="19"/>
        </w:numPr>
        <w:rPr>
          <w:b w:val="0"/>
          <w:szCs w:val="22"/>
        </w:rPr>
      </w:pPr>
      <w:r w:rsidRPr="00E9126B">
        <w:rPr>
          <w:b w:val="0"/>
          <w:szCs w:val="22"/>
        </w:rPr>
        <w:t>History of bleeding diathesis or coagulopathy or patient who refuses blood</w:t>
      </w:r>
      <w:r w:rsidR="004538B0" w:rsidRPr="00E9126B">
        <w:rPr>
          <w:b w:val="0"/>
          <w:szCs w:val="22"/>
        </w:rPr>
        <w:t xml:space="preserve"> t</w:t>
      </w:r>
      <w:r w:rsidRPr="00E9126B">
        <w:rPr>
          <w:b w:val="0"/>
          <w:szCs w:val="22"/>
        </w:rPr>
        <w:t>ransfusions</w:t>
      </w:r>
    </w:p>
    <w:p w14:paraId="5DE44ACF" w14:textId="77777777" w:rsidR="004538B0" w:rsidRPr="004538B0" w:rsidRDefault="004538B0" w:rsidP="004538B0"/>
    <w:p w14:paraId="7F33E3D8" w14:textId="3B8F912C" w:rsidR="006F65AA" w:rsidRPr="006F65AA" w:rsidRDefault="00791C8D" w:rsidP="006F65AA">
      <w:pPr>
        <w:pStyle w:val="Heading2"/>
        <w:spacing w:after="0"/>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4549B081" w14:textId="77777777" w:rsidR="003F116F" w:rsidRDefault="003F116F" w:rsidP="004A71AD">
      <w:pPr>
        <w:pStyle w:val="Heading2"/>
        <w:numPr>
          <w:ilvl w:val="0"/>
          <w:numId w:val="0"/>
        </w:numPr>
        <w:ind w:left="360"/>
        <w:rPr>
          <w:b w:val="0"/>
        </w:rPr>
      </w:pPr>
    </w:p>
    <w:p w14:paraId="43DF0AE0" w14:textId="1F6A7789" w:rsidR="00B1692E" w:rsidRPr="00E9126B" w:rsidRDefault="00B1692E" w:rsidP="004A71AD">
      <w:pPr>
        <w:pStyle w:val="Heading2"/>
        <w:numPr>
          <w:ilvl w:val="0"/>
          <w:numId w:val="0"/>
        </w:numPr>
        <w:ind w:left="360"/>
        <w:rPr>
          <w:b w:val="0"/>
        </w:rPr>
      </w:pPr>
      <w:r w:rsidRPr="00E9126B">
        <w:rPr>
          <w:b w:val="0"/>
        </w:rPr>
        <w:t>Healthcare resources (TMVr):</w:t>
      </w:r>
      <w:r w:rsidR="002033C7" w:rsidRPr="00E9126B">
        <w:rPr>
          <w:b w:val="0"/>
        </w:rPr>
        <w:t xml:space="preserve"> </w:t>
      </w:r>
      <w:r w:rsidR="00FD5A80" w:rsidRPr="00E9126B">
        <w:rPr>
          <w:b w:val="0"/>
        </w:rPr>
        <w:br/>
      </w:r>
    </w:p>
    <w:p w14:paraId="5EB0FFE0" w14:textId="4B551BE5" w:rsidR="00B1692E" w:rsidRPr="00E9126B" w:rsidRDefault="00B1692E" w:rsidP="00B1692E">
      <w:pPr>
        <w:pStyle w:val="Heading2"/>
        <w:numPr>
          <w:ilvl w:val="0"/>
          <w:numId w:val="0"/>
        </w:numPr>
        <w:ind w:left="360"/>
        <w:rPr>
          <w:b w:val="0"/>
        </w:rPr>
      </w:pPr>
      <w:r w:rsidRPr="00E9126B">
        <w:rPr>
          <w:b w:val="0"/>
        </w:rPr>
        <w:t>Proposed resources to identify eligible population: TTE, TOE, anaesthesiology for TOE, electrocardiography, chest x-ray, cardiac catheterisation, cardiology consultation, surgical consultation, anaesthetic consultation, heart team consultation.</w:t>
      </w:r>
      <w:r w:rsidR="00FD5A80" w:rsidRPr="00E9126B">
        <w:rPr>
          <w:b w:val="0"/>
        </w:rPr>
        <w:br/>
      </w:r>
    </w:p>
    <w:p w14:paraId="466BF916" w14:textId="55237F17" w:rsidR="009D1133" w:rsidRPr="00D063A9" w:rsidRDefault="00B1692E" w:rsidP="009D1133">
      <w:pPr>
        <w:pStyle w:val="Heading2"/>
        <w:numPr>
          <w:ilvl w:val="0"/>
          <w:numId w:val="0"/>
        </w:numPr>
        <w:ind w:left="360"/>
        <w:rPr>
          <w:b w:val="0"/>
          <w:szCs w:val="22"/>
        </w:rPr>
      </w:pPr>
      <w:r w:rsidRPr="00E9126B">
        <w:rPr>
          <w:b w:val="0"/>
        </w:rPr>
        <w:t>Resources to deliver proposed intervention:  Edwards PASCAL Transcatheter Valve Repair System procedure (incl</w:t>
      </w:r>
      <w:r w:rsidR="00C979F6" w:rsidRPr="00E9126B">
        <w:rPr>
          <w:b w:val="0"/>
        </w:rPr>
        <w:t>uding</w:t>
      </w:r>
      <w:r w:rsidRPr="00E9126B">
        <w:rPr>
          <w:b w:val="0"/>
        </w:rPr>
        <w:t xml:space="preserve"> two operators), surgical assistant, PASCAL implant and imp</w:t>
      </w:r>
      <w:r w:rsidR="009C7303" w:rsidRPr="00E9126B">
        <w:rPr>
          <w:b w:val="0"/>
        </w:rPr>
        <w:t>l</w:t>
      </w:r>
      <w:r w:rsidRPr="00E9126B">
        <w:rPr>
          <w:b w:val="0"/>
        </w:rPr>
        <w:t>ant system, TOE, anaesthesiology, catheterisation/hybrid lab, theatres, intensive care unit, coronary care unit, TTE, cardiology consultation, pharmaceuticals.</w:t>
      </w:r>
      <w:r w:rsidR="00FD5A80">
        <w:rPr>
          <w:b w:val="0"/>
        </w:rPr>
        <w:br/>
      </w:r>
    </w:p>
    <w:p w14:paraId="373F8B3F" w14:textId="01F02B1D" w:rsidR="009D1133" w:rsidRPr="00E9126B" w:rsidRDefault="009D1133" w:rsidP="009D1133">
      <w:pPr>
        <w:pStyle w:val="Heading2"/>
        <w:numPr>
          <w:ilvl w:val="0"/>
          <w:numId w:val="0"/>
        </w:numPr>
        <w:ind w:left="360"/>
        <w:rPr>
          <w:b w:val="0"/>
          <w:szCs w:val="22"/>
        </w:rPr>
      </w:pPr>
      <w:r w:rsidRPr="00E9126B">
        <w:rPr>
          <w:b w:val="0"/>
          <w:szCs w:val="22"/>
        </w:rPr>
        <w:t xml:space="preserve">Table </w:t>
      </w:r>
      <w:r w:rsidR="00B0606E" w:rsidRPr="00E9126B">
        <w:rPr>
          <w:b w:val="0"/>
          <w:szCs w:val="22"/>
        </w:rPr>
        <w:t>9</w:t>
      </w:r>
      <w:r w:rsidRPr="00E9126B">
        <w:rPr>
          <w:b w:val="0"/>
          <w:szCs w:val="22"/>
        </w:rPr>
        <w:t xml:space="preserve"> presents the associated medical services that are needed to perform the </w:t>
      </w:r>
      <w:r w:rsidR="00FD5A80" w:rsidRPr="00E9126B">
        <w:rPr>
          <w:b w:val="0"/>
          <w:szCs w:val="22"/>
        </w:rPr>
        <w:t>TMVr</w:t>
      </w:r>
      <w:r w:rsidRPr="00E9126B">
        <w:rPr>
          <w:b w:val="0"/>
          <w:szCs w:val="22"/>
        </w:rPr>
        <w:t xml:space="preserve"> procedure, this</w:t>
      </w:r>
    </w:p>
    <w:p w14:paraId="1BCDC9F4" w14:textId="68496911" w:rsidR="009D1133" w:rsidRDefault="009D1133" w:rsidP="009D1133">
      <w:pPr>
        <w:pStyle w:val="Heading2"/>
        <w:numPr>
          <w:ilvl w:val="0"/>
          <w:numId w:val="0"/>
        </w:numPr>
        <w:ind w:left="360"/>
        <w:rPr>
          <w:b w:val="0"/>
        </w:rPr>
      </w:pPr>
      <w:r w:rsidRPr="00E9126B">
        <w:rPr>
          <w:b w:val="0"/>
        </w:rPr>
        <w:t>includes any clinic or hospital related costs.</w:t>
      </w:r>
    </w:p>
    <w:p w14:paraId="6350A41D" w14:textId="27B4DECD" w:rsidR="00CC4680" w:rsidRDefault="00CC4680" w:rsidP="00CC4680"/>
    <w:p w14:paraId="60D43863" w14:textId="4884069B" w:rsidR="00CC4680" w:rsidRDefault="00CC4680" w:rsidP="00CC4680"/>
    <w:p w14:paraId="0BFE3D95" w14:textId="77777777" w:rsidR="00CC4680" w:rsidRPr="00CC4680" w:rsidRDefault="00CC4680" w:rsidP="00CC4680"/>
    <w:p w14:paraId="40C955DB" w14:textId="53BE2F56" w:rsidR="009D1133" w:rsidRPr="00E9126B" w:rsidRDefault="009D1133" w:rsidP="009D1133">
      <w:pPr>
        <w:rPr>
          <w:b/>
          <w:bCs/>
        </w:rPr>
      </w:pPr>
      <w:r w:rsidRPr="00E9126B">
        <w:rPr>
          <w:b/>
          <w:bCs/>
        </w:rPr>
        <w:t xml:space="preserve">Table </w:t>
      </w:r>
      <w:r w:rsidR="00B0606E" w:rsidRPr="00E9126B">
        <w:rPr>
          <w:b/>
          <w:bCs/>
        </w:rPr>
        <w:t>9</w:t>
      </w:r>
      <w:r w:rsidRPr="00E9126B">
        <w:rPr>
          <w:b/>
          <w:bCs/>
        </w:rPr>
        <w:t xml:space="preserve">     Medical services included in the PASCAL procedure</w:t>
      </w:r>
    </w:p>
    <w:tbl>
      <w:tblPr>
        <w:tblStyle w:val="TableGrid"/>
        <w:tblW w:w="0" w:type="auto"/>
        <w:tblLook w:val="04A0" w:firstRow="1" w:lastRow="0" w:firstColumn="1" w:lastColumn="0" w:noHBand="0" w:noVBand="1"/>
      </w:tblPr>
      <w:tblGrid>
        <w:gridCol w:w="4508"/>
        <w:gridCol w:w="4508"/>
      </w:tblGrid>
      <w:tr w:rsidR="009D1133" w:rsidRPr="00E9126B" w14:paraId="37A25BA8" w14:textId="77777777" w:rsidTr="0048296B">
        <w:tc>
          <w:tcPr>
            <w:tcW w:w="4508" w:type="dxa"/>
            <w:shd w:val="clear" w:color="auto" w:fill="BFBFBF" w:themeFill="background1" w:themeFillShade="BF"/>
          </w:tcPr>
          <w:p w14:paraId="06EF7F97" w14:textId="77777777" w:rsidR="009D1133" w:rsidRPr="00E9126B" w:rsidRDefault="009D1133" w:rsidP="0048296B">
            <w:pPr>
              <w:rPr>
                <w:b/>
                <w:bCs/>
              </w:rPr>
            </w:pPr>
            <w:r w:rsidRPr="00E9126B">
              <w:rPr>
                <w:b/>
                <w:bCs/>
              </w:rPr>
              <w:t xml:space="preserve">Resource </w:t>
            </w:r>
          </w:p>
        </w:tc>
        <w:tc>
          <w:tcPr>
            <w:tcW w:w="4508" w:type="dxa"/>
            <w:shd w:val="clear" w:color="auto" w:fill="BFBFBF" w:themeFill="background1" w:themeFillShade="BF"/>
          </w:tcPr>
          <w:p w14:paraId="2CFE6CD8" w14:textId="77777777" w:rsidR="009D1133" w:rsidRPr="00E9126B" w:rsidRDefault="009D1133" w:rsidP="0048296B">
            <w:pPr>
              <w:rPr>
                <w:b/>
                <w:bCs/>
              </w:rPr>
            </w:pPr>
            <w:r w:rsidRPr="00E9126B">
              <w:rPr>
                <w:b/>
                <w:bCs/>
              </w:rPr>
              <w:t>Reference</w:t>
            </w:r>
          </w:p>
        </w:tc>
      </w:tr>
      <w:tr w:rsidR="009D1133" w:rsidRPr="00E9126B" w14:paraId="2B41266F" w14:textId="77777777" w:rsidTr="0048296B">
        <w:tc>
          <w:tcPr>
            <w:tcW w:w="4508" w:type="dxa"/>
            <w:vMerge w:val="restart"/>
          </w:tcPr>
          <w:p w14:paraId="6AA316EB" w14:textId="77777777" w:rsidR="009D1133" w:rsidRPr="00E9126B" w:rsidRDefault="009D1133" w:rsidP="0048296B">
            <w:r w:rsidRPr="00E9126B">
              <w:t>Pre-procedural heart team assessment</w:t>
            </w:r>
          </w:p>
        </w:tc>
        <w:tc>
          <w:tcPr>
            <w:tcW w:w="4508" w:type="dxa"/>
          </w:tcPr>
          <w:p w14:paraId="0DB31BE0" w14:textId="77777777" w:rsidR="009D1133" w:rsidRPr="00E9126B" w:rsidRDefault="009D1133" w:rsidP="0048296B">
            <w:r w:rsidRPr="00E9126B">
              <w:t>Based on MBS Item 6080</w:t>
            </w:r>
          </w:p>
        </w:tc>
      </w:tr>
      <w:tr w:rsidR="009D1133" w:rsidRPr="00E9126B" w14:paraId="4C90A138" w14:textId="77777777" w:rsidTr="0048296B">
        <w:tc>
          <w:tcPr>
            <w:tcW w:w="4508" w:type="dxa"/>
            <w:vMerge/>
          </w:tcPr>
          <w:p w14:paraId="7D6C43CA" w14:textId="77777777" w:rsidR="009D1133" w:rsidRPr="00E9126B" w:rsidRDefault="009D1133" w:rsidP="0048296B"/>
        </w:tc>
        <w:tc>
          <w:tcPr>
            <w:tcW w:w="4508" w:type="dxa"/>
          </w:tcPr>
          <w:p w14:paraId="3D71A9EC" w14:textId="77777777" w:rsidR="009D1133" w:rsidRPr="00E9126B" w:rsidRDefault="009D1133" w:rsidP="0048296B">
            <w:r w:rsidRPr="00E9126B">
              <w:t>Based on MBS Item 6081</w:t>
            </w:r>
          </w:p>
        </w:tc>
      </w:tr>
      <w:tr w:rsidR="009D1133" w:rsidRPr="00E9126B" w14:paraId="0CF78F0C" w14:textId="77777777" w:rsidTr="0048296B">
        <w:tc>
          <w:tcPr>
            <w:tcW w:w="4508" w:type="dxa"/>
          </w:tcPr>
          <w:p w14:paraId="6385BD0E" w14:textId="77777777" w:rsidR="009D1133" w:rsidRPr="00E9126B" w:rsidRDefault="009D1133" w:rsidP="0048296B">
            <w:r w:rsidRPr="00E9126B">
              <w:t>PASCAL MR implantation fee</w:t>
            </w:r>
          </w:p>
        </w:tc>
        <w:tc>
          <w:tcPr>
            <w:tcW w:w="4508" w:type="dxa"/>
          </w:tcPr>
          <w:p w14:paraId="1CB2A884" w14:textId="77777777" w:rsidR="009D1133" w:rsidRPr="00E9126B" w:rsidRDefault="009D1133" w:rsidP="0048296B">
            <w:r w:rsidRPr="00E9126B">
              <w:t>Proposed MBS fee</w:t>
            </w:r>
          </w:p>
        </w:tc>
      </w:tr>
      <w:tr w:rsidR="009D1133" w:rsidRPr="00E9126B" w14:paraId="708F4C2D" w14:textId="77777777" w:rsidTr="0048296B">
        <w:tc>
          <w:tcPr>
            <w:tcW w:w="4508" w:type="dxa"/>
          </w:tcPr>
          <w:p w14:paraId="10377097" w14:textId="77777777" w:rsidR="009D1133" w:rsidRPr="00E9126B" w:rsidRDefault="009D1133" w:rsidP="0048296B">
            <w:r w:rsidRPr="00E9126B">
              <w:t xml:space="preserve">Anaesthesia </w:t>
            </w:r>
          </w:p>
        </w:tc>
        <w:tc>
          <w:tcPr>
            <w:tcW w:w="4508" w:type="dxa"/>
          </w:tcPr>
          <w:p w14:paraId="39E7114B" w14:textId="77777777" w:rsidR="009D1133" w:rsidRPr="00E9126B" w:rsidRDefault="009D1133" w:rsidP="0048296B">
            <w:r w:rsidRPr="00E9126B">
              <w:t>MBS Item 21936</w:t>
            </w:r>
          </w:p>
        </w:tc>
      </w:tr>
      <w:tr w:rsidR="009D1133" w:rsidRPr="00E9126B" w14:paraId="008455AD" w14:textId="77777777" w:rsidTr="0048296B">
        <w:tc>
          <w:tcPr>
            <w:tcW w:w="4508" w:type="dxa"/>
          </w:tcPr>
          <w:p w14:paraId="446A43B2" w14:textId="77777777" w:rsidR="009D1133" w:rsidRPr="00E9126B" w:rsidRDefault="009D1133" w:rsidP="0048296B">
            <w:r w:rsidRPr="00E9126B">
              <w:t>Intra-operative transoesophageal echocardiography</w:t>
            </w:r>
          </w:p>
        </w:tc>
        <w:tc>
          <w:tcPr>
            <w:tcW w:w="4508" w:type="dxa"/>
          </w:tcPr>
          <w:p w14:paraId="3BB3EC7D" w14:textId="615FB71D" w:rsidR="009D1133" w:rsidRPr="00E9126B" w:rsidRDefault="009D1133" w:rsidP="0048296B">
            <w:r w:rsidRPr="00E9126B">
              <w:t>MBS Item 55135</w:t>
            </w:r>
            <w:r w:rsidR="3EA05FB2" w:rsidRPr="00E9126B">
              <w:t>, 55126, 55129, 55127,55134</w:t>
            </w:r>
          </w:p>
        </w:tc>
      </w:tr>
      <w:tr w:rsidR="009D1133" w:rsidRPr="00D21214" w14:paraId="72935959" w14:textId="77777777" w:rsidTr="0048296B">
        <w:tc>
          <w:tcPr>
            <w:tcW w:w="4508" w:type="dxa"/>
          </w:tcPr>
          <w:p w14:paraId="6FD76E4A" w14:textId="77777777" w:rsidR="009D1133" w:rsidRPr="00E9126B" w:rsidRDefault="009D1133" w:rsidP="0048296B">
            <w:r w:rsidRPr="00E9126B">
              <w:t>Flouroscopy</w:t>
            </w:r>
          </w:p>
        </w:tc>
        <w:tc>
          <w:tcPr>
            <w:tcW w:w="4508" w:type="dxa"/>
          </w:tcPr>
          <w:p w14:paraId="36AEFFAD" w14:textId="77777777" w:rsidR="009D1133" w:rsidRPr="00E9126B" w:rsidRDefault="009D1133" w:rsidP="0048296B">
            <w:r w:rsidRPr="00E9126B">
              <w:t>MBS Item 61109</w:t>
            </w:r>
          </w:p>
        </w:tc>
      </w:tr>
      <w:tr w:rsidR="009D1133" w:rsidRPr="00D21214" w14:paraId="4AB37FD6" w14:textId="77777777" w:rsidTr="0048296B">
        <w:tc>
          <w:tcPr>
            <w:tcW w:w="4508" w:type="dxa"/>
          </w:tcPr>
          <w:p w14:paraId="19D7B2CE" w14:textId="4D95E022" w:rsidR="009D1133" w:rsidRPr="00134550" w:rsidRDefault="00134550" w:rsidP="0048296B">
            <w:pPr>
              <w:rPr>
                <w:b/>
                <w:bCs/>
                <w:highlight w:val="green"/>
              </w:rPr>
            </w:pPr>
            <w:r w:rsidRPr="00134550">
              <w:rPr>
                <w:b/>
                <w:bCs/>
              </w:rPr>
              <w:t>REDACTED</w:t>
            </w:r>
          </w:p>
        </w:tc>
        <w:tc>
          <w:tcPr>
            <w:tcW w:w="4508" w:type="dxa"/>
          </w:tcPr>
          <w:p w14:paraId="02F34BE7" w14:textId="1DBBFDB5" w:rsidR="009D1133" w:rsidRPr="00D21214" w:rsidRDefault="00134550" w:rsidP="0048296B">
            <w:pPr>
              <w:rPr>
                <w:highlight w:val="green"/>
              </w:rPr>
            </w:pPr>
            <w:r w:rsidRPr="00134550">
              <w:rPr>
                <w:b/>
                <w:bCs/>
              </w:rPr>
              <w:t>REDACTED</w:t>
            </w:r>
          </w:p>
        </w:tc>
      </w:tr>
      <w:tr w:rsidR="009D1133" w14:paraId="7E4E310E" w14:textId="77777777" w:rsidTr="0048296B">
        <w:tc>
          <w:tcPr>
            <w:tcW w:w="4508" w:type="dxa"/>
          </w:tcPr>
          <w:p w14:paraId="789978C4" w14:textId="1C0E3F37" w:rsidR="009D1133" w:rsidRPr="00E9126B" w:rsidRDefault="009D1133" w:rsidP="00FE670E">
            <w:r w:rsidRPr="00E9126B">
              <w:t>Post-procedural/Pre-discharge transoesophageal echocardiography</w:t>
            </w:r>
            <w:r w:rsidR="400F4CD5" w:rsidRPr="00E9126B">
              <w:t xml:space="preserve">  </w:t>
            </w:r>
          </w:p>
          <w:p w14:paraId="058C9A1B" w14:textId="059DAD45" w:rsidR="009D1133" w:rsidRPr="00E9126B" w:rsidRDefault="009D1133" w:rsidP="37954DCF"/>
          <w:p w14:paraId="633C00F2" w14:textId="059DAD45" w:rsidR="009D1133" w:rsidRPr="00E9126B" w:rsidRDefault="009D1133" w:rsidP="0048296B"/>
        </w:tc>
        <w:tc>
          <w:tcPr>
            <w:tcW w:w="4508" w:type="dxa"/>
          </w:tcPr>
          <w:p w14:paraId="0FFD2A58" w14:textId="1A212965" w:rsidR="009D1133" w:rsidRPr="00E9126B" w:rsidRDefault="009D1133" w:rsidP="0048296B">
            <w:r w:rsidRPr="00E9126B">
              <w:t xml:space="preserve">MBS Item </w:t>
            </w:r>
            <w:r w:rsidR="5FD10FCE" w:rsidRPr="00E9126B">
              <w:t>55126, 55129, 55127, 55134</w:t>
            </w:r>
          </w:p>
        </w:tc>
      </w:tr>
    </w:tbl>
    <w:p w14:paraId="315D5944" w14:textId="3705249F" w:rsidR="007E71E6" w:rsidRPr="007F6810" w:rsidRDefault="007E71E6" w:rsidP="007F6810">
      <w:pPr>
        <w:pStyle w:val="Heading2"/>
        <w:numPr>
          <w:ilvl w:val="0"/>
          <w:numId w:val="0"/>
        </w:numPr>
        <w:ind w:left="360"/>
        <w:rPr>
          <w:b w:val="0"/>
          <w:szCs w:val="22"/>
        </w:rPr>
      </w:pPr>
    </w:p>
    <w:p w14:paraId="138801F2" w14:textId="49FE2064" w:rsidR="00B17E26" w:rsidRPr="00154B00" w:rsidRDefault="00B17E26" w:rsidP="00A518DA">
      <w:pPr>
        <w:pStyle w:val="Heading2"/>
        <w:spacing w:after="0"/>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4D5909C4" w14:textId="49FE2064" w:rsidR="00A518DA" w:rsidRDefault="00A518DA" w:rsidP="00E11B2B">
      <w:pPr>
        <w:pStyle w:val="Heading2"/>
        <w:numPr>
          <w:ilvl w:val="0"/>
          <w:numId w:val="0"/>
        </w:numPr>
        <w:ind w:left="360"/>
        <w:rPr>
          <w:b w:val="0"/>
        </w:rPr>
      </w:pPr>
    </w:p>
    <w:p w14:paraId="2D70C457" w14:textId="0849F0BF" w:rsidR="0050271B" w:rsidRDefault="00CF0195" w:rsidP="00A976FE">
      <w:pPr>
        <w:pStyle w:val="Heading2"/>
        <w:numPr>
          <w:ilvl w:val="0"/>
          <w:numId w:val="0"/>
        </w:numPr>
        <w:spacing w:before="0" w:after="0"/>
        <w:ind w:left="360"/>
        <w:rPr>
          <w:b w:val="0"/>
          <w:bCs/>
        </w:rPr>
      </w:pPr>
      <w:r w:rsidRPr="00CF0195">
        <w:rPr>
          <w:b w:val="0"/>
          <w:szCs w:val="22"/>
        </w:rPr>
        <w:t xml:space="preserve">The treatment is carried out by a multidisciplinary heart team including an interventional cardiologist, an </w:t>
      </w:r>
      <w:r w:rsidR="00113712">
        <w:rPr>
          <w:b w:val="0"/>
          <w:szCs w:val="22"/>
        </w:rPr>
        <w:t>imaging cardiologist who is trained on TOE imaging</w:t>
      </w:r>
      <w:r w:rsidRPr="00CF0195">
        <w:rPr>
          <w:b w:val="0"/>
          <w:szCs w:val="22"/>
        </w:rPr>
        <w:t xml:space="preserve">, and an </w:t>
      </w:r>
      <w:r w:rsidR="00A976FE" w:rsidRPr="00CF0195">
        <w:rPr>
          <w:b w:val="0"/>
          <w:szCs w:val="22"/>
        </w:rPr>
        <w:t>anaesthesiologist</w:t>
      </w:r>
      <w:r w:rsidRPr="00CF0195">
        <w:rPr>
          <w:b w:val="0"/>
          <w:szCs w:val="22"/>
        </w:rPr>
        <w:t xml:space="preserve">. The implantation can be done either by the cardiologist or the cardiac surgeon. </w:t>
      </w:r>
      <w:r w:rsidR="00E32D06" w:rsidRPr="00636EE1">
        <w:rPr>
          <w:b w:val="0"/>
          <w:bCs/>
        </w:rPr>
        <w:t>Edwards Lifesciences procedure clinical specialist for device referral. Edwards Lifesciences imaging clinical specialist for 2D/3D echo referral.</w:t>
      </w:r>
    </w:p>
    <w:p w14:paraId="58488B5C" w14:textId="77777777" w:rsidR="00A976FE" w:rsidRPr="00A976FE" w:rsidRDefault="00A976FE" w:rsidP="00A976FE">
      <w:pPr>
        <w:spacing w:before="0" w:after="0"/>
      </w:pPr>
    </w:p>
    <w:p w14:paraId="423162AB" w14:textId="5D2AB290" w:rsidR="00B17E26" w:rsidRPr="00154B00" w:rsidRDefault="00B17E26" w:rsidP="00A976FE">
      <w:pPr>
        <w:pStyle w:val="Heading2"/>
        <w:spacing w:before="0" w:after="0"/>
      </w:pPr>
      <w:r w:rsidRPr="00154B00">
        <w:t xml:space="preserve">If applicable, advise whether the proposed medical service could be delegated or referred to another professional </w:t>
      </w:r>
      <w:r w:rsidRPr="0073597B">
        <w:t>for</w:t>
      </w:r>
      <w:r w:rsidRPr="00154B00">
        <w:t xml:space="preserve"> delive</w:t>
      </w:r>
      <w:r w:rsidR="00AE1188">
        <w:t>ry:</w:t>
      </w:r>
      <w:r w:rsidR="00E32D06">
        <w:t xml:space="preserve"> </w:t>
      </w:r>
    </w:p>
    <w:p w14:paraId="11534E3E" w14:textId="37E0EC05" w:rsidR="00E32D06" w:rsidRPr="00021BE0" w:rsidRDefault="00021BE0" w:rsidP="00021BE0">
      <w:pPr>
        <w:ind w:firstLine="360"/>
        <w:rPr>
          <w:szCs w:val="20"/>
        </w:rPr>
      </w:pPr>
      <w:r w:rsidRPr="00021BE0">
        <w:rPr>
          <w:bCs/>
          <w:szCs w:val="20"/>
        </w:rPr>
        <w:t>N/A</w:t>
      </w:r>
    </w:p>
    <w:p w14:paraId="385EABC4" w14:textId="49FE2064" w:rsidR="00EA0E25" w:rsidRPr="00154B00" w:rsidRDefault="00EA0E25" w:rsidP="00423F7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75FED55E" w14:textId="49FE2064" w:rsidR="00A518DA" w:rsidRDefault="00A518DA" w:rsidP="00D845D7">
      <w:pPr>
        <w:pStyle w:val="Heading2"/>
        <w:numPr>
          <w:ilvl w:val="0"/>
          <w:numId w:val="0"/>
        </w:numPr>
        <w:ind w:left="360"/>
        <w:rPr>
          <w:b w:val="0"/>
        </w:rPr>
      </w:pPr>
    </w:p>
    <w:p w14:paraId="12792038" w14:textId="4BD5ACA8" w:rsidR="00CC4680" w:rsidRPr="00CC4680" w:rsidRDefault="00D845D7" w:rsidP="00CC4680">
      <w:pPr>
        <w:pStyle w:val="Heading2"/>
        <w:numPr>
          <w:ilvl w:val="0"/>
          <w:numId w:val="0"/>
        </w:numPr>
        <w:ind w:left="360"/>
      </w:pPr>
      <w:r w:rsidRPr="00E9126B">
        <w:rPr>
          <w:b w:val="0"/>
          <w:szCs w:val="22"/>
        </w:rPr>
        <w:t xml:space="preserve">In addition to their professional practice as an interventional cardiologist and imaging cardiologist, they need to receive Edwards product training.  </w:t>
      </w:r>
      <w:r w:rsidR="00134550" w:rsidRPr="00134550">
        <w:t>REDACTED</w:t>
      </w:r>
    </w:p>
    <w:p w14:paraId="79A7ED14" w14:textId="1E8CDF02" w:rsidR="00EA0E25" w:rsidRPr="00154B00" w:rsidRDefault="00EA0E25" w:rsidP="00D845D7">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78399086" w14:textId="2B36CDDE" w:rsidR="00AF1159" w:rsidRPr="00E9126B" w:rsidRDefault="4D64BD88" w:rsidP="00110579">
      <w:pPr>
        <w:spacing w:line="257" w:lineRule="auto"/>
        <w:ind w:left="360"/>
        <w:rPr>
          <w:rFonts w:ascii="Calibri" w:eastAsia="Calibri" w:hAnsi="Calibri" w:cs="Calibri"/>
        </w:rPr>
      </w:pPr>
      <w:r w:rsidRPr="00E9126B">
        <w:rPr>
          <w:rFonts w:ascii="Calibri" w:eastAsia="Calibri" w:hAnsi="Calibri" w:cs="Calibri"/>
        </w:rPr>
        <w:t xml:space="preserve">Physicians and relevant hospital staff (scrub nurse, radiographers, echo technicians) must be accredited by qualified Edwards personnel before involvement in a PASCAL TMVr procedure.  </w:t>
      </w:r>
    </w:p>
    <w:p w14:paraId="0AC75B70" w14:textId="54D87B32" w:rsidR="6F4583FC" w:rsidRPr="00134550" w:rsidRDefault="00134550" w:rsidP="6F4583FC">
      <w:pPr>
        <w:ind w:left="426"/>
        <w:rPr>
          <w:b/>
          <w:bCs/>
          <w:noProof/>
        </w:rPr>
      </w:pPr>
      <w:r w:rsidRPr="00134550">
        <w:rPr>
          <w:b/>
          <w:bCs/>
        </w:rPr>
        <w:t>REDACTED</w:t>
      </w:r>
    </w:p>
    <w:p w14:paraId="643297E2" w14:textId="77777777" w:rsidR="008F390B" w:rsidRDefault="008F390B">
      <w:pPr>
        <w:spacing w:before="0" w:after="200" w:line="276" w:lineRule="auto"/>
        <w:rPr>
          <w:b/>
          <w:szCs w:val="20"/>
        </w:rPr>
      </w:pPr>
      <w:r>
        <w:br w:type="page"/>
      </w:r>
    </w:p>
    <w:p w14:paraId="20AECFF3" w14:textId="1DC330C4" w:rsidR="005F3F07" w:rsidRDefault="005C3AE7" w:rsidP="00530204">
      <w:pPr>
        <w:pStyle w:val="Heading2"/>
      </w:pPr>
      <w:r>
        <w:lastRenderedPageBreak/>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6D6C4FED" w14:textId="1AA34F24" w:rsidR="000A478F" w:rsidRDefault="009E5D37"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6264EF">
        <w:rPr>
          <w:szCs w:val="20"/>
        </w:rPr>
      </w:r>
      <w:r w:rsidR="006264EF">
        <w:rPr>
          <w:szCs w:val="20"/>
        </w:rPr>
        <w:fldChar w:fldCharType="separate"/>
      </w:r>
      <w:r>
        <w:rPr>
          <w:szCs w:val="20"/>
        </w:rPr>
        <w:fldChar w:fldCharType="end"/>
      </w:r>
      <w:r w:rsidR="000A478F">
        <w:rPr>
          <w:szCs w:val="20"/>
        </w:rPr>
        <w:t xml:space="preserve"> </w:t>
      </w:r>
      <w:r w:rsidR="000A478F">
        <w:t>Inpatient private hospital</w:t>
      </w:r>
      <w:r w:rsidR="0079354C">
        <w:t xml:space="preserve"> (admitted patient)</w:t>
      </w:r>
    </w:p>
    <w:p w14:paraId="6F432F35" w14:textId="0C3B03DE" w:rsidR="000A478F" w:rsidRDefault="009E5D37"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6264EF">
        <w:rPr>
          <w:szCs w:val="20"/>
        </w:rPr>
      </w:r>
      <w:r w:rsidR="006264EF">
        <w:rPr>
          <w:szCs w:val="20"/>
        </w:rPr>
        <w:fldChar w:fldCharType="separate"/>
      </w:r>
      <w:r>
        <w:rPr>
          <w:szCs w:val="20"/>
        </w:rPr>
        <w:fldChar w:fldCharType="end"/>
      </w:r>
      <w:r w:rsidR="000A478F">
        <w:rPr>
          <w:szCs w:val="20"/>
        </w:rPr>
        <w:t xml:space="preserve"> </w:t>
      </w:r>
      <w:r w:rsidR="000A478F">
        <w:t>Inpatient public hospital</w:t>
      </w:r>
      <w:r w:rsidR="0079354C">
        <w:t xml:space="preserve"> (admitted patient)</w:t>
      </w:r>
    </w:p>
    <w:p w14:paraId="7F76E4A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64EF">
        <w:rPr>
          <w:szCs w:val="20"/>
        </w:rPr>
      </w:r>
      <w:r w:rsidR="006264EF">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0F300517"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64EF">
        <w:rPr>
          <w:szCs w:val="20"/>
        </w:rPr>
      </w:r>
      <w:r w:rsidR="006264EF">
        <w:rPr>
          <w:szCs w:val="20"/>
        </w:rPr>
        <w:fldChar w:fldCharType="separate"/>
      </w:r>
      <w:r w:rsidRPr="000A5B32">
        <w:rPr>
          <w:szCs w:val="20"/>
        </w:rPr>
        <w:fldChar w:fldCharType="end"/>
      </w:r>
      <w:r>
        <w:rPr>
          <w:szCs w:val="20"/>
        </w:rPr>
        <w:t xml:space="preserve"> Public outpatient clinic</w:t>
      </w:r>
    </w:p>
    <w:p w14:paraId="403FEC0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64EF">
        <w:rPr>
          <w:szCs w:val="20"/>
        </w:rPr>
      </w:r>
      <w:r w:rsidR="006264EF">
        <w:rPr>
          <w:szCs w:val="20"/>
        </w:rPr>
        <w:fldChar w:fldCharType="separate"/>
      </w:r>
      <w:r w:rsidRPr="000A5B32">
        <w:rPr>
          <w:szCs w:val="20"/>
        </w:rPr>
        <w:fldChar w:fldCharType="end"/>
      </w:r>
      <w:r>
        <w:rPr>
          <w:szCs w:val="20"/>
        </w:rPr>
        <w:t xml:space="preserve"> </w:t>
      </w:r>
      <w:r>
        <w:t>Emergency Department</w:t>
      </w:r>
    </w:p>
    <w:p w14:paraId="6F4F2DAC"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64EF">
        <w:rPr>
          <w:szCs w:val="20"/>
        </w:rPr>
      </w:r>
      <w:r w:rsidR="006264EF">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4B980ADB"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64EF">
        <w:rPr>
          <w:szCs w:val="20"/>
        </w:rPr>
      </w:r>
      <w:r w:rsidR="006264EF">
        <w:rPr>
          <w:szCs w:val="20"/>
        </w:rPr>
        <w:fldChar w:fldCharType="separate"/>
      </w:r>
      <w:r w:rsidRPr="000A5B32">
        <w:rPr>
          <w:szCs w:val="20"/>
        </w:rPr>
        <w:fldChar w:fldCharType="end"/>
      </w:r>
      <w:r>
        <w:rPr>
          <w:szCs w:val="20"/>
        </w:rPr>
        <w:t xml:space="preserve"> Private consulting rooms – specialist</w:t>
      </w:r>
    </w:p>
    <w:p w14:paraId="22E558A4"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64EF">
        <w:rPr>
          <w:szCs w:val="20"/>
        </w:rPr>
      </w:r>
      <w:r w:rsidR="006264EF">
        <w:rPr>
          <w:szCs w:val="20"/>
        </w:rPr>
        <w:fldChar w:fldCharType="separate"/>
      </w:r>
      <w:r w:rsidRPr="000A5B32">
        <w:rPr>
          <w:szCs w:val="20"/>
        </w:rPr>
        <w:fldChar w:fldCharType="end"/>
      </w:r>
      <w:r>
        <w:rPr>
          <w:szCs w:val="20"/>
        </w:rPr>
        <w:t xml:space="preserve"> Private consulting rooms – other health practitioner (nurse or allied health)</w:t>
      </w:r>
    </w:p>
    <w:p w14:paraId="53864054"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64EF">
        <w:rPr>
          <w:szCs w:val="20"/>
        </w:rPr>
      </w:r>
      <w:r w:rsidR="006264EF">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605EAB8F"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64EF">
        <w:rPr>
          <w:szCs w:val="20"/>
        </w:rPr>
      </w:r>
      <w:r w:rsidR="006264EF">
        <w:rPr>
          <w:szCs w:val="20"/>
        </w:rPr>
        <w:fldChar w:fldCharType="separate"/>
      </w:r>
      <w:r w:rsidRPr="000A5B32">
        <w:rPr>
          <w:szCs w:val="20"/>
        </w:rPr>
        <w:fldChar w:fldCharType="end"/>
      </w:r>
      <w:r>
        <w:rPr>
          <w:szCs w:val="20"/>
        </w:rPr>
        <w:t xml:space="preserve"> Private day surgery clinic (non-admitted patient)</w:t>
      </w:r>
    </w:p>
    <w:p w14:paraId="2AE86D02"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64EF">
        <w:rPr>
          <w:szCs w:val="20"/>
        </w:rPr>
      </w:r>
      <w:r w:rsidR="006264EF">
        <w:rPr>
          <w:szCs w:val="20"/>
        </w:rPr>
        <w:fldChar w:fldCharType="separate"/>
      </w:r>
      <w:r w:rsidRPr="000A5B32">
        <w:rPr>
          <w:szCs w:val="20"/>
        </w:rPr>
        <w:fldChar w:fldCharType="end"/>
      </w:r>
      <w:r>
        <w:rPr>
          <w:szCs w:val="20"/>
        </w:rPr>
        <w:t xml:space="preserve"> Public day surgery clinic (admitted patient)</w:t>
      </w:r>
    </w:p>
    <w:p w14:paraId="31AABA52"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64EF">
        <w:rPr>
          <w:szCs w:val="20"/>
        </w:rPr>
      </w:r>
      <w:r w:rsidR="006264EF">
        <w:rPr>
          <w:szCs w:val="20"/>
        </w:rPr>
        <w:fldChar w:fldCharType="separate"/>
      </w:r>
      <w:r w:rsidRPr="000A5B32">
        <w:rPr>
          <w:szCs w:val="20"/>
        </w:rPr>
        <w:fldChar w:fldCharType="end"/>
      </w:r>
      <w:r>
        <w:rPr>
          <w:szCs w:val="20"/>
        </w:rPr>
        <w:t xml:space="preserve"> Public day surgery clinic (non-admitted patient)</w:t>
      </w:r>
    </w:p>
    <w:p w14:paraId="7DBAB866"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64EF">
        <w:rPr>
          <w:szCs w:val="20"/>
        </w:rPr>
      </w:r>
      <w:r w:rsidR="006264EF">
        <w:rPr>
          <w:szCs w:val="20"/>
        </w:rPr>
        <w:fldChar w:fldCharType="separate"/>
      </w:r>
      <w:r w:rsidRPr="000A5B32">
        <w:rPr>
          <w:szCs w:val="20"/>
        </w:rPr>
        <w:fldChar w:fldCharType="end"/>
      </w:r>
      <w:r>
        <w:rPr>
          <w:szCs w:val="20"/>
        </w:rPr>
        <w:t xml:space="preserve"> </w:t>
      </w:r>
      <w:r>
        <w:t>Residential aged care facility</w:t>
      </w:r>
    </w:p>
    <w:p w14:paraId="7F410E5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64EF">
        <w:rPr>
          <w:szCs w:val="20"/>
        </w:rPr>
      </w:r>
      <w:r w:rsidR="006264EF">
        <w:rPr>
          <w:szCs w:val="20"/>
        </w:rPr>
        <w:fldChar w:fldCharType="separate"/>
      </w:r>
      <w:r w:rsidRPr="000A5B32">
        <w:rPr>
          <w:szCs w:val="20"/>
        </w:rPr>
        <w:fldChar w:fldCharType="end"/>
      </w:r>
      <w:r>
        <w:rPr>
          <w:szCs w:val="20"/>
        </w:rPr>
        <w:t xml:space="preserve"> </w:t>
      </w:r>
      <w:r>
        <w:t>Patient’s home</w:t>
      </w:r>
    </w:p>
    <w:p w14:paraId="7DD1534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64EF">
        <w:rPr>
          <w:szCs w:val="20"/>
        </w:rPr>
      </w:r>
      <w:r w:rsidR="006264EF">
        <w:rPr>
          <w:szCs w:val="20"/>
        </w:rPr>
        <w:fldChar w:fldCharType="separate"/>
      </w:r>
      <w:r w:rsidRPr="000A5B32">
        <w:rPr>
          <w:szCs w:val="20"/>
        </w:rPr>
        <w:fldChar w:fldCharType="end"/>
      </w:r>
      <w:r>
        <w:rPr>
          <w:szCs w:val="20"/>
        </w:rPr>
        <w:t xml:space="preserve"> </w:t>
      </w:r>
      <w:r>
        <w:t>Laboratory</w:t>
      </w:r>
    </w:p>
    <w:p w14:paraId="62760731"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264EF">
        <w:rPr>
          <w:szCs w:val="20"/>
        </w:rPr>
      </w:r>
      <w:r w:rsidR="006264EF">
        <w:rPr>
          <w:szCs w:val="20"/>
        </w:rPr>
        <w:fldChar w:fldCharType="separate"/>
      </w:r>
      <w:r w:rsidRPr="000A5B32">
        <w:rPr>
          <w:szCs w:val="20"/>
        </w:rPr>
        <w:fldChar w:fldCharType="end"/>
      </w:r>
      <w:r>
        <w:rPr>
          <w:szCs w:val="20"/>
        </w:rPr>
        <w:t xml:space="preserve"> </w:t>
      </w:r>
      <w:r>
        <w:t>Other – please specify below</w:t>
      </w:r>
    </w:p>
    <w:p w14:paraId="1D639C8F" w14:textId="7E11B209" w:rsidR="003433D1" w:rsidRPr="00C12917" w:rsidRDefault="001E5A8E" w:rsidP="001E5A8E">
      <w:pPr>
        <w:pStyle w:val="Heading2"/>
        <w:numPr>
          <w:ilvl w:val="0"/>
          <w:numId w:val="0"/>
        </w:numPr>
        <w:ind w:left="360"/>
      </w:pPr>
      <w:r>
        <w:t xml:space="preserve">(b) </w:t>
      </w:r>
      <w:r w:rsidR="00E048ED" w:rsidRPr="00C12917">
        <w:t>Where the proposed medical service is provided in more than one setting, please describ</w:t>
      </w:r>
      <w:r w:rsidR="00AE1188" w:rsidRPr="00C12917">
        <w:t>e the rationale related to each:</w:t>
      </w:r>
    </w:p>
    <w:p w14:paraId="1179EC26" w14:textId="021E5387" w:rsidR="0073597B" w:rsidRPr="00547AF4" w:rsidRDefault="00547AF4" w:rsidP="0073597B">
      <w:pPr>
        <w:ind w:left="426"/>
        <w:rPr>
          <w:bCs/>
          <w:szCs w:val="20"/>
        </w:rPr>
      </w:pPr>
      <w:r w:rsidRPr="00547AF4">
        <w:rPr>
          <w:bCs/>
          <w:szCs w:val="20"/>
        </w:rPr>
        <w:t>The procedure is performed in the in-hospital setting with patients admitted.</w:t>
      </w:r>
    </w:p>
    <w:p w14:paraId="0D652B40" w14:textId="77777777" w:rsidR="003E30FB" w:rsidRDefault="003E30FB" w:rsidP="00530204">
      <w:pPr>
        <w:pStyle w:val="Heading2"/>
      </w:pPr>
      <w:r>
        <w:t xml:space="preserve">Is the </w:t>
      </w:r>
      <w:r w:rsidRPr="001B29A1">
        <w:t>proposed</w:t>
      </w:r>
      <w:r>
        <w:t xml:space="preserve"> medical service intended to be entirely rendered in Australia?</w:t>
      </w:r>
    </w:p>
    <w:p w14:paraId="7D38E7A0" w14:textId="2EA44E34" w:rsidR="000A478F" w:rsidRDefault="00775D4D" w:rsidP="000A478F">
      <w:pPr>
        <w:spacing w:before="0" w:after="0"/>
        <w:ind w:left="426"/>
        <w:rPr>
          <w:szCs w:val="20"/>
        </w:rPr>
      </w:pPr>
      <w:r>
        <w:rPr>
          <w:szCs w:val="20"/>
        </w:rPr>
        <w:fldChar w:fldCharType="begin">
          <w:ffData>
            <w:name w:val=""/>
            <w:enabled/>
            <w:calcOnExit w:val="0"/>
            <w:checkBox>
              <w:sizeAuto/>
              <w:default w:val="1"/>
            </w:checkBox>
          </w:ffData>
        </w:fldChar>
      </w:r>
      <w:r w:rsidRPr="00775D4D">
        <w:rPr>
          <w:szCs w:val="20"/>
        </w:rPr>
        <w:instrText xml:space="preserve"> FORMCHECKBOX </w:instrText>
      </w:r>
      <w:r w:rsidR="006264EF">
        <w:rPr>
          <w:szCs w:val="20"/>
        </w:rPr>
      </w:r>
      <w:r w:rsidR="006264EF">
        <w:rPr>
          <w:szCs w:val="20"/>
        </w:rPr>
        <w:fldChar w:fldCharType="separate"/>
      </w:r>
      <w:r>
        <w:rPr>
          <w:szCs w:val="20"/>
        </w:rPr>
        <w:fldChar w:fldCharType="end"/>
      </w:r>
      <w:r w:rsidR="000A478F">
        <w:rPr>
          <w:szCs w:val="20"/>
        </w:rPr>
        <w:t xml:space="preserve"> Yes</w:t>
      </w:r>
    </w:p>
    <w:p w14:paraId="0B1AD9DE"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6264EF">
        <w:rPr>
          <w:szCs w:val="20"/>
        </w:rPr>
      </w:r>
      <w:r w:rsidR="006264EF">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3EDE164C" w14:textId="19A0AC8D" w:rsidR="000A478F" w:rsidRDefault="000A478F" w:rsidP="00881F93">
      <w:pPr>
        <w:rPr>
          <w:b/>
          <w:i/>
          <w:szCs w:val="20"/>
          <w:u w:val="single"/>
        </w:rPr>
      </w:pPr>
    </w:p>
    <w:p w14:paraId="690A3AFF" w14:textId="77777777" w:rsidR="00E60529" w:rsidRPr="00881F93" w:rsidRDefault="005C3AE7" w:rsidP="008F390B">
      <w:pPr>
        <w:pStyle w:val="Subtitle"/>
        <w:ind w:left="0"/>
      </w:pPr>
      <w:r>
        <w:t xml:space="preserve">PART 6c – </w:t>
      </w:r>
      <w:r w:rsidR="00E60529" w:rsidRPr="00881F93">
        <w:t>INFORMATION ABOUT THE COMPARATOR</w:t>
      </w:r>
      <w:r w:rsidR="00A83EC6" w:rsidRPr="00881F93">
        <w:t>(S)</w:t>
      </w:r>
    </w:p>
    <w:p w14:paraId="48863D3A" w14:textId="23504E99"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0122A63E" w14:textId="02E44DB5" w:rsidR="00353412" w:rsidRPr="0077411D" w:rsidRDefault="00EE3D62" w:rsidP="00CA320C">
      <w:pPr>
        <w:ind w:left="284"/>
        <w:rPr>
          <w:szCs w:val="20"/>
        </w:rPr>
      </w:pPr>
      <w:r w:rsidRPr="0077411D">
        <w:rPr>
          <w:szCs w:val="20"/>
        </w:rPr>
        <w:t xml:space="preserve">While not yet </w:t>
      </w:r>
      <w:r w:rsidR="008B01E6" w:rsidRPr="0077411D">
        <w:rPr>
          <w:szCs w:val="20"/>
        </w:rPr>
        <w:t xml:space="preserve">issued a MBS code, </w:t>
      </w:r>
      <w:r w:rsidR="002B2FAD" w:rsidRPr="0077411D">
        <w:rPr>
          <w:szCs w:val="20"/>
        </w:rPr>
        <w:t xml:space="preserve">the appropriate comparator for the PASCAL </w:t>
      </w:r>
      <w:r w:rsidR="00DF18A1" w:rsidRPr="0077411D">
        <w:rPr>
          <w:szCs w:val="20"/>
        </w:rPr>
        <w:t>Tran</w:t>
      </w:r>
      <w:r w:rsidR="0084624E" w:rsidRPr="0077411D">
        <w:rPr>
          <w:szCs w:val="20"/>
        </w:rPr>
        <w:t>s</w:t>
      </w:r>
      <w:r w:rsidR="00DF18A1" w:rsidRPr="0077411D">
        <w:rPr>
          <w:szCs w:val="20"/>
        </w:rPr>
        <w:t>catheter Valve Repair System</w:t>
      </w:r>
      <w:r w:rsidR="002B2FAD" w:rsidRPr="0077411D">
        <w:rPr>
          <w:szCs w:val="20"/>
        </w:rPr>
        <w:t xml:space="preserve"> </w:t>
      </w:r>
      <w:r w:rsidR="00C47F72" w:rsidRPr="0077411D">
        <w:rPr>
          <w:szCs w:val="20"/>
        </w:rPr>
        <w:t>is</w:t>
      </w:r>
      <w:r w:rsidR="00106A0E" w:rsidRPr="0077411D">
        <w:rPr>
          <w:szCs w:val="20"/>
        </w:rPr>
        <w:t xml:space="preserve"> </w:t>
      </w:r>
      <w:r w:rsidR="00D5781A" w:rsidRPr="0077411D">
        <w:rPr>
          <w:szCs w:val="20"/>
        </w:rPr>
        <w:t xml:space="preserve">the MitraClip Clip Delivery System from Abbott </w:t>
      </w:r>
      <w:r w:rsidR="002F75CE" w:rsidRPr="0077411D">
        <w:rPr>
          <w:szCs w:val="20"/>
        </w:rPr>
        <w:t>Vascular</w:t>
      </w:r>
      <w:r w:rsidR="0057551E" w:rsidRPr="0077411D">
        <w:rPr>
          <w:szCs w:val="20"/>
        </w:rPr>
        <w:t xml:space="preserve">, as </w:t>
      </w:r>
      <w:r w:rsidR="009776F8" w:rsidRPr="0077411D">
        <w:rPr>
          <w:szCs w:val="20"/>
        </w:rPr>
        <w:t xml:space="preserve">the MitraClip device </w:t>
      </w:r>
      <w:r w:rsidR="006021CA" w:rsidRPr="0077411D">
        <w:rPr>
          <w:szCs w:val="20"/>
        </w:rPr>
        <w:t>has already established</w:t>
      </w:r>
      <w:r w:rsidR="00DF18A1" w:rsidRPr="0077411D">
        <w:rPr>
          <w:szCs w:val="20"/>
        </w:rPr>
        <w:t xml:space="preserve"> </w:t>
      </w:r>
      <w:r w:rsidR="00B05D06" w:rsidRPr="0077411D">
        <w:rPr>
          <w:szCs w:val="20"/>
        </w:rPr>
        <w:t xml:space="preserve">superiority to </w:t>
      </w:r>
      <w:r w:rsidR="009E3003" w:rsidRPr="0077411D">
        <w:rPr>
          <w:szCs w:val="20"/>
        </w:rPr>
        <w:t xml:space="preserve">guideline directed medical </w:t>
      </w:r>
      <w:r w:rsidR="00C20DF7" w:rsidRPr="0077411D">
        <w:rPr>
          <w:szCs w:val="20"/>
        </w:rPr>
        <w:t>therapy (GDMT) as a result of their COAPT trial</w:t>
      </w:r>
      <w:r w:rsidR="000A4AA1" w:rsidRPr="0077411D">
        <w:rPr>
          <w:szCs w:val="20"/>
        </w:rPr>
        <w:t xml:space="preserve"> (Stone </w:t>
      </w:r>
      <w:r w:rsidR="0044185C" w:rsidRPr="0077411D">
        <w:rPr>
          <w:szCs w:val="20"/>
        </w:rPr>
        <w:t>et al., 201</w:t>
      </w:r>
      <w:r w:rsidR="006F756A" w:rsidRPr="0077411D">
        <w:rPr>
          <w:szCs w:val="20"/>
        </w:rPr>
        <w:t>8</w:t>
      </w:r>
      <w:r w:rsidR="0044185C" w:rsidRPr="0077411D">
        <w:rPr>
          <w:szCs w:val="20"/>
        </w:rPr>
        <w:t>)</w:t>
      </w:r>
      <w:r w:rsidR="006D089F" w:rsidRPr="0077411D">
        <w:rPr>
          <w:szCs w:val="20"/>
        </w:rPr>
        <w:t xml:space="preserve"> for the FMR </w:t>
      </w:r>
      <w:r w:rsidR="001A0F7D" w:rsidRPr="0077411D">
        <w:rPr>
          <w:szCs w:val="20"/>
        </w:rPr>
        <w:t xml:space="preserve">treatment </w:t>
      </w:r>
      <w:r w:rsidR="006D089F" w:rsidRPr="0077411D">
        <w:rPr>
          <w:szCs w:val="20"/>
        </w:rPr>
        <w:t>population</w:t>
      </w:r>
      <w:r w:rsidR="001A0F7D" w:rsidRPr="0077411D">
        <w:rPr>
          <w:szCs w:val="20"/>
        </w:rPr>
        <w:t xml:space="preserve"> that also applies to </w:t>
      </w:r>
      <w:r w:rsidR="00E5120C" w:rsidRPr="0077411D">
        <w:rPr>
          <w:szCs w:val="20"/>
        </w:rPr>
        <w:t>the treatment population of the PASCAL Transcatheter Valve Repair System</w:t>
      </w:r>
      <w:r w:rsidR="006D089F" w:rsidRPr="0077411D">
        <w:rPr>
          <w:szCs w:val="20"/>
        </w:rPr>
        <w:t xml:space="preserve">, and </w:t>
      </w:r>
      <w:r w:rsidR="006744BF" w:rsidRPr="0077411D">
        <w:rPr>
          <w:szCs w:val="20"/>
        </w:rPr>
        <w:t xml:space="preserve">TMVr is superior to surgery in the </w:t>
      </w:r>
      <w:r w:rsidR="000503B7" w:rsidRPr="0077411D">
        <w:rPr>
          <w:szCs w:val="20"/>
        </w:rPr>
        <w:t xml:space="preserve">DMR </w:t>
      </w:r>
      <w:r w:rsidR="00E5120C" w:rsidRPr="0077411D">
        <w:rPr>
          <w:szCs w:val="20"/>
        </w:rPr>
        <w:t xml:space="preserve">treatment </w:t>
      </w:r>
      <w:r w:rsidR="000503B7" w:rsidRPr="0077411D">
        <w:rPr>
          <w:szCs w:val="20"/>
        </w:rPr>
        <w:t>population</w:t>
      </w:r>
      <w:r w:rsidR="006A5C59" w:rsidRPr="0077411D">
        <w:rPr>
          <w:szCs w:val="20"/>
        </w:rPr>
        <w:t xml:space="preserve"> (</w:t>
      </w:r>
      <w:r w:rsidR="007D1EA4" w:rsidRPr="0077411D">
        <w:rPr>
          <w:szCs w:val="20"/>
        </w:rPr>
        <w:t>Feldman et al., 2011)</w:t>
      </w:r>
      <w:r w:rsidR="00E5120C" w:rsidRPr="0077411D">
        <w:rPr>
          <w:szCs w:val="20"/>
        </w:rPr>
        <w:t xml:space="preserve"> that mirrors the </w:t>
      </w:r>
      <w:r w:rsidR="00645CE6" w:rsidRPr="0077411D">
        <w:rPr>
          <w:szCs w:val="20"/>
        </w:rPr>
        <w:t>treatment population of the PASCAL Transcatheter Valve Repair System</w:t>
      </w:r>
      <w:r w:rsidR="00455DD4" w:rsidRPr="0077411D">
        <w:rPr>
          <w:szCs w:val="20"/>
        </w:rPr>
        <w:t>, as outlined in the PSD for Application 1192.3</w:t>
      </w:r>
      <w:r w:rsidR="00CA320C" w:rsidRPr="0077411D">
        <w:rPr>
          <w:szCs w:val="20"/>
        </w:rPr>
        <w:t>.</w:t>
      </w:r>
    </w:p>
    <w:p w14:paraId="5F82795E" w14:textId="197005E0" w:rsidR="00CA320C" w:rsidRPr="0077411D" w:rsidRDefault="00C0394B" w:rsidP="00CA320C">
      <w:pPr>
        <w:ind w:left="284"/>
        <w:rPr>
          <w:szCs w:val="20"/>
        </w:rPr>
      </w:pPr>
      <w:r w:rsidRPr="0077411D">
        <w:rPr>
          <w:szCs w:val="20"/>
        </w:rPr>
        <w:t xml:space="preserve">MitraClip has successfully made the case for TMVr </w:t>
      </w:r>
      <w:r w:rsidR="00241351" w:rsidRPr="0077411D">
        <w:rPr>
          <w:szCs w:val="20"/>
        </w:rPr>
        <w:t xml:space="preserve">in </w:t>
      </w:r>
      <w:r w:rsidR="0084624E" w:rsidRPr="0077411D">
        <w:rPr>
          <w:szCs w:val="20"/>
        </w:rPr>
        <w:t xml:space="preserve">the moderate to </w:t>
      </w:r>
      <w:r w:rsidR="60B48145" w:rsidRPr="0077411D">
        <w:t>severe</w:t>
      </w:r>
      <w:r w:rsidR="0084624E" w:rsidRPr="0077411D">
        <w:rPr>
          <w:szCs w:val="20"/>
        </w:rPr>
        <w:t xml:space="preserve"> treatment population, and therefore is the PASCAL Transcatheter Valve Repair System’s comparator.</w:t>
      </w:r>
    </w:p>
    <w:p w14:paraId="1DA0B1FE" w14:textId="246BEAEA" w:rsidR="00E4136B" w:rsidRPr="0077411D" w:rsidRDefault="00F531F6" w:rsidP="00CA320C">
      <w:pPr>
        <w:ind w:left="284"/>
        <w:rPr>
          <w:szCs w:val="20"/>
        </w:rPr>
      </w:pPr>
      <w:r w:rsidRPr="0077411D">
        <w:rPr>
          <w:szCs w:val="20"/>
        </w:rPr>
        <w:t xml:space="preserve">Recommendations on the clinical and cost-effectiveness of treatments for MR (Table </w:t>
      </w:r>
      <w:r w:rsidR="005F7B8E" w:rsidRPr="0077411D">
        <w:rPr>
          <w:szCs w:val="20"/>
        </w:rPr>
        <w:t>10</w:t>
      </w:r>
      <w:r w:rsidRPr="0077411D">
        <w:rPr>
          <w:szCs w:val="20"/>
        </w:rPr>
        <w:t>) are included in published health technology assessments (HTAs) from Europe (EUnetHTA); England, Wales, and Northern Ireland (NICE); Scotland (Health Improvement Scotland); France (HAS); Italy; Canada; and the US.</w:t>
      </w:r>
    </w:p>
    <w:p w14:paraId="7DF455D5" w14:textId="5B45AD21" w:rsidR="008905F1" w:rsidRPr="0077411D" w:rsidRDefault="008905F1" w:rsidP="008905F1">
      <w:pPr>
        <w:ind w:left="284"/>
        <w:rPr>
          <w:szCs w:val="20"/>
        </w:rPr>
      </w:pPr>
      <w:r w:rsidRPr="0077411D">
        <w:rPr>
          <w:szCs w:val="20"/>
        </w:rPr>
        <w:t xml:space="preserve">In Canada, as of May 2015, the Ontario Health Technology Advisory Committee (OHTAC) recommends that the mitral valve clip procedure be funded by Cardiac Care Network (CCN)–identified excellence </w:t>
      </w:r>
      <w:r w:rsidR="00B41D9D" w:rsidRPr="0077411D">
        <w:rPr>
          <w:szCs w:val="20"/>
        </w:rPr>
        <w:t>centres</w:t>
      </w:r>
      <w:r w:rsidRPr="0077411D">
        <w:rPr>
          <w:szCs w:val="20"/>
        </w:rPr>
        <w:t>, and all patients should be enrolled if they are receiving this MR procedure. A review by CADTH in June 2020 showed that compared with pre</w:t>
      </w:r>
      <w:r w:rsidR="003371CF" w:rsidRPr="0077411D">
        <w:rPr>
          <w:szCs w:val="20"/>
        </w:rPr>
        <w:t>-</w:t>
      </w:r>
      <w:r w:rsidRPr="0077411D">
        <w:rPr>
          <w:szCs w:val="20"/>
        </w:rPr>
        <w:t>procedure, MitraClip for the treatment of TR and/or MR had significantly improved TR grade, NYHA functional class, edema, and ascites at follow-up. The percentage of patients with procedural success ranged from 92% to 97% for the four studies that reported these data.</w:t>
      </w:r>
    </w:p>
    <w:p w14:paraId="10B3162E" w14:textId="77777777" w:rsidR="008F390B" w:rsidRDefault="008F390B">
      <w:pPr>
        <w:spacing w:before="0" w:after="200" w:line="276" w:lineRule="auto"/>
        <w:rPr>
          <w:szCs w:val="20"/>
        </w:rPr>
      </w:pPr>
      <w:r>
        <w:rPr>
          <w:szCs w:val="20"/>
        </w:rPr>
        <w:br w:type="page"/>
      </w:r>
    </w:p>
    <w:p w14:paraId="45CD6ED9" w14:textId="44086262" w:rsidR="008905F1" w:rsidRPr="00B7761E" w:rsidRDefault="008905F1" w:rsidP="008F390B">
      <w:pPr>
        <w:rPr>
          <w:szCs w:val="20"/>
          <w:highlight w:val="yellow"/>
        </w:rPr>
      </w:pPr>
      <w:r w:rsidRPr="0077411D">
        <w:rPr>
          <w:szCs w:val="20"/>
        </w:rPr>
        <w:lastRenderedPageBreak/>
        <w:t>In the US on March 2019, the FDA expanded the MitraClip indications for use to now include secondary or functional MR. The distinction is that use is now acceptable for MR caused by a dysfunctional LV as opposed to only degenerative MR. At the end of June 2020, the Centers for Medicare &amp; Medicaid Services (CMS) proposed to update its national coverage policy for the transcatheter edge-to-edge repair (TEER) procedure of the mitral valve to now include patients with functional MR. The proposal aligns with the FDA’s recent 2019 expansion of approved indications for MitraClip. CMS also proposes to remove the coverage with evidence requirement and proposes local Medicare Administrative Contractor (MAC) discretion for coverage of TEER of the mitral valve for patients with degenerative MR, meaning providers would no longer need a registry or clinical study participation to offer the procedure to Medicare patients.</w:t>
      </w:r>
    </w:p>
    <w:p w14:paraId="231AA6C6" w14:textId="0AE4DCB4" w:rsidR="009378CF" w:rsidRDefault="009378CF" w:rsidP="00CA320C">
      <w:pPr>
        <w:ind w:left="284"/>
      </w:pPr>
      <w:r w:rsidRPr="00636EE1">
        <w:rPr>
          <w:szCs w:val="20"/>
        </w:rPr>
        <w:t xml:space="preserve">Table </w:t>
      </w:r>
      <w:r w:rsidR="001119CE" w:rsidRPr="00636EE1">
        <w:rPr>
          <w:szCs w:val="20"/>
        </w:rPr>
        <w:t>10</w:t>
      </w:r>
      <w:r w:rsidR="00C635D3" w:rsidRPr="00636EE1">
        <w:rPr>
          <w:szCs w:val="20"/>
        </w:rPr>
        <w:t xml:space="preserve">. </w:t>
      </w:r>
      <w:r w:rsidR="00BD1374" w:rsidRPr="00636EE1">
        <w:t>Published Health Technology Assessments of Treatments for Mitral Valve Disease in Europe</w:t>
      </w:r>
      <w:r w:rsidR="00134550">
        <w:t xml:space="preserve"> (contents of table described below)</w:t>
      </w:r>
    </w:p>
    <w:p w14:paraId="6237DA45" w14:textId="2049C26C" w:rsidR="00134550" w:rsidRPr="00134550" w:rsidRDefault="00134550" w:rsidP="00CC4680">
      <w:pPr>
        <w:ind w:left="360"/>
        <w:rPr>
          <w:szCs w:val="20"/>
        </w:rPr>
      </w:pPr>
      <w:r w:rsidRPr="00134550">
        <w:rPr>
          <w:szCs w:val="20"/>
        </w:rPr>
        <w:t xml:space="preserve">The information presented in </w:t>
      </w:r>
      <w:r w:rsidRPr="00134550">
        <w:rPr>
          <w:b/>
          <w:bCs/>
          <w:szCs w:val="20"/>
        </w:rPr>
        <w:t>Table 10</w:t>
      </w:r>
      <w:r w:rsidRPr="00134550">
        <w:rPr>
          <w:szCs w:val="20"/>
        </w:rPr>
        <w:t xml:space="preserve"> reports on the health technology assessments made or in process for transcatheter mitral valve repair (TMVR) in European health technology appraisals.</w:t>
      </w:r>
    </w:p>
    <w:p w14:paraId="13BD7DCF" w14:textId="77777777" w:rsidR="00134550" w:rsidRPr="00134550" w:rsidRDefault="00134550" w:rsidP="00134550">
      <w:pPr>
        <w:numPr>
          <w:ilvl w:val="0"/>
          <w:numId w:val="50"/>
        </w:numPr>
        <w:rPr>
          <w:szCs w:val="20"/>
        </w:rPr>
      </w:pPr>
      <w:r w:rsidRPr="00134550">
        <w:rPr>
          <w:szCs w:val="20"/>
        </w:rPr>
        <w:t xml:space="preserve">EUnetHTA </w:t>
      </w:r>
    </w:p>
    <w:p w14:paraId="67902186" w14:textId="77777777" w:rsidR="00134550" w:rsidRPr="00134550" w:rsidRDefault="00134550" w:rsidP="00134550">
      <w:pPr>
        <w:numPr>
          <w:ilvl w:val="1"/>
          <w:numId w:val="50"/>
        </w:numPr>
        <w:rPr>
          <w:szCs w:val="20"/>
        </w:rPr>
      </w:pPr>
      <w:r w:rsidRPr="00134550">
        <w:rPr>
          <w:szCs w:val="20"/>
          <w:lang w:val="en-US"/>
        </w:rPr>
        <w:t xml:space="preserve">EUnetHTA. Transcatheter implantable devices for mitral valve repair in adults with chronic mitral valve regurgitation. 2015. Available at: </w:t>
      </w:r>
      <w:hyperlink r:id="rId55" w:history="1">
        <w:r w:rsidRPr="00134550">
          <w:rPr>
            <w:rStyle w:val="Hyperlink"/>
            <w:szCs w:val="20"/>
            <w:lang w:val="en-US"/>
          </w:rPr>
          <w:t>https://www.eunethta.eu/wp-content/uploads/2018/01/Transcatheter-Implantable-Devices-for-mitral-valve-repair-in-adults-with-chronic-mitral-valve-regurgitation_Rapid-REA_Final_Sep-2015_0.pdf</w:t>
        </w:r>
      </w:hyperlink>
      <w:r w:rsidRPr="00134550">
        <w:rPr>
          <w:szCs w:val="20"/>
          <w:lang w:val="en-US"/>
        </w:rPr>
        <w:t>. Accessed April 19, 2021.</w:t>
      </w:r>
    </w:p>
    <w:p w14:paraId="1F62FBC8" w14:textId="77777777" w:rsidR="00134550" w:rsidRPr="00134550" w:rsidRDefault="00134550" w:rsidP="00134550">
      <w:pPr>
        <w:numPr>
          <w:ilvl w:val="0"/>
          <w:numId w:val="50"/>
        </w:numPr>
        <w:rPr>
          <w:szCs w:val="20"/>
        </w:rPr>
      </w:pPr>
      <w:r w:rsidRPr="00134550">
        <w:rPr>
          <w:szCs w:val="20"/>
        </w:rPr>
        <w:t>UK NICE (2010)</w:t>
      </w:r>
    </w:p>
    <w:p w14:paraId="3361E2ED" w14:textId="77777777" w:rsidR="00134550" w:rsidRPr="00134550" w:rsidRDefault="00134550" w:rsidP="00134550">
      <w:pPr>
        <w:numPr>
          <w:ilvl w:val="1"/>
          <w:numId w:val="50"/>
        </w:numPr>
        <w:rPr>
          <w:szCs w:val="20"/>
        </w:rPr>
      </w:pPr>
      <w:r w:rsidRPr="00134550">
        <w:rPr>
          <w:szCs w:val="20"/>
          <w:lang w:val="en-US"/>
        </w:rPr>
        <w:t xml:space="preserve">NICE. Interventional procedures guidance 352 (IPG352). Percutaneous mitral valve annuloplasty. National Institute for Health and Care Excellence; 2010. Available at: </w:t>
      </w:r>
      <w:hyperlink r:id="rId56" w:history="1">
        <w:r w:rsidRPr="00134550">
          <w:rPr>
            <w:rStyle w:val="Hyperlink"/>
            <w:szCs w:val="20"/>
            <w:lang w:val="en-US"/>
          </w:rPr>
          <w:t>https://www.nice.org.uk/guidance/ipg352</w:t>
        </w:r>
      </w:hyperlink>
      <w:r w:rsidRPr="00134550">
        <w:rPr>
          <w:szCs w:val="20"/>
          <w:lang w:val="en-US"/>
        </w:rPr>
        <w:t>. Accessed April 15, 2021.</w:t>
      </w:r>
    </w:p>
    <w:p w14:paraId="4D4B6B93" w14:textId="77777777" w:rsidR="00134550" w:rsidRPr="00134550" w:rsidRDefault="00134550" w:rsidP="00134550">
      <w:pPr>
        <w:numPr>
          <w:ilvl w:val="0"/>
          <w:numId w:val="50"/>
        </w:numPr>
        <w:rPr>
          <w:szCs w:val="20"/>
        </w:rPr>
      </w:pPr>
      <w:r w:rsidRPr="00134550">
        <w:rPr>
          <w:szCs w:val="20"/>
        </w:rPr>
        <w:t>UK NICE (2014)</w:t>
      </w:r>
    </w:p>
    <w:p w14:paraId="616AB932" w14:textId="77777777" w:rsidR="00134550" w:rsidRPr="00134550" w:rsidRDefault="00134550" w:rsidP="00134550">
      <w:pPr>
        <w:numPr>
          <w:ilvl w:val="1"/>
          <w:numId w:val="50"/>
        </w:numPr>
        <w:rPr>
          <w:szCs w:val="20"/>
        </w:rPr>
      </w:pPr>
      <w:r w:rsidRPr="00134550">
        <w:rPr>
          <w:szCs w:val="20"/>
          <w:lang w:val="en-US"/>
        </w:rPr>
        <w:t xml:space="preserve">NICE. Clinical guideline 187. Acute heart failure: diagnosis and management. National Institute for Health and Care Excellence; 2014. Available at: </w:t>
      </w:r>
      <w:hyperlink r:id="rId57" w:history="1">
        <w:r w:rsidRPr="00134550">
          <w:rPr>
            <w:rStyle w:val="Hyperlink"/>
            <w:szCs w:val="20"/>
            <w:lang w:val="en-US"/>
          </w:rPr>
          <w:t>https://www.nice.org.uk/guidance/cg187</w:t>
        </w:r>
      </w:hyperlink>
      <w:r w:rsidRPr="00134550">
        <w:rPr>
          <w:szCs w:val="20"/>
          <w:lang w:val="en-US"/>
        </w:rPr>
        <w:t>. Accessed April 15, 2021.</w:t>
      </w:r>
    </w:p>
    <w:p w14:paraId="564FA85A" w14:textId="77777777" w:rsidR="00134550" w:rsidRPr="00134550" w:rsidRDefault="00134550" w:rsidP="00134550">
      <w:pPr>
        <w:numPr>
          <w:ilvl w:val="0"/>
          <w:numId w:val="50"/>
        </w:numPr>
        <w:rPr>
          <w:szCs w:val="20"/>
        </w:rPr>
      </w:pPr>
      <w:r w:rsidRPr="00134550">
        <w:rPr>
          <w:szCs w:val="20"/>
        </w:rPr>
        <w:t>UK NICE (2019)</w:t>
      </w:r>
    </w:p>
    <w:p w14:paraId="48FA61D5" w14:textId="77777777" w:rsidR="00134550" w:rsidRPr="00134550" w:rsidRDefault="00134550" w:rsidP="00134550">
      <w:pPr>
        <w:numPr>
          <w:ilvl w:val="1"/>
          <w:numId w:val="50"/>
        </w:numPr>
        <w:rPr>
          <w:szCs w:val="20"/>
        </w:rPr>
      </w:pPr>
      <w:r w:rsidRPr="00134550">
        <w:rPr>
          <w:szCs w:val="20"/>
          <w:lang w:val="en-US"/>
        </w:rPr>
        <w:t xml:space="preserve">NICE. Interventional procedures guidance. Percutaneous mitral valve leaflet repair for mitral regurgitation. National Institute for Health and Care Excellence; 2019. Available at: </w:t>
      </w:r>
      <w:hyperlink r:id="rId58" w:history="1">
        <w:r w:rsidRPr="00134550">
          <w:rPr>
            <w:rStyle w:val="Hyperlink"/>
            <w:szCs w:val="20"/>
            <w:lang w:val="en-US"/>
          </w:rPr>
          <w:t>https://www.nice.org.uk/guidance/indevelopment/gid-ipg10088</w:t>
        </w:r>
      </w:hyperlink>
      <w:r w:rsidRPr="00134550">
        <w:rPr>
          <w:szCs w:val="20"/>
          <w:lang w:val="en-US"/>
        </w:rPr>
        <w:t>. Accessed April 15, 2021.</w:t>
      </w:r>
    </w:p>
    <w:p w14:paraId="4887F9C0" w14:textId="77777777" w:rsidR="00134550" w:rsidRPr="00134550" w:rsidRDefault="00134550" w:rsidP="00134550">
      <w:pPr>
        <w:numPr>
          <w:ilvl w:val="0"/>
          <w:numId w:val="50"/>
        </w:numPr>
        <w:rPr>
          <w:szCs w:val="20"/>
        </w:rPr>
      </w:pPr>
      <w:r w:rsidRPr="00134550">
        <w:rPr>
          <w:szCs w:val="20"/>
        </w:rPr>
        <w:t>FRANCE HAS (2015)</w:t>
      </w:r>
    </w:p>
    <w:p w14:paraId="23851EA2" w14:textId="77777777" w:rsidR="00134550" w:rsidRPr="00134550" w:rsidRDefault="00134550" w:rsidP="00134550">
      <w:pPr>
        <w:numPr>
          <w:ilvl w:val="1"/>
          <w:numId w:val="50"/>
        </w:numPr>
        <w:rPr>
          <w:szCs w:val="20"/>
        </w:rPr>
      </w:pPr>
      <w:r w:rsidRPr="00134550">
        <w:rPr>
          <w:szCs w:val="20"/>
          <w:lang w:val="en-US"/>
        </w:rPr>
        <w:t xml:space="preserve">HAS. Assessment of an edge-to-edge mitral valve repair clip and its implantation. Haute Autorité de Santé; 2015. Available at: </w:t>
      </w:r>
      <w:hyperlink r:id="rId59" w:history="1">
        <w:r w:rsidRPr="00134550">
          <w:rPr>
            <w:rStyle w:val="Hyperlink"/>
            <w:szCs w:val="20"/>
            <w:lang w:val="en-US"/>
          </w:rPr>
          <w:t>https://www.has-sante.fr/portail/jcms/c_2050051/fr/assessment-of-mitraclip-summary</w:t>
        </w:r>
      </w:hyperlink>
      <w:r w:rsidRPr="00134550">
        <w:rPr>
          <w:szCs w:val="20"/>
          <w:lang w:val="en-US"/>
        </w:rPr>
        <w:t>. Accessed April 19, 2021.</w:t>
      </w:r>
    </w:p>
    <w:p w14:paraId="44F4E533" w14:textId="77777777" w:rsidR="00134550" w:rsidRPr="00134550" w:rsidRDefault="00134550" w:rsidP="00134550">
      <w:pPr>
        <w:numPr>
          <w:ilvl w:val="0"/>
          <w:numId w:val="50"/>
        </w:numPr>
        <w:rPr>
          <w:szCs w:val="20"/>
        </w:rPr>
      </w:pPr>
      <w:r w:rsidRPr="00134550">
        <w:rPr>
          <w:szCs w:val="20"/>
        </w:rPr>
        <w:t>ITALY: Rapid HTA Report (2015)</w:t>
      </w:r>
    </w:p>
    <w:p w14:paraId="02099FC9" w14:textId="77777777" w:rsidR="00134550" w:rsidRPr="00134550" w:rsidRDefault="00134550" w:rsidP="00134550">
      <w:pPr>
        <w:numPr>
          <w:ilvl w:val="1"/>
          <w:numId w:val="50"/>
        </w:numPr>
        <w:rPr>
          <w:szCs w:val="20"/>
        </w:rPr>
      </w:pPr>
      <w:r w:rsidRPr="00134550">
        <w:rPr>
          <w:szCs w:val="20"/>
          <w:lang w:val="en-US"/>
        </w:rPr>
        <w:t xml:space="preserve">Migliore A, Corio M, Perrini MR, Rivoiro C, Jefferson T. Transcatheter implantable devices for mitral valve repair in adults with chronic mitral valve regurgitation: rapid HTA report. 2015. Available at: </w:t>
      </w:r>
      <w:hyperlink r:id="rId60" w:history="1">
        <w:r w:rsidRPr="00134550">
          <w:rPr>
            <w:rStyle w:val="Hyperlink"/>
            <w:szCs w:val="20"/>
            <w:lang w:val="en-US"/>
          </w:rPr>
          <w:t>http://www.salute.gov.it/imgs/C_17_ReportDispositivi_14_documentoInglese_inglese_itemName_0_documentoENG.pdf</w:t>
        </w:r>
      </w:hyperlink>
      <w:r w:rsidRPr="00134550">
        <w:rPr>
          <w:szCs w:val="20"/>
          <w:lang w:val="en-US"/>
        </w:rPr>
        <w:t>. Accessed April 19, 2021.</w:t>
      </w:r>
    </w:p>
    <w:p w14:paraId="04A03301" w14:textId="77777777" w:rsidR="00CA320C" w:rsidRPr="00247B5B" w:rsidRDefault="00CA320C" w:rsidP="00134550">
      <w:pPr>
        <w:rPr>
          <w:szCs w:val="20"/>
        </w:rPr>
      </w:pPr>
    </w:p>
    <w:p w14:paraId="31D15BA1"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47B5105F" w14:textId="361A8573" w:rsidR="006A1038" w:rsidRDefault="00C97FFB" w:rsidP="006A1038">
      <w:pPr>
        <w:spacing w:before="0" w:after="0"/>
        <w:ind w:left="426"/>
        <w:rPr>
          <w:szCs w:val="20"/>
        </w:rPr>
      </w:pPr>
      <w:r>
        <w:rPr>
          <w:szCs w:val="20"/>
        </w:rPr>
        <w:fldChar w:fldCharType="begin">
          <w:ffData>
            <w:name w:val=""/>
            <w:enabled/>
            <w:calcOnExit w:val="0"/>
            <w:checkBox>
              <w:sizeAuto/>
              <w:default w:val="0"/>
            </w:checkBox>
          </w:ffData>
        </w:fldChar>
      </w:r>
      <w:r w:rsidRPr="00C97FFB">
        <w:rPr>
          <w:szCs w:val="20"/>
        </w:rPr>
        <w:instrText xml:space="preserve"> FORMCHECKBOX </w:instrText>
      </w:r>
      <w:r w:rsidR="006264EF">
        <w:rPr>
          <w:szCs w:val="20"/>
        </w:rPr>
      </w:r>
      <w:r w:rsidR="006264EF">
        <w:rPr>
          <w:szCs w:val="20"/>
        </w:rPr>
        <w:fldChar w:fldCharType="separate"/>
      </w:r>
      <w:r>
        <w:rPr>
          <w:szCs w:val="20"/>
        </w:rPr>
        <w:fldChar w:fldCharType="end"/>
      </w:r>
      <w:r w:rsidR="006A1038">
        <w:rPr>
          <w:szCs w:val="20"/>
        </w:rPr>
        <w:t xml:space="preserve"> Yes (please </w:t>
      </w:r>
      <w:r w:rsidR="003904AC">
        <w:rPr>
          <w:szCs w:val="20"/>
        </w:rPr>
        <w:t xml:space="preserve">list </w:t>
      </w:r>
      <w:r w:rsidR="006A1038">
        <w:rPr>
          <w:szCs w:val="20"/>
        </w:rPr>
        <w:t>all relevant MBS item numbers below)</w:t>
      </w:r>
    </w:p>
    <w:p w14:paraId="0841E109" w14:textId="71F7D9BC" w:rsidR="000159B9" w:rsidRPr="00735AA2" w:rsidRDefault="00C97FFB" w:rsidP="006A1038">
      <w:pPr>
        <w:spacing w:before="0" w:after="0"/>
        <w:ind w:left="426"/>
        <w:rPr>
          <w:szCs w:val="20"/>
        </w:rPr>
      </w:pPr>
      <w:r w:rsidRPr="00735AA2">
        <w:rPr>
          <w:szCs w:val="20"/>
        </w:rPr>
        <w:fldChar w:fldCharType="begin">
          <w:ffData>
            <w:name w:val=""/>
            <w:enabled/>
            <w:calcOnExit w:val="0"/>
            <w:checkBox>
              <w:sizeAuto/>
              <w:default w:val="1"/>
            </w:checkBox>
          </w:ffData>
        </w:fldChar>
      </w:r>
      <w:r w:rsidRPr="00735AA2">
        <w:rPr>
          <w:szCs w:val="20"/>
        </w:rPr>
        <w:instrText xml:space="preserve"> FORMCHECKBOX </w:instrText>
      </w:r>
      <w:r w:rsidR="006264EF">
        <w:rPr>
          <w:szCs w:val="20"/>
        </w:rPr>
      </w:r>
      <w:r w:rsidR="006264EF">
        <w:rPr>
          <w:szCs w:val="20"/>
        </w:rPr>
        <w:fldChar w:fldCharType="separate"/>
      </w:r>
      <w:r w:rsidRPr="00735AA2">
        <w:rPr>
          <w:szCs w:val="20"/>
        </w:rPr>
        <w:fldChar w:fldCharType="end"/>
      </w:r>
      <w:r w:rsidR="006A1038" w:rsidRPr="00735AA2">
        <w:rPr>
          <w:szCs w:val="20"/>
        </w:rPr>
        <w:t xml:space="preserve"> No  </w:t>
      </w:r>
    </w:p>
    <w:p w14:paraId="6262C58C" w14:textId="4166AE9D" w:rsidR="000159B9" w:rsidRPr="00154B00" w:rsidRDefault="00830D19" w:rsidP="001B29A1">
      <w:pPr>
        <w:ind w:left="426"/>
      </w:pPr>
      <w:r w:rsidRPr="00735AA2">
        <w:t>MitraClip/TMVr</w:t>
      </w:r>
      <w:r w:rsidR="00C97FFB" w:rsidRPr="00735AA2">
        <w:t xml:space="preserve"> MBS item number </w:t>
      </w:r>
      <w:r w:rsidR="00E835CF" w:rsidRPr="00735AA2">
        <w:t>is</w:t>
      </w:r>
      <w:r w:rsidR="00C97FFB" w:rsidRPr="00735AA2">
        <w:t xml:space="preserve"> not approved or published </w:t>
      </w:r>
      <w:r w:rsidR="008D0A1F" w:rsidRPr="00735AA2">
        <w:t>yet and</w:t>
      </w:r>
      <w:r w:rsidR="00C97FFB" w:rsidRPr="00735AA2">
        <w:t xml:space="preserve"> </w:t>
      </w:r>
      <w:r w:rsidR="00E835CF" w:rsidRPr="00735AA2">
        <w:t xml:space="preserve">is </w:t>
      </w:r>
      <w:r w:rsidR="00C97FFB" w:rsidRPr="00735AA2">
        <w:t xml:space="preserve">not </w:t>
      </w:r>
      <w:r w:rsidR="00E835CF" w:rsidRPr="00735AA2">
        <w:t xml:space="preserve">yet </w:t>
      </w:r>
      <w:r w:rsidR="00C97FFB" w:rsidRPr="00735AA2">
        <w:t xml:space="preserve">in </w:t>
      </w:r>
      <w:r w:rsidR="00E835CF" w:rsidRPr="00735AA2">
        <w:t>the</w:t>
      </w:r>
      <w:r w:rsidR="00C97FFB" w:rsidRPr="00735AA2">
        <w:t xml:space="preserve"> public domain.</w:t>
      </w:r>
    </w:p>
    <w:p w14:paraId="02417D4E" w14:textId="77777777" w:rsidR="006160CF" w:rsidRPr="006160CF" w:rsidRDefault="00AF5D1E" w:rsidP="006160CF">
      <w:pPr>
        <w:pStyle w:val="Heading2"/>
      </w:pPr>
      <w:r w:rsidRPr="00154B00">
        <w:lastRenderedPageBreak/>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48DE7ED3" w14:textId="77777777" w:rsidR="00CD6A93" w:rsidRPr="00636EE1" w:rsidRDefault="00904139" w:rsidP="008F390B">
      <w:pPr>
        <w:ind w:left="360"/>
        <w:rPr>
          <w:szCs w:val="20"/>
        </w:rPr>
      </w:pPr>
      <w:r w:rsidRPr="00636EE1">
        <w:rPr>
          <w:szCs w:val="20"/>
        </w:rPr>
        <w:t xml:space="preserve">The </w:t>
      </w:r>
      <w:r w:rsidR="00A3555C" w:rsidRPr="00636EE1">
        <w:rPr>
          <w:szCs w:val="20"/>
        </w:rPr>
        <w:t>comparator</w:t>
      </w:r>
      <w:r w:rsidRPr="00636EE1">
        <w:rPr>
          <w:szCs w:val="20"/>
        </w:rPr>
        <w:t xml:space="preserve"> medical service </w:t>
      </w:r>
      <w:r w:rsidR="009D1943" w:rsidRPr="00636EE1">
        <w:rPr>
          <w:szCs w:val="20"/>
        </w:rPr>
        <w:t xml:space="preserve">is </w:t>
      </w:r>
      <w:r w:rsidR="004579D3" w:rsidRPr="00636EE1">
        <w:rPr>
          <w:szCs w:val="20"/>
        </w:rPr>
        <w:t>the dominant transcatheter mitral valve repair</w:t>
      </w:r>
      <w:r w:rsidRPr="00636EE1">
        <w:rPr>
          <w:szCs w:val="20"/>
        </w:rPr>
        <w:t xml:space="preserve"> device </w:t>
      </w:r>
      <w:r w:rsidR="009D1943" w:rsidRPr="00636EE1">
        <w:rPr>
          <w:szCs w:val="20"/>
        </w:rPr>
        <w:t>system and clip</w:t>
      </w:r>
      <w:r w:rsidRPr="00636EE1">
        <w:rPr>
          <w:szCs w:val="20"/>
        </w:rPr>
        <w:t xml:space="preserve"> component </w:t>
      </w:r>
      <w:r w:rsidR="00A06149" w:rsidRPr="00636EE1">
        <w:rPr>
          <w:szCs w:val="20"/>
        </w:rPr>
        <w:t>in</w:t>
      </w:r>
      <w:r w:rsidR="00E51AC8" w:rsidRPr="00636EE1">
        <w:rPr>
          <w:szCs w:val="20"/>
        </w:rPr>
        <w:t xml:space="preserve"> the </w:t>
      </w:r>
      <w:r w:rsidR="00A06149" w:rsidRPr="00636EE1">
        <w:rPr>
          <w:szCs w:val="20"/>
        </w:rPr>
        <w:t>TMVr landscape at present</w:t>
      </w:r>
      <w:r w:rsidR="00F50C82" w:rsidRPr="00636EE1">
        <w:rPr>
          <w:szCs w:val="20"/>
        </w:rPr>
        <w:t xml:space="preserve">, and </w:t>
      </w:r>
      <w:r w:rsidRPr="00636EE1">
        <w:rPr>
          <w:szCs w:val="20"/>
        </w:rPr>
        <w:t xml:space="preserve">as </w:t>
      </w:r>
      <w:r w:rsidR="00D66F15" w:rsidRPr="00636EE1">
        <w:rPr>
          <w:szCs w:val="20"/>
        </w:rPr>
        <w:t xml:space="preserve">TMVr </w:t>
      </w:r>
      <w:r w:rsidR="00B97B35" w:rsidRPr="00636EE1">
        <w:rPr>
          <w:szCs w:val="20"/>
        </w:rPr>
        <w:t>is accepted as a much</w:t>
      </w:r>
      <w:r w:rsidR="00CF2398" w:rsidRPr="00636EE1">
        <w:rPr>
          <w:szCs w:val="20"/>
        </w:rPr>
        <w:t>-</w:t>
      </w:r>
      <w:r w:rsidR="00B97B35" w:rsidRPr="00636EE1">
        <w:rPr>
          <w:szCs w:val="20"/>
        </w:rPr>
        <w:t xml:space="preserve">needed therapeutic options for symptomatic, severe MR patients, </w:t>
      </w:r>
      <w:r w:rsidR="00FA0A20" w:rsidRPr="00636EE1">
        <w:rPr>
          <w:szCs w:val="20"/>
        </w:rPr>
        <w:t xml:space="preserve">guidelines that reflect treatment pathways </w:t>
      </w:r>
      <w:r w:rsidR="00EF417D" w:rsidRPr="00636EE1">
        <w:rPr>
          <w:szCs w:val="20"/>
        </w:rPr>
        <w:t>will adapt</w:t>
      </w:r>
      <w:r w:rsidR="00510F0A" w:rsidRPr="00636EE1">
        <w:rPr>
          <w:szCs w:val="20"/>
        </w:rPr>
        <w:t xml:space="preserve">, however, that time has not come. </w:t>
      </w:r>
    </w:p>
    <w:p w14:paraId="6554F9B0" w14:textId="61DF26C0" w:rsidR="004B0F58" w:rsidRPr="00636EE1" w:rsidRDefault="0064327E" w:rsidP="008F390B">
      <w:pPr>
        <w:ind w:left="360"/>
        <w:rPr>
          <w:szCs w:val="20"/>
        </w:rPr>
      </w:pPr>
      <w:r w:rsidRPr="00636EE1">
        <w:rPr>
          <w:szCs w:val="20"/>
        </w:rPr>
        <w:t xml:space="preserve">The </w:t>
      </w:r>
      <w:r w:rsidR="00904139" w:rsidRPr="00636EE1">
        <w:rPr>
          <w:szCs w:val="20"/>
        </w:rPr>
        <w:t>main comparator</w:t>
      </w:r>
      <w:r w:rsidR="00B55262" w:rsidRPr="00636EE1">
        <w:rPr>
          <w:szCs w:val="20"/>
        </w:rPr>
        <w:t>’s</w:t>
      </w:r>
      <w:r w:rsidR="00904139" w:rsidRPr="00636EE1">
        <w:rPr>
          <w:szCs w:val="20"/>
        </w:rPr>
        <w:t xml:space="preserve"> </w:t>
      </w:r>
      <w:r w:rsidR="00674260" w:rsidRPr="00636EE1">
        <w:rPr>
          <w:szCs w:val="20"/>
        </w:rPr>
        <w:t xml:space="preserve">(MitraClip) </w:t>
      </w:r>
      <w:r w:rsidR="00904139" w:rsidRPr="00636EE1">
        <w:rPr>
          <w:szCs w:val="20"/>
        </w:rPr>
        <w:t xml:space="preserve">objective of the proposed medical service </w:t>
      </w:r>
      <w:r w:rsidR="00674260" w:rsidRPr="00636EE1">
        <w:rPr>
          <w:szCs w:val="20"/>
        </w:rPr>
        <w:t xml:space="preserve">(TMVr) </w:t>
      </w:r>
      <w:r w:rsidR="00904139" w:rsidRPr="00636EE1">
        <w:rPr>
          <w:szCs w:val="20"/>
        </w:rPr>
        <w:t>is to repair the mitral valve</w:t>
      </w:r>
      <w:r w:rsidR="00B55262" w:rsidRPr="00636EE1">
        <w:rPr>
          <w:szCs w:val="20"/>
        </w:rPr>
        <w:t xml:space="preserve">. </w:t>
      </w:r>
      <w:r w:rsidR="009E6898" w:rsidRPr="00636EE1">
        <w:rPr>
          <w:szCs w:val="20"/>
        </w:rPr>
        <w:t>Therefore, i</w:t>
      </w:r>
      <w:r w:rsidR="004B0F58" w:rsidRPr="00636EE1">
        <w:rPr>
          <w:szCs w:val="20"/>
        </w:rPr>
        <w:t>f placement of one MitraClip device does not result in acceptable reduction in MR, a second MitraClip</w:t>
      </w:r>
      <w:r w:rsidR="00B059D2" w:rsidRPr="00636EE1">
        <w:rPr>
          <w:szCs w:val="20"/>
        </w:rPr>
        <w:t xml:space="preserve"> </w:t>
      </w:r>
      <w:r w:rsidR="004B0F58" w:rsidRPr="00636EE1">
        <w:rPr>
          <w:szCs w:val="20"/>
        </w:rPr>
        <w:t>device may be placed using the same Steerable Guide Catheter</w:t>
      </w:r>
      <w:r w:rsidR="00674260" w:rsidRPr="00636EE1">
        <w:rPr>
          <w:szCs w:val="20"/>
        </w:rPr>
        <w:t xml:space="preserve"> intraprocedurally</w:t>
      </w:r>
      <w:r w:rsidR="004B0F58" w:rsidRPr="00636EE1">
        <w:rPr>
          <w:szCs w:val="20"/>
        </w:rPr>
        <w:t xml:space="preserve">. After </w:t>
      </w:r>
      <w:r w:rsidR="00674260" w:rsidRPr="00636EE1">
        <w:rPr>
          <w:szCs w:val="20"/>
        </w:rPr>
        <w:t>c</w:t>
      </w:r>
      <w:r w:rsidR="004B0F58" w:rsidRPr="00636EE1">
        <w:rPr>
          <w:szCs w:val="20"/>
        </w:rPr>
        <w:t>lip deployment, the Delivery</w:t>
      </w:r>
      <w:r w:rsidR="00674260" w:rsidRPr="00636EE1">
        <w:rPr>
          <w:szCs w:val="20"/>
        </w:rPr>
        <w:t xml:space="preserve"> </w:t>
      </w:r>
      <w:r w:rsidR="004B0F58" w:rsidRPr="00636EE1">
        <w:rPr>
          <w:szCs w:val="20"/>
        </w:rPr>
        <w:t>System and Catheter are withdrawn, and the venous puncture site is closed.</w:t>
      </w:r>
      <w:r w:rsidR="00674260" w:rsidRPr="00636EE1">
        <w:rPr>
          <w:szCs w:val="20"/>
        </w:rPr>
        <w:t xml:space="preserve"> </w:t>
      </w:r>
    </w:p>
    <w:p w14:paraId="1E59098B" w14:textId="30C44068" w:rsidR="00AE50FA" w:rsidRDefault="00BA3688" w:rsidP="008F390B">
      <w:pPr>
        <w:ind w:left="360"/>
        <w:rPr>
          <w:szCs w:val="20"/>
        </w:rPr>
      </w:pPr>
      <w:r w:rsidRPr="00636EE1">
        <w:rPr>
          <w:szCs w:val="20"/>
        </w:rPr>
        <w:t xml:space="preserve">Per </w:t>
      </w:r>
      <w:r w:rsidR="00DF15EE" w:rsidRPr="00636EE1">
        <w:rPr>
          <w:szCs w:val="20"/>
        </w:rPr>
        <w:t>MSAC application</w:t>
      </w:r>
      <w:r w:rsidRPr="00636EE1">
        <w:rPr>
          <w:szCs w:val="20"/>
        </w:rPr>
        <w:t xml:space="preserve"> </w:t>
      </w:r>
      <w:r w:rsidR="008F15C6" w:rsidRPr="00636EE1">
        <w:rPr>
          <w:szCs w:val="20"/>
        </w:rPr>
        <w:t xml:space="preserve">1192.3 from Abbott Vascular, </w:t>
      </w:r>
      <w:r w:rsidR="0003538F" w:rsidRPr="00636EE1">
        <w:rPr>
          <w:szCs w:val="20"/>
        </w:rPr>
        <w:t xml:space="preserve">answer to question </w:t>
      </w:r>
      <w:r w:rsidR="00186191" w:rsidRPr="00636EE1">
        <w:rPr>
          <w:szCs w:val="20"/>
        </w:rPr>
        <w:t>number 26</w:t>
      </w:r>
      <w:r w:rsidR="00F8661E" w:rsidRPr="00636EE1">
        <w:rPr>
          <w:szCs w:val="20"/>
        </w:rPr>
        <w:t xml:space="preserve"> in relation to the clinical </w:t>
      </w:r>
      <w:r w:rsidR="00265D2C" w:rsidRPr="00636EE1">
        <w:rPr>
          <w:szCs w:val="20"/>
        </w:rPr>
        <w:t>management pathway in DMR</w:t>
      </w:r>
      <w:r w:rsidR="00186191" w:rsidRPr="00636EE1">
        <w:rPr>
          <w:szCs w:val="20"/>
        </w:rPr>
        <w:t xml:space="preserve">, </w:t>
      </w:r>
      <w:r w:rsidR="00E767A9" w:rsidRPr="00636EE1">
        <w:rPr>
          <w:szCs w:val="20"/>
        </w:rPr>
        <w:t>“</w:t>
      </w:r>
      <w:r w:rsidR="00BE3CD0" w:rsidRPr="00636EE1">
        <w:rPr>
          <w:szCs w:val="20"/>
        </w:rPr>
        <w:t>The clinical algorithm evaluated by MSAC in Application 1192.2 in 2016 was reviewed by four KOLs in January 2019. The resultant adapted clinical management algorithm for patients with severe DMR is provided in Figure</w:t>
      </w:r>
      <w:r w:rsidR="00CD6A93" w:rsidRPr="00636EE1">
        <w:rPr>
          <w:szCs w:val="20"/>
        </w:rPr>
        <w:t xml:space="preserve"> </w:t>
      </w:r>
      <w:r w:rsidR="00BE3CD0" w:rsidRPr="00636EE1">
        <w:rPr>
          <w:szCs w:val="20"/>
        </w:rPr>
        <w:t>5. The standard treatment of patients with severe DMR (grade 3+ or 4+) is surgical repair (or replacement if</w:t>
      </w:r>
      <w:r w:rsidR="00CD6A93" w:rsidRPr="00636EE1">
        <w:rPr>
          <w:szCs w:val="20"/>
        </w:rPr>
        <w:t xml:space="preserve"> </w:t>
      </w:r>
      <w:r w:rsidR="00BE3CD0" w:rsidRPr="00636EE1">
        <w:rPr>
          <w:szCs w:val="20"/>
        </w:rPr>
        <w:t>repair is not feasible). However, in patients that are considered by the MDHT to be high risk surgical candidates,</w:t>
      </w:r>
      <w:r w:rsidR="00CD6A93" w:rsidRPr="00636EE1">
        <w:rPr>
          <w:szCs w:val="20"/>
        </w:rPr>
        <w:t xml:space="preserve"> </w:t>
      </w:r>
      <w:r w:rsidR="00BE3CD0" w:rsidRPr="00636EE1">
        <w:rPr>
          <w:szCs w:val="20"/>
        </w:rPr>
        <w:t>but considered suitable for MitraClip, TMVr provides a treatment option. The alternate treatment option in</w:t>
      </w:r>
      <w:r w:rsidR="00CD6A93" w:rsidRPr="00636EE1">
        <w:rPr>
          <w:szCs w:val="20"/>
        </w:rPr>
        <w:t xml:space="preserve"> </w:t>
      </w:r>
      <w:r w:rsidR="00BE3CD0" w:rsidRPr="00636EE1">
        <w:rPr>
          <w:szCs w:val="20"/>
        </w:rPr>
        <w:t>these patients is medical management.</w:t>
      </w:r>
      <w:r w:rsidR="00CD6A93" w:rsidRPr="00636EE1">
        <w:rPr>
          <w:szCs w:val="20"/>
        </w:rPr>
        <w:t>”</w:t>
      </w:r>
    </w:p>
    <w:p w14:paraId="0E508110" w14:textId="1AA4F092" w:rsidR="009B60E5" w:rsidRPr="009B60E5" w:rsidRDefault="009B60E5" w:rsidP="009B60E5">
      <w:r>
        <w:rPr>
          <w:noProof/>
          <w:lang w:eastAsia="en-AU"/>
        </w:rPr>
        <w:drawing>
          <wp:inline distT="0" distB="0" distL="0" distR="0" wp14:anchorId="44ADE063" wp14:editId="5DECA6AC">
            <wp:extent cx="5731510" cy="4306570"/>
            <wp:effectExtent l="0" t="0" r="2540" b="0"/>
            <wp:docPr id="7" name="Picture 7"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pic:cNvPicPr/>
                  </pic:nvPicPr>
                  <pic:blipFill>
                    <a:blip r:embed="rId53">
                      <a:extLst>
                        <a:ext uri="{28A0092B-C50C-407E-A947-70E740481C1C}">
                          <a14:useLocalDpi xmlns:a14="http://schemas.microsoft.com/office/drawing/2010/main" val="0"/>
                        </a:ext>
                      </a:extLst>
                    </a:blip>
                    <a:stretch>
                      <a:fillRect/>
                    </a:stretch>
                  </pic:blipFill>
                  <pic:spPr>
                    <a:xfrm>
                      <a:off x="0" y="0"/>
                      <a:ext cx="5731510" cy="4306570"/>
                    </a:xfrm>
                    <a:prstGeom prst="rect">
                      <a:avLst/>
                    </a:prstGeom>
                  </pic:spPr>
                </pic:pic>
              </a:graphicData>
            </a:graphic>
          </wp:inline>
        </w:drawing>
      </w:r>
    </w:p>
    <w:p w14:paraId="1A0CDB27" w14:textId="0C0BA25A" w:rsidR="00CD6A93" w:rsidRPr="00CE203A" w:rsidRDefault="00CE203A" w:rsidP="008F390B">
      <w:pPr>
        <w:ind w:left="360"/>
        <w:rPr>
          <w:szCs w:val="20"/>
        </w:rPr>
      </w:pPr>
      <w:r w:rsidRPr="00636EE1">
        <w:rPr>
          <w:szCs w:val="20"/>
        </w:rPr>
        <w:t>Per MSAC application 1192.3 from Abbott Vascular, answer to question number 26</w:t>
      </w:r>
      <w:r w:rsidR="00265D2C" w:rsidRPr="00636EE1">
        <w:rPr>
          <w:szCs w:val="20"/>
        </w:rPr>
        <w:t xml:space="preserve"> in relation to the clinical management pathway in FMR</w:t>
      </w:r>
      <w:r w:rsidRPr="00636EE1">
        <w:rPr>
          <w:szCs w:val="20"/>
        </w:rPr>
        <w:t>, “</w:t>
      </w:r>
      <w:r w:rsidR="00EC1C59" w:rsidRPr="00636EE1">
        <w:rPr>
          <w:szCs w:val="20"/>
        </w:rPr>
        <w:t xml:space="preserve">Based on discussion with </w:t>
      </w:r>
      <w:r w:rsidRPr="00636EE1">
        <w:rPr>
          <w:szCs w:val="20"/>
        </w:rPr>
        <w:t xml:space="preserve">four </w:t>
      </w:r>
      <w:r w:rsidR="00EC1C59" w:rsidRPr="00636EE1">
        <w:rPr>
          <w:szCs w:val="20"/>
        </w:rPr>
        <w:t xml:space="preserve">Australian </w:t>
      </w:r>
      <w:r w:rsidRPr="00636EE1">
        <w:rPr>
          <w:szCs w:val="20"/>
        </w:rPr>
        <w:t>KOLs</w:t>
      </w:r>
      <w:r w:rsidR="00EC1C59" w:rsidRPr="00636EE1">
        <w:rPr>
          <w:szCs w:val="20"/>
        </w:rPr>
        <w:t>, a consensus on the current</w:t>
      </w:r>
      <w:r w:rsidRPr="00636EE1">
        <w:rPr>
          <w:szCs w:val="20"/>
        </w:rPr>
        <w:t xml:space="preserve"> clinical management algorithm for patients with severe </w:t>
      </w:r>
      <w:r w:rsidR="00EC1C59" w:rsidRPr="00636EE1">
        <w:rPr>
          <w:szCs w:val="20"/>
        </w:rPr>
        <w:t xml:space="preserve">FMR was provided (Figure 6). Severe FMR results in volume overload to a decompensated left ventricle which in turn leads to worsening the prognosis of the patient. In contrast to the DMR population, there is only scant evidence to indicate that correcting the MR in these patients with FMR results in increased survival or extended symptom </w:t>
      </w:r>
      <w:r w:rsidR="00EC1C59" w:rsidRPr="00636EE1">
        <w:rPr>
          <w:szCs w:val="20"/>
        </w:rPr>
        <w:lastRenderedPageBreak/>
        <w:t>improvement. Hence in this population, there is much less focus on surgical repair and the mainstay treatment is medical management. Given the less invasive nature of the TMVr compared with standard surgical approaches, this treatment option provides patients and clinicians with an alternate to medical management. Given the superiority of TMVr over optimal medial management (Stone et al., 2018), there is a high clinical need for this to be reimbursed on the MBS in Australia</w:t>
      </w:r>
      <w:r w:rsidR="00265D2C" w:rsidRPr="00636EE1">
        <w:rPr>
          <w:szCs w:val="20"/>
        </w:rPr>
        <w:t>.”</w:t>
      </w:r>
    </w:p>
    <w:p w14:paraId="1F44B57A" w14:textId="77777777" w:rsidR="00624331" w:rsidRDefault="009B60E5" w:rsidP="00530204">
      <w:pPr>
        <w:pStyle w:val="Heading2"/>
      </w:pPr>
      <w:r>
        <w:rPr>
          <w:noProof/>
          <w:lang w:eastAsia="en-AU"/>
        </w:rPr>
        <w:drawing>
          <wp:inline distT="0" distB="0" distL="0" distR="0" wp14:anchorId="665CCDD7" wp14:editId="02BF3D85">
            <wp:extent cx="5731510" cy="4019550"/>
            <wp:effectExtent l="0" t="0" r="2540" b="0"/>
            <wp:docPr id="6" name="Picture 6"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pic:cNvPicPr/>
                  </pic:nvPicPr>
                  <pic:blipFill>
                    <a:blip r:embed="rId54">
                      <a:extLst>
                        <a:ext uri="{28A0092B-C50C-407E-A947-70E740481C1C}">
                          <a14:useLocalDpi xmlns:a14="http://schemas.microsoft.com/office/drawing/2010/main" val="0"/>
                        </a:ext>
                      </a:extLst>
                    </a:blip>
                    <a:stretch>
                      <a:fillRect/>
                    </a:stretch>
                  </pic:blipFill>
                  <pic:spPr>
                    <a:xfrm>
                      <a:off x="0" y="0"/>
                      <a:ext cx="5731510" cy="4019550"/>
                    </a:xfrm>
                    <a:prstGeom prst="rect">
                      <a:avLst/>
                    </a:prstGeom>
                  </pic:spPr>
                </pic:pic>
              </a:graphicData>
            </a:graphic>
          </wp:inline>
        </w:drawing>
      </w:r>
    </w:p>
    <w:p w14:paraId="62B173B7" w14:textId="77777777" w:rsidR="00624331" w:rsidRDefault="00624331" w:rsidP="00624331">
      <w:pPr>
        <w:pStyle w:val="Heading2"/>
        <w:numPr>
          <w:ilvl w:val="0"/>
          <w:numId w:val="0"/>
        </w:numPr>
        <w:ind w:left="360"/>
      </w:pPr>
    </w:p>
    <w:p w14:paraId="7373D8FA" w14:textId="29F2CD0F" w:rsidR="00A83EC6" w:rsidRPr="00154B00" w:rsidRDefault="005C3AE7" w:rsidP="00624331">
      <w:pPr>
        <w:pStyle w:val="Heading2"/>
        <w:numPr>
          <w:ilvl w:val="0"/>
          <w:numId w:val="0"/>
        </w:numPr>
        <w:ind w:left="360"/>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3E57D6F9" w14:textId="77777777"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6264EF">
        <w:rPr>
          <w:szCs w:val="20"/>
        </w:rPr>
      </w:r>
      <w:r w:rsidR="006264EF">
        <w:rPr>
          <w:szCs w:val="20"/>
        </w:rPr>
        <w:fldChar w:fldCharType="separate"/>
      </w:r>
      <w:r w:rsidRPr="00753C44">
        <w:rPr>
          <w:szCs w:val="20"/>
        </w:rPr>
        <w:fldChar w:fldCharType="end"/>
      </w:r>
      <w:r>
        <w:rPr>
          <w:szCs w:val="20"/>
        </w:rPr>
        <w:t xml:space="preserve"> </w:t>
      </w:r>
      <w:r w:rsidR="00282BE8">
        <w:rPr>
          <w:szCs w:val="20"/>
        </w:rPr>
        <w:t>In addition to (i.e. it is an add-on service)</w:t>
      </w:r>
      <w:r>
        <w:rPr>
          <w:szCs w:val="20"/>
        </w:rPr>
        <w:t xml:space="preserve"> </w:t>
      </w:r>
    </w:p>
    <w:p w14:paraId="4ADED484" w14:textId="280A69BB" w:rsidR="001B29A1" w:rsidRDefault="00A75DBD" w:rsidP="001B29A1">
      <w:pPr>
        <w:spacing w:before="0" w:after="0"/>
        <w:ind w:left="426"/>
        <w:rPr>
          <w:szCs w:val="20"/>
        </w:rPr>
      </w:pPr>
      <w:r w:rsidRPr="00D33C2C">
        <w:rPr>
          <w:szCs w:val="20"/>
        </w:rPr>
        <w:fldChar w:fldCharType="begin">
          <w:ffData>
            <w:name w:val=""/>
            <w:enabled/>
            <w:calcOnExit w:val="0"/>
            <w:checkBox>
              <w:sizeAuto/>
              <w:default w:val="1"/>
            </w:checkBox>
          </w:ffData>
        </w:fldChar>
      </w:r>
      <w:r w:rsidRPr="009D15B7">
        <w:rPr>
          <w:szCs w:val="20"/>
        </w:rPr>
        <w:instrText xml:space="preserve"> FORMCHECKBOX </w:instrText>
      </w:r>
      <w:r w:rsidR="006264EF">
        <w:rPr>
          <w:szCs w:val="20"/>
        </w:rPr>
      </w:r>
      <w:r w:rsidR="006264EF">
        <w:rPr>
          <w:szCs w:val="20"/>
        </w:rPr>
        <w:fldChar w:fldCharType="separate"/>
      </w:r>
      <w:r w:rsidRPr="00D33C2C">
        <w:rPr>
          <w:szCs w:val="20"/>
        </w:rPr>
        <w:fldChar w:fldCharType="end"/>
      </w:r>
      <w:r w:rsidR="001B29A1" w:rsidRPr="00D33C2C">
        <w:rPr>
          <w:szCs w:val="20"/>
        </w:rPr>
        <w:t xml:space="preserve"> </w:t>
      </w:r>
      <w:r w:rsidR="00282BE8" w:rsidRPr="00D33C2C">
        <w:rPr>
          <w:szCs w:val="20"/>
        </w:rPr>
        <w:t>Instead of (i.e. it is a replacement or alternative)</w:t>
      </w:r>
    </w:p>
    <w:p w14:paraId="7FAAA01C" w14:textId="77777777" w:rsidR="00086942" w:rsidRPr="00A65802" w:rsidRDefault="00E70D86" w:rsidP="00CA320C">
      <w:pPr>
        <w:pStyle w:val="Heading2"/>
        <w:numPr>
          <w:ilvl w:val="0"/>
          <w:numId w:val="8"/>
        </w:numPr>
      </w:pPr>
      <w:r w:rsidRPr="00A65802">
        <w:t xml:space="preserve">If </w:t>
      </w:r>
      <w:r w:rsidR="00723446" w:rsidRPr="00A65802">
        <w:t>instead of (i.e. alternative service)</w:t>
      </w:r>
      <w:r w:rsidR="00D00122" w:rsidRPr="00A65802">
        <w:t xml:space="preserve">, </w:t>
      </w:r>
      <w:r w:rsidRPr="00A65802">
        <w:t xml:space="preserve">please </w:t>
      </w:r>
      <w:r w:rsidR="00F33F1A" w:rsidRPr="00A65802">
        <w:t xml:space="preserve">outline </w:t>
      </w:r>
      <w:r w:rsidR="00723446" w:rsidRPr="00A65802">
        <w:t xml:space="preserve">the extent to </w:t>
      </w:r>
      <w:r w:rsidR="00F33F1A" w:rsidRPr="00A65802">
        <w:t xml:space="preserve">which </w:t>
      </w:r>
      <w:r w:rsidR="00D00122" w:rsidRPr="00A65802">
        <w:t xml:space="preserve">the </w:t>
      </w:r>
      <w:r w:rsidR="00F33F1A" w:rsidRPr="00A65802">
        <w:t xml:space="preserve">current service/comparator is expected to be </w:t>
      </w:r>
      <w:r w:rsidR="00AE1188" w:rsidRPr="00A65802">
        <w:t>substituted:</w:t>
      </w:r>
      <w:r w:rsidR="680E6496" w:rsidRPr="00A65802">
        <w:t xml:space="preserve"> </w:t>
      </w:r>
    </w:p>
    <w:p w14:paraId="446FD969" w14:textId="28B7D1B8" w:rsidR="003433D1" w:rsidRPr="001B29A1" w:rsidRDefault="00AF6584" w:rsidP="00D273FB">
      <w:r w:rsidRPr="00636EE1">
        <w:t xml:space="preserve">We expect </w:t>
      </w:r>
      <w:r w:rsidR="009C42E4" w:rsidRPr="00636EE1">
        <w:t>some substitution</w:t>
      </w:r>
      <w:r w:rsidR="00D273FB" w:rsidRPr="00636EE1">
        <w:t xml:space="preserve"> </w:t>
      </w:r>
      <w:r w:rsidR="00A65802" w:rsidRPr="00636EE1">
        <w:t>with</w:t>
      </w:r>
      <w:r w:rsidR="00B63767" w:rsidRPr="00636EE1">
        <w:t xml:space="preserve"> </w:t>
      </w:r>
      <w:r w:rsidR="00E13300" w:rsidRPr="00636EE1">
        <w:t xml:space="preserve">our </w:t>
      </w:r>
      <w:r w:rsidR="007F6A83" w:rsidRPr="00636EE1">
        <w:t>comparator</w:t>
      </w:r>
      <w:r w:rsidR="00F557E5" w:rsidRPr="00636EE1">
        <w:t>;</w:t>
      </w:r>
      <w:r w:rsidR="008D39A5" w:rsidRPr="00636EE1">
        <w:t xml:space="preserve"> </w:t>
      </w:r>
      <w:r w:rsidR="00134550" w:rsidRPr="00134550">
        <w:rPr>
          <w:b/>
          <w:bCs/>
        </w:rPr>
        <w:t>REDACTED.</w:t>
      </w:r>
      <w:r w:rsidR="007F6A83" w:rsidRPr="00134550">
        <w:t xml:space="preserve"> </w:t>
      </w:r>
      <w:r w:rsidR="009C42E4" w:rsidRPr="00134550">
        <w:t xml:space="preserve"> </w:t>
      </w:r>
    </w:p>
    <w:p w14:paraId="11F46F8F"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470291EE" w14:textId="77777777" w:rsidR="004A0BB7" w:rsidRPr="00D33C2C" w:rsidRDefault="004A0BB7" w:rsidP="002632F3">
      <w:pPr>
        <w:pStyle w:val="Subtitle"/>
        <w:ind w:left="360"/>
        <w:rPr>
          <w:b w:val="0"/>
          <w:bCs/>
          <w:i w:val="0"/>
          <w:iCs/>
          <w:u w:val="none"/>
        </w:rPr>
      </w:pPr>
      <w:r w:rsidRPr="00D33C2C">
        <w:rPr>
          <w:b w:val="0"/>
          <w:bCs/>
          <w:i w:val="0"/>
          <w:iCs/>
          <w:u w:val="none"/>
        </w:rPr>
        <w:t>A patient deemed ineligible for surgery (due to feasibility and safety concerns such as multiple</w:t>
      </w:r>
    </w:p>
    <w:p w14:paraId="48A52EFA" w14:textId="77777777" w:rsidR="004A0BB7" w:rsidRPr="00D33C2C" w:rsidRDefault="004A0BB7" w:rsidP="002632F3">
      <w:pPr>
        <w:pStyle w:val="Subtitle"/>
        <w:ind w:left="360"/>
        <w:rPr>
          <w:b w:val="0"/>
          <w:bCs/>
          <w:i w:val="0"/>
          <w:iCs/>
          <w:u w:val="none"/>
        </w:rPr>
      </w:pPr>
      <w:r w:rsidRPr="00D33C2C">
        <w:rPr>
          <w:b w:val="0"/>
          <w:bCs/>
          <w:i w:val="0"/>
          <w:iCs/>
          <w:u w:val="none"/>
        </w:rPr>
        <w:t>comorbidities, advanced age, etc.) the option of receiving the TMVr procedure may be considered as a</w:t>
      </w:r>
    </w:p>
    <w:p w14:paraId="04080CA8" w14:textId="77777777" w:rsidR="004A0BB7" w:rsidRPr="00D33C2C" w:rsidRDefault="004A0BB7" w:rsidP="002632F3">
      <w:pPr>
        <w:pStyle w:val="Subtitle"/>
        <w:ind w:left="360"/>
        <w:rPr>
          <w:b w:val="0"/>
          <w:bCs/>
          <w:i w:val="0"/>
          <w:iCs/>
          <w:u w:val="none"/>
        </w:rPr>
      </w:pPr>
      <w:r w:rsidRPr="00D33C2C">
        <w:rPr>
          <w:b w:val="0"/>
          <w:bCs/>
          <w:i w:val="0"/>
          <w:iCs/>
          <w:u w:val="none"/>
        </w:rPr>
        <w:t>direct substitute to continued medical management. It is expected that the introduction of the TMVr</w:t>
      </w:r>
    </w:p>
    <w:p w14:paraId="43DA48B8" w14:textId="64E4BFBE" w:rsidR="004A0BB7" w:rsidRPr="00D33C2C" w:rsidRDefault="004A0BB7" w:rsidP="002632F3">
      <w:pPr>
        <w:pStyle w:val="Subtitle"/>
        <w:ind w:left="360"/>
        <w:rPr>
          <w:b w:val="0"/>
          <w:bCs/>
          <w:i w:val="0"/>
          <w:iCs/>
          <w:u w:val="none"/>
        </w:rPr>
      </w:pPr>
      <w:r w:rsidRPr="00D33C2C">
        <w:rPr>
          <w:b w:val="0"/>
          <w:bCs/>
          <w:i w:val="0"/>
          <w:iCs/>
          <w:u w:val="none"/>
        </w:rPr>
        <w:t xml:space="preserve">procedure using </w:t>
      </w:r>
      <w:r w:rsidR="0093332D" w:rsidRPr="00D33C2C">
        <w:rPr>
          <w:b w:val="0"/>
          <w:bCs/>
          <w:i w:val="0"/>
          <w:iCs/>
          <w:u w:val="none"/>
        </w:rPr>
        <w:t>TMVr</w:t>
      </w:r>
      <w:r w:rsidRPr="00D33C2C">
        <w:rPr>
          <w:b w:val="0"/>
          <w:bCs/>
          <w:i w:val="0"/>
          <w:iCs/>
          <w:u w:val="none"/>
        </w:rPr>
        <w:t xml:space="preserve"> relative to continued use of medical management will result in reduced use of</w:t>
      </w:r>
    </w:p>
    <w:p w14:paraId="2824A3D2" w14:textId="77777777" w:rsidR="004A0BB7" w:rsidRPr="00D33C2C" w:rsidRDefault="004A0BB7" w:rsidP="002632F3">
      <w:pPr>
        <w:pStyle w:val="Subtitle"/>
        <w:ind w:left="360"/>
        <w:rPr>
          <w:b w:val="0"/>
          <w:bCs/>
          <w:i w:val="0"/>
          <w:iCs/>
          <w:u w:val="none"/>
        </w:rPr>
      </w:pPr>
      <w:r w:rsidRPr="00D33C2C">
        <w:rPr>
          <w:b w:val="0"/>
          <w:bCs/>
          <w:i w:val="0"/>
          <w:iCs/>
          <w:u w:val="none"/>
        </w:rPr>
        <w:t>health care resources. Indeed, as noted in Q.40 the COAPT study showed a significantly lower annualized</w:t>
      </w:r>
    </w:p>
    <w:p w14:paraId="20AD7520" w14:textId="77777777" w:rsidR="004A0BB7" w:rsidRPr="00D33C2C" w:rsidRDefault="004A0BB7" w:rsidP="002632F3">
      <w:pPr>
        <w:pStyle w:val="Subtitle"/>
        <w:ind w:left="360"/>
        <w:rPr>
          <w:b w:val="0"/>
          <w:bCs/>
          <w:i w:val="0"/>
          <w:iCs/>
          <w:u w:val="none"/>
        </w:rPr>
      </w:pPr>
      <w:r w:rsidRPr="00D33C2C">
        <w:rPr>
          <w:b w:val="0"/>
          <w:bCs/>
          <w:i w:val="0"/>
          <w:iCs/>
          <w:u w:val="none"/>
        </w:rPr>
        <w:t>rate of hospitalisation due to heart failure in those who received TMVr versus those on medical</w:t>
      </w:r>
    </w:p>
    <w:p w14:paraId="39730B31" w14:textId="77777777" w:rsidR="004A0BB7" w:rsidRPr="00D33C2C" w:rsidRDefault="004A0BB7" w:rsidP="002632F3">
      <w:pPr>
        <w:pStyle w:val="Subtitle"/>
        <w:ind w:left="360"/>
        <w:rPr>
          <w:b w:val="0"/>
          <w:bCs/>
          <w:i w:val="0"/>
          <w:iCs/>
          <w:u w:val="none"/>
        </w:rPr>
      </w:pPr>
      <w:r w:rsidRPr="00D33C2C">
        <w:rPr>
          <w:b w:val="0"/>
          <w:bCs/>
          <w:i w:val="0"/>
          <w:iCs/>
          <w:u w:val="none"/>
        </w:rPr>
        <w:t>management over 24 months (35.8 vs 67.9 events per patient-years; p&lt; 0.0001). Furthermore, COAPT</w:t>
      </w:r>
    </w:p>
    <w:p w14:paraId="0D8123FB" w14:textId="77777777" w:rsidR="004A0BB7" w:rsidRPr="00D33C2C" w:rsidRDefault="004A0BB7" w:rsidP="002632F3">
      <w:pPr>
        <w:pStyle w:val="Subtitle"/>
        <w:ind w:left="360"/>
        <w:rPr>
          <w:b w:val="0"/>
          <w:bCs/>
          <w:i w:val="0"/>
          <w:iCs/>
          <w:u w:val="none"/>
        </w:rPr>
      </w:pPr>
      <w:r w:rsidRPr="00D33C2C">
        <w:rPr>
          <w:b w:val="0"/>
          <w:bCs/>
          <w:i w:val="0"/>
          <w:iCs/>
          <w:u w:val="none"/>
        </w:rPr>
        <w:t>reported significantly lower rate of implantation of a left ventricular assist device (LVAD) or heart</w:t>
      </w:r>
    </w:p>
    <w:p w14:paraId="2E4E0B1C" w14:textId="77777777" w:rsidR="004A0BB7" w:rsidRPr="00D33C2C" w:rsidRDefault="004A0BB7" w:rsidP="002632F3">
      <w:pPr>
        <w:pStyle w:val="Subtitle"/>
        <w:ind w:left="360"/>
        <w:rPr>
          <w:b w:val="0"/>
          <w:bCs/>
          <w:i w:val="0"/>
          <w:iCs/>
          <w:u w:val="none"/>
        </w:rPr>
      </w:pPr>
      <w:r w:rsidRPr="00D33C2C">
        <w:rPr>
          <w:b w:val="0"/>
          <w:bCs/>
          <w:i w:val="0"/>
          <w:iCs/>
          <w:u w:val="none"/>
        </w:rPr>
        <w:t>transplantation following TMVr compared with optimal medical management (4.4% versus 9.5%; p=0.01;</w:t>
      </w:r>
    </w:p>
    <w:p w14:paraId="7837C269" w14:textId="030CEA1F" w:rsidR="00DF65B8" w:rsidRPr="004A0BB7" w:rsidRDefault="004A0BB7" w:rsidP="002632F3">
      <w:pPr>
        <w:pStyle w:val="Subtitle"/>
        <w:ind w:left="360"/>
        <w:rPr>
          <w:b w:val="0"/>
          <w:bCs/>
          <w:i w:val="0"/>
          <w:iCs/>
          <w:u w:val="none"/>
        </w:rPr>
      </w:pPr>
      <w:r w:rsidRPr="00D33C2C">
        <w:rPr>
          <w:b w:val="0"/>
          <w:bCs/>
          <w:i w:val="0"/>
          <w:iCs/>
          <w:u w:val="none"/>
        </w:rPr>
        <w:t>Stone et al 2018).</w:t>
      </w:r>
    </w:p>
    <w:p w14:paraId="57BCC0EB" w14:textId="77777777" w:rsidR="008F390B" w:rsidRDefault="00890994" w:rsidP="005C3AE7">
      <w:pPr>
        <w:pStyle w:val="Subtitle"/>
      </w:pPr>
      <w:r>
        <w:br/>
      </w:r>
    </w:p>
    <w:p w14:paraId="31BE5BF1" w14:textId="7F41CCA3" w:rsidR="00DF0D47" w:rsidRPr="00881F93" w:rsidRDefault="005C3AE7" w:rsidP="008F390B">
      <w:pPr>
        <w:pStyle w:val="Subtitle"/>
        <w:ind w:left="0"/>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6EDA0198"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4F62A408" w14:textId="6756760F" w:rsidR="00CF14D8" w:rsidRPr="00D33C2C" w:rsidRDefault="008F0417" w:rsidP="00E45722">
      <w:pPr>
        <w:ind w:left="426"/>
      </w:pPr>
      <w:r w:rsidRPr="00D33C2C">
        <w:t>In the 1-Year Outcomes for Transcatheter Repair in Patients With Mitral Regurgitation From the CLASP Study</w:t>
      </w:r>
      <w:r w:rsidR="007C4930" w:rsidRPr="00D33C2C">
        <w:t>, John We</w:t>
      </w:r>
      <w:r w:rsidR="00CC69CD" w:rsidRPr="00D33C2C">
        <w:t>b</w:t>
      </w:r>
      <w:r w:rsidR="007C4930" w:rsidRPr="00D33C2C">
        <w:t xml:space="preserve">b et al </w:t>
      </w:r>
      <w:r w:rsidR="000E4963" w:rsidRPr="00D33C2C">
        <w:t>concluded</w:t>
      </w:r>
      <w:r w:rsidR="003522EB" w:rsidRPr="00D33C2C">
        <w:t xml:space="preserve"> that </w:t>
      </w:r>
      <w:r w:rsidR="00CC69CD" w:rsidRPr="00D33C2C">
        <w:t xml:space="preserve">The PASCAL transcatheter valve repair system demonstrated a low complication rate and high survival, with robust sustained MR reduction accompanied by significant improvements in functional status and quality of life at 1 year. </w:t>
      </w:r>
    </w:p>
    <w:p w14:paraId="24061C64" w14:textId="763EF80B" w:rsidR="00E35B3C" w:rsidRPr="00D33C2C" w:rsidRDefault="00E35B3C" w:rsidP="00E35B3C">
      <w:pPr>
        <w:ind w:left="426"/>
      </w:pPr>
      <w:r w:rsidRPr="00D33C2C">
        <w:t xml:space="preserve">The results with the PASCAL repair system in the CLASP study demonstrate </w:t>
      </w:r>
      <w:r w:rsidR="007C327A" w:rsidRPr="00D33C2C">
        <w:t>favourable</w:t>
      </w:r>
      <w:r w:rsidRPr="00D33C2C">
        <w:t xml:space="preserve"> clinical and echocardiographic results in a heterogeneous population of patients with FMR and DMR. MAE rates were low at 30 days and 1 year, and MR was reduced to </w:t>
      </w:r>
      <w:r w:rsidR="00844EFD" w:rsidRPr="00D33C2C">
        <w:t>≤</w:t>
      </w:r>
      <w:r w:rsidRPr="00D33C2C">
        <w:t>2</w:t>
      </w:r>
      <w:r w:rsidR="00844EFD" w:rsidRPr="00D33C2C">
        <w:t>+</w:t>
      </w:r>
      <w:r w:rsidRPr="00D33C2C">
        <w:t xml:space="preserve"> in 96% and 100% of patients, and </w:t>
      </w:r>
      <w:r w:rsidR="00807889" w:rsidRPr="00D33C2C">
        <w:t>≤</w:t>
      </w:r>
      <w:r w:rsidRPr="00D33C2C">
        <w:t>1</w:t>
      </w:r>
      <w:r w:rsidR="00807889" w:rsidRPr="00D33C2C">
        <w:t>+</w:t>
      </w:r>
      <w:r w:rsidRPr="00D33C2C">
        <w:t xml:space="preserve"> in 80% and 82%, respectively. There was a significant reduction in all echocardiographic MR indexes and resultant LV reverse </w:t>
      </w:r>
      <w:r w:rsidR="007C327A" w:rsidRPr="00D33C2C">
        <w:t>remodelling</w:t>
      </w:r>
      <w:r w:rsidRPr="00D33C2C">
        <w:t xml:space="preserve"> with a significant reduction in both LV end-diastolic diameter and volume. One-year mortality was 8%, and heart failure hospitalizations at 1 year were only 12%. Functional status and quality-of-life indexes were also significantly improved. These results compare </w:t>
      </w:r>
      <w:r w:rsidR="007C327A" w:rsidRPr="00D33C2C">
        <w:t>favourably</w:t>
      </w:r>
      <w:r w:rsidRPr="00D33C2C">
        <w:t xml:space="preserve"> with experience with other transcatheter mitral valve repair devices.</w:t>
      </w:r>
    </w:p>
    <w:p w14:paraId="000B64FD" w14:textId="59D4AFA1" w:rsidR="00E45722" w:rsidRPr="00D33C2C" w:rsidRDefault="00E45722" w:rsidP="00E45722">
      <w:pPr>
        <w:ind w:left="426"/>
      </w:pPr>
      <w:r w:rsidRPr="00D33C2C">
        <w:t>The COAPT trial examined the use of the MitraClip system in patients with severe FMR. Although the 2 studies cannot be compared directly because of different trial designs and populations, two-thirds of CLASP patients were treated for FMR. At 1 year, the reduction in MR grade to ≤2+ and ≤1+ was seen in 100% and 79% of CLASP patients with FMR (n = 73) versus 95% and 69% reported in COAPT (n = 273). The reduction in NYHA functional class to I or II at 1 year was seen in 83% of CLASP patients with FMR versus 72% in COAPT patients.</w:t>
      </w:r>
    </w:p>
    <w:p w14:paraId="502DF728" w14:textId="74A7B348" w:rsidR="00E45722" w:rsidRPr="00D33C2C" w:rsidRDefault="00E45722" w:rsidP="00E45722">
      <w:pPr>
        <w:ind w:left="426"/>
      </w:pPr>
      <w:r w:rsidRPr="00D33C2C">
        <w:t xml:space="preserve">The EXPAND (n = 422) and EVEREST (n = 82) studies reported the use of the MitraClip system in patients with DMR at 30 days and 1 year, respectively. At 30 days, the reduction in MR grade to ≤2+ was seen in 97% and NYHA functional class I or II in 88% of CLASP patients with DMR (n = 36), similar to EXPAND, which reported 97% of patients with MR grade ≤2+ and 84% in NYHA functional class I or II. One-year outcomes in the CLASP patients with DMR (n = 24) continued to be </w:t>
      </w:r>
      <w:r w:rsidR="00624331" w:rsidRPr="00D33C2C">
        <w:t>favourable</w:t>
      </w:r>
      <w:r w:rsidRPr="00D33C2C">
        <w:t>, with 100% of patients achieving MR grade ≤2+ and 95% in NYHA functional class I or II compared with EVEREST, which reported 83% patients with MR grade ≤2+ and 87% in NYHA functional class I or II. (Webb et al.2020)</w:t>
      </w:r>
    </w:p>
    <w:p w14:paraId="49C86557" w14:textId="77777777" w:rsidR="0034141E" w:rsidRDefault="0034141E" w:rsidP="00085BFF">
      <w:pPr>
        <w:ind w:left="426"/>
        <w:rPr>
          <w:szCs w:val="20"/>
        </w:rPr>
      </w:pPr>
      <w:r w:rsidRPr="00D33C2C">
        <w:rPr>
          <w:szCs w:val="20"/>
        </w:rPr>
        <w:t>TMVr is superior to medical management with respect to effectiveness in patients with DMR and FMR.</w:t>
      </w:r>
    </w:p>
    <w:p w14:paraId="7CBCEC89"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76CB2E51" w14:textId="77777777" w:rsidR="001B29A1" w:rsidRPr="00636EE1" w:rsidRDefault="001B29A1" w:rsidP="001B29A1">
      <w:pPr>
        <w:spacing w:before="0" w:after="0"/>
        <w:ind w:left="426"/>
        <w:rPr>
          <w:szCs w:val="20"/>
        </w:rPr>
      </w:pPr>
      <w:r w:rsidRPr="00636EE1">
        <w:rPr>
          <w:szCs w:val="20"/>
        </w:rPr>
        <w:fldChar w:fldCharType="begin">
          <w:ffData>
            <w:name w:val="Check1"/>
            <w:enabled/>
            <w:calcOnExit w:val="0"/>
            <w:checkBox>
              <w:sizeAuto/>
              <w:default w:val="0"/>
            </w:checkBox>
          </w:ffData>
        </w:fldChar>
      </w:r>
      <w:r w:rsidRPr="00636EE1">
        <w:rPr>
          <w:szCs w:val="20"/>
        </w:rPr>
        <w:instrText xml:space="preserve"> FORMCHECKBOX </w:instrText>
      </w:r>
      <w:r w:rsidR="006264EF">
        <w:rPr>
          <w:szCs w:val="20"/>
        </w:rPr>
      </w:r>
      <w:r w:rsidR="006264EF">
        <w:rPr>
          <w:szCs w:val="20"/>
        </w:rPr>
        <w:fldChar w:fldCharType="separate"/>
      </w:r>
      <w:r w:rsidRPr="00636EE1">
        <w:rPr>
          <w:szCs w:val="20"/>
        </w:rPr>
        <w:fldChar w:fldCharType="end"/>
      </w:r>
      <w:r w:rsidRPr="00636EE1">
        <w:rPr>
          <w:szCs w:val="20"/>
        </w:rPr>
        <w:t xml:space="preserve"> Superiority</w:t>
      </w:r>
      <w:r w:rsidRPr="00636EE1">
        <w:rPr>
          <w:szCs w:val="20"/>
        </w:rPr>
        <w:tab/>
      </w:r>
    </w:p>
    <w:p w14:paraId="6BBCBEA7" w14:textId="1DC6CB6C" w:rsidR="004E3CC7" w:rsidRPr="001B29A1" w:rsidRDefault="003B1DE9" w:rsidP="001B29A1">
      <w:pPr>
        <w:spacing w:before="0" w:after="0"/>
        <w:ind w:left="426"/>
        <w:rPr>
          <w:szCs w:val="20"/>
        </w:rPr>
      </w:pPr>
      <w:r w:rsidRPr="00636EE1">
        <w:rPr>
          <w:szCs w:val="20"/>
        </w:rPr>
        <w:fldChar w:fldCharType="begin">
          <w:ffData>
            <w:name w:val=""/>
            <w:enabled/>
            <w:calcOnExit w:val="0"/>
            <w:checkBox>
              <w:sizeAuto/>
              <w:default w:val="1"/>
            </w:checkBox>
          </w:ffData>
        </w:fldChar>
      </w:r>
      <w:r w:rsidRPr="00636EE1">
        <w:rPr>
          <w:szCs w:val="20"/>
        </w:rPr>
        <w:instrText xml:space="preserve"> FORMCHECKBOX </w:instrText>
      </w:r>
      <w:r w:rsidR="006264EF">
        <w:rPr>
          <w:szCs w:val="20"/>
        </w:rPr>
      </w:r>
      <w:r w:rsidR="006264EF">
        <w:rPr>
          <w:szCs w:val="20"/>
        </w:rPr>
        <w:fldChar w:fldCharType="separate"/>
      </w:r>
      <w:r w:rsidRPr="00636EE1">
        <w:rPr>
          <w:szCs w:val="20"/>
        </w:rPr>
        <w:fldChar w:fldCharType="end"/>
      </w:r>
      <w:r w:rsidR="001B29A1" w:rsidRPr="00636EE1">
        <w:rPr>
          <w:szCs w:val="20"/>
        </w:rPr>
        <w:t xml:space="preserve"> Non-inferiority</w:t>
      </w:r>
      <w:r w:rsidR="001B29A1" w:rsidRPr="001B29A1">
        <w:rPr>
          <w:szCs w:val="20"/>
        </w:rPr>
        <w:tab/>
      </w:r>
    </w:p>
    <w:p w14:paraId="42EAF5CB"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318EC483" w14:textId="779F81AD" w:rsidR="001B29A1" w:rsidRPr="00D33C2C" w:rsidRDefault="001B29A1" w:rsidP="001B29A1">
      <w:pPr>
        <w:pBdr>
          <w:top w:val="single" w:sz="4" w:space="1" w:color="auto"/>
          <w:left w:val="single" w:sz="4" w:space="4" w:color="auto"/>
          <w:bottom w:val="single" w:sz="4" w:space="1" w:color="auto"/>
          <w:right w:val="single" w:sz="4" w:space="4" w:color="auto"/>
        </w:pBdr>
      </w:pPr>
      <w:r w:rsidRPr="00615ECE">
        <w:rPr>
          <w:b/>
          <w:szCs w:val="20"/>
        </w:rPr>
        <w:t xml:space="preserve">Safety Outcomes: </w:t>
      </w:r>
      <w:r w:rsidR="000E5E16" w:rsidRPr="00D33C2C">
        <w:t>Patient mortality (procedural), clinical adverse events, procedure-specific adverse events (</w:t>
      </w:r>
      <w:r w:rsidR="000E553A" w:rsidRPr="00D33C2C">
        <w:t>implant</w:t>
      </w:r>
      <w:r w:rsidR="000E5E16" w:rsidRPr="00D33C2C">
        <w:t xml:space="preserve"> embolism, chordal rupture, </w:t>
      </w:r>
      <w:r w:rsidR="000E553A" w:rsidRPr="00D33C2C">
        <w:t>imp</w:t>
      </w:r>
      <w:r w:rsidR="00EA28AF" w:rsidRPr="00D33C2C">
        <w:t>l</w:t>
      </w:r>
      <w:r w:rsidR="000E553A" w:rsidRPr="00D33C2C">
        <w:t>ant</w:t>
      </w:r>
      <w:r w:rsidR="000E5E16" w:rsidRPr="00D33C2C">
        <w:t xml:space="preserve"> detachment, vascular complication needing reintervention)</w:t>
      </w:r>
    </w:p>
    <w:p w14:paraId="4D159F65" w14:textId="12A85AB7" w:rsidR="00B25D20" w:rsidRPr="00D33C2C" w:rsidRDefault="001B29A1" w:rsidP="001B29A1">
      <w:pPr>
        <w:pBdr>
          <w:top w:val="single" w:sz="4" w:space="1" w:color="auto"/>
          <w:left w:val="single" w:sz="4" w:space="4" w:color="auto"/>
          <w:bottom w:val="single" w:sz="4" w:space="1" w:color="auto"/>
          <w:right w:val="single" w:sz="4" w:space="4" w:color="auto"/>
        </w:pBdr>
      </w:pPr>
      <w:r w:rsidRPr="00D33C2C">
        <w:rPr>
          <w:b/>
          <w:szCs w:val="20"/>
        </w:rPr>
        <w:t xml:space="preserve">Clinical Effectiveness Outcomes: </w:t>
      </w:r>
      <w:r w:rsidR="00683171" w:rsidRPr="00D33C2C">
        <w:t>Survival, freedom from MR grade 3+ or 4+, clinical measures of benefit (NYHA functional class, quality of life, LVEF function, rehospitalisation for CHF)</w:t>
      </w:r>
    </w:p>
    <w:p w14:paraId="5DA4F49F" w14:textId="77777777" w:rsidR="008F0CED" w:rsidRPr="00D33C2C" w:rsidRDefault="008F0CED" w:rsidP="008F0CED">
      <w:pPr>
        <w:pBdr>
          <w:top w:val="single" w:sz="4" w:space="1" w:color="auto"/>
          <w:left w:val="single" w:sz="4" w:space="4" w:color="auto"/>
          <w:bottom w:val="single" w:sz="4" w:space="1" w:color="auto"/>
          <w:right w:val="single" w:sz="4" w:space="4" w:color="auto"/>
        </w:pBdr>
        <w:rPr>
          <w:b/>
          <w:szCs w:val="20"/>
        </w:rPr>
      </w:pPr>
      <w:r w:rsidRPr="00D33C2C">
        <w:rPr>
          <w:b/>
          <w:szCs w:val="20"/>
        </w:rPr>
        <w:t>Healthcare resources (TMVr):</w:t>
      </w:r>
    </w:p>
    <w:p w14:paraId="46D18FD4" w14:textId="44A437CF" w:rsidR="008F0CED" w:rsidRPr="00D33C2C" w:rsidRDefault="008F0CED" w:rsidP="008F0CED">
      <w:pPr>
        <w:pBdr>
          <w:top w:val="single" w:sz="4" w:space="1" w:color="auto"/>
          <w:left w:val="single" w:sz="4" w:space="4" w:color="auto"/>
          <w:bottom w:val="single" w:sz="4" w:space="1" w:color="auto"/>
          <w:right w:val="single" w:sz="4" w:space="4" w:color="auto"/>
        </w:pBdr>
      </w:pPr>
      <w:r w:rsidRPr="00D33C2C">
        <w:rPr>
          <w:szCs w:val="20"/>
          <w:u w:val="single"/>
        </w:rPr>
        <w:t>Proposed resources to identify eligible population</w:t>
      </w:r>
      <w:r w:rsidRPr="00D33C2C">
        <w:rPr>
          <w:b/>
          <w:szCs w:val="20"/>
        </w:rPr>
        <w:t xml:space="preserve">: </w:t>
      </w:r>
      <w:r w:rsidRPr="00D33C2C">
        <w:t>TTE, TOE, anaesthesiology for TOE, electrocardiography, chest x-ray, cardiac catheterisation, cardiology consultation, surgical consultation, anaesthetic consultation, heart team consultation.</w:t>
      </w:r>
    </w:p>
    <w:p w14:paraId="5190BC4F" w14:textId="2D7D2FE4" w:rsidR="001B29A1" w:rsidRPr="008F0CED" w:rsidRDefault="008F0CED" w:rsidP="001B29A1">
      <w:pPr>
        <w:pBdr>
          <w:top w:val="single" w:sz="4" w:space="1" w:color="auto"/>
          <w:left w:val="single" w:sz="4" w:space="4" w:color="auto"/>
          <w:bottom w:val="single" w:sz="4" w:space="1" w:color="auto"/>
          <w:right w:val="single" w:sz="4" w:space="4" w:color="auto"/>
        </w:pBdr>
      </w:pPr>
      <w:r w:rsidRPr="00D33C2C">
        <w:rPr>
          <w:u w:val="single"/>
        </w:rPr>
        <w:t>Resources to deliver proposed intervention:</w:t>
      </w:r>
      <w:r w:rsidRPr="00D33C2C">
        <w:t xml:space="preserve">  </w:t>
      </w:r>
      <w:r w:rsidR="009834E2" w:rsidRPr="00D33C2C">
        <w:t xml:space="preserve">Edwards PASCAL Transcatheter Valve Repair System </w:t>
      </w:r>
      <w:r w:rsidRPr="00D33C2C">
        <w:t xml:space="preserve">procedure (incl. two operators), surgical assistant, </w:t>
      </w:r>
      <w:r w:rsidR="009834E2" w:rsidRPr="00D33C2C">
        <w:t>PASCAL implant</w:t>
      </w:r>
      <w:r w:rsidRPr="00D33C2C">
        <w:t xml:space="preserve"> and </w:t>
      </w:r>
      <w:r w:rsidR="00A459F5" w:rsidRPr="00D33C2C">
        <w:t>imp</w:t>
      </w:r>
      <w:r w:rsidR="0056333F" w:rsidRPr="00D33C2C">
        <w:t>l</w:t>
      </w:r>
      <w:r w:rsidR="00A459F5" w:rsidRPr="00D33C2C">
        <w:t>ant</w:t>
      </w:r>
      <w:r w:rsidRPr="00D33C2C">
        <w:t xml:space="preserve"> system, TOE, anaesthesiology, catheterisation/hybrid lab, theatres, intensive care unit, coronary care unit, TTE, cardiology consultation, pharmaceuticals</w:t>
      </w:r>
      <w:r w:rsidR="0086665D" w:rsidRPr="00D33C2C">
        <w:t>.</w:t>
      </w:r>
    </w:p>
    <w:p w14:paraId="3894FBA4"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46868D5B"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1CA5E6BB" w14:textId="77777777" w:rsidR="00C9425D" w:rsidRPr="00B732B0" w:rsidRDefault="00C9425D" w:rsidP="00C9425D">
      <w:pPr>
        <w:ind w:left="360"/>
      </w:pPr>
      <w:r w:rsidRPr="00B732B0">
        <w:t>The Australian population size data from is from 31010do002_202003 National, state and territory population, Mar 2020Released at 11:30 am (Canberra time) Thu 24 Sep 2020.</w:t>
      </w:r>
    </w:p>
    <w:p w14:paraId="32E9C08A" w14:textId="2A81DE04" w:rsidR="006C74B1" w:rsidRPr="00C21C3D" w:rsidRDefault="00C9425D" w:rsidP="00C9425D">
      <w:pPr>
        <w:ind w:left="360"/>
      </w:pPr>
      <w:r w:rsidRPr="00B732B0">
        <w:t>The most direct estimate of moderate-to-severe MR u</w:t>
      </w:r>
      <w:r w:rsidR="00375E35" w:rsidRPr="00B732B0">
        <w:t>tilizes</w:t>
      </w:r>
      <w:r w:rsidRPr="00B732B0">
        <w:t xml:space="preserve"> the prevalence from Dziadzko (2018, US)</w:t>
      </w:r>
      <w:r w:rsidR="00375E35" w:rsidRPr="00B732B0">
        <w:t>;</w:t>
      </w:r>
      <w:r w:rsidRPr="00B732B0">
        <w:t xml:space="preserve"> 0.59% of the adult population (18+)--&gt;~114,600 Australians </w:t>
      </w:r>
      <w:r w:rsidR="005563EE" w:rsidRPr="00B732B0">
        <w:t>(as</w:t>
      </w:r>
      <w:r w:rsidRPr="00B732B0">
        <w:t xml:space="preserve"> MR highly corresponds to age</w:t>
      </w:r>
      <w:r w:rsidR="005563EE" w:rsidRPr="00B732B0">
        <w:t>)</w:t>
      </w:r>
      <w:r w:rsidRPr="00B732B0">
        <w:t>.</w:t>
      </w:r>
      <w:r>
        <w:t xml:space="preserve"> </w:t>
      </w:r>
    </w:p>
    <w:p w14:paraId="4C8C37DD"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46DF1A05" w14:textId="77777777" w:rsidR="00F93B8E" w:rsidRPr="00D33C2C" w:rsidRDefault="00C21C3D" w:rsidP="00085BFF">
      <w:pPr>
        <w:ind w:left="360"/>
      </w:pPr>
      <w:r w:rsidRPr="00D33C2C">
        <w:t xml:space="preserve">The proposed medical service is intended to be delivered once only. </w:t>
      </w:r>
    </w:p>
    <w:p w14:paraId="3A47E8EF" w14:textId="75513159" w:rsidR="00382407" w:rsidRPr="00085BFF" w:rsidRDefault="00085BFF" w:rsidP="00085BFF">
      <w:pPr>
        <w:ind w:left="360"/>
      </w:pPr>
      <w:r w:rsidRPr="00D33C2C">
        <w:t>At 1-year follow-up in 62 patients, there were 2 additional cardiovascular deaths between 30 days and 1 year, resulting in a 1-year cardiovascular mortality rate of 6.5%. No late stroke, reintervention, or new need for renal replacement therapy occurred. (Webb et al.2020)</w:t>
      </w:r>
    </w:p>
    <w:p w14:paraId="73BFF5E2"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2648CFDF" w14:textId="5BC2F1AB" w:rsidR="00382407" w:rsidRPr="00C21C3D" w:rsidRDefault="00C21C3D" w:rsidP="00C21C3D">
      <w:pPr>
        <w:ind w:left="360"/>
      </w:pPr>
      <w:r>
        <w:t>The proposed medical service is to be a once off service.</w:t>
      </w:r>
    </w:p>
    <w:p w14:paraId="525B5FB9" w14:textId="2FC78379" w:rsidR="002A6753" w:rsidRDefault="000E47E7" w:rsidP="00530204">
      <w:pPr>
        <w:pStyle w:val="Heading2"/>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140B8802" w14:textId="196D8068" w:rsidR="00134550" w:rsidRPr="00134550" w:rsidRDefault="00134550" w:rsidP="00134550">
      <w:pPr>
        <w:ind w:firstLine="360"/>
      </w:pPr>
      <w:r w:rsidRPr="00134550">
        <w:rPr>
          <w:b/>
          <w:bCs/>
        </w:rPr>
        <w:t>REDACTED</w:t>
      </w:r>
    </w:p>
    <w:p w14:paraId="00366840"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28701746" w14:textId="784D5C62" w:rsidR="00C21C3D" w:rsidRPr="00134550" w:rsidRDefault="00C21C3D" w:rsidP="00C21C3D">
      <w:pPr>
        <w:ind w:left="426"/>
        <w:rPr>
          <w:szCs w:val="20"/>
        </w:rPr>
      </w:pPr>
      <w:r w:rsidRPr="00134550">
        <w:rPr>
          <w:szCs w:val="20"/>
        </w:rPr>
        <w:t xml:space="preserve">Year 1: </w:t>
      </w:r>
      <w:r w:rsidR="00134550" w:rsidRPr="00134550">
        <w:rPr>
          <w:b/>
          <w:bCs/>
        </w:rPr>
        <w:t>REDACTED</w:t>
      </w:r>
    </w:p>
    <w:p w14:paraId="6F399220" w14:textId="58A5511A" w:rsidR="00C21C3D" w:rsidRPr="00134550" w:rsidRDefault="00C21C3D" w:rsidP="00C21C3D">
      <w:pPr>
        <w:ind w:left="426"/>
        <w:rPr>
          <w:szCs w:val="20"/>
        </w:rPr>
      </w:pPr>
      <w:r w:rsidRPr="00134550">
        <w:rPr>
          <w:szCs w:val="20"/>
        </w:rPr>
        <w:t xml:space="preserve">Year 2: </w:t>
      </w:r>
      <w:r w:rsidR="00134550" w:rsidRPr="00134550">
        <w:rPr>
          <w:b/>
          <w:bCs/>
        </w:rPr>
        <w:t>REDACTED</w:t>
      </w:r>
    </w:p>
    <w:p w14:paraId="424A0191" w14:textId="45030969" w:rsidR="001B171D" w:rsidRPr="00154B00" w:rsidRDefault="00C21C3D" w:rsidP="00C21C3D">
      <w:pPr>
        <w:ind w:left="426"/>
        <w:rPr>
          <w:szCs w:val="20"/>
        </w:rPr>
      </w:pPr>
      <w:r w:rsidRPr="00134550">
        <w:rPr>
          <w:szCs w:val="20"/>
        </w:rPr>
        <w:t xml:space="preserve">Year 3: </w:t>
      </w:r>
      <w:r w:rsidR="00134550" w:rsidRPr="00134550">
        <w:rPr>
          <w:b/>
          <w:bCs/>
        </w:rPr>
        <w:t>REDACTED</w:t>
      </w:r>
    </w:p>
    <w:p w14:paraId="2C2AF8DC" w14:textId="77777777" w:rsidR="003433D1" w:rsidRDefault="003433D1">
      <w:pPr>
        <w:rPr>
          <w:b/>
          <w:sz w:val="32"/>
          <w:szCs w:val="32"/>
        </w:rPr>
      </w:pPr>
      <w:r>
        <w:rPr>
          <w:b/>
          <w:sz w:val="32"/>
          <w:szCs w:val="32"/>
        </w:rPr>
        <w:br w:type="page"/>
      </w:r>
    </w:p>
    <w:p w14:paraId="0799E857"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367311F8"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7785320E" w14:textId="3F86D167" w:rsidR="00951933" w:rsidRPr="002158AA" w:rsidRDefault="00134550" w:rsidP="00AE1188">
      <w:pPr>
        <w:ind w:left="426"/>
        <w:rPr>
          <w:szCs w:val="20"/>
        </w:rPr>
      </w:pPr>
      <w:r w:rsidRPr="00134550">
        <w:rPr>
          <w:b/>
          <w:bCs/>
        </w:rPr>
        <w:t>REDACTED</w:t>
      </w:r>
    </w:p>
    <w:p w14:paraId="0A2CD130" w14:textId="271CABAF" w:rsidR="00951933" w:rsidRPr="002158AA" w:rsidRDefault="00951933" w:rsidP="00530204">
      <w:pPr>
        <w:pStyle w:val="Heading2"/>
      </w:pPr>
      <w:r w:rsidRPr="002158AA">
        <w:t>Specify how long the proposed medical ser</w:t>
      </w:r>
      <w:r w:rsidR="00AE1188" w:rsidRPr="002158AA">
        <w:t>vice typically takes to perform:</w:t>
      </w:r>
      <w:r w:rsidR="7AFDD7F0" w:rsidRPr="002158AA">
        <w:t xml:space="preserve"> </w:t>
      </w:r>
    </w:p>
    <w:p w14:paraId="0FF6185B" w14:textId="77777777" w:rsidR="00A62AFB" w:rsidRPr="002158AA" w:rsidRDefault="00A62AFB" w:rsidP="00A62AFB">
      <w:pPr>
        <w:pStyle w:val="Heading2"/>
        <w:numPr>
          <w:ilvl w:val="0"/>
          <w:numId w:val="0"/>
        </w:numPr>
        <w:ind w:left="360" w:hanging="360"/>
        <w:rPr>
          <w:b w:val="0"/>
        </w:rPr>
      </w:pPr>
    </w:p>
    <w:p w14:paraId="4BDE308E" w14:textId="7A6EC851" w:rsidR="00951933" w:rsidRPr="00FF4BFD" w:rsidRDefault="00264C95" w:rsidP="001B338F">
      <w:pPr>
        <w:pStyle w:val="Heading2"/>
        <w:numPr>
          <w:ilvl w:val="0"/>
          <w:numId w:val="0"/>
        </w:numPr>
        <w:ind w:left="360"/>
        <w:rPr>
          <w:b w:val="0"/>
        </w:rPr>
      </w:pPr>
      <w:r w:rsidRPr="00D33C2C">
        <w:rPr>
          <w:b w:val="0"/>
          <w:bCs/>
        </w:rPr>
        <w:t xml:space="preserve">The </w:t>
      </w:r>
      <w:r w:rsidR="001B338F" w:rsidRPr="00D33C2C">
        <w:rPr>
          <w:b w:val="0"/>
          <w:bCs/>
        </w:rPr>
        <w:t>median</w:t>
      </w:r>
      <w:r w:rsidRPr="00D33C2C">
        <w:rPr>
          <w:b w:val="0"/>
          <w:bCs/>
        </w:rPr>
        <w:t xml:space="preserve"> procedure time </w:t>
      </w:r>
      <w:r w:rsidR="001B338F" w:rsidRPr="00D33C2C">
        <w:rPr>
          <w:b w:val="0"/>
          <w:bCs/>
        </w:rPr>
        <w:t xml:space="preserve">from skin incision to femoral vein access closure </w:t>
      </w:r>
      <w:r w:rsidRPr="00D33C2C">
        <w:rPr>
          <w:b w:val="0"/>
          <w:bCs/>
        </w:rPr>
        <w:t>with the PASCAL repair system</w:t>
      </w:r>
      <w:r w:rsidR="001B338F" w:rsidRPr="00D33C2C">
        <w:rPr>
          <w:b w:val="0"/>
          <w:bCs/>
        </w:rPr>
        <w:t xml:space="preserve"> </w:t>
      </w:r>
      <w:r w:rsidRPr="00D33C2C">
        <w:rPr>
          <w:b w:val="0"/>
          <w:bCs/>
        </w:rPr>
        <w:t xml:space="preserve">in the CLASP study was </w:t>
      </w:r>
      <w:r w:rsidR="001B338F" w:rsidRPr="00D33C2C">
        <w:rPr>
          <w:b w:val="0"/>
          <w:bCs/>
        </w:rPr>
        <w:t>127 min. (Lim et al., 2019)</w:t>
      </w:r>
    </w:p>
    <w:p w14:paraId="25F99FF7" w14:textId="59154816" w:rsidR="00624331" w:rsidRDefault="00624331" w:rsidP="00624331">
      <w:pPr>
        <w:pStyle w:val="Heading2"/>
        <w:numPr>
          <w:ilvl w:val="0"/>
          <w:numId w:val="0"/>
        </w:numPr>
        <w:ind w:left="360"/>
      </w:pPr>
    </w:p>
    <w:p w14:paraId="747A7B2D"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5C027B91" w14:textId="77777777" w:rsidR="00405847" w:rsidRPr="00405847" w:rsidRDefault="00405847" w:rsidP="00405847"/>
    <w:p w14:paraId="19D4733F" w14:textId="731E56CD"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rsidR="003D4B96">
        <w:t>3</w:t>
      </w:r>
      <w:r w:rsidRPr="00AE1188">
        <w:rPr>
          <w:szCs w:val="20"/>
        </w:rPr>
        <w:t xml:space="preserve"> –</w:t>
      </w:r>
      <w:r w:rsidR="004150BE">
        <w:t xml:space="preserve"> Therapeutic Procedures</w:t>
      </w:r>
    </w:p>
    <w:p w14:paraId="06560225" w14:textId="5D882A40" w:rsidR="00AE1188" w:rsidRPr="00AE1188" w:rsidRDefault="0021795C" w:rsidP="00AE1188">
      <w:pPr>
        <w:pBdr>
          <w:top w:val="single" w:sz="4" w:space="1" w:color="auto"/>
          <w:left w:val="single" w:sz="4" w:space="4" w:color="auto"/>
          <w:bottom w:val="single" w:sz="4" w:space="1" w:color="auto"/>
          <w:right w:val="single" w:sz="4" w:space="4" w:color="auto"/>
        </w:pBdr>
        <w:rPr>
          <w:szCs w:val="20"/>
        </w:rPr>
      </w:pPr>
      <w:r>
        <w:rPr>
          <w:szCs w:val="20"/>
        </w:rPr>
        <w:t>MBS Item</w:t>
      </w:r>
    </w:p>
    <w:p w14:paraId="24A9D422" w14:textId="05D8F450" w:rsidR="00E3627A" w:rsidRPr="00D33C2C" w:rsidRDefault="00D40AAB" w:rsidP="00AE1188">
      <w:pPr>
        <w:pBdr>
          <w:top w:val="single" w:sz="4" w:space="1" w:color="auto"/>
          <w:left w:val="single" w:sz="4" w:space="4" w:color="auto"/>
          <w:bottom w:val="single" w:sz="4" w:space="1" w:color="auto"/>
          <w:right w:val="single" w:sz="4" w:space="4" w:color="auto"/>
        </w:pBdr>
        <w:rPr>
          <w:szCs w:val="20"/>
        </w:rPr>
      </w:pPr>
      <w:r w:rsidRPr="00D33C2C">
        <w:rPr>
          <w:szCs w:val="20"/>
        </w:rPr>
        <w:t>Descrip</w:t>
      </w:r>
      <w:r w:rsidR="002C2BD4" w:rsidRPr="00D33C2C">
        <w:rPr>
          <w:szCs w:val="20"/>
        </w:rPr>
        <w:t xml:space="preserve">tor per application: </w:t>
      </w:r>
      <w:r w:rsidR="00AF1387" w:rsidRPr="00D33C2C">
        <w:rPr>
          <w:szCs w:val="20"/>
        </w:rPr>
        <w:t>Transvenous/transeptal techniques for permanent coaptation of mitral valve leaflets using 1 or more PASCAL tissue approximation devices in patients with moderate-severe or severe symptomatic mitral regurgitation (Grade 3+, 4+) who have been determined by a multi-disciplinary heart team (MDHT) to be at high risk of complications with surgical intervention</w:t>
      </w:r>
      <w:r w:rsidR="00460A94" w:rsidRPr="00D33C2C">
        <w:rPr>
          <w:szCs w:val="20"/>
        </w:rPr>
        <w:t>,</w:t>
      </w:r>
      <w:r w:rsidR="00AF1387" w:rsidRPr="00D33C2C">
        <w:rPr>
          <w:szCs w:val="20"/>
        </w:rPr>
        <w:t xml:space="preserve"> in a </w:t>
      </w:r>
      <w:r w:rsidR="00C256CB" w:rsidRPr="00D33C2C">
        <w:rPr>
          <w:szCs w:val="20"/>
        </w:rPr>
        <w:t>trans</w:t>
      </w:r>
      <w:r w:rsidR="00120AB0" w:rsidRPr="00D33C2C">
        <w:rPr>
          <w:szCs w:val="20"/>
        </w:rPr>
        <w:t>catheter mitral</w:t>
      </w:r>
      <w:r w:rsidR="00AF1387" w:rsidRPr="00D33C2C">
        <w:rPr>
          <w:szCs w:val="20"/>
        </w:rPr>
        <w:t xml:space="preserve"> valve repair (TMVr) Hospital</w:t>
      </w:r>
      <w:r w:rsidR="006D78CC" w:rsidRPr="00D33C2C">
        <w:rPr>
          <w:szCs w:val="20"/>
        </w:rPr>
        <w:t>,</w:t>
      </w:r>
      <w:r w:rsidR="00AF1387" w:rsidRPr="00D33C2C">
        <w:rPr>
          <w:szCs w:val="20"/>
        </w:rPr>
        <w:t xml:space="preserve"> on a TMVr Patient by a TMVr Practitioner – includes all intraoperative diagnostic imaging that the TMVr Practitioner performs upon the TMVr Patient.</w:t>
      </w:r>
    </w:p>
    <w:p w14:paraId="4DEE9BA3" w14:textId="43617A72" w:rsidR="00D11001" w:rsidRPr="00D33C2C" w:rsidRDefault="006F5F17" w:rsidP="00AE1188">
      <w:pPr>
        <w:pBdr>
          <w:top w:val="single" w:sz="4" w:space="1" w:color="auto"/>
          <w:left w:val="single" w:sz="4" w:space="4" w:color="auto"/>
          <w:bottom w:val="single" w:sz="4" w:space="1" w:color="auto"/>
          <w:right w:val="single" w:sz="4" w:space="4" w:color="auto"/>
        </w:pBdr>
        <w:rPr>
          <w:szCs w:val="20"/>
        </w:rPr>
      </w:pPr>
      <w:r w:rsidRPr="00D33C2C">
        <w:t>(Not payable more than once per patient in a five-year period)</w:t>
      </w:r>
    </w:p>
    <w:p w14:paraId="1D0EC0A8" w14:textId="6085FFEF" w:rsidR="00AE1188" w:rsidRPr="00D33C2C" w:rsidRDefault="00AE1188" w:rsidP="00AE1188">
      <w:pPr>
        <w:pBdr>
          <w:top w:val="single" w:sz="4" w:space="1" w:color="auto"/>
          <w:left w:val="single" w:sz="4" w:space="4" w:color="auto"/>
          <w:bottom w:val="single" w:sz="4" w:space="1" w:color="auto"/>
          <w:right w:val="single" w:sz="4" w:space="4" w:color="auto"/>
        </w:pBdr>
        <w:rPr>
          <w:szCs w:val="20"/>
        </w:rPr>
      </w:pPr>
      <w:r w:rsidRPr="00D33C2C">
        <w:rPr>
          <w:szCs w:val="20"/>
        </w:rPr>
        <w:t xml:space="preserve">Fee: </w:t>
      </w:r>
      <w:r w:rsidRPr="00B81A71">
        <w:rPr>
          <w:b/>
          <w:bCs/>
          <w:szCs w:val="20"/>
        </w:rPr>
        <w:t xml:space="preserve"> </w:t>
      </w:r>
      <w:r w:rsidR="00B81A71" w:rsidRPr="00B81A71">
        <w:rPr>
          <w:b/>
          <w:bCs/>
          <w:szCs w:val="20"/>
        </w:rPr>
        <w:t>REDACTED</w:t>
      </w:r>
    </w:p>
    <w:p w14:paraId="38319E5E" w14:textId="4B5F6FF6" w:rsidR="00A5203A" w:rsidRPr="00636EE1" w:rsidRDefault="00FA45E5" w:rsidP="002632F3">
      <w:pPr>
        <w:pStyle w:val="Heading2"/>
        <w:numPr>
          <w:ilvl w:val="0"/>
          <w:numId w:val="0"/>
        </w:numPr>
        <w:ind w:left="360"/>
        <w:rPr>
          <w:b w:val="0"/>
        </w:rPr>
      </w:pPr>
      <w:r w:rsidRPr="00D33C2C">
        <w:rPr>
          <w:b w:val="0"/>
        </w:rPr>
        <w:t xml:space="preserve">Given </w:t>
      </w:r>
      <w:r w:rsidR="0005244E" w:rsidRPr="00D33C2C">
        <w:rPr>
          <w:b w:val="0"/>
        </w:rPr>
        <w:t xml:space="preserve">advice from Australian clinical experts, the proposed MBS item descriptor </w:t>
      </w:r>
      <w:r w:rsidR="00252152" w:rsidRPr="00D33C2C">
        <w:rPr>
          <w:b w:val="0"/>
        </w:rPr>
        <w:t xml:space="preserve">for TMVr is modelled on the transcatheter aortic </w:t>
      </w:r>
      <w:r w:rsidR="002264A2" w:rsidRPr="00D33C2C">
        <w:rPr>
          <w:b w:val="0"/>
        </w:rPr>
        <w:t>valve implantation (TAVI) descriptor (MBS item 384</w:t>
      </w:r>
      <w:r w:rsidR="008853C7" w:rsidRPr="00D33C2C">
        <w:rPr>
          <w:b w:val="0"/>
        </w:rPr>
        <w:t xml:space="preserve">95). The proposed MBS item </w:t>
      </w:r>
      <w:r w:rsidR="00705897" w:rsidRPr="00D33C2C">
        <w:rPr>
          <w:b w:val="0"/>
        </w:rPr>
        <w:t xml:space="preserve">is provided below. The proposed fee of </w:t>
      </w:r>
      <w:r w:rsidR="00B81A71" w:rsidRPr="00B81A71">
        <w:rPr>
          <w:bCs/>
        </w:rPr>
        <w:t>REDATED</w:t>
      </w:r>
      <w:r w:rsidR="00705897" w:rsidRPr="00D33C2C">
        <w:rPr>
          <w:b w:val="0"/>
        </w:rPr>
        <w:t xml:space="preserve"> will be justified in the ADAR submission-based assessment. </w:t>
      </w:r>
      <w:r w:rsidR="00705897" w:rsidRPr="00636EE1">
        <w:rPr>
          <w:b w:val="0"/>
        </w:rPr>
        <w:t xml:space="preserve">Consistent with TAVI, it is proposed that the following additional items </w:t>
      </w:r>
      <w:r w:rsidR="00A5203A" w:rsidRPr="00636EE1">
        <w:rPr>
          <w:b w:val="0"/>
        </w:rPr>
        <w:t>be listed for coordination of the TMVr procedure:</w:t>
      </w:r>
    </w:p>
    <w:p w14:paraId="14C67B6A" w14:textId="3C264B5D" w:rsidR="00ED227C" w:rsidRPr="00636EE1" w:rsidRDefault="00ED227C" w:rsidP="008D1D60">
      <w:pPr>
        <w:pStyle w:val="Heading2"/>
        <w:numPr>
          <w:ilvl w:val="0"/>
          <w:numId w:val="49"/>
        </w:numPr>
        <w:rPr>
          <w:b w:val="0"/>
        </w:rPr>
      </w:pPr>
      <w:r w:rsidRPr="00636EE1">
        <w:rPr>
          <w:b w:val="0"/>
        </w:rPr>
        <w:t>Coordination of a TMVr Case Conference by a TMVr practitioner where the TMVr Case Conference has a duration of 10 minutes or more (MBS item 6080)</w:t>
      </w:r>
    </w:p>
    <w:p w14:paraId="6069136F" w14:textId="23116F8C" w:rsidR="00006D82" w:rsidRPr="00636EE1" w:rsidRDefault="00ED227C" w:rsidP="008D1D60">
      <w:pPr>
        <w:pStyle w:val="Heading2"/>
        <w:numPr>
          <w:ilvl w:val="0"/>
          <w:numId w:val="49"/>
        </w:numPr>
        <w:rPr>
          <w:b w:val="0"/>
          <w:bCs/>
        </w:rPr>
      </w:pPr>
      <w:r w:rsidRPr="00636EE1">
        <w:rPr>
          <w:b w:val="0"/>
        </w:rPr>
        <w:t xml:space="preserve">Attendance at a TMVr Case Conference by a </w:t>
      </w:r>
      <w:r w:rsidR="006D4A4F" w:rsidRPr="00636EE1">
        <w:rPr>
          <w:b w:val="0"/>
        </w:rPr>
        <w:t xml:space="preserve">specialist or consultant physician </w:t>
      </w:r>
      <w:r w:rsidR="00EB26B5" w:rsidRPr="00636EE1">
        <w:rPr>
          <w:b w:val="0"/>
        </w:rPr>
        <w:t xml:space="preserve">who </w:t>
      </w:r>
      <w:r w:rsidR="00B965E2" w:rsidRPr="00636EE1">
        <w:rPr>
          <w:b w:val="0"/>
          <w:bCs/>
        </w:rPr>
        <w:t>does not also</w:t>
      </w:r>
      <w:r w:rsidR="00F8516E" w:rsidRPr="00636EE1">
        <w:rPr>
          <w:b w:val="0"/>
          <w:bCs/>
        </w:rPr>
        <w:t xml:space="preserve"> perform </w:t>
      </w:r>
      <w:r w:rsidR="00B7129D" w:rsidRPr="00636EE1">
        <w:rPr>
          <w:b w:val="0"/>
          <w:bCs/>
        </w:rPr>
        <w:t xml:space="preserve">the service </w:t>
      </w:r>
      <w:r w:rsidR="00F27860" w:rsidRPr="00636EE1">
        <w:rPr>
          <w:b w:val="0"/>
          <w:bCs/>
        </w:rPr>
        <w:t xml:space="preserve">described </w:t>
      </w:r>
      <w:r w:rsidR="008E6A0E" w:rsidRPr="00636EE1">
        <w:rPr>
          <w:b w:val="0"/>
          <w:bCs/>
        </w:rPr>
        <w:t xml:space="preserve">in the item above </w:t>
      </w:r>
      <w:r w:rsidR="00C44FF2" w:rsidRPr="00636EE1">
        <w:rPr>
          <w:b w:val="0"/>
          <w:bCs/>
        </w:rPr>
        <w:t xml:space="preserve">for the same </w:t>
      </w:r>
      <w:r w:rsidR="00573AC5" w:rsidRPr="00636EE1">
        <w:rPr>
          <w:b w:val="0"/>
          <w:bCs/>
        </w:rPr>
        <w:t xml:space="preserve">case conference </w:t>
      </w:r>
      <w:r w:rsidR="00006D82" w:rsidRPr="00636EE1">
        <w:rPr>
          <w:b w:val="0"/>
          <w:bCs/>
        </w:rPr>
        <w:t xml:space="preserve">where the TMVr Case Conference has a duration of 10 minutes or more. </w:t>
      </w:r>
    </w:p>
    <w:p w14:paraId="13FA8342" w14:textId="1ED1B550" w:rsidR="00587FD3" w:rsidRPr="008F390B" w:rsidRDefault="007106E1" w:rsidP="008F390B">
      <w:pPr>
        <w:pStyle w:val="Heading2"/>
        <w:numPr>
          <w:ilvl w:val="0"/>
          <w:numId w:val="49"/>
        </w:numPr>
        <w:rPr>
          <w:b w:val="0"/>
          <w:bCs/>
        </w:rPr>
      </w:pPr>
      <w:r w:rsidRPr="00636EE1">
        <w:rPr>
          <w:b w:val="0"/>
          <w:bCs/>
        </w:rPr>
        <w:t xml:space="preserve">It is also expected that explanatory notes, like those </w:t>
      </w:r>
      <w:r w:rsidR="005259B7" w:rsidRPr="00636EE1">
        <w:rPr>
          <w:b w:val="0"/>
          <w:bCs/>
        </w:rPr>
        <w:t xml:space="preserve">for </w:t>
      </w:r>
      <w:r w:rsidR="00DA4212" w:rsidRPr="00636EE1">
        <w:rPr>
          <w:b w:val="0"/>
          <w:bCs/>
        </w:rPr>
        <w:t xml:space="preserve">item </w:t>
      </w:r>
      <w:r w:rsidR="00291B6B" w:rsidRPr="00636EE1">
        <w:rPr>
          <w:b w:val="0"/>
          <w:bCs/>
        </w:rPr>
        <w:t>38495, be included for the TMVr item</w:t>
      </w:r>
      <w:r w:rsidR="008F390B">
        <w:rPr>
          <w:b w:val="0"/>
          <w:bCs/>
        </w:rPr>
        <w:t>.</w:t>
      </w:r>
      <w:r w:rsidR="00AE1188">
        <w:br w:type="page"/>
      </w:r>
    </w:p>
    <w:p w14:paraId="7D0923F4" w14:textId="4BCB7FF6" w:rsidR="00B95631" w:rsidRPr="00C76266" w:rsidRDefault="00587FD3" w:rsidP="008F390B">
      <w:pPr>
        <w:rPr>
          <w:color w:val="4F81BD" w:themeColor="accent1"/>
          <w:sz w:val="40"/>
          <w:szCs w:val="40"/>
        </w:rPr>
      </w:pPr>
      <w:r w:rsidRPr="00C76266">
        <w:rPr>
          <w:color w:val="4F81BD" w:themeColor="accent1"/>
          <w:sz w:val="40"/>
          <w:szCs w:val="40"/>
        </w:rPr>
        <w:lastRenderedPageBreak/>
        <w:t>References</w:t>
      </w:r>
    </w:p>
    <w:p w14:paraId="7CA3F12E" w14:textId="77777777" w:rsidR="00A859F0" w:rsidRDefault="00A859F0" w:rsidP="00A859F0">
      <w:r>
        <w:t>Altiok E, Hamada S, Brehmer K, et al. Analysis of procedural effects of percutaneous edge-to-edge mitral valve repair by 2D and 3D echocardiography. Circ Cardiovasc Imaging 2012;5:748–5</w:t>
      </w:r>
    </w:p>
    <w:p w14:paraId="38687C41" w14:textId="77777777" w:rsidR="00A859F0" w:rsidRDefault="00A859F0" w:rsidP="00A859F0">
      <w:r>
        <w:t>Baumgartner H, Falk V, Bax JJ, et al. 2017 ESC/EACTS Guidelines for the management of valvular heart disease. European journal of cardio-thoracic surgery. 2017;52:616-64.</w:t>
      </w:r>
    </w:p>
    <w:p w14:paraId="1B739DE9" w14:textId="77777777" w:rsidR="00A859F0" w:rsidRDefault="00A859F0" w:rsidP="00A859F0">
      <w:r>
        <w:t>Biaggi P, Felix C, Gruner C, et al. Assessment of mitral valve area during percutaneous mitral valve repair using the MitraClip system: comparison of different echocardiographic methods. Circ Cardiovasc Imaging. 2013;6:1032–40.</w:t>
      </w:r>
    </w:p>
    <w:p w14:paraId="3D7DB462" w14:textId="77777777" w:rsidR="00A859F0" w:rsidRDefault="00A859F0" w:rsidP="00A859F0">
      <w:r w:rsidRPr="009239B4">
        <w:t>Carabello BA. Treatment for mitral regurgitation: which one are we talking about? J Am Coll Cardiol. 2014 Jul 15;64(2):193-5.</w:t>
      </w:r>
    </w:p>
    <w:p w14:paraId="1A7DEB0C" w14:textId="77777777" w:rsidR="00A859F0" w:rsidRDefault="00A859F0" w:rsidP="00A859F0">
      <w:r w:rsidRPr="002C0F27">
        <w:t>Chikwe J, Goldstone AB, Passage J, Anyanwu AC, Seeburger J, Castillo JG, et al. A propensity score-adjusted retrospective comparison of early and mid-term results of mitral valve repair versus replacement in octogenarians. Eur Heart J. 2011 Mar;32(5):618-26.</w:t>
      </w:r>
    </w:p>
    <w:p w14:paraId="6BAEDDDC" w14:textId="77777777" w:rsidR="00A859F0" w:rsidRDefault="00A859F0" w:rsidP="00A859F0">
      <w:r w:rsidRPr="004A335B">
        <w:t>Dziadzko V, Clavel MA, Dziadzko M, Medina-Inojosa JR, Michelena H, Maalouf J, et al. Outcome and</w:t>
      </w:r>
      <w:r>
        <w:t xml:space="preserve"> </w:t>
      </w:r>
      <w:r w:rsidRPr="004A335B">
        <w:t>undertreatment of mitral regurgitation: a community cohort study. Lancet. 2018 Mar 10;391(10124):960-9.</w:t>
      </w:r>
    </w:p>
    <w:p w14:paraId="2E822B19" w14:textId="77777777" w:rsidR="00A859F0" w:rsidRDefault="00A859F0" w:rsidP="00A859F0">
      <w:r w:rsidRPr="004A335B">
        <w:t>El Sabbagh A, Reddy YNV, Nishimura RA. Mitral valve regurgitation in the contemporary era: Insights into diagnosis, management, and future directions. JACC Cardiovasc Imaging. 2018 Apr;11(4):628-43</w:t>
      </w:r>
    </w:p>
    <w:p w14:paraId="52BC2065" w14:textId="1A9118B6" w:rsidR="00A859F0" w:rsidRDefault="00A859F0" w:rsidP="00A859F0">
      <w:pPr>
        <w:pStyle w:val="CommentText"/>
      </w:pPr>
      <w:r w:rsidRPr="004A335B">
        <w:t xml:space="preserve">Enriquez-Sarano M, Schaff HV, Orszulak TA, Tajik AJ, Bailey KR, Frye RL. Valve repair improves the outcome of surgery for mitral regurgitation. A multivariate analysis. Circulation. 1995 Feb 15;91(4):1022-8. </w:t>
      </w:r>
    </w:p>
    <w:p w14:paraId="0A18CA93" w14:textId="1A9118B6" w:rsidR="00756A00" w:rsidRDefault="007D1EA4" w:rsidP="00A859F0">
      <w:r>
        <w:t>Feldman T, Foster E, Glower DD, et al. Percutaneous repair or surgery for mitral regurgitation. N Engl J Med 2011; 364:1395-406.</w:t>
      </w:r>
    </w:p>
    <w:p w14:paraId="065A8B8D" w14:textId="77777777" w:rsidR="007B7E77" w:rsidRDefault="003E7FDD" w:rsidP="007D1EA4">
      <w:r w:rsidRPr="00814BB2">
        <w:t>Lim DS, Kar S, Spargias K, Kipperman RM, O'Neill WW, Ng MKC, Fam NP, Walters DL, Webb JG, Smith RL, Rinaldi MJ, Latib A, Cohen GN, Schafer U, Marcoff L, Vandrangi P, Verta P, Feldman TE (2019) Transcatheter valve repair for patients with mitral regurgitation: 30-day results of the CLASP study. JACC Cardiovasc Interv. doi:10.1016/j.jcin.2019.04.034</w:t>
      </w:r>
    </w:p>
    <w:p w14:paraId="0A54C88A" w14:textId="77777777" w:rsidR="007B7E77" w:rsidRDefault="007B7E77" w:rsidP="007B7E77">
      <w:r>
        <w:t>Ling LH, Enriquez-Sarano M, Seward JB, Orszulak TA, Schaff HV, Bailey KR, et al. Early surgery in patients with mitral regurgitation due to flail leaflets: a long-term outcome study. Circulation. 1997 Sep 16;96(6):1819-25.</w:t>
      </w:r>
    </w:p>
    <w:p w14:paraId="16339304" w14:textId="7CE20804" w:rsidR="00A859F0" w:rsidRDefault="00756A00" w:rsidP="00A859F0">
      <w:r>
        <w:t>L</w:t>
      </w:r>
      <w:r w:rsidR="00A859F0">
        <w:t>ung B, Baron G, Butchart EG, Delahaye F, Gohlke-Barwolf C, Levang OW, Tornos P, Vanoverschelde JL, Vermeer F, Boersma E, Ravaud P, Vahanian A. A prospective survey of patients with valvular heart disease in Europe: the Euro Heart Survey on valvular heart disease. Eur Heart J 2003;24:1231–1243.</w:t>
      </w:r>
    </w:p>
    <w:p w14:paraId="1B74538B" w14:textId="77777777" w:rsidR="00A859F0" w:rsidRDefault="00A859F0" w:rsidP="00A859F0">
      <w:r w:rsidRPr="004A335B">
        <w:t>Marciniak A, Glover K, Sharma R. Cohort profile: prevalence of valvular heart disease in community patients with suspected heart failure in UK. BMJ Open. 2017 Jan 27;7(1):e012240.</w:t>
      </w:r>
    </w:p>
    <w:p w14:paraId="58B5C081" w14:textId="77777777" w:rsidR="00A859F0" w:rsidRDefault="00A859F0" w:rsidP="00A859F0">
      <w:r w:rsidRPr="004A335B">
        <w:t>Nishimura RA, Otto CM, Bonow RO, Carabello BA, Erwin JP, Fleisher LA, et al. 2017 AHA/ACC focused update of the 2014 AHA/ACC guideline for the management of patients with valvular heart disease: a report of the American College of Cardiology/American Heart Association Task Force on Clinical Practice Guidelines. Circulation. 2017 Jun;135(25):e1159-e95.</w:t>
      </w:r>
    </w:p>
    <w:p w14:paraId="5CA2DC73" w14:textId="55142CF8" w:rsidR="006F756A" w:rsidRDefault="00600C56" w:rsidP="00A859F0">
      <w:r>
        <w:t>Stone GW, Lindenfeld J, Abraham WT, Kar S, Lim DS, Mishell JM, Whisenant B, Grayburn PA, Rinaldi M, Kapadia SR, Rajagopal V, Sarembock IJ, Brieke A, Marx SO, Cohen DJ, Weissman NJ, Mack MJ and Investigators C. Transcatheter Mitral-Valve Repair in Patients with Heart Failure. N Engl J Med. 2018;379:2307-2318.</w:t>
      </w:r>
    </w:p>
    <w:p w14:paraId="4FA6F9DE" w14:textId="77777777" w:rsidR="00A859F0" w:rsidRDefault="00A859F0" w:rsidP="00A859F0">
      <w:r>
        <w:t>Tribouilloy C, Grigioni F, Avierinos JF, Barbieri A, Rusinaru D, Szymanski C, et al. Survival implication of left ventricular end-systolic diameter in mitral regurgitation due to flail leaflets a long-term follow-up multicenter study. J Am Coll Cardiol. 2009 Nov 17;54(21):1961-8.</w:t>
      </w:r>
    </w:p>
    <w:p w14:paraId="53CC8DCB" w14:textId="77777777" w:rsidR="00A859F0" w:rsidRDefault="00A859F0" w:rsidP="00A859F0">
      <w:r>
        <w:t>Vahanian, A., et al., Guidelines on the management of valvular heart disease (version 2012): the Joint Task Force on the Management of Valvular Heart Disease of the European Society of Cardiology (ESC) and the European Association for Cardio-Thoracic Surgery (EACTS). Eur J Cardiothorac Surg, 2012. 42(4):p. S1-44.</w:t>
      </w:r>
    </w:p>
    <w:p w14:paraId="599DB6B3" w14:textId="77777777" w:rsidR="006F6AC0" w:rsidRDefault="00A859F0" w:rsidP="006F6AC0">
      <w:r w:rsidRPr="004A335B">
        <w:t xml:space="preserve">Velazquez EJ, Samad Z, Al-Khalidi HR, Sangli C, Grayburn PA, Massaro JM, et al. The MitraClip and survival in patients with mitral regurgitation at high risk for surgery: a propensity-matched comparison. Am Heart J. 2015 </w:t>
      </w:r>
    </w:p>
    <w:p w14:paraId="085E1135" w14:textId="77761E54" w:rsidR="007C5162" w:rsidRDefault="006F6AC0" w:rsidP="00A859F0">
      <w:r>
        <w:lastRenderedPageBreak/>
        <w:t>Webb JG, Hensey M, Szerlip M, et al. 1-year outcomes for transcatheter repair in patients with mitral regurgitation from the CLASP study. J Am Coll Cardiol Intv 2020;13:2344–57.</w:t>
      </w:r>
      <w:r w:rsidR="00A859F0" w:rsidRPr="004A335B">
        <w:t>Nov;170(5):1050-9.e3.</w:t>
      </w:r>
    </w:p>
    <w:p w14:paraId="68B33353" w14:textId="77777777" w:rsidR="00A859F0" w:rsidRDefault="00A859F0" w:rsidP="00A859F0">
      <w:r w:rsidRPr="004A335B">
        <w:t>Zoghbi WA, Adams D, Bonow RO, Enriquez-Sarano M, Foster E, Grayburn PA, et al. Recommendations for noninvasive evaluation of native valvular regurgitation: a report from the American Society of Echocardiography Developed in collaboration with the Society for Cardiovascular Magnetic Resonance. J Am Soc Echocardiogr. 2017 Apr;30(4):303-71.</w:t>
      </w:r>
    </w:p>
    <w:p w14:paraId="5F4224A1" w14:textId="52A3E273" w:rsidR="0040032C" w:rsidRDefault="00A859F0" w:rsidP="00B46FAD">
      <w:pPr>
        <w:rPr>
          <w:szCs w:val="20"/>
        </w:rPr>
      </w:pPr>
      <w:r w:rsidRPr="0070485C">
        <w:t>Zoghbi WA, Enriquez-Sarano M, Foster E, Grayburn PA, Kraft CD, Levine RA, et al. Recommendations for evaluation of the severity of native valvular regurgitation with two-dimensional and Doppler echocardiography. J Am Soc Echocardiogr. 2003 Jul;16(7):777-802.</w:t>
      </w:r>
    </w:p>
    <w:sectPr w:rsidR="0040032C"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DAC8D" w14:textId="77777777" w:rsidR="006264EF" w:rsidRDefault="006264EF" w:rsidP="00CF2DFA">
      <w:pPr>
        <w:spacing w:after="0"/>
      </w:pPr>
      <w:r>
        <w:separator/>
      </w:r>
    </w:p>
  </w:endnote>
  <w:endnote w:type="continuationSeparator" w:id="0">
    <w:p w14:paraId="126D48FD" w14:textId="77777777" w:rsidR="006264EF" w:rsidRDefault="006264EF" w:rsidP="00CF2DFA">
      <w:pPr>
        <w:spacing w:after="0"/>
      </w:pPr>
      <w:r>
        <w:continuationSeparator/>
      </w:r>
    </w:p>
  </w:endnote>
  <w:endnote w:type="continuationNotice" w:id="1">
    <w:p w14:paraId="61AA8BA1" w14:textId="77777777" w:rsidR="006264EF" w:rsidRDefault="006264E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IDFont+F3">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1F4D45C0" w14:textId="29443023" w:rsidR="006264EF" w:rsidRDefault="006264EF">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8914D5">
          <w:rPr>
            <w:b/>
            <w:bCs/>
            <w:noProof/>
            <w:sz w:val="18"/>
            <w:szCs w:val="18"/>
          </w:rPr>
          <w:t>39</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t>Application Form</w:t>
        </w:r>
      </w:p>
      <w:p w14:paraId="7279A3EC" w14:textId="77777777" w:rsidR="006264EF" w:rsidRPr="003F7CB9" w:rsidRDefault="006264EF"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63E4C" w14:textId="77777777" w:rsidR="006264EF" w:rsidRDefault="006264EF" w:rsidP="00CF2DFA">
      <w:pPr>
        <w:spacing w:after="0"/>
      </w:pPr>
      <w:r>
        <w:separator/>
      </w:r>
    </w:p>
  </w:footnote>
  <w:footnote w:type="continuationSeparator" w:id="0">
    <w:p w14:paraId="124082F9" w14:textId="77777777" w:rsidR="006264EF" w:rsidRDefault="006264EF" w:rsidP="00CF2DFA">
      <w:pPr>
        <w:spacing w:after="0"/>
      </w:pPr>
      <w:r>
        <w:continuationSeparator/>
      </w:r>
    </w:p>
  </w:footnote>
  <w:footnote w:type="continuationNotice" w:id="1">
    <w:p w14:paraId="5D61F4FE" w14:textId="77777777" w:rsidR="006264EF" w:rsidRDefault="006264E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1634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443657"/>
    <w:multiLevelType w:val="hybridMultilevel"/>
    <w:tmpl w:val="FFFFFFFF"/>
    <w:lvl w:ilvl="0" w:tplc="CA3AA234">
      <w:start w:val="1"/>
      <w:numFmt w:val="bullet"/>
      <w:lvlText w:val="·"/>
      <w:lvlJc w:val="left"/>
      <w:pPr>
        <w:ind w:left="720" w:hanging="360"/>
      </w:pPr>
      <w:rPr>
        <w:rFonts w:ascii="Symbol" w:hAnsi="Symbol" w:hint="default"/>
      </w:rPr>
    </w:lvl>
    <w:lvl w:ilvl="1" w:tplc="42F66A04">
      <w:start w:val="1"/>
      <w:numFmt w:val="bullet"/>
      <w:lvlText w:val="o"/>
      <w:lvlJc w:val="left"/>
      <w:pPr>
        <w:ind w:left="1440" w:hanging="360"/>
      </w:pPr>
      <w:rPr>
        <w:rFonts w:ascii="Courier New" w:hAnsi="Courier New" w:hint="default"/>
      </w:rPr>
    </w:lvl>
    <w:lvl w:ilvl="2" w:tplc="76C8470C">
      <w:start w:val="1"/>
      <w:numFmt w:val="bullet"/>
      <w:lvlText w:val=""/>
      <w:lvlJc w:val="left"/>
      <w:pPr>
        <w:ind w:left="2160" w:hanging="360"/>
      </w:pPr>
      <w:rPr>
        <w:rFonts w:ascii="Wingdings" w:hAnsi="Wingdings" w:hint="default"/>
      </w:rPr>
    </w:lvl>
    <w:lvl w:ilvl="3" w:tplc="2848C524">
      <w:start w:val="1"/>
      <w:numFmt w:val="bullet"/>
      <w:lvlText w:val=""/>
      <w:lvlJc w:val="left"/>
      <w:pPr>
        <w:ind w:left="2880" w:hanging="360"/>
      </w:pPr>
      <w:rPr>
        <w:rFonts w:ascii="Symbol" w:hAnsi="Symbol" w:hint="default"/>
      </w:rPr>
    </w:lvl>
    <w:lvl w:ilvl="4" w:tplc="A2E81850">
      <w:start w:val="1"/>
      <w:numFmt w:val="bullet"/>
      <w:lvlText w:val="o"/>
      <w:lvlJc w:val="left"/>
      <w:pPr>
        <w:ind w:left="3600" w:hanging="360"/>
      </w:pPr>
      <w:rPr>
        <w:rFonts w:ascii="Courier New" w:hAnsi="Courier New" w:hint="default"/>
      </w:rPr>
    </w:lvl>
    <w:lvl w:ilvl="5" w:tplc="2EF85DCA">
      <w:start w:val="1"/>
      <w:numFmt w:val="bullet"/>
      <w:lvlText w:val=""/>
      <w:lvlJc w:val="left"/>
      <w:pPr>
        <w:ind w:left="4320" w:hanging="360"/>
      </w:pPr>
      <w:rPr>
        <w:rFonts w:ascii="Wingdings" w:hAnsi="Wingdings" w:hint="default"/>
      </w:rPr>
    </w:lvl>
    <w:lvl w:ilvl="6" w:tplc="71AAF296">
      <w:start w:val="1"/>
      <w:numFmt w:val="bullet"/>
      <w:lvlText w:val=""/>
      <w:lvlJc w:val="left"/>
      <w:pPr>
        <w:ind w:left="5040" w:hanging="360"/>
      </w:pPr>
      <w:rPr>
        <w:rFonts w:ascii="Symbol" w:hAnsi="Symbol" w:hint="default"/>
      </w:rPr>
    </w:lvl>
    <w:lvl w:ilvl="7" w:tplc="F86E4D06">
      <w:start w:val="1"/>
      <w:numFmt w:val="bullet"/>
      <w:lvlText w:val="o"/>
      <w:lvlJc w:val="left"/>
      <w:pPr>
        <w:ind w:left="5760" w:hanging="360"/>
      </w:pPr>
      <w:rPr>
        <w:rFonts w:ascii="Courier New" w:hAnsi="Courier New" w:hint="default"/>
      </w:rPr>
    </w:lvl>
    <w:lvl w:ilvl="8" w:tplc="4DD8D8D6">
      <w:start w:val="1"/>
      <w:numFmt w:val="bullet"/>
      <w:lvlText w:val=""/>
      <w:lvlJc w:val="left"/>
      <w:pPr>
        <w:ind w:left="6480" w:hanging="360"/>
      </w:pPr>
      <w:rPr>
        <w:rFonts w:ascii="Wingdings" w:hAnsi="Wingdings" w:hint="default"/>
      </w:rPr>
    </w:lvl>
  </w:abstractNum>
  <w:abstractNum w:abstractNumId="4" w15:restartNumberingAfterBreak="0">
    <w:nsid w:val="09AE13EE"/>
    <w:multiLevelType w:val="hybridMultilevel"/>
    <w:tmpl w:val="AD9CC3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D77D0C"/>
    <w:multiLevelType w:val="hybridMultilevel"/>
    <w:tmpl w:val="484AC0A6"/>
    <w:lvl w:ilvl="0" w:tplc="EAA8B696">
      <w:start w:val="2"/>
      <w:numFmt w:val="lowerLetter"/>
      <w:lvlText w:val="(%1)"/>
      <w:lvlJc w:val="left"/>
      <w:pPr>
        <w:ind w:left="720" w:hanging="360"/>
      </w:pPr>
      <w:rPr>
        <w:rFonts w:hint="default"/>
      </w:rPr>
    </w:lvl>
    <w:lvl w:ilvl="1" w:tplc="25C08E7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20583A"/>
    <w:multiLevelType w:val="hybridMultilevel"/>
    <w:tmpl w:val="3DFAEB8E"/>
    <w:lvl w:ilvl="0" w:tplc="79565306">
      <w:start w:val="2"/>
      <w:numFmt w:val="lowerLetter"/>
      <w:lvlText w:val="(%1)"/>
      <w:lvlJc w:val="left"/>
      <w:pPr>
        <w:ind w:left="720" w:hanging="360"/>
      </w:pPr>
      <w:rPr>
        <w:rFonts w:hint="default"/>
      </w:rPr>
    </w:lvl>
    <w:lvl w:ilvl="1" w:tplc="38AC8F14">
      <w:numFmt w:val="bullet"/>
      <w:lvlText w:val="•"/>
      <w:lvlJc w:val="left"/>
      <w:pPr>
        <w:ind w:left="1440" w:hanging="360"/>
      </w:pPr>
      <w:rPr>
        <w:rFonts w:ascii="Calibri" w:eastAsiaTheme="minorHAnsi" w:hAnsi="Calibri"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5EF3827"/>
    <w:multiLevelType w:val="hybridMultilevel"/>
    <w:tmpl w:val="C7DE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6A14AC4"/>
    <w:multiLevelType w:val="hybridMultilevel"/>
    <w:tmpl w:val="25C2F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B6380"/>
    <w:multiLevelType w:val="hybridMultilevel"/>
    <w:tmpl w:val="077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F15142"/>
    <w:multiLevelType w:val="hybridMultilevel"/>
    <w:tmpl w:val="7682E99C"/>
    <w:lvl w:ilvl="0" w:tplc="D54C55A0">
      <w:numFmt w:val="bullet"/>
      <w:pStyle w:val="Tablebullet1"/>
      <w:lvlText w:val=""/>
      <w:lvlJc w:val="left"/>
      <w:pPr>
        <w:ind w:left="360" w:hanging="360"/>
      </w:pPr>
      <w:rPr>
        <w:rFonts w:ascii="Wingdings" w:hAnsi="Wingdings" w:hint="default"/>
        <w:color w:val="505759"/>
        <w:sz w:val="16"/>
      </w:rPr>
    </w:lvl>
    <w:lvl w:ilvl="1" w:tplc="75D04F3A">
      <w:start w:val="1"/>
      <w:numFmt w:val="bullet"/>
      <w:lvlText w:val="o"/>
      <w:lvlJc w:val="left"/>
      <w:pPr>
        <w:tabs>
          <w:tab w:val="num" w:pos="1440"/>
        </w:tabs>
        <w:ind w:left="1440" w:hanging="360"/>
      </w:pPr>
      <w:rPr>
        <w:rFonts w:ascii="Courier New" w:hAnsi="Courier New" w:hint="default"/>
      </w:rPr>
    </w:lvl>
    <w:lvl w:ilvl="2" w:tplc="E9BC556C" w:tentative="1">
      <w:start w:val="1"/>
      <w:numFmt w:val="bullet"/>
      <w:lvlText w:val=""/>
      <w:lvlJc w:val="left"/>
      <w:pPr>
        <w:tabs>
          <w:tab w:val="num" w:pos="2160"/>
        </w:tabs>
        <w:ind w:left="2160" w:hanging="360"/>
      </w:pPr>
      <w:rPr>
        <w:rFonts w:ascii="Wingdings" w:hAnsi="Wingdings" w:hint="default"/>
      </w:rPr>
    </w:lvl>
    <w:lvl w:ilvl="3" w:tplc="9886B2A0" w:tentative="1">
      <w:start w:val="1"/>
      <w:numFmt w:val="bullet"/>
      <w:lvlText w:val=""/>
      <w:lvlJc w:val="left"/>
      <w:pPr>
        <w:tabs>
          <w:tab w:val="num" w:pos="2880"/>
        </w:tabs>
        <w:ind w:left="2880" w:hanging="360"/>
      </w:pPr>
      <w:rPr>
        <w:rFonts w:ascii="Symbol" w:hAnsi="Symbol" w:hint="default"/>
      </w:rPr>
    </w:lvl>
    <w:lvl w:ilvl="4" w:tplc="52587FE2" w:tentative="1">
      <w:start w:val="1"/>
      <w:numFmt w:val="bullet"/>
      <w:lvlText w:val="o"/>
      <w:lvlJc w:val="left"/>
      <w:pPr>
        <w:tabs>
          <w:tab w:val="num" w:pos="3600"/>
        </w:tabs>
        <w:ind w:left="3600" w:hanging="360"/>
      </w:pPr>
      <w:rPr>
        <w:rFonts w:ascii="Courier New" w:hAnsi="Courier New" w:hint="default"/>
      </w:rPr>
    </w:lvl>
    <w:lvl w:ilvl="5" w:tplc="7B6EBBF4" w:tentative="1">
      <w:start w:val="1"/>
      <w:numFmt w:val="bullet"/>
      <w:lvlText w:val=""/>
      <w:lvlJc w:val="left"/>
      <w:pPr>
        <w:tabs>
          <w:tab w:val="num" w:pos="4320"/>
        </w:tabs>
        <w:ind w:left="4320" w:hanging="360"/>
      </w:pPr>
      <w:rPr>
        <w:rFonts w:ascii="Wingdings" w:hAnsi="Wingdings" w:hint="default"/>
      </w:rPr>
    </w:lvl>
    <w:lvl w:ilvl="6" w:tplc="25103396" w:tentative="1">
      <w:start w:val="1"/>
      <w:numFmt w:val="bullet"/>
      <w:lvlText w:val=""/>
      <w:lvlJc w:val="left"/>
      <w:pPr>
        <w:tabs>
          <w:tab w:val="num" w:pos="5040"/>
        </w:tabs>
        <w:ind w:left="5040" w:hanging="360"/>
      </w:pPr>
      <w:rPr>
        <w:rFonts w:ascii="Symbol" w:hAnsi="Symbol" w:hint="default"/>
      </w:rPr>
    </w:lvl>
    <w:lvl w:ilvl="7" w:tplc="73DC3E4E" w:tentative="1">
      <w:start w:val="1"/>
      <w:numFmt w:val="bullet"/>
      <w:lvlText w:val="o"/>
      <w:lvlJc w:val="left"/>
      <w:pPr>
        <w:tabs>
          <w:tab w:val="num" w:pos="5760"/>
        </w:tabs>
        <w:ind w:left="5760" w:hanging="360"/>
      </w:pPr>
      <w:rPr>
        <w:rFonts w:ascii="Courier New" w:hAnsi="Courier New" w:hint="default"/>
      </w:rPr>
    </w:lvl>
    <w:lvl w:ilvl="8" w:tplc="C39E02A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15:restartNumberingAfterBreak="0">
    <w:nsid w:val="23AC3734"/>
    <w:multiLevelType w:val="hybridMultilevel"/>
    <w:tmpl w:val="226E2A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E065F1"/>
    <w:multiLevelType w:val="hybridMultilevel"/>
    <w:tmpl w:val="FFFFFFFF"/>
    <w:lvl w:ilvl="0" w:tplc="526A1F60">
      <w:start w:val="1"/>
      <w:numFmt w:val="bullet"/>
      <w:lvlText w:val="·"/>
      <w:lvlJc w:val="left"/>
      <w:pPr>
        <w:ind w:left="720" w:hanging="360"/>
      </w:pPr>
      <w:rPr>
        <w:rFonts w:ascii="Symbol" w:hAnsi="Symbol" w:hint="default"/>
      </w:rPr>
    </w:lvl>
    <w:lvl w:ilvl="1" w:tplc="27DC74F6">
      <w:start w:val="1"/>
      <w:numFmt w:val="bullet"/>
      <w:lvlText w:val="o"/>
      <w:lvlJc w:val="left"/>
      <w:pPr>
        <w:ind w:left="1440" w:hanging="360"/>
      </w:pPr>
      <w:rPr>
        <w:rFonts w:ascii="Courier New" w:hAnsi="Courier New" w:hint="default"/>
      </w:rPr>
    </w:lvl>
    <w:lvl w:ilvl="2" w:tplc="98A6AFA2">
      <w:start w:val="1"/>
      <w:numFmt w:val="bullet"/>
      <w:lvlText w:val=""/>
      <w:lvlJc w:val="left"/>
      <w:pPr>
        <w:ind w:left="2160" w:hanging="360"/>
      </w:pPr>
      <w:rPr>
        <w:rFonts w:ascii="Wingdings" w:hAnsi="Wingdings" w:hint="default"/>
      </w:rPr>
    </w:lvl>
    <w:lvl w:ilvl="3" w:tplc="7AF6ADE0">
      <w:start w:val="1"/>
      <w:numFmt w:val="bullet"/>
      <w:lvlText w:val=""/>
      <w:lvlJc w:val="left"/>
      <w:pPr>
        <w:ind w:left="2880" w:hanging="360"/>
      </w:pPr>
      <w:rPr>
        <w:rFonts w:ascii="Symbol" w:hAnsi="Symbol" w:hint="default"/>
      </w:rPr>
    </w:lvl>
    <w:lvl w:ilvl="4" w:tplc="0BF86C40">
      <w:start w:val="1"/>
      <w:numFmt w:val="bullet"/>
      <w:lvlText w:val="o"/>
      <w:lvlJc w:val="left"/>
      <w:pPr>
        <w:ind w:left="3600" w:hanging="360"/>
      </w:pPr>
      <w:rPr>
        <w:rFonts w:ascii="Courier New" w:hAnsi="Courier New" w:hint="default"/>
      </w:rPr>
    </w:lvl>
    <w:lvl w:ilvl="5" w:tplc="2DC2E70C">
      <w:start w:val="1"/>
      <w:numFmt w:val="bullet"/>
      <w:lvlText w:val=""/>
      <w:lvlJc w:val="left"/>
      <w:pPr>
        <w:ind w:left="4320" w:hanging="360"/>
      </w:pPr>
      <w:rPr>
        <w:rFonts w:ascii="Wingdings" w:hAnsi="Wingdings" w:hint="default"/>
      </w:rPr>
    </w:lvl>
    <w:lvl w:ilvl="6" w:tplc="768A0D54">
      <w:start w:val="1"/>
      <w:numFmt w:val="bullet"/>
      <w:lvlText w:val=""/>
      <w:lvlJc w:val="left"/>
      <w:pPr>
        <w:ind w:left="5040" w:hanging="360"/>
      </w:pPr>
      <w:rPr>
        <w:rFonts w:ascii="Symbol" w:hAnsi="Symbol" w:hint="default"/>
      </w:rPr>
    </w:lvl>
    <w:lvl w:ilvl="7" w:tplc="97AAF950">
      <w:start w:val="1"/>
      <w:numFmt w:val="bullet"/>
      <w:lvlText w:val="o"/>
      <w:lvlJc w:val="left"/>
      <w:pPr>
        <w:ind w:left="5760" w:hanging="360"/>
      </w:pPr>
      <w:rPr>
        <w:rFonts w:ascii="Courier New" w:hAnsi="Courier New" w:hint="default"/>
      </w:rPr>
    </w:lvl>
    <w:lvl w:ilvl="8" w:tplc="0486F1AA">
      <w:start w:val="1"/>
      <w:numFmt w:val="bullet"/>
      <w:lvlText w:val=""/>
      <w:lvlJc w:val="left"/>
      <w:pPr>
        <w:ind w:left="6480" w:hanging="360"/>
      </w:pPr>
      <w:rPr>
        <w:rFonts w:ascii="Wingdings" w:hAnsi="Wingdings" w:hint="default"/>
      </w:rPr>
    </w:lvl>
  </w:abstractNum>
  <w:abstractNum w:abstractNumId="17" w15:restartNumberingAfterBreak="0">
    <w:nsid w:val="2C9472C1"/>
    <w:multiLevelType w:val="hybridMultilevel"/>
    <w:tmpl w:val="3A8C769E"/>
    <w:lvl w:ilvl="0" w:tplc="04090001">
      <w:start w:val="1"/>
      <w:numFmt w:val="bullet"/>
      <w:lvlText w:val=""/>
      <w:lvlJc w:val="left"/>
      <w:pPr>
        <w:ind w:left="720" w:hanging="360"/>
      </w:pPr>
      <w:rPr>
        <w:rFonts w:ascii="Symbol" w:hAnsi="Symbol" w:hint="default"/>
      </w:rPr>
    </w:lvl>
    <w:lvl w:ilvl="1" w:tplc="38AC8F14">
      <w:numFmt w:val="bullet"/>
      <w:lvlText w:val="•"/>
      <w:lvlJc w:val="left"/>
      <w:pPr>
        <w:ind w:left="1440" w:hanging="360"/>
      </w:pPr>
      <w:rPr>
        <w:rFonts w:ascii="Calibri" w:eastAsiaTheme="minorHAnsi" w:hAnsi="Calibri"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F20283"/>
    <w:multiLevelType w:val="hybridMultilevel"/>
    <w:tmpl w:val="FB300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DC10AD9"/>
    <w:multiLevelType w:val="hybridMultilevel"/>
    <w:tmpl w:val="FFFFFFFF"/>
    <w:lvl w:ilvl="0" w:tplc="CA606084">
      <w:start w:val="1"/>
      <w:numFmt w:val="bullet"/>
      <w:lvlText w:val="·"/>
      <w:lvlJc w:val="left"/>
      <w:pPr>
        <w:ind w:left="720" w:hanging="360"/>
      </w:pPr>
      <w:rPr>
        <w:rFonts w:ascii="Symbol" w:hAnsi="Symbol" w:hint="default"/>
      </w:rPr>
    </w:lvl>
    <w:lvl w:ilvl="1" w:tplc="10889E72">
      <w:start w:val="1"/>
      <w:numFmt w:val="bullet"/>
      <w:lvlText w:val="o"/>
      <w:lvlJc w:val="left"/>
      <w:pPr>
        <w:ind w:left="1440" w:hanging="360"/>
      </w:pPr>
      <w:rPr>
        <w:rFonts w:ascii="Courier New" w:hAnsi="Courier New" w:hint="default"/>
      </w:rPr>
    </w:lvl>
    <w:lvl w:ilvl="2" w:tplc="18CA73F8">
      <w:start w:val="1"/>
      <w:numFmt w:val="bullet"/>
      <w:lvlText w:val=""/>
      <w:lvlJc w:val="left"/>
      <w:pPr>
        <w:ind w:left="2160" w:hanging="360"/>
      </w:pPr>
      <w:rPr>
        <w:rFonts w:ascii="Wingdings" w:hAnsi="Wingdings" w:hint="default"/>
      </w:rPr>
    </w:lvl>
    <w:lvl w:ilvl="3" w:tplc="559EFA70">
      <w:start w:val="1"/>
      <w:numFmt w:val="bullet"/>
      <w:lvlText w:val=""/>
      <w:lvlJc w:val="left"/>
      <w:pPr>
        <w:ind w:left="2880" w:hanging="360"/>
      </w:pPr>
      <w:rPr>
        <w:rFonts w:ascii="Symbol" w:hAnsi="Symbol" w:hint="default"/>
      </w:rPr>
    </w:lvl>
    <w:lvl w:ilvl="4" w:tplc="50287C52">
      <w:start w:val="1"/>
      <w:numFmt w:val="bullet"/>
      <w:lvlText w:val="o"/>
      <w:lvlJc w:val="left"/>
      <w:pPr>
        <w:ind w:left="3600" w:hanging="360"/>
      </w:pPr>
      <w:rPr>
        <w:rFonts w:ascii="Courier New" w:hAnsi="Courier New" w:hint="default"/>
      </w:rPr>
    </w:lvl>
    <w:lvl w:ilvl="5" w:tplc="F22E7186">
      <w:start w:val="1"/>
      <w:numFmt w:val="bullet"/>
      <w:lvlText w:val=""/>
      <w:lvlJc w:val="left"/>
      <w:pPr>
        <w:ind w:left="4320" w:hanging="360"/>
      </w:pPr>
      <w:rPr>
        <w:rFonts w:ascii="Wingdings" w:hAnsi="Wingdings" w:hint="default"/>
      </w:rPr>
    </w:lvl>
    <w:lvl w:ilvl="6" w:tplc="BE3EC68E">
      <w:start w:val="1"/>
      <w:numFmt w:val="bullet"/>
      <w:lvlText w:val=""/>
      <w:lvlJc w:val="left"/>
      <w:pPr>
        <w:ind w:left="5040" w:hanging="360"/>
      </w:pPr>
      <w:rPr>
        <w:rFonts w:ascii="Symbol" w:hAnsi="Symbol" w:hint="default"/>
      </w:rPr>
    </w:lvl>
    <w:lvl w:ilvl="7" w:tplc="B81A3C5C">
      <w:start w:val="1"/>
      <w:numFmt w:val="bullet"/>
      <w:lvlText w:val="o"/>
      <w:lvlJc w:val="left"/>
      <w:pPr>
        <w:ind w:left="5760" w:hanging="360"/>
      </w:pPr>
      <w:rPr>
        <w:rFonts w:ascii="Courier New" w:hAnsi="Courier New" w:hint="default"/>
      </w:rPr>
    </w:lvl>
    <w:lvl w:ilvl="8" w:tplc="195E7162">
      <w:start w:val="1"/>
      <w:numFmt w:val="bullet"/>
      <w:lvlText w:val=""/>
      <w:lvlJc w:val="left"/>
      <w:pPr>
        <w:ind w:left="6480" w:hanging="360"/>
      </w:pPr>
      <w:rPr>
        <w:rFonts w:ascii="Wingdings" w:hAnsi="Wingdings" w:hint="default"/>
      </w:rPr>
    </w:lvl>
  </w:abstractNum>
  <w:abstractNum w:abstractNumId="20"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1"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8449B9"/>
    <w:multiLevelType w:val="hybridMultilevel"/>
    <w:tmpl w:val="E6A00A5C"/>
    <w:lvl w:ilvl="0" w:tplc="0409000F">
      <w:start w:val="1"/>
      <w:numFmt w:val="decimal"/>
      <w:lvlText w:val="%1."/>
      <w:lvlJc w:val="left"/>
      <w:pPr>
        <w:ind w:left="720" w:hanging="360"/>
      </w:pPr>
      <w:rPr>
        <w:rFonts w:hint="default"/>
      </w:rPr>
    </w:lvl>
    <w:lvl w:ilvl="1" w:tplc="25C08E7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82285C"/>
    <w:multiLevelType w:val="hybridMultilevel"/>
    <w:tmpl w:val="2E025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32"/>
  </w:num>
  <w:num w:numId="3">
    <w:abstractNumId w:val="2"/>
  </w:num>
  <w:num w:numId="4">
    <w:abstractNumId w:val="29"/>
  </w:num>
  <w:num w:numId="5">
    <w:abstractNumId w:val="6"/>
  </w:num>
  <w:num w:numId="6">
    <w:abstractNumId w:val="26"/>
  </w:num>
  <w:num w:numId="7">
    <w:abstractNumId w:val="21"/>
  </w:num>
  <w:num w:numId="8">
    <w:abstractNumId w:val="5"/>
  </w:num>
  <w:num w:numId="9">
    <w:abstractNumId w:val="28"/>
  </w:num>
  <w:num w:numId="10">
    <w:abstractNumId w:val="12"/>
  </w:num>
  <w:num w:numId="11">
    <w:abstractNumId w:val="27"/>
  </w:num>
  <w:num w:numId="12">
    <w:abstractNumId w:val="9"/>
  </w:num>
  <w:num w:numId="13">
    <w:abstractNumId w:val="23"/>
  </w:num>
  <w:num w:numId="14">
    <w:abstractNumId w:val="1"/>
  </w:num>
  <w:num w:numId="15">
    <w:abstractNumId w:val="13"/>
  </w:num>
  <w:num w:numId="16">
    <w:abstractNumId w:val="18"/>
  </w:num>
  <w:num w:numId="17">
    <w:abstractNumId w:val="4"/>
  </w:num>
  <w:num w:numId="18">
    <w:abstractNumId w:val="31"/>
  </w:num>
  <w:num w:numId="19">
    <w:abstractNumId w:val="17"/>
  </w:num>
  <w:num w:numId="20">
    <w:abstractNumId w:val="8"/>
  </w:num>
  <w:num w:numId="21">
    <w:abstractNumId w:val="7"/>
    <w:lvlOverride w:ilvl="0"/>
    <w:lvlOverride w:ilvl="1">
      <w:startOverride w:val="1"/>
    </w:lvlOverride>
    <w:lvlOverride w:ilvl="2"/>
    <w:lvlOverride w:ilvl="3"/>
    <w:lvlOverride w:ilvl="4"/>
    <w:lvlOverride w:ilvl="5"/>
    <w:lvlOverride w:ilvl="6"/>
    <w:lvlOverride w:ilvl="7"/>
    <w:lvlOverride w:ilvl="8"/>
  </w:num>
  <w:num w:numId="22">
    <w:abstractNumId w:val="20"/>
  </w:num>
  <w:num w:numId="23">
    <w:abstractNumId w:val="7"/>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5"/>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3"/>
  </w:num>
  <w:num w:numId="44">
    <w:abstractNumId w:val="19"/>
  </w:num>
  <w:num w:numId="45">
    <w:abstractNumId w:val="16"/>
  </w:num>
  <w:num w:numId="46">
    <w:abstractNumId w:val="10"/>
  </w:num>
  <w:num w:numId="47">
    <w:abstractNumId w:val="0"/>
  </w:num>
  <w:num w:numId="48">
    <w:abstractNumId w:val="15"/>
  </w:num>
  <w:num w:numId="49">
    <w:abstractNumId w:val="22"/>
  </w:num>
  <w:num w:numId="5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cumentProtection w:edit="forms"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5"/>
    <w:rsid w:val="0000165A"/>
    <w:rsid w:val="00002D78"/>
    <w:rsid w:val="00003BDB"/>
    <w:rsid w:val="00006131"/>
    <w:rsid w:val="000061F9"/>
    <w:rsid w:val="000063E8"/>
    <w:rsid w:val="00006D82"/>
    <w:rsid w:val="000100A2"/>
    <w:rsid w:val="00010F0D"/>
    <w:rsid w:val="000110DC"/>
    <w:rsid w:val="0001273E"/>
    <w:rsid w:val="00013AEE"/>
    <w:rsid w:val="00013BAC"/>
    <w:rsid w:val="00014651"/>
    <w:rsid w:val="000158AA"/>
    <w:rsid w:val="000159B9"/>
    <w:rsid w:val="00016B6E"/>
    <w:rsid w:val="0001739F"/>
    <w:rsid w:val="000203E9"/>
    <w:rsid w:val="00021BE0"/>
    <w:rsid w:val="00023E21"/>
    <w:rsid w:val="0002410A"/>
    <w:rsid w:val="00024E2E"/>
    <w:rsid w:val="00024F2B"/>
    <w:rsid w:val="00025A9F"/>
    <w:rsid w:val="00025ABC"/>
    <w:rsid w:val="00025C15"/>
    <w:rsid w:val="00025EC5"/>
    <w:rsid w:val="00026412"/>
    <w:rsid w:val="000276A7"/>
    <w:rsid w:val="000311B9"/>
    <w:rsid w:val="00031403"/>
    <w:rsid w:val="00031BE2"/>
    <w:rsid w:val="00031F6F"/>
    <w:rsid w:val="00032B8E"/>
    <w:rsid w:val="0003306F"/>
    <w:rsid w:val="00033B35"/>
    <w:rsid w:val="00033D09"/>
    <w:rsid w:val="000345FB"/>
    <w:rsid w:val="00034D6E"/>
    <w:rsid w:val="0003538F"/>
    <w:rsid w:val="0003548C"/>
    <w:rsid w:val="00035851"/>
    <w:rsid w:val="00036891"/>
    <w:rsid w:val="00036D5F"/>
    <w:rsid w:val="00037AEE"/>
    <w:rsid w:val="00037D7E"/>
    <w:rsid w:val="000401BF"/>
    <w:rsid w:val="00040200"/>
    <w:rsid w:val="00040689"/>
    <w:rsid w:val="000423E5"/>
    <w:rsid w:val="0004249C"/>
    <w:rsid w:val="000431E4"/>
    <w:rsid w:val="00043618"/>
    <w:rsid w:val="00043FAA"/>
    <w:rsid w:val="00044332"/>
    <w:rsid w:val="00044670"/>
    <w:rsid w:val="00044AA6"/>
    <w:rsid w:val="00044DB5"/>
    <w:rsid w:val="00045440"/>
    <w:rsid w:val="00045E7C"/>
    <w:rsid w:val="0004777A"/>
    <w:rsid w:val="00047782"/>
    <w:rsid w:val="000500F4"/>
    <w:rsid w:val="000503B7"/>
    <w:rsid w:val="0005089D"/>
    <w:rsid w:val="0005244E"/>
    <w:rsid w:val="000525BC"/>
    <w:rsid w:val="00053388"/>
    <w:rsid w:val="00053775"/>
    <w:rsid w:val="00054ED8"/>
    <w:rsid w:val="0005584C"/>
    <w:rsid w:val="000559BB"/>
    <w:rsid w:val="00057670"/>
    <w:rsid w:val="00057ECC"/>
    <w:rsid w:val="00060063"/>
    <w:rsid w:val="000636A2"/>
    <w:rsid w:val="00064AF0"/>
    <w:rsid w:val="00064BAD"/>
    <w:rsid w:val="0006514A"/>
    <w:rsid w:val="00066A00"/>
    <w:rsid w:val="00066BD6"/>
    <w:rsid w:val="00066E90"/>
    <w:rsid w:val="00070084"/>
    <w:rsid w:val="00070D81"/>
    <w:rsid w:val="000712F1"/>
    <w:rsid w:val="00071570"/>
    <w:rsid w:val="0007295C"/>
    <w:rsid w:val="00073222"/>
    <w:rsid w:val="00073372"/>
    <w:rsid w:val="00073EA2"/>
    <w:rsid w:val="000747CD"/>
    <w:rsid w:val="00074C2C"/>
    <w:rsid w:val="0007524B"/>
    <w:rsid w:val="00075451"/>
    <w:rsid w:val="000755C3"/>
    <w:rsid w:val="000759FE"/>
    <w:rsid w:val="0007646D"/>
    <w:rsid w:val="000770BA"/>
    <w:rsid w:val="00077460"/>
    <w:rsid w:val="00077757"/>
    <w:rsid w:val="00077899"/>
    <w:rsid w:val="00077FDD"/>
    <w:rsid w:val="0008070B"/>
    <w:rsid w:val="00081DAC"/>
    <w:rsid w:val="000826EE"/>
    <w:rsid w:val="00082DE4"/>
    <w:rsid w:val="0008308C"/>
    <w:rsid w:val="000839CF"/>
    <w:rsid w:val="00083A62"/>
    <w:rsid w:val="00083C56"/>
    <w:rsid w:val="00083C8C"/>
    <w:rsid w:val="0008418B"/>
    <w:rsid w:val="00084EAA"/>
    <w:rsid w:val="00085BFF"/>
    <w:rsid w:val="00086640"/>
    <w:rsid w:val="00086942"/>
    <w:rsid w:val="000869F5"/>
    <w:rsid w:val="00086EFA"/>
    <w:rsid w:val="00087017"/>
    <w:rsid w:val="00087A94"/>
    <w:rsid w:val="00090218"/>
    <w:rsid w:val="000906FF"/>
    <w:rsid w:val="00090828"/>
    <w:rsid w:val="00091569"/>
    <w:rsid w:val="0009178E"/>
    <w:rsid w:val="00091FCB"/>
    <w:rsid w:val="00092313"/>
    <w:rsid w:val="00092580"/>
    <w:rsid w:val="000925D9"/>
    <w:rsid w:val="00092EF3"/>
    <w:rsid w:val="000944F1"/>
    <w:rsid w:val="000955E7"/>
    <w:rsid w:val="00095C9C"/>
    <w:rsid w:val="0009673B"/>
    <w:rsid w:val="00096ADB"/>
    <w:rsid w:val="00097D1A"/>
    <w:rsid w:val="000A0425"/>
    <w:rsid w:val="000A110D"/>
    <w:rsid w:val="000A1A8C"/>
    <w:rsid w:val="000A1C3F"/>
    <w:rsid w:val="000A1D70"/>
    <w:rsid w:val="000A274A"/>
    <w:rsid w:val="000A2F16"/>
    <w:rsid w:val="000A355C"/>
    <w:rsid w:val="000A3C95"/>
    <w:rsid w:val="000A478F"/>
    <w:rsid w:val="000A4AA1"/>
    <w:rsid w:val="000A4D80"/>
    <w:rsid w:val="000A50E2"/>
    <w:rsid w:val="000A5216"/>
    <w:rsid w:val="000A5B32"/>
    <w:rsid w:val="000A5D34"/>
    <w:rsid w:val="000B0AE2"/>
    <w:rsid w:val="000B0C99"/>
    <w:rsid w:val="000B149B"/>
    <w:rsid w:val="000B1EA3"/>
    <w:rsid w:val="000B2149"/>
    <w:rsid w:val="000B31B2"/>
    <w:rsid w:val="000B3CD0"/>
    <w:rsid w:val="000B405D"/>
    <w:rsid w:val="000B4305"/>
    <w:rsid w:val="000B430B"/>
    <w:rsid w:val="000B53EC"/>
    <w:rsid w:val="000B587F"/>
    <w:rsid w:val="000B71B0"/>
    <w:rsid w:val="000C0095"/>
    <w:rsid w:val="000C13D0"/>
    <w:rsid w:val="000C1B8D"/>
    <w:rsid w:val="000C1D8C"/>
    <w:rsid w:val="000C2340"/>
    <w:rsid w:val="000C271A"/>
    <w:rsid w:val="000C30D5"/>
    <w:rsid w:val="000C313D"/>
    <w:rsid w:val="000C31AD"/>
    <w:rsid w:val="000C345B"/>
    <w:rsid w:val="000C3714"/>
    <w:rsid w:val="000C44A7"/>
    <w:rsid w:val="000C466B"/>
    <w:rsid w:val="000C4724"/>
    <w:rsid w:val="000C5F90"/>
    <w:rsid w:val="000D02D9"/>
    <w:rsid w:val="000D066E"/>
    <w:rsid w:val="000D0831"/>
    <w:rsid w:val="000D08C5"/>
    <w:rsid w:val="000D13C4"/>
    <w:rsid w:val="000D27F1"/>
    <w:rsid w:val="000D3F8A"/>
    <w:rsid w:val="000D49CE"/>
    <w:rsid w:val="000D4AB0"/>
    <w:rsid w:val="000D5180"/>
    <w:rsid w:val="000D632B"/>
    <w:rsid w:val="000D6889"/>
    <w:rsid w:val="000D7444"/>
    <w:rsid w:val="000D7DB6"/>
    <w:rsid w:val="000E0031"/>
    <w:rsid w:val="000E022C"/>
    <w:rsid w:val="000E0ADB"/>
    <w:rsid w:val="000E102B"/>
    <w:rsid w:val="000E1EAF"/>
    <w:rsid w:val="000E1F4E"/>
    <w:rsid w:val="000E386C"/>
    <w:rsid w:val="000E4595"/>
    <w:rsid w:val="000E47E7"/>
    <w:rsid w:val="000E4963"/>
    <w:rsid w:val="000E4DE1"/>
    <w:rsid w:val="000E505F"/>
    <w:rsid w:val="000E5439"/>
    <w:rsid w:val="000E553A"/>
    <w:rsid w:val="000E599D"/>
    <w:rsid w:val="000E5E16"/>
    <w:rsid w:val="000E6DEF"/>
    <w:rsid w:val="000E74FC"/>
    <w:rsid w:val="000E79E9"/>
    <w:rsid w:val="000F010E"/>
    <w:rsid w:val="000F04DF"/>
    <w:rsid w:val="000F113C"/>
    <w:rsid w:val="000F1271"/>
    <w:rsid w:val="000F1AA3"/>
    <w:rsid w:val="000F2F7D"/>
    <w:rsid w:val="000F35F6"/>
    <w:rsid w:val="000F3A65"/>
    <w:rsid w:val="000F4A95"/>
    <w:rsid w:val="000F5E85"/>
    <w:rsid w:val="000F78E3"/>
    <w:rsid w:val="000F7C4D"/>
    <w:rsid w:val="001004E1"/>
    <w:rsid w:val="00102686"/>
    <w:rsid w:val="00103311"/>
    <w:rsid w:val="001048E9"/>
    <w:rsid w:val="00104D3A"/>
    <w:rsid w:val="001062CE"/>
    <w:rsid w:val="00106A0E"/>
    <w:rsid w:val="001072D6"/>
    <w:rsid w:val="00107601"/>
    <w:rsid w:val="00107A99"/>
    <w:rsid w:val="001101DC"/>
    <w:rsid w:val="0011036E"/>
    <w:rsid w:val="00110425"/>
    <w:rsid w:val="00110579"/>
    <w:rsid w:val="001113FF"/>
    <w:rsid w:val="001119CE"/>
    <w:rsid w:val="001123A7"/>
    <w:rsid w:val="001130B0"/>
    <w:rsid w:val="0011369B"/>
    <w:rsid w:val="001136AA"/>
    <w:rsid w:val="00113712"/>
    <w:rsid w:val="00113B17"/>
    <w:rsid w:val="00114F8B"/>
    <w:rsid w:val="001152D9"/>
    <w:rsid w:val="0011742E"/>
    <w:rsid w:val="00117C08"/>
    <w:rsid w:val="00120AB0"/>
    <w:rsid w:val="0012370A"/>
    <w:rsid w:val="00123D10"/>
    <w:rsid w:val="00123F37"/>
    <w:rsid w:val="00124D0D"/>
    <w:rsid w:val="001250E4"/>
    <w:rsid w:val="00126A54"/>
    <w:rsid w:val="00126B33"/>
    <w:rsid w:val="00126C4E"/>
    <w:rsid w:val="00127250"/>
    <w:rsid w:val="00127E61"/>
    <w:rsid w:val="001305BD"/>
    <w:rsid w:val="00131F29"/>
    <w:rsid w:val="00132FE3"/>
    <w:rsid w:val="0013320A"/>
    <w:rsid w:val="00133A99"/>
    <w:rsid w:val="001340A4"/>
    <w:rsid w:val="00134550"/>
    <w:rsid w:val="00134754"/>
    <w:rsid w:val="00134EDD"/>
    <w:rsid w:val="001366B7"/>
    <w:rsid w:val="00136EC2"/>
    <w:rsid w:val="001404ED"/>
    <w:rsid w:val="00140FE0"/>
    <w:rsid w:val="001410D1"/>
    <w:rsid w:val="001413A2"/>
    <w:rsid w:val="00141ED4"/>
    <w:rsid w:val="00142170"/>
    <w:rsid w:val="001423B6"/>
    <w:rsid w:val="00142BE0"/>
    <w:rsid w:val="0014395F"/>
    <w:rsid w:val="00143A8A"/>
    <w:rsid w:val="00143DBB"/>
    <w:rsid w:val="00144516"/>
    <w:rsid w:val="00144A0C"/>
    <w:rsid w:val="00144A53"/>
    <w:rsid w:val="00145F2F"/>
    <w:rsid w:val="00146689"/>
    <w:rsid w:val="00147683"/>
    <w:rsid w:val="0015089F"/>
    <w:rsid w:val="00151C42"/>
    <w:rsid w:val="00151E19"/>
    <w:rsid w:val="00151F5D"/>
    <w:rsid w:val="0015350C"/>
    <w:rsid w:val="00154B00"/>
    <w:rsid w:val="00154EF2"/>
    <w:rsid w:val="00155457"/>
    <w:rsid w:val="0015599D"/>
    <w:rsid w:val="00155CFC"/>
    <w:rsid w:val="001562FF"/>
    <w:rsid w:val="0015699B"/>
    <w:rsid w:val="00157951"/>
    <w:rsid w:val="00160C98"/>
    <w:rsid w:val="00160DD7"/>
    <w:rsid w:val="00161ACC"/>
    <w:rsid w:val="001620A3"/>
    <w:rsid w:val="00162CEB"/>
    <w:rsid w:val="0016362B"/>
    <w:rsid w:val="0016363A"/>
    <w:rsid w:val="001638C0"/>
    <w:rsid w:val="001644E9"/>
    <w:rsid w:val="00165159"/>
    <w:rsid w:val="0016554B"/>
    <w:rsid w:val="001655D7"/>
    <w:rsid w:val="00166245"/>
    <w:rsid w:val="001665D7"/>
    <w:rsid w:val="00167E33"/>
    <w:rsid w:val="00170549"/>
    <w:rsid w:val="001712E1"/>
    <w:rsid w:val="00171CE5"/>
    <w:rsid w:val="001732B2"/>
    <w:rsid w:val="00174228"/>
    <w:rsid w:val="00175296"/>
    <w:rsid w:val="001757D9"/>
    <w:rsid w:val="00175DE2"/>
    <w:rsid w:val="00176DE8"/>
    <w:rsid w:val="0017703D"/>
    <w:rsid w:val="0017777A"/>
    <w:rsid w:val="001779AC"/>
    <w:rsid w:val="00177B82"/>
    <w:rsid w:val="00180096"/>
    <w:rsid w:val="001801CB"/>
    <w:rsid w:val="00180B7E"/>
    <w:rsid w:val="00181C87"/>
    <w:rsid w:val="001820D8"/>
    <w:rsid w:val="00182497"/>
    <w:rsid w:val="001824A1"/>
    <w:rsid w:val="00182594"/>
    <w:rsid w:val="001826FA"/>
    <w:rsid w:val="00182D12"/>
    <w:rsid w:val="001830FD"/>
    <w:rsid w:val="0018341C"/>
    <w:rsid w:val="0018358F"/>
    <w:rsid w:val="00183B68"/>
    <w:rsid w:val="00184358"/>
    <w:rsid w:val="001845D9"/>
    <w:rsid w:val="00184A5E"/>
    <w:rsid w:val="00184E04"/>
    <w:rsid w:val="00185C44"/>
    <w:rsid w:val="00186045"/>
    <w:rsid w:val="00186191"/>
    <w:rsid w:val="0018630F"/>
    <w:rsid w:val="00187856"/>
    <w:rsid w:val="00187D69"/>
    <w:rsid w:val="00190422"/>
    <w:rsid w:val="001905E1"/>
    <w:rsid w:val="001906CD"/>
    <w:rsid w:val="00191452"/>
    <w:rsid w:val="00191B99"/>
    <w:rsid w:val="001926B5"/>
    <w:rsid w:val="00192976"/>
    <w:rsid w:val="00193560"/>
    <w:rsid w:val="00194F9C"/>
    <w:rsid w:val="00195411"/>
    <w:rsid w:val="00195495"/>
    <w:rsid w:val="0019694B"/>
    <w:rsid w:val="00196AFA"/>
    <w:rsid w:val="001973AE"/>
    <w:rsid w:val="00197D29"/>
    <w:rsid w:val="001A0196"/>
    <w:rsid w:val="001A02E3"/>
    <w:rsid w:val="001A0F7D"/>
    <w:rsid w:val="001A1022"/>
    <w:rsid w:val="001A1ADF"/>
    <w:rsid w:val="001A24F2"/>
    <w:rsid w:val="001A28A5"/>
    <w:rsid w:val="001A365C"/>
    <w:rsid w:val="001A5FAE"/>
    <w:rsid w:val="001B12F4"/>
    <w:rsid w:val="001B171D"/>
    <w:rsid w:val="001B1A1A"/>
    <w:rsid w:val="001B1AD0"/>
    <w:rsid w:val="001B2431"/>
    <w:rsid w:val="001B29A1"/>
    <w:rsid w:val="001B2E56"/>
    <w:rsid w:val="001B332E"/>
    <w:rsid w:val="001B3365"/>
    <w:rsid w:val="001B338F"/>
    <w:rsid w:val="001B46B0"/>
    <w:rsid w:val="001B5169"/>
    <w:rsid w:val="001B5B9E"/>
    <w:rsid w:val="001B5C71"/>
    <w:rsid w:val="001B6164"/>
    <w:rsid w:val="001B630D"/>
    <w:rsid w:val="001B7867"/>
    <w:rsid w:val="001C02B9"/>
    <w:rsid w:val="001C0CD8"/>
    <w:rsid w:val="001C0DA1"/>
    <w:rsid w:val="001C0E35"/>
    <w:rsid w:val="001C2BEE"/>
    <w:rsid w:val="001C42F8"/>
    <w:rsid w:val="001C60E1"/>
    <w:rsid w:val="001C6869"/>
    <w:rsid w:val="001C7E34"/>
    <w:rsid w:val="001D000B"/>
    <w:rsid w:val="001D04C7"/>
    <w:rsid w:val="001D0537"/>
    <w:rsid w:val="001D0983"/>
    <w:rsid w:val="001D0B69"/>
    <w:rsid w:val="001D0D8E"/>
    <w:rsid w:val="001D1284"/>
    <w:rsid w:val="001D1E0D"/>
    <w:rsid w:val="001D255D"/>
    <w:rsid w:val="001D36BC"/>
    <w:rsid w:val="001D3A41"/>
    <w:rsid w:val="001D445D"/>
    <w:rsid w:val="001D52C7"/>
    <w:rsid w:val="001D6917"/>
    <w:rsid w:val="001D707D"/>
    <w:rsid w:val="001D77ED"/>
    <w:rsid w:val="001E0AD2"/>
    <w:rsid w:val="001E0B0D"/>
    <w:rsid w:val="001E0BDC"/>
    <w:rsid w:val="001E0D1F"/>
    <w:rsid w:val="001E1180"/>
    <w:rsid w:val="001E147E"/>
    <w:rsid w:val="001E16BB"/>
    <w:rsid w:val="001E16CF"/>
    <w:rsid w:val="001E22C4"/>
    <w:rsid w:val="001E23EA"/>
    <w:rsid w:val="001E2B80"/>
    <w:rsid w:val="001E314F"/>
    <w:rsid w:val="001E4C2E"/>
    <w:rsid w:val="001E4D69"/>
    <w:rsid w:val="001E5200"/>
    <w:rsid w:val="001E5A8E"/>
    <w:rsid w:val="001E60EB"/>
    <w:rsid w:val="001E6490"/>
    <w:rsid w:val="001E6919"/>
    <w:rsid w:val="001E6958"/>
    <w:rsid w:val="001E7A8B"/>
    <w:rsid w:val="001F010E"/>
    <w:rsid w:val="001F01ED"/>
    <w:rsid w:val="001F0AB3"/>
    <w:rsid w:val="001F0B4D"/>
    <w:rsid w:val="001F0D9F"/>
    <w:rsid w:val="001F0EF7"/>
    <w:rsid w:val="001F106F"/>
    <w:rsid w:val="001F10D9"/>
    <w:rsid w:val="001F11CB"/>
    <w:rsid w:val="001F14A6"/>
    <w:rsid w:val="001F1991"/>
    <w:rsid w:val="001F29FD"/>
    <w:rsid w:val="001F409E"/>
    <w:rsid w:val="001F4878"/>
    <w:rsid w:val="001F4DD1"/>
    <w:rsid w:val="001F54AA"/>
    <w:rsid w:val="001F5D45"/>
    <w:rsid w:val="001F6222"/>
    <w:rsid w:val="001F6441"/>
    <w:rsid w:val="001F7B5B"/>
    <w:rsid w:val="00200265"/>
    <w:rsid w:val="002003EB"/>
    <w:rsid w:val="00200ECC"/>
    <w:rsid w:val="00201063"/>
    <w:rsid w:val="002017E0"/>
    <w:rsid w:val="00201924"/>
    <w:rsid w:val="00202473"/>
    <w:rsid w:val="00202544"/>
    <w:rsid w:val="00202B8F"/>
    <w:rsid w:val="00202C7F"/>
    <w:rsid w:val="002033C7"/>
    <w:rsid w:val="002053F2"/>
    <w:rsid w:val="00205F38"/>
    <w:rsid w:val="00206569"/>
    <w:rsid w:val="00206600"/>
    <w:rsid w:val="00206D63"/>
    <w:rsid w:val="002070E2"/>
    <w:rsid w:val="00207B9D"/>
    <w:rsid w:val="002108AD"/>
    <w:rsid w:val="00211254"/>
    <w:rsid w:val="0021185D"/>
    <w:rsid w:val="00211BAC"/>
    <w:rsid w:val="002127BC"/>
    <w:rsid w:val="00213A37"/>
    <w:rsid w:val="002158AA"/>
    <w:rsid w:val="00216086"/>
    <w:rsid w:val="0021795C"/>
    <w:rsid w:val="00217AFF"/>
    <w:rsid w:val="00220553"/>
    <w:rsid w:val="002217AB"/>
    <w:rsid w:val="00221A57"/>
    <w:rsid w:val="00221DEE"/>
    <w:rsid w:val="0022305B"/>
    <w:rsid w:val="002233C4"/>
    <w:rsid w:val="002244C2"/>
    <w:rsid w:val="002264A2"/>
    <w:rsid w:val="00226777"/>
    <w:rsid w:val="00226897"/>
    <w:rsid w:val="00227C8E"/>
    <w:rsid w:val="00231351"/>
    <w:rsid w:val="00231DBE"/>
    <w:rsid w:val="00233DA5"/>
    <w:rsid w:val="00235595"/>
    <w:rsid w:val="00235BD1"/>
    <w:rsid w:val="002370E8"/>
    <w:rsid w:val="00237D93"/>
    <w:rsid w:val="00237F70"/>
    <w:rsid w:val="002406E8"/>
    <w:rsid w:val="00241351"/>
    <w:rsid w:val="0024167D"/>
    <w:rsid w:val="00241A75"/>
    <w:rsid w:val="00241D78"/>
    <w:rsid w:val="00242B0E"/>
    <w:rsid w:val="00242F2D"/>
    <w:rsid w:val="002436CA"/>
    <w:rsid w:val="00243A44"/>
    <w:rsid w:val="002447DF"/>
    <w:rsid w:val="002455D7"/>
    <w:rsid w:val="00245C98"/>
    <w:rsid w:val="002469D3"/>
    <w:rsid w:val="00247963"/>
    <w:rsid w:val="00247B5B"/>
    <w:rsid w:val="00247DF0"/>
    <w:rsid w:val="002519AE"/>
    <w:rsid w:val="00252152"/>
    <w:rsid w:val="00252720"/>
    <w:rsid w:val="00252BD2"/>
    <w:rsid w:val="00252D27"/>
    <w:rsid w:val="0025331F"/>
    <w:rsid w:val="00253574"/>
    <w:rsid w:val="0025366D"/>
    <w:rsid w:val="00254813"/>
    <w:rsid w:val="00254B41"/>
    <w:rsid w:val="00254C7D"/>
    <w:rsid w:val="00254F1B"/>
    <w:rsid w:val="00255262"/>
    <w:rsid w:val="00255B9B"/>
    <w:rsid w:val="002567A2"/>
    <w:rsid w:val="00257FF2"/>
    <w:rsid w:val="002607FE"/>
    <w:rsid w:val="002608D8"/>
    <w:rsid w:val="0026152A"/>
    <w:rsid w:val="002628F6"/>
    <w:rsid w:val="00263194"/>
    <w:rsid w:val="002632F3"/>
    <w:rsid w:val="00264A19"/>
    <w:rsid w:val="00264C95"/>
    <w:rsid w:val="00264DE1"/>
    <w:rsid w:val="00265822"/>
    <w:rsid w:val="00265D2C"/>
    <w:rsid w:val="00266623"/>
    <w:rsid w:val="00266E00"/>
    <w:rsid w:val="00270A0E"/>
    <w:rsid w:val="0027105F"/>
    <w:rsid w:val="002710A2"/>
    <w:rsid w:val="002711FB"/>
    <w:rsid w:val="00271711"/>
    <w:rsid w:val="002724F9"/>
    <w:rsid w:val="0027772C"/>
    <w:rsid w:val="002806B8"/>
    <w:rsid w:val="00280EC7"/>
    <w:rsid w:val="0028283E"/>
    <w:rsid w:val="00282BE8"/>
    <w:rsid w:val="0028313C"/>
    <w:rsid w:val="00283318"/>
    <w:rsid w:val="00283F75"/>
    <w:rsid w:val="002846CA"/>
    <w:rsid w:val="00285525"/>
    <w:rsid w:val="00285D62"/>
    <w:rsid w:val="00287564"/>
    <w:rsid w:val="002879B2"/>
    <w:rsid w:val="00291B6B"/>
    <w:rsid w:val="002936B9"/>
    <w:rsid w:val="00294CD8"/>
    <w:rsid w:val="00294F8B"/>
    <w:rsid w:val="00295983"/>
    <w:rsid w:val="00296583"/>
    <w:rsid w:val="002979A9"/>
    <w:rsid w:val="002A0E94"/>
    <w:rsid w:val="002A234B"/>
    <w:rsid w:val="002A270B"/>
    <w:rsid w:val="002A3530"/>
    <w:rsid w:val="002A474E"/>
    <w:rsid w:val="002A4B29"/>
    <w:rsid w:val="002A4C49"/>
    <w:rsid w:val="002A4C4E"/>
    <w:rsid w:val="002A4D73"/>
    <w:rsid w:val="002A50FD"/>
    <w:rsid w:val="002A5FE2"/>
    <w:rsid w:val="002A6023"/>
    <w:rsid w:val="002A64C8"/>
    <w:rsid w:val="002A65CD"/>
    <w:rsid w:val="002A6753"/>
    <w:rsid w:val="002A7123"/>
    <w:rsid w:val="002B04F6"/>
    <w:rsid w:val="002B0C12"/>
    <w:rsid w:val="002B10EB"/>
    <w:rsid w:val="002B2663"/>
    <w:rsid w:val="002B2833"/>
    <w:rsid w:val="002B286D"/>
    <w:rsid w:val="002B28D7"/>
    <w:rsid w:val="002B2FAD"/>
    <w:rsid w:val="002B35E2"/>
    <w:rsid w:val="002B4761"/>
    <w:rsid w:val="002B52A3"/>
    <w:rsid w:val="002B5EC3"/>
    <w:rsid w:val="002B7EB6"/>
    <w:rsid w:val="002C0B61"/>
    <w:rsid w:val="002C0F27"/>
    <w:rsid w:val="002C152E"/>
    <w:rsid w:val="002C15E6"/>
    <w:rsid w:val="002C1684"/>
    <w:rsid w:val="002C247D"/>
    <w:rsid w:val="002C2BD4"/>
    <w:rsid w:val="002C2F9C"/>
    <w:rsid w:val="002C3345"/>
    <w:rsid w:val="002C47F9"/>
    <w:rsid w:val="002C497F"/>
    <w:rsid w:val="002C51FD"/>
    <w:rsid w:val="002C603A"/>
    <w:rsid w:val="002C6457"/>
    <w:rsid w:val="002C6604"/>
    <w:rsid w:val="002C66D2"/>
    <w:rsid w:val="002D0588"/>
    <w:rsid w:val="002D2F6B"/>
    <w:rsid w:val="002D37CB"/>
    <w:rsid w:val="002D409A"/>
    <w:rsid w:val="002D40FC"/>
    <w:rsid w:val="002D41FF"/>
    <w:rsid w:val="002D61D1"/>
    <w:rsid w:val="002D78F6"/>
    <w:rsid w:val="002D7F69"/>
    <w:rsid w:val="002D7FA5"/>
    <w:rsid w:val="002E0305"/>
    <w:rsid w:val="002E1474"/>
    <w:rsid w:val="002E1AB0"/>
    <w:rsid w:val="002E348E"/>
    <w:rsid w:val="002E3741"/>
    <w:rsid w:val="002E3A38"/>
    <w:rsid w:val="002E42D6"/>
    <w:rsid w:val="002E42ED"/>
    <w:rsid w:val="002E4420"/>
    <w:rsid w:val="002E4596"/>
    <w:rsid w:val="002E47B1"/>
    <w:rsid w:val="002E495C"/>
    <w:rsid w:val="002E56CC"/>
    <w:rsid w:val="002E5B67"/>
    <w:rsid w:val="002E65F5"/>
    <w:rsid w:val="002E6739"/>
    <w:rsid w:val="002E6955"/>
    <w:rsid w:val="002E798E"/>
    <w:rsid w:val="002E7E8E"/>
    <w:rsid w:val="002F05DC"/>
    <w:rsid w:val="002F1D51"/>
    <w:rsid w:val="002F1F4D"/>
    <w:rsid w:val="002F2278"/>
    <w:rsid w:val="002F2914"/>
    <w:rsid w:val="002F30E2"/>
    <w:rsid w:val="002F30E7"/>
    <w:rsid w:val="002F318D"/>
    <w:rsid w:val="002F382C"/>
    <w:rsid w:val="002F4805"/>
    <w:rsid w:val="002F51F2"/>
    <w:rsid w:val="002F59A4"/>
    <w:rsid w:val="002F658B"/>
    <w:rsid w:val="002F6EFF"/>
    <w:rsid w:val="002F75CE"/>
    <w:rsid w:val="002F7D1B"/>
    <w:rsid w:val="00300BA8"/>
    <w:rsid w:val="00300EEB"/>
    <w:rsid w:val="003012F2"/>
    <w:rsid w:val="003013A9"/>
    <w:rsid w:val="00301958"/>
    <w:rsid w:val="003020B5"/>
    <w:rsid w:val="003027BB"/>
    <w:rsid w:val="00303692"/>
    <w:rsid w:val="00303B44"/>
    <w:rsid w:val="003041E9"/>
    <w:rsid w:val="003042F1"/>
    <w:rsid w:val="00304B4E"/>
    <w:rsid w:val="00304C91"/>
    <w:rsid w:val="003051F3"/>
    <w:rsid w:val="00306563"/>
    <w:rsid w:val="003066D2"/>
    <w:rsid w:val="00306961"/>
    <w:rsid w:val="00307AB6"/>
    <w:rsid w:val="00307AD9"/>
    <w:rsid w:val="00310797"/>
    <w:rsid w:val="003107EF"/>
    <w:rsid w:val="00310A10"/>
    <w:rsid w:val="00310A15"/>
    <w:rsid w:val="00310E09"/>
    <w:rsid w:val="003126D1"/>
    <w:rsid w:val="00312A80"/>
    <w:rsid w:val="0031383D"/>
    <w:rsid w:val="00313930"/>
    <w:rsid w:val="00313F61"/>
    <w:rsid w:val="00314488"/>
    <w:rsid w:val="00314799"/>
    <w:rsid w:val="00314873"/>
    <w:rsid w:val="00314A1B"/>
    <w:rsid w:val="00314A84"/>
    <w:rsid w:val="0031673C"/>
    <w:rsid w:val="00316E6D"/>
    <w:rsid w:val="003179BC"/>
    <w:rsid w:val="00317CC2"/>
    <w:rsid w:val="00317E47"/>
    <w:rsid w:val="00317E51"/>
    <w:rsid w:val="00320562"/>
    <w:rsid w:val="00321787"/>
    <w:rsid w:val="00321FA3"/>
    <w:rsid w:val="003227BB"/>
    <w:rsid w:val="00322A8A"/>
    <w:rsid w:val="00323817"/>
    <w:rsid w:val="003246BA"/>
    <w:rsid w:val="003252FF"/>
    <w:rsid w:val="00325647"/>
    <w:rsid w:val="00325E5B"/>
    <w:rsid w:val="0032682A"/>
    <w:rsid w:val="00327D25"/>
    <w:rsid w:val="00330844"/>
    <w:rsid w:val="00330C42"/>
    <w:rsid w:val="0033170F"/>
    <w:rsid w:val="003319A7"/>
    <w:rsid w:val="00331D8A"/>
    <w:rsid w:val="00333719"/>
    <w:rsid w:val="00333D7C"/>
    <w:rsid w:val="00334FE3"/>
    <w:rsid w:val="003354D9"/>
    <w:rsid w:val="00336044"/>
    <w:rsid w:val="00336359"/>
    <w:rsid w:val="00336651"/>
    <w:rsid w:val="00336F46"/>
    <w:rsid w:val="003371CF"/>
    <w:rsid w:val="00337897"/>
    <w:rsid w:val="00337F7A"/>
    <w:rsid w:val="003402CB"/>
    <w:rsid w:val="00340827"/>
    <w:rsid w:val="0034084B"/>
    <w:rsid w:val="0034141E"/>
    <w:rsid w:val="003421AE"/>
    <w:rsid w:val="00342417"/>
    <w:rsid w:val="003431C5"/>
    <w:rsid w:val="003433D1"/>
    <w:rsid w:val="00343CDE"/>
    <w:rsid w:val="00344B24"/>
    <w:rsid w:val="003454B8"/>
    <w:rsid w:val="003456B9"/>
    <w:rsid w:val="00345A56"/>
    <w:rsid w:val="00346B07"/>
    <w:rsid w:val="003470A2"/>
    <w:rsid w:val="003471B7"/>
    <w:rsid w:val="0035067D"/>
    <w:rsid w:val="00350DA1"/>
    <w:rsid w:val="003510BF"/>
    <w:rsid w:val="0035204F"/>
    <w:rsid w:val="0035211E"/>
    <w:rsid w:val="00352132"/>
    <w:rsid w:val="003522EB"/>
    <w:rsid w:val="00353165"/>
    <w:rsid w:val="00353412"/>
    <w:rsid w:val="00353788"/>
    <w:rsid w:val="0035383B"/>
    <w:rsid w:val="0035392B"/>
    <w:rsid w:val="00353A16"/>
    <w:rsid w:val="00353DD6"/>
    <w:rsid w:val="00354359"/>
    <w:rsid w:val="003560C4"/>
    <w:rsid w:val="00356C36"/>
    <w:rsid w:val="00356CE1"/>
    <w:rsid w:val="0035776D"/>
    <w:rsid w:val="00357F0F"/>
    <w:rsid w:val="0036008C"/>
    <w:rsid w:val="0036025C"/>
    <w:rsid w:val="00360406"/>
    <w:rsid w:val="00360711"/>
    <w:rsid w:val="003608FA"/>
    <w:rsid w:val="00360E6B"/>
    <w:rsid w:val="00361005"/>
    <w:rsid w:val="003614C9"/>
    <w:rsid w:val="00362E78"/>
    <w:rsid w:val="003633A9"/>
    <w:rsid w:val="003635F8"/>
    <w:rsid w:val="003636B2"/>
    <w:rsid w:val="003636F2"/>
    <w:rsid w:val="0036476F"/>
    <w:rsid w:val="00364D95"/>
    <w:rsid w:val="00364FD9"/>
    <w:rsid w:val="003657A4"/>
    <w:rsid w:val="00366B48"/>
    <w:rsid w:val="00367C1B"/>
    <w:rsid w:val="00370806"/>
    <w:rsid w:val="0037153B"/>
    <w:rsid w:val="00371BA0"/>
    <w:rsid w:val="003732BD"/>
    <w:rsid w:val="0037370E"/>
    <w:rsid w:val="00374957"/>
    <w:rsid w:val="003751CB"/>
    <w:rsid w:val="0037559B"/>
    <w:rsid w:val="00375ADD"/>
    <w:rsid w:val="00375E35"/>
    <w:rsid w:val="00376470"/>
    <w:rsid w:val="00376B61"/>
    <w:rsid w:val="00380007"/>
    <w:rsid w:val="00380DE2"/>
    <w:rsid w:val="00382407"/>
    <w:rsid w:val="00383C50"/>
    <w:rsid w:val="00383EA4"/>
    <w:rsid w:val="00384852"/>
    <w:rsid w:val="00384CBF"/>
    <w:rsid w:val="00384D7D"/>
    <w:rsid w:val="00384F35"/>
    <w:rsid w:val="00385142"/>
    <w:rsid w:val="00385D8D"/>
    <w:rsid w:val="003863A0"/>
    <w:rsid w:val="00386A64"/>
    <w:rsid w:val="00386FA1"/>
    <w:rsid w:val="003871F8"/>
    <w:rsid w:val="003873BF"/>
    <w:rsid w:val="00390142"/>
    <w:rsid w:val="003904AC"/>
    <w:rsid w:val="00390964"/>
    <w:rsid w:val="00390D19"/>
    <w:rsid w:val="00390D2B"/>
    <w:rsid w:val="00392803"/>
    <w:rsid w:val="00392946"/>
    <w:rsid w:val="00392CBD"/>
    <w:rsid w:val="00392F00"/>
    <w:rsid w:val="0039485E"/>
    <w:rsid w:val="00395261"/>
    <w:rsid w:val="003958A3"/>
    <w:rsid w:val="00395F5E"/>
    <w:rsid w:val="00396770"/>
    <w:rsid w:val="00396A56"/>
    <w:rsid w:val="00397377"/>
    <w:rsid w:val="00397B8A"/>
    <w:rsid w:val="003A0B4F"/>
    <w:rsid w:val="003A0FB7"/>
    <w:rsid w:val="003A129B"/>
    <w:rsid w:val="003A1509"/>
    <w:rsid w:val="003A1D5D"/>
    <w:rsid w:val="003A214A"/>
    <w:rsid w:val="003A22DE"/>
    <w:rsid w:val="003A2860"/>
    <w:rsid w:val="003A3A9D"/>
    <w:rsid w:val="003A3C35"/>
    <w:rsid w:val="003A3C74"/>
    <w:rsid w:val="003A4409"/>
    <w:rsid w:val="003A531B"/>
    <w:rsid w:val="003A5AEE"/>
    <w:rsid w:val="003A5BB4"/>
    <w:rsid w:val="003A5D54"/>
    <w:rsid w:val="003A610C"/>
    <w:rsid w:val="003A6863"/>
    <w:rsid w:val="003A7D30"/>
    <w:rsid w:val="003B0701"/>
    <w:rsid w:val="003B0C41"/>
    <w:rsid w:val="003B0CDF"/>
    <w:rsid w:val="003B0DF0"/>
    <w:rsid w:val="003B1DE9"/>
    <w:rsid w:val="003B1FE5"/>
    <w:rsid w:val="003B22EC"/>
    <w:rsid w:val="003B2CC2"/>
    <w:rsid w:val="003B31D4"/>
    <w:rsid w:val="003B3425"/>
    <w:rsid w:val="003B3BED"/>
    <w:rsid w:val="003B3C5C"/>
    <w:rsid w:val="003B3E50"/>
    <w:rsid w:val="003B4574"/>
    <w:rsid w:val="003B6253"/>
    <w:rsid w:val="003B67E3"/>
    <w:rsid w:val="003B7270"/>
    <w:rsid w:val="003B734F"/>
    <w:rsid w:val="003C02C0"/>
    <w:rsid w:val="003C1F55"/>
    <w:rsid w:val="003C290B"/>
    <w:rsid w:val="003C3320"/>
    <w:rsid w:val="003C3900"/>
    <w:rsid w:val="003C3DF4"/>
    <w:rsid w:val="003C433C"/>
    <w:rsid w:val="003C47BD"/>
    <w:rsid w:val="003C47CA"/>
    <w:rsid w:val="003C4D9D"/>
    <w:rsid w:val="003C5B22"/>
    <w:rsid w:val="003C600B"/>
    <w:rsid w:val="003C6349"/>
    <w:rsid w:val="003C76DF"/>
    <w:rsid w:val="003C7B02"/>
    <w:rsid w:val="003C7F9D"/>
    <w:rsid w:val="003D2DD7"/>
    <w:rsid w:val="003D3D3D"/>
    <w:rsid w:val="003D40BC"/>
    <w:rsid w:val="003D4102"/>
    <w:rsid w:val="003D4B96"/>
    <w:rsid w:val="003D4BD3"/>
    <w:rsid w:val="003D4C13"/>
    <w:rsid w:val="003D51DC"/>
    <w:rsid w:val="003D554E"/>
    <w:rsid w:val="003D622A"/>
    <w:rsid w:val="003D6630"/>
    <w:rsid w:val="003D6DE1"/>
    <w:rsid w:val="003D795C"/>
    <w:rsid w:val="003E04D7"/>
    <w:rsid w:val="003E1CD7"/>
    <w:rsid w:val="003E2144"/>
    <w:rsid w:val="003E2626"/>
    <w:rsid w:val="003E30FB"/>
    <w:rsid w:val="003E31DC"/>
    <w:rsid w:val="003E3542"/>
    <w:rsid w:val="003E4224"/>
    <w:rsid w:val="003E5D19"/>
    <w:rsid w:val="003E65DD"/>
    <w:rsid w:val="003E6B73"/>
    <w:rsid w:val="003E6BCF"/>
    <w:rsid w:val="003E736F"/>
    <w:rsid w:val="003E74C0"/>
    <w:rsid w:val="003E765B"/>
    <w:rsid w:val="003E7FDD"/>
    <w:rsid w:val="003F02E3"/>
    <w:rsid w:val="003F116F"/>
    <w:rsid w:val="003F156E"/>
    <w:rsid w:val="003F1CBC"/>
    <w:rsid w:val="003F2327"/>
    <w:rsid w:val="003F2711"/>
    <w:rsid w:val="003F280F"/>
    <w:rsid w:val="003F30F7"/>
    <w:rsid w:val="003F3467"/>
    <w:rsid w:val="003F5306"/>
    <w:rsid w:val="003F532A"/>
    <w:rsid w:val="003F6C70"/>
    <w:rsid w:val="003F6C83"/>
    <w:rsid w:val="003F7203"/>
    <w:rsid w:val="003F74A4"/>
    <w:rsid w:val="003F7622"/>
    <w:rsid w:val="003F7CB9"/>
    <w:rsid w:val="0040032C"/>
    <w:rsid w:val="00401BEE"/>
    <w:rsid w:val="00401E65"/>
    <w:rsid w:val="00401F2F"/>
    <w:rsid w:val="00403333"/>
    <w:rsid w:val="0040411B"/>
    <w:rsid w:val="0040451D"/>
    <w:rsid w:val="0040487E"/>
    <w:rsid w:val="00404D96"/>
    <w:rsid w:val="00405847"/>
    <w:rsid w:val="00405E52"/>
    <w:rsid w:val="00405F73"/>
    <w:rsid w:val="00406576"/>
    <w:rsid w:val="0040680D"/>
    <w:rsid w:val="00407771"/>
    <w:rsid w:val="0041079A"/>
    <w:rsid w:val="00410ED1"/>
    <w:rsid w:val="00411735"/>
    <w:rsid w:val="00411D4C"/>
    <w:rsid w:val="00411FF4"/>
    <w:rsid w:val="00412EF6"/>
    <w:rsid w:val="0041351D"/>
    <w:rsid w:val="00413BFB"/>
    <w:rsid w:val="00413C11"/>
    <w:rsid w:val="004144A5"/>
    <w:rsid w:val="00414B9E"/>
    <w:rsid w:val="004150BE"/>
    <w:rsid w:val="00415190"/>
    <w:rsid w:val="0041544A"/>
    <w:rsid w:val="0041575D"/>
    <w:rsid w:val="00415C74"/>
    <w:rsid w:val="00415FB5"/>
    <w:rsid w:val="00416468"/>
    <w:rsid w:val="00416AD7"/>
    <w:rsid w:val="00417A42"/>
    <w:rsid w:val="00421932"/>
    <w:rsid w:val="004222EA"/>
    <w:rsid w:val="00423102"/>
    <w:rsid w:val="0042321C"/>
    <w:rsid w:val="00423F35"/>
    <w:rsid w:val="00423F74"/>
    <w:rsid w:val="00424D23"/>
    <w:rsid w:val="00424D3C"/>
    <w:rsid w:val="00424F93"/>
    <w:rsid w:val="004261D5"/>
    <w:rsid w:val="00426E21"/>
    <w:rsid w:val="00426E83"/>
    <w:rsid w:val="00427140"/>
    <w:rsid w:val="00427733"/>
    <w:rsid w:val="00430E19"/>
    <w:rsid w:val="00433E8E"/>
    <w:rsid w:val="0043485E"/>
    <w:rsid w:val="00435643"/>
    <w:rsid w:val="004356EB"/>
    <w:rsid w:val="00436544"/>
    <w:rsid w:val="0043654D"/>
    <w:rsid w:val="004367D0"/>
    <w:rsid w:val="0043699B"/>
    <w:rsid w:val="00436DD6"/>
    <w:rsid w:val="00437840"/>
    <w:rsid w:val="00437962"/>
    <w:rsid w:val="00437AE4"/>
    <w:rsid w:val="00437CBA"/>
    <w:rsid w:val="00437E8B"/>
    <w:rsid w:val="00437F60"/>
    <w:rsid w:val="00440AC3"/>
    <w:rsid w:val="00440C82"/>
    <w:rsid w:val="0044185C"/>
    <w:rsid w:val="004440E0"/>
    <w:rsid w:val="00446562"/>
    <w:rsid w:val="0044680D"/>
    <w:rsid w:val="00446A83"/>
    <w:rsid w:val="004471C1"/>
    <w:rsid w:val="00447B51"/>
    <w:rsid w:val="00451340"/>
    <w:rsid w:val="00451693"/>
    <w:rsid w:val="00451840"/>
    <w:rsid w:val="004538B0"/>
    <w:rsid w:val="00453B04"/>
    <w:rsid w:val="00453CDC"/>
    <w:rsid w:val="00454AB9"/>
    <w:rsid w:val="0045539A"/>
    <w:rsid w:val="00455D2D"/>
    <w:rsid w:val="00455DD4"/>
    <w:rsid w:val="00455EDD"/>
    <w:rsid w:val="004569C4"/>
    <w:rsid w:val="00456CEA"/>
    <w:rsid w:val="004579D3"/>
    <w:rsid w:val="00460040"/>
    <w:rsid w:val="00460A94"/>
    <w:rsid w:val="00460C9A"/>
    <w:rsid w:val="00461084"/>
    <w:rsid w:val="004618AD"/>
    <w:rsid w:val="00461CAF"/>
    <w:rsid w:val="00463412"/>
    <w:rsid w:val="00463E70"/>
    <w:rsid w:val="004645C5"/>
    <w:rsid w:val="00464924"/>
    <w:rsid w:val="00464DD1"/>
    <w:rsid w:val="00465022"/>
    <w:rsid w:val="004667DB"/>
    <w:rsid w:val="00466DC3"/>
    <w:rsid w:val="00467057"/>
    <w:rsid w:val="00467BF4"/>
    <w:rsid w:val="00470924"/>
    <w:rsid w:val="00470979"/>
    <w:rsid w:val="00470EE1"/>
    <w:rsid w:val="00470F85"/>
    <w:rsid w:val="00470FE5"/>
    <w:rsid w:val="004717C5"/>
    <w:rsid w:val="00471AA3"/>
    <w:rsid w:val="00472C75"/>
    <w:rsid w:val="004732D9"/>
    <w:rsid w:val="0047371F"/>
    <w:rsid w:val="0047436C"/>
    <w:rsid w:val="004748D6"/>
    <w:rsid w:val="00474D41"/>
    <w:rsid w:val="0047581D"/>
    <w:rsid w:val="00475C29"/>
    <w:rsid w:val="00476D19"/>
    <w:rsid w:val="004776AE"/>
    <w:rsid w:val="00477A8C"/>
    <w:rsid w:val="00480289"/>
    <w:rsid w:val="004809DA"/>
    <w:rsid w:val="00480DF4"/>
    <w:rsid w:val="0048107B"/>
    <w:rsid w:val="00481279"/>
    <w:rsid w:val="00481C13"/>
    <w:rsid w:val="00481E5C"/>
    <w:rsid w:val="0048296B"/>
    <w:rsid w:val="00483368"/>
    <w:rsid w:val="00483C12"/>
    <w:rsid w:val="0048516A"/>
    <w:rsid w:val="00485617"/>
    <w:rsid w:val="004859A0"/>
    <w:rsid w:val="004862B0"/>
    <w:rsid w:val="004866F9"/>
    <w:rsid w:val="00486777"/>
    <w:rsid w:val="00486874"/>
    <w:rsid w:val="004869C8"/>
    <w:rsid w:val="00486A51"/>
    <w:rsid w:val="00487BE6"/>
    <w:rsid w:val="00490721"/>
    <w:rsid w:val="00490828"/>
    <w:rsid w:val="00490B55"/>
    <w:rsid w:val="004915DA"/>
    <w:rsid w:val="00493420"/>
    <w:rsid w:val="004935EC"/>
    <w:rsid w:val="00494011"/>
    <w:rsid w:val="0049429E"/>
    <w:rsid w:val="004946DB"/>
    <w:rsid w:val="00495579"/>
    <w:rsid w:val="00496645"/>
    <w:rsid w:val="00496BFC"/>
    <w:rsid w:val="00497F66"/>
    <w:rsid w:val="004A0374"/>
    <w:rsid w:val="004A0BB7"/>
    <w:rsid w:val="004A0BF4"/>
    <w:rsid w:val="004A1BF1"/>
    <w:rsid w:val="004A1EC8"/>
    <w:rsid w:val="004A1F7C"/>
    <w:rsid w:val="004A263B"/>
    <w:rsid w:val="004A2944"/>
    <w:rsid w:val="004A32D8"/>
    <w:rsid w:val="004A345F"/>
    <w:rsid w:val="004A43B7"/>
    <w:rsid w:val="004A471C"/>
    <w:rsid w:val="004A4E91"/>
    <w:rsid w:val="004A536A"/>
    <w:rsid w:val="004A71AD"/>
    <w:rsid w:val="004A724A"/>
    <w:rsid w:val="004A7784"/>
    <w:rsid w:val="004A7D81"/>
    <w:rsid w:val="004B0F58"/>
    <w:rsid w:val="004B2A24"/>
    <w:rsid w:val="004B2B6C"/>
    <w:rsid w:val="004B30C3"/>
    <w:rsid w:val="004B37FA"/>
    <w:rsid w:val="004B57DB"/>
    <w:rsid w:val="004B66E0"/>
    <w:rsid w:val="004B68AE"/>
    <w:rsid w:val="004B7DAF"/>
    <w:rsid w:val="004C01B8"/>
    <w:rsid w:val="004C0251"/>
    <w:rsid w:val="004C100B"/>
    <w:rsid w:val="004C158C"/>
    <w:rsid w:val="004C19C5"/>
    <w:rsid w:val="004C2A7B"/>
    <w:rsid w:val="004C2B6D"/>
    <w:rsid w:val="004C33CD"/>
    <w:rsid w:val="004C35B0"/>
    <w:rsid w:val="004C3C2E"/>
    <w:rsid w:val="004C49EF"/>
    <w:rsid w:val="004C4A19"/>
    <w:rsid w:val="004C5408"/>
    <w:rsid w:val="004C5570"/>
    <w:rsid w:val="004C5793"/>
    <w:rsid w:val="004C65C8"/>
    <w:rsid w:val="004C660D"/>
    <w:rsid w:val="004C66D0"/>
    <w:rsid w:val="004C69C2"/>
    <w:rsid w:val="004C75F4"/>
    <w:rsid w:val="004C7E54"/>
    <w:rsid w:val="004D005D"/>
    <w:rsid w:val="004D00C9"/>
    <w:rsid w:val="004D3CDB"/>
    <w:rsid w:val="004D4F2F"/>
    <w:rsid w:val="004D5589"/>
    <w:rsid w:val="004D57D6"/>
    <w:rsid w:val="004D59D3"/>
    <w:rsid w:val="004D59DE"/>
    <w:rsid w:val="004D7997"/>
    <w:rsid w:val="004E0867"/>
    <w:rsid w:val="004E0B90"/>
    <w:rsid w:val="004E0E6F"/>
    <w:rsid w:val="004E0ECA"/>
    <w:rsid w:val="004E16F5"/>
    <w:rsid w:val="004E2DA2"/>
    <w:rsid w:val="004E376E"/>
    <w:rsid w:val="004E3CC7"/>
    <w:rsid w:val="004E460D"/>
    <w:rsid w:val="004E58AE"/>
    <w:rsid w:val="004E5A95"/>
    <w:rsid w:val="004E5B69"/>
    <w:rsid w:val="004E5CBE"/>
    <w:rsid w:val="004E616D"/>
    <w:rsid w:val="004E6312"/>
    <w:rsid w:val="004E6452"/>
    <w:rsid w:val="004E6FE7"/>
    <w:rsid w:val="004E700B"/>
    <w:rsid w:val="004E7A8E"/>
    <w:rsid w:val="004E7C8F"/>
    <w:rsid w:val="004F0DB4"/>
    <w:rsid w:val="004F0F5F"/>
    <w:rsid w:val="004F14AE"/>
    <w:rsid w:val="004F2A87"/>
    <w:rsid w:val="004F3051"/>
    <w:rsid w:val="004F324C"/>
    <w:rsid w:val="004F3DAC"/>
    <w:rsid w:val="004F4540"/>
    <w:rsid w:val="004F513E"/>
    <w:rsid w:val="004F5BF4"/>
    <w:rsid w:val="004F6C09"/>
    <w:rsid w:val="004F7276"/>
    <w:rsid w:val="004F74B0"/>
    <w:rsid w:val="004F74B5"/>
    <w:rsid w:val="004F786D"/>
    <w:rsid w:val="00501D09"/>
    <w:rsid w:val="0050271B"/>
    <w:rsid w:val="00502723"/>
    <w:rsid w:val="00503890"/>
    <w:rsid w:val="0050402A"/>
    <w:rsid w:val="0050595A"/>
    <w:rsid w:val="005060F1"/>
    <w:rsid w:val="00506B18"/>
    <w:rsid w:val="00506B36"/>
    <w:rsid w:val="00506B8C"/>
    <w:rsid w:val="00507AC5"/>
    <w:rsid w:val="00507B4B"/>
    <w:rsid w:val="00507C56"/>
    <w:rsid w:val="00510F0A"/>
    <w:rsid w:val="00510F9D"/>
    <w:rsid w:val="00511446"/>
    <w:rsid w:val="00511E5A"/>
    <w:rsid w:val="005125CC"/>
    <w:rsid w:val="005144F7"/>
    <w:rsid w:val="00515158"/>
    <w:rsid w:val="00515F36"/>
    <w:rsid w:val="005173FB"/>
    <w:rsid w:val="00517D44"/>
    <w:rsid w:val="00520027"/>
    <w:rsid w:val="00520B78"/>
    <w:rsid w:val="00522A7D"/>
    <w:rsid w:val="0052344E"/>
    <w:rsid w:val="00524956"/>
    <w:rsid w:val="00524F18"/>
    <w:rsid w:val="00525148"/>
    <w:rsid w:val="005259B7"/>
    <w:rsid w:val="00526478"/>
    <w:rsid w:val="00526D0B"/>
    <w:rsid w:val="00527809"/>
    <w:rsid w:val="005300CC"/>
    <w:rsid w:val="00530204"/>
    <w:rsid w:val="00530868"/>
    <w:rsid w:val="00530EA4"/>
    <w:rsid w:val="00533B1D"/>
    <w:rsid w:val="00534537"/>
    <w:rsid w:val="00534C5F"/>
    <w:rsid w:val="00534DCF"/>
    <w:rsid w:val="00534EE1"/>
    <w:rsid w:val="00535770"/>
    <w:rsid w:val="0053581C"/>
    <w:rsid w:val="00535A70"/>
    <w:rsid w:val="00535C0C"/>
    <w:rsid w:val="0053663A"/>
    <w:rsid w:val="00536798"/>
    <w:rsid w:val="005371ED"/>
    <w:rsid w:val="00540257"/>
    <w:rsid w:val="0054026F"/>
    <w:rsid w:val="00540694"/>
    <w:rsid w:val="00540DFB"/>
    <w:rsid w:val="00541501"/>
    <w:rsid w:val="005417B9"/>
    <w:rsid w:val="005418F1"/>
    <w:rsid w:val="0054192F"/>
    <w:rsid w:val="00542812"/>
    <w:rsid w:val="005437CE"/>
    <w:rsid w:val="0054461C"/>
    <w:rsid w:val="00544EB3"/>
    <w:rsid w:val="00545190"/>
    <w:rsid w:val="0054583F"/>
    <w:rsid w:val="0054594B"/>
    <w:rsid w:val="00545BA0"/>
    <w:rsid w:val="00545E44"/>
    <w:rsid w:val="00547415"/>
    <w:rsid w:val="0054749B"/>
    <w:rsid w:val="00547AF4"/>
    <w:rsid w:val="00547BBB"/>
    <w:rsid w:val="00547C6A"/>
    <w:rsid w:val="00547DB5"/>
    <w:rsid w:val="005500DD"/>
    <w:rsid w:val="00550106"/>
    <w:rsid w:val="00551CC6"/>
    <w:rsid w:val="005539F3"/>
    <w:rsid w:val="00553F9F"/>
    <w:rsid w:val="0055457B"/>
    <w:rsid w:val="00554E7A"/>
    <w:rsid w:val="005563EE"/>
    <w:rsid w:val="00557862"/>
    <w:rsid w:val="0056013D"/>
    <w:rsid w:val="0056015F"/>
    <w:rsid w:val="0056037D"/>
    <w:rsid w:val="00560541"/>
    <w:rsid w:val="0056083A"/>
    <w:rsid w:val="0056333F"/>
    <w:rsid w:val="0056365A"/>
    <w:rsid w:val="005652A5"/>
    <w:rsid w:val="005656F5"/>
    <w:rsid w:val="005657ED"/>
    <w:rsid w:val="00566F31"/>
    <w:rsid w:val="0056706E"/>
    <w:rsid w:val="005672D0"/>
    <w:rsid w:val="00570D58"/>
    <w:rsid w:val="00571E74"/>
    <w:rsid w:val="0057241F"/>
    <w:rsid w:val="00572420"/>
    <w:rsid w:val="0057266A"/>
    <w:rsid w:val="00572A36"/>
    <w:rsid w:val="00572CEB"/>
    <w:rsid w:val="00572D6F"/>
    <w:rsid w:val="005730EF"/>
    <w:rsid w:val="00573AC5"/>
    <w:rsid w:val="0057551E"/>
    <w:rsid w:val="00577B51"/>
    <w:rsid w:val="00581992"/>
    <w:rsid w:val="005834C9"/>
    <w:rsid w:val="00584C36"/>
    <w:rsid w:val="0058587E"/>
    <w:rsid w:val="00585BDA"/>
    <w:rsid w:val="005861FB"/>
    <w:rsid w:val="00587FD3"/>
    <w:rsid w:val="005903EA"/>
    <w:rsid w:val="00590533"/>
    <w:rsid w:val="00591A3F"/>
    <w:rsid w:val="00592E42"/>
    <w:rsid w:val="00592FA5"/>
    <w:rsid w:val="00595250"/>
    <w:rsid w:val="005963E0"/>
    <w:rsid w:val="00597FA6"/>
    <w:rsid w:val="005A07A5"/>
    <w:rsid w:val="005A0CD7"/>
    <w:rsid w:val="005A1BCC"/>
    <w:rsid w:val="005A1CE4"/>
    <w:rsid w:val="005A289A"/>
    <w:rsid w:val="005A3055"/>
    <w:rsid w:val="005A30D2"/>
    <w:rsid w:val="005A3394"/>
    <w:rsid w:val="005A35EB"/>
    <w:rsid w:val="005A3E28"/>
    <w:rsid w:val="005A45D5"/>
    <w:rsid w:val="005A50F8"/>
    <w:rsid w:val="005A58BA"/>
    <w:rsid w:val="005A5D30"/>
    <w:rsid w:val="005A649C"/>
    <w:rsid w:val="005A69DC"/>
    <w:rsid w:val="005A6AB9"/>
    <w:rsid w:val="005A7F58"/>
    <w:rsid w:val="005B05CD"/>
    <w:rsid w:val="005B12AD"/>
    <w:rsid w:val="005B1C71"/>
    <w:rsid w:val="005B2424"/>
    <w:rsid w:val="005B2AD7"/>
    <w:rsid w:val="005B30AE"/>
    <w:rsid w:val="005B361B"/>
    <w:rsid w:val="005B3D25"/>
    <w:rsid w:val="005B3EEC"/>
    <w:rsid w:val="005B40AB"/>
    <w:rsid w:val="005B42B5"/>
    <w:rsid w:val="005B4683"/>
    <w:rsid w:val="005B46CE"/>
    <w:rsid w:val="005B549A"/>
    <w:rsid w:val="005B6813"/>
    <w:rsid w:val="005B7603"/>
    <w:rsid w:val="005C03BD"/>
    <w:rsid w:val="005C0787"/>
    <w:rsid w:val="005C123D"/>
    <w:rsid w:val="005C2CC0"/>
    <w:rsid w:val="005C333E"/>
    <w:rsid w:val="005C3AE7"/>
    <w:rsid w:val="005C4F2F"/>
    <w:rsid w:val="005C5142"/>
    <w:rsid w:val="005C58AA"/>
    <w:rsid w:val="005C5B3C"/>
    <w:rsid w:val="005C5B5E"/>
    <w:rsid w:val="005C6815"/>
    <w:rsid w:val="005C6F6F"/>
    <w:rsid w:val="005D0455"/>
    <w:rsid w:val="005D0677"/>
    <w:rsid w:val="005D32E1"/>
    <w:rsid w:val="005D35B8"/>
    <w:rsid w:val="005D44B7"/>
    <w:rsid w:val="005D473F"/>
    <w:rsid w:val="005D49BA"/>
    <w:rsid w:val="005D4F26"/>
    <w:rsid w:val="005D63DF"/>
    <w:rsid w:val="005D6AE7"/>
    <w:rsid w:val="005D7699"/>
    <w:rsid w:val="005E00E2"/>
    <w:rsid w:val="005E01E8"/>
    <w:rsid w:val="005E0E9D"/>
    <w:rsid w:val="005E1373"/>
    <w:rsid w:val="005E294C"/>
    <w:rsid w:val="005E2CE3"/>
    <w:rsid w:val="005E6CFF"/>
    <w:rsid w:val="005E7879"/>
    <w:rsid w:val="005E7993"/>
    <w:rsid w:val="005E7B5C"/>
    <w:rsid w:val="005F029F"/>
    <w:rsid w:val="005F0BC9"/>
    <w:rsid w:val="005F0EEA"/>
    <w:rsid w:val="005F2359"/>
    <w:rsid w:val="005F325A"/>
    <w:rsid w:val="005F38D7"/>
    <w:rsid w:val="005F3F07"/>
    <w:rsid w:val="005F401B"/>
    <w:rsid w:val="005F55A8"/>
    <w:rsid w:val="005F5882"/>
    <w:rsid w:val="005F6566"/>
    <w:rsid w:val="005F6744"/>
    <w:rsid w:val="005F7378"/>
    <w:rsid w:val="005F7B8E"/>
    <w:rsid w:val="005F7EE2"/>
    <w:rsid w:val="0060013F"/>
    <w:rsid w:val="00600C56"/>
    <w:rsid w:val="00601279"/>
    <w:rsid w:val="006021CA"/>
    <w:rsid w:val="00602E77"/>
    <w:rsid w:val="00603D04"/>
    <w:rsid w:val="00604871"/>
    <w:rsid w:val="006052EA"/>
    <w:rsid w:val="00605E6D"/>
    <w:rsid w:val="00606857"/>
    <w:rsid w:val="00606B13"/>
    <w:rsid w:val="00606DB7"/>
    <w:rsid w:val="00607249"/>
    <w:rsid w:val="00607429"/>
    <w:rsid w:val="00610DCD"/>
    <w:rsid w:val="00611734"/>
    <w:rsid w:val="006129F3"/>
    <w:rsid w:val="00612B21"/>
    <w:rsid w:val="00613D83"/>
    <w:rsid w:val="00615603"/>
    <w:rsid w:val="00615879"/>
    <w:rsid w:val="00615ECE"/>
    <w:rsid w:val="00615F42"/>
    <w:rsid w:val="006160CF"/>
    <w:rsid w:val="00617026"/>
    <w:rsid w:val="006175D7"/>
    <w:rsid w:val="00620DA2"/>
    <w:rsid w:val="006216B9"/>
    <w:rsid w:val="006218A6"/>
    <w:rsid w:val="00621B04"/>
    <w:rsid w:val="00622AFC"/>
    <w:rsid w:val="00623486"/>
    <w:rsid w:val="00623575"/>
    <w:rsid w:val="00623623"/>
    <w:rsid w:val="00623A01"/>
    <w:rsid w:val="00623DD6"/>
    <w:rsid w:val="00623DFB"/>
    <w:rsid w:val="006241B0"/>
    <w:rsid w:val="00624331"/>
    <w:rsid w:val="006258C2"/>
    <w:rsid w:val="00625F32"/>
    <w:rsid w:val="00626365"/>
    <w:rsid w:val="006264EF"/>
    <w:rsid w:val="00626A12"/>
    <w:rsid w:val="00627FC2"/>
    <w:rsid w:val="00630E22"/>
    <w:rsid w:val="006330B5"/>
    <w:rsid w:val="006333B2"/>
    <w:rsid w:val="00633A9A"/>
    <w:rsid w:val="00635573"/>
    <w:rsid w:val="00636EE1"/>
    <w:rsid w:val="0063704F"/>
    <w:rsid w:val="0063767B"/>
    <w:rsid w:val="00637927"/>
    <w:rsid w:val="00641300"/>
    <w:rsid w:val="0064168C"/>
    <w:rsid w:val="006428A4"/>
    <w:rsid w:val="0064327E"/>
    <w:rsid w:val="00643ECA"/>
    <w:rsid w:val="006446E9"/>
    <w:rsid w:val="00644FD7"/>
    <w:rsid w:val="0064542D"/>
    <w:rsid w:val="00645A1A"/>
    <w:rsid w:val="00645CE6"/>
    <w:rsid w:val="00646BD3"/>
    <w:rsid w:val="006470A2"/>
    <w:rsid w:val="00647C24"/>
    <w:rsid w:val="0065090C"/>
    <w:rsid w:val="00651007"/>
    <w:rsid w:val="0065175D"/>
    <w:rsid w:val="0065235E"/>
    <w:rsid w:val="00652566"/>
    <w:rsid w:val="00652602"/>
    <w:rsid w:val="0065281F"/>
    <w:rsid w:val="00652D4D"/>
    <w:rsid w:val="00652F7D"/>
    <w:rsid w:val="00653320"/>
    <w:rsid w:val="00653677"/>
    <w:rsid w:val="006565DF"/>
    <w:rsid w:val="00657328"/>
    <w:rsid w:val="00657B46"/>
    <w:rsid w:val="00657B4D"/>
    <w:rsid w:val="006604DE"/>
    <w:rsid w:val="00661594"/>
    <w:rsid w:val="00662DEB"/>
    <w:rsid w:val="006635CF"/>
    <w:rsid w:val="00665BEE"/>
    <w:rsid w:val="00666353"/>
    <w:rsid w:val="0066714D"/>
    <w:rsid w:val="006677CE"/>
    <w:rsid w:val="006707A3"/>
    <w:rsid w:val="00670A28"/>
    <w:rsid w:val="00672880"/>
    <w:rsid w:val="00672B3E"/>
    <w:rsid w:val="00672B72"/>
    <w:rsid w:val="00672F5E"/>
    <w:rsid w:val="00673E7E"/>
    <w:rsid w:val="0067416C"/>
    <w:rsid w:val="00674260"/>
    <w:rsid w:val="006743FD"/>
    <w:rsid w:val="006744BF"/>
    <w:rsid w:val="0067474C"/>
    <w:rsid w:val="00674A29"/>
    <w:rsid w:val="006764EC"/>
    <w:rsid w:val="00676767"/>
    <w:rsid w:val="006772D4"/>
    <w:rsid w:val="00677340"/>
    <w:rsid w:val="006773AA"/>
    <w:rsid w:val="00680635"/>
    <w:rsid w:val="00680F82"/>
    <w:rsid w:val="00682631"/>
    <w:rsid w:val="00682A77"/>
    <w:rsid w:val="00683171"/>
    <w:rsid w:val="006835FE"/>
    <w:rsid w:val="006837C2"/>
    <w:rsid w:val="00683DCA"/>
    <w:rsid w:val="00686BDA"/>
    <w:rsid w:val="00687A0C"/>
    <w:rsid w:val="00691649"/>
    <w:rsid w:val="0069222C"/>
    <w:rsid w:val="00693BFD"/>
    <w:rsid w:val="006940E0"/>
    <w:rsid w:val="00694532"/>
    <w:rsid w:val="006945C2"/>
    <w:rsid w:val="00695065"/>
    <w:rsid w:val="00695EB1"/>
    <w:rsid w:val="00696AF2"/>
    <w:rsid w:val="006A1038"/>
    <w:rsid w:val="006A27FA"/>
    <w:rsid w:val="006A288B"/>
    <w:rsid w:val="006A345B"/>
    <w:rsid w:val="006A40ED"/>
    <w:rsid w:val="006A5BE4"/>
    <w:rsid w:val="006A5C59"/>
    <w:rsid w:val="006A63FB"/>
    <w:rsid w:val="006A649A"/>
    <w:rsid w:val="006A65CE"/>
    <w:rsid w:val="006A6FB0"/>
    <w:rsid w:val="006B08FB"/>
    <w:rsid w:val="006B1889"/>
    <w:rsid w:val="006B1B49"/>
    <w:rsid w:val="006B1F9A"/>
    <w:rsid w:val="006B26DA"/>
    <w:rsid w:val="006B2C9D"/>
    <w:rsid w:val="006B2E0D"/>
    <w:rsid w:val="006B337E"/>
    <w:rsid w:val="006B3BB3"/>
    <w:rsid w:val="006B4119"/>
    <w:rsid w:val="006B52C2"/>
    <w:rsid w:val="006B6390"/>
    <w:rsid w:val="006B6A98"/>
    <w:rsid w:val="006C0356"/>
    <w:rsid w:val="006C0843"/>
    <w:rsid w:val="006C0A72"/>
    <w:rsid w:val="006C1406"/>
    <w:rsid w:val="006C2672"/>
    <w:rsid w:val="006C2A8A"/>
    <w:rsid w:val="006C429C"/>
    <w:rsid w:val="006C4416"/>
    <w:rsid w:val="006C4CEB"/>
    <w:rsid w:val="006C552D"/>
    <w:rsid w:val="006C6B68"/>
    <w:rsid w:val="006C74B1"/>
    <w:rsid w:val="006C77A6"/>
    <w:rsid w:val="006C78DA"/>
    <w:rsid w:val="006D04B1"/>
    <w:rsid w:val="006D089F"/>
    <w:rsid w:val="006D1AD4"/>
    <w:rsid w:val="006D2FE0"/>
    <w:rsid w:val="006D33A5"/>
    <w:rsid w:val="006D381D"/>
    <w:rsid w:val="006D4A4F"/>
    <w:rsid w:val="006D4A71"/>
    <w:rsid w:val="006D549C"/>
    <w:rsid w:val="006D57EC"/>
    <w:rsid w:val="006D5A31"/>
    <w:rsid w:val="006D6611"/>
    <w:rsid w:val="006D6A45"/>
    <w:rsid w:val="006D78CC"/>
    <w:rsid w:val="006D7EF9"/>
    <w:rsid w:val="006E3239"/>
    <w:rsid w:val="006E409F"/>
    <w:rsid w:val="006E4243"/>
    <w:rsid w:val="006E51C5"/>
    <w:rsid w:val="006E5284"/>
    <w:rsid w:val="006E531A"/>
    <w:rsid w:val="006E54C7"/>
    <w:rsid w:val="006E57AA"/>
    <w:rsid w:val="006E5B4A"/>
    <w:rsid w:val="006E5BD3"/>
    <w:rsid w:val="006E7A4B"/>
    <w:rsid w:val="006F113D"/>
    <w:rsid w:val="006F1CAD"/>
    <w:rsid w:val="006F20CF"/>
    <w:rsid w:val="006F20FE"/>
    <w:rsid w:val="006F2FA4"/>
    <w:rsid w:val="006F367A"/>
    <w:rsid w:val="006F38ED"/>
    <w:rsid w:val="006F45F7"/>
    <w:rsid w:val="006F46C9"/>
    <w:rsid w:val="006F4B77"/>
    <w:rsid w:val="006F5EFF"/>
    <w:rsid w:val="006F5F17"/>
    <w:rsid w:val="006F65AA"/>
    <w:rsid w:val="006F6AC0"/>
    <w:rsid w:val="006F756A"/>
    <w:rsid w:val="006F7736"/>
    <w:rsid w:val="006F7CF6"/>
    <w:rsid w:val="00700E3C"/>
    <w:rsid w:val="00700E86"/>
    <w:rsid w:val="0070174F"/>
    <w:rsid w:val="00703A23"/>
    <w:rsid w:val="0070485C"/>
    <w:rsid w:val="00704905"/>
    <w:rsid w:val="00704A58"/>
    <w:rsid w:val="007052AD"/>
    <w:rsid w:val="00705730"/>
    <w:rsid w:val="00705897"/>
    <w:rsid w:val="00705D42"/>
    <w:rsid w:val="00706738"/>
    <w:rsid w:val="007067E1"/>
    <w:rsid w:val="007073BA"/>
    <w:rsid w:val="00707B44"/>
    <w:rsid w:val="00707D4D"/>
    <w:rsid w:val="007106E1"/>
    <w:rsid w:val="00710733"/>
    <w:rsid w:val="00711A7A"/>
    <w:rsid w:val="00711E59"/>
    <w:rsid w:val="00711F77"/>
    <w:rsid w:val="00712428"/>
    <w:rsid w:val="00713D1F"/>
    <w:rsid w:val="0071541A"/>
    <w:rsid w:val="007163CE"/>
    <w:rsid w:val="00716775"/>
    <w:rsid w:val="0071766D"/>
    <w:rsid w:val="00717FD1"/>
    <w:rsid w:val="0072146F"/>
    <w:rsid w:val="00721F31"/>
    <w:rsid w:val="00722745"/>
    <w:rsid w:val="00723446"/>
    <w:rsid w:val="00723503"/>
    <w:rsid w:val="00723A65"/>
    <w:rsid w:val="00723CB6"/>
    <w:rsid w:val="007244B2"/>
    <w:rsid w:val="00724954"/>
    <w:rsid w:val="007249EE"/>
    <w:rsid w:val="0072540D"/>
    <w:rsid w:val="00725645"/>
    <w:rsid w:val="0072677A"/>
    <w:rsid w:val="007271A5"/>
    <w:rsid w:val="00727201"/>
    <w:rsid w:val="00727DEB"/>
    <w:rsid w:val="00730091"/>
    <w:rsid w:val="007307D1"/>
    <w:rsid w:val="00730C04"/>
    <w:rsid w:val="00731566"/>
    <w:rsid w:val="00731A41"/>
    <w:rsid w:val="0073317D"/>
    <w:rsid w:val="0073339D"/>
    <w:rsid w:val="007333AC"/>
    <w:rsid w:val="0073597B"/>
    <w:rsid w:val="00735A54"/>
    <w:rsid w:val="00735AA2"/>
    <w:rsid w:val="00735CAB"/>
    <w:rsid w:val="007360B7"/>
    <w:rsid w:val="00736C37"/>
    <w:rsid w:val="00736CD2"/>
    <w:rsid w:val="007376BD"/>
    <w:rsid w:val="0073777D"/>
    <w:rsid w:val="0073778D"/>
    <w:rsid w:val="007378F6"/>
    <w:rsid w:val="00737FAB"/>
    <w:rsid w:val="00737FAC"/>
    <w:rsid w:val="007402D4"/>
    <w:rsid w:val="00740888"/>
    <w:rsid w:val="00740B47"/>
    <w:rsid w:val="00741998"/>
    <w:rsid w:val="007440D1"/>
    <w:rsid w:val="00744DDD"/>
    <w:rsid w:val="0074503C"/>
    <w:rsid w:val="0074545D"/>
    <w:rsid w:val="0074713E"/>
    <w:rsid w:val="00747D96"/>
    <w:rsid w:val="00750049"/>
    <w:rsid w:val="00750418"/>
    <w:rsid w:val="00750619"/>
    <w:rsid w:val="007522E3"/>
    <w:rsid w:val="00752920"/>
    <w:rsid w:val="0075335B"/>
    <w:rsid w:val="007538C7"/>
    <w:rsid w:val="00753C44"/>
    <w:rsid w:val="00754383"/>
    <w:rsid w:val="00755F2C"/>
    <w:rsid w:val="00756266"/>
    <w:rsid w:val="007564D1"/>
    <w:rsid w:val="00756A00"/>
    <w:rsid w:val="00756E4D"/>
    <w:rsid w:val="0075707A"/>
    <w:rsid w:val="00757232"/>
    <w:rsid w:val="0075736E"/>
    <w:rsid w:val="007573A2"/>
    <w:rsid w:val="00757F34"/>
    <w:rsid w:val="00760679"/>
    <w:rsid w:val="00760A08"/>
    <w:rsid w:val="0076102C"/>
    <w:rsid w:val="00761A71"/>
    <w:rsid w:val="00761D0C"/>
    <w:rsid w:val="007622B3"/>
    <w:rsid w:val="00762D8E"/>
    <w:rsid w:val="00763385"/>
    <w:rsid w:val="00763628"/>
    <w:rsid w:val="00763DD9"/>
    <w:rsid w:val="00764C20"/>
    <w:rsid w:val="00764F6C"/>
    <w:rsid w:val="00765D6B"/>
    <w:rsid w:val="00766AD8"/>
    <w:rsid w:val="007678BE"/>
    <w:rsid w:val="00767D9D"/>
    <w:rsid w:val="00767E99"/>
    <w:rsid w:val="00770841"/>
    <w:rsid w:val="00770AA6"/>
    <w:rsid w:val="00770C8B"/>
    <w:rsid w:val="007715E7"/>
    <w:rsid w:val="00771A53"/>
    <w:rsid w:val="00771F22"/>
    <w:rsid w:val="00772E62"/>
    <w:rsid w:val="007733B0"/>
    <w:rsid w:val="007733DF"/>
    <w:rsid w:val="0077380F"/>
    <w:rsid w:val="00773BEF"/>
    <w:rsid w:val="0077411D"/>
    <w:rsid w:val="0077497B"/>
    <w:rsid w:val="00775A6A"/>
    <w:rsid w:val="00775D4D"/>
    <w:rsid w:val="007764E3"/>
    <w:rsid w:val="00777357"/>
    <w:rsid w:val="00777717"/>
    <w:rsid w:val="0077789B"/>
    <w:rsid w:val="00780D29"/>
    <w:rsid w:val="0078115A"/>
    <w:rsid w:val="00782066"/>
    <w:rsid w:val="00782073"/>
    <w:rsid w:val="00783BAE"/>
    <w:rsid w:val="00783F37"/>
    <w:rsid w:val="0078491A"/>
    <w:rsid w:val="00784984"/>
    <w:rsid w:val="0078681D"/>
    <w:rsid w:val="00786B1B"/>
    <w:rsid w:val="00787F54"/>
    <w:rsid w:val="0079020F"/>
    <w:rsid w:val="007909AA"/>
    <w:rsid w:val="007914B2"/>
    <w:rsid w:val="00791C8D"/>
    <w:rsid w:val="00792EAE"/>
    <w:rsid w:val="00793017"/>
    <w:rsid w:val="0079354C"/>
    <w:rsid w:val="00794181"/>
    <w:rsid w:val="0079419E"/>
    <w:rsid w:val="00795BE5"/>
    <w:rsid w:val="00796409"/>
    <w:rsid w:val="007966AB"/>
    <w:rsid w:val="00797A4F"/>
    <w:rsid w:val="00797E34"/>
    <w:rsid w:val="007A03D7"/>
    <w:rsid w:val="007A09FA"/>
    <w:rsid w:val="007A0BA8"/>
    <w:rsid w:val="007A0BEF"/>
    <w:rsid w:val="007A0D63"/>
    <w:rsid w:val="007A1303"/>
    <w:rsid w:val="007A1EF3"/>
    <w:rsid w:val="007A1FA7"/>
    <w:rsid w:val="007A2CD6"/>
    <w:rsid w:val="007A3A0B"/>
    <w:rsid w:val="007A4EBA"/>
    <w:rsid w:val="007A4F34"/>
    <w:rsid w:val="007A538E"/>
    <w:rsid w:val="007A5C97"/>
    <w:rsid w:val="007A6264"/>
    <w:rsid w:val="007A64B6"/>
    <w:rsid w:val="007A79E4"/>
    <w:rsid w:val="007A7F6F"/>
    <w:rsid w:val="007B05AF"/>
    <w:rsid w:val="007B18CC"/>
    <w:rsid w:val="007B23A7"/>
    <w:rsid w:val="007B307E"/>
    <w:rsid w:val="007B3205"/>
    <w:rsid w:val="007B354A"/>
    <w:rsid w:val="007B393D"/>
    <w:rsid w:val="007B43E3"/>
    <w:rsid w:val="007B4B4B"/>
    <w:rsid w:val="007B4C76"/>
    <w:rsid w:val="007B68B2"/>
    <w:rsid w:val="007B7B01"/>
    <w:rsid w:val="007B7E72"/>
    <w:rsid w:val="007B7E77"/>
    <w:rsid w:val="007C01E5"/>
    <w:rsid w:val="007C0E42"/>
    <w:rsid w:val="007C1093"/>
    <w:rsid w:val="007C17B2"/>
    <w:rsid w:val="007C1915"/>
    <w:rsid w:val="007C1E0E"/>
    <w:rsid w:val="007C2260"/>
    <w:rsid w:val="007C3164"/>
    <w:rsid w:val="007C327A"/>
    <w:rsid w:val="007C3B39"/>
    <w:rsid w:val="007C3C13"/>
    <w:rsid w:val="007C4483"/>
    <w:rsid w:val="007C4810"/>
    <w:rsid w:val="007C4930"/>
    <w:rsid w:val="007C4BC0"/>
    <w:rsid w:val="007C5162"/>
    <w:rsid w:val="007C6243"/>
    <w:rsid w:val="007C7CCC"/>
    <w:rsid w:val="007D0069"/>
    <w:rsid w:val="007D0970"/>
    <w:rsid w:val="007D0B93"/>
    <w:rsid w:val="007D1E23"/>
    <w:rsid w:val="007D1E52"/>
    <w:rsid w:val="007D1EA4"/>
    <w:rsid w:val="007D2358"/>
    <w:rsid w:val="007D2398"/>
    <w:rsid w:val="007D27F6"/>
    <w:rsid w:val="007D5CED"/>
    <w:rsid w:val="007D61B2"/>
    <w:rsid w:val="007D61DD"/>
    <w:rsid w:val="007D6791"/>
    <w:rsid w:val="007E0535"/>
    <w:rsid w:val="007E05F3"/>
    <w:rsid w:val="007E1667"/>
    <w:rsid w:val="007E2874"/>
    <w:rsid w:val="007E3141"/>
    <w:rsid w:val="007E39E4"/>
    <w:rsid w:val="007E3DFD"/>
    <w:rsid w:val="007E4717"/>
    <w:rsid w:val="007E47D6"/>
    <w:rsid w:val="007E5481"/>
    <w:rsid w:val="007E5BAE"/>
    <w:rsid w:val="007E6EC8"/>
    <w:rsid w:val="007E6FB3"/>
    <w:rsid w:val="007E6FB6"/>
    <w:rsid w:val="007E71E6"/>
    <w:rsid w:val="007F02CF"/>
    <w:rsid w:val="007F19BB"/>
    <w:rsid w:val="007F1BB7"/>
    <w:rsid w:val="007F1CB9"/>
    <w:rsid w:val="007F21B4"/>
    <w:rsid w:val="007F2B22"/>
    <w:rsid w:val="007F2E59"/>
    <w:rsid w:val="007F4ABC"/>
    <w:rsid w:val="007F542F"/>
    <w:rsid w:val="007F63D3"/>
    <w:rsid w:val="007F6810"/>
    <w:rsid w:val="007F6A83"/>
    <w:rsid w:val="007F6AD3"/>
    <w:rsid w:val="007F6CFB"/>
    <w:rsid w:val="007F70D1"/>
    <w:rsid w:val="007F7BA7"/>
    <w:rsid w:val="0080079A"/>
    <w:rsid w:val="00800928"/>
    <w:rsid w:val="008018C4"/>
    <w:rsid w:val="00802553"/>
    <w:rsid w:val="00802C1A"/>
    <w:rsid w:val="008036B2"/>
    <w:rsid w:val="008036E6"/>
    <w:rsid w:val="00803EAB"/>
    <w:rsid w:val="008046B5"/>
    <w:rsid w:val="00804B64"/>
    <w:rsid w:val="00804C9B"/>
    <w:rsid w:val="00807889"/>
    <w:rsid w:val="00810224"/>
    <w:rsid w:val="00810323"/>
    <w:rsid w:val="00811CF5"/>
    <w:rsid w:val="008120D2"/>
    <w:rsid w:val="008120FC"/>
    <w:rsid w:val="008124C1"/>
    <w:rsid w:val="008127C0"/>
    <w:rsid w:val="00812EDD"/>
    <w:rsid w:val="00813124"/>
    <w:rsid w:val="008139C5"/>
    <w:rsid w:val="00813B4F"/>
    <w:rsid w:val="00814711"/>
    <w:rsid w:val="0081478D"/>
    <w:rsid w:val="0081481A"/>
    <w:rsid w:val="00814BB2"/>
    <w:rsid w:val="008154B5"/>
    <w:rsid w:val="00815991"/>
    <w:rsid w:val="0081650F"/>
    <w:rsid w:val="00817300"/>
    <w:rsid w:val="00817D79"/>
    <w:rsid w:val="00822DE5"/>
    <w:rsid w:val="00823433"/>
    <w:rsid w:val="008237B4"/>
    <w:rsid w:val="00823C1C"/>
    <w:rsid w:val="00825C8B"/>
    <w:rsid w:val="00826673"/>
    <w:rsid w:val="00826869"/>
    <w:rsid w:val="00826E85"/>
    <w:rsid w:val="00827949"/>
    <w:rsid w:val="0083097A"/>
    <w:rsid w:val="00830D19"/>
    <w:rsid w:val="008313A4"/>
    <w:rsid w:val="008317DF"/>
    <w:rsid w:val="00831A68"/>
    <w:rsid w:val="008328D8"/>
    <w:rsid w:val="00832B31"/>
    <w:rsid w:val="00833227"/>
    <w:rsid w:val="00833DE7"/>
    <w:rsid w:val="0083468D"/>
    <w:rsid w:val="00834A84"/>
    <w:rsid w:val="00835055"/>
    <w:rsid w:val="00835FE0"/>
    <w:rsid w:val="00836507"/>
    <w:rsid w:val="0083686E"/>
    <w:rsid w:val="00836C4C"/>
    <w:rsid w:val="00836D28"/>
    <w:rsid w:val="008403E0"/>
    <w:rsid w:val="00840C7D"/>
    <w:rsid w:val="00842618"/>
    <w:rsid w:val="00842928"/>
    <w:rsid w:val="00843E96"/>
    <w:rsid w:val="00844EFD"/>
    <w:rsid w:val="00845C60"/>
    <w:rsid w:val="0084624E"/>
    <w:rsid w:val="0084657B"/>
    <w:rsid w:val="00847B09"/>
    <w:rsid w:val="008502DF"/>
    <w:rsid w:val="00851427"/>
    <w:rsid w:val="00852208"/>
    <w:rsid w:val="008547CA"/>
    <w:rsid w:val="0085556A"/>
    <w:rsid w:val="00855944"/>
    <w:rsid w:val="00856A33"/>
    <w:rsid w:val="00856EEF"/>
    <w:rsid w:val="00857543"/>
    <w:rsid w:val="00857F5B"/>
    <w:rsid w:val="0086090A"/>
    <w:rsid w:val="00862DC9"/>
    <w:rsid w:val="00863288"/>
    <w:rsid w:val="008638DF"/>
    <w:rsid w:val="00864A18"/>
    <w:rsid w:val="00865404"/>
    <w:rsid w:val="008662C2"/>
    <w:rsid w:val="0086665D"/>
    <w:rsid w:val="00866A61"/>
    <w:rsid w:val="00867B15"/>
    <w:rsid w:val="00870833"/>
    <w:rsid w:val="00870CCA"/>
    <w:rsid w:val="00871253"/>
    <w:rsid w:val="00871A03"/>
    <w:rsid w:val="00872007"/>
    <w:rsid w:val="008720EC"/>
    <w:rsid w:val="00872D0B"/>
    <w:rsid w:val="00873552"/>
    <w:rsid w:val="00873AE0"/>
    <w:rsid w:val="00873DA0"/>
    <w:rsid w:val="00873F5E"/>
    <w:rsid w:val="00873F62"/>
    <w:rsid w:val="008741A6"/>
    <w:rsid w:val="00874571"/>
    <w:rsid w:val="00874F06"/>
    <w:rsid w:val="008765F5"/>
    <w:rsid w:val="00876801"/>
    <w:rsid w:val="00881155"/>
    <w:rsid w:val="00881F93"/>
    <w:rsid w:val="00882CB5"/>
    <w:rsid w:val="00882D51"/>
    <w:rsid w:val="00882EF5"/>
    <w:rsid w:val="008833AC"/>
    <w:rsid w:val="00883641"/>
    <w:rsid w:val="00883F95"/>
    <w:rsid w:val="008840E3"/>
    <w:rsid w:val="008843B8"/>
    <w:rsid w:val="00884E69"/>
    <w:rsid w:val="008853C7"/>
    <w:rsid w:val="00885754"/>
    <w:rsid w:val="00886B74"/>
    <w:rsid w:val="00887AED"/>
    <w:rsid w:val="00890082"/>
    <w:rsid w:val="00890500"/>
    <w:rsid w:val="008905F1"/>
    <w:rsid w:val="00890994"/>
    <w:rsid w:val="008914A2"/>
    <w:rsid w:val="008914D5"/>
    <w:rsid w:val="00891548"/>
    <w:rsid w:val="0089286A"/>
    <w:rsid w:val="00892F2F"/>
    <w:rsid w:val="00893034"/>
    <w:rsid w:val="00894560"/>
    <w:rsid w:val="00894821"/>
    <w:rsid w:val="00894D36"/>
    <w:rsid w:val="0089523E"/>
    <w:rsid w:val="008961DC"/>
    <w:rsid w:val="00896A0E"/>
    <w:rsid w:val="00896A58"/>
    <w:rsid w:val="00896D85"/>
    <w:rsid w:val="00896F90"/>
    <w:rsid w:val="008A06B7"/>
    <w:rsid w:val="008A15BA"/>
    <w:rsid w:val="008A2F20"/>
    <w:rsid w:val="008A312C"/>
    <w:rsid w:val="008A37B3"/>
    <w:rsid w:val="008A48D2"/>
    <w:rsid w:val="008A4C33"/>
    <w:rsid w:val="008A5688"/>
    <w:rsid w:val="008A5E38"/>
    <w:rsid w:val="008A6627"/>
    <w:rsid w:val="008A7423"/>
    <w:rsid w:val="008B0090"/>
    <w:rsid w:val="008B01E6"/>
    <w:rsid w:val="008B03FF"/>
    <w:rsid w:val="008B1E25"/>
    <w:rsid w:val="008B239D"/>
    <w:rsid w:val="008B2610"/>
    <w:rsid w:val="008B3D52"/>
    <w:rsid w:val="008B4121"/>
    <w:rsid w:val="008B471D"/>
    <w:rsid w:val="008B49E4"/>
    <w:rsid w:val="008B4F63"/>
    <w:rsid w:val="008B5499"/>
    <w:rsid w:val="008B569A"/>
    <w:rsid w:val="008B57F6"/>
    <w:rsid w:val="008B638D"/>
    <w:rsid w:val="008B729C"/>
    <w:rsid w:val="008C085F"/>
    <w:rsid w:val="008C0FAC"/>
    <w:rsid w:val="008C178A"/>
    <w:rsid w:val="008C192C"/>
    <w:rsid w:val="008C2C10"/>
    <w:rsid w:val="008C3A37"/>
    <w:rsid w:val="008C4A93"/>
    <w:rsid w:val="008C5F0A"/>
    <w:rsid w:val="008C5F56"/>
    <w:rsid w:val="008C75D3"/>
    <w:rsid w:val="008D0A1F"/>
    <w:rsid w:val="008D0ED4"/>
    <w:rsid w:val="008D1D60"/>
    <w:rsid w:val="008D1E22"/>
    <w:rsid w:val="008D1EC3"/>
    <w:rsid w:val="008D2484"/>
    <w:rsid w:val="008D2872"/>
    <w:rsid w:val="008D39A5"/>
    <w:rsid w:val="008D3CF4"/>
    <w:rsid w:val="008D4402"/>
    <w:rsid w:val="008D45E4"/>
    <w:rsid w:val="008D48B1"/>
    <w:rsid w:val="008D4B05"/>
    <w:rsid w:val="008E0E49"/>
    <w:rsid w:val="008E1CF3"/>
    <w:rsid w:val="008E20BA"/>
    <w:rsid w:val="008E23F5"/>
    <w:rsid w:val="008E2C7A"/>
    <w:rsid w:val="008E35FD"/>
    <w:rsid w:val="008E43F7"/>
    <w:rsid w:val="008E60B9"/>
    <w:rsid w:val="008E6227"/>
    <w:rsid w:val="008E66BE"/>
    <w:rsid w:val="008E6A0E"/>
    <w:rsid w:val="008E6BE7"/>
    <w:rsid w:val="008E6C0F"/>
    <w:rsid w:val="008E6EA2"/>
    <w:rsid w:val="008E7269"/>
    <w:rsid w:val="008E72C0"/>
    <w:rsid w:val="008E78B9"/>
    <w:rsid w:val="008E7D9B"/>
    <w:rsid w:val="008F0417"/>
    <w:rsid w:val="008F0CED"/>
    <w:rsid w:val="008F15C6"/>
    <w:rsid w:val="008F20D6"/>
    <w:rsid w:val="008F390B"/>
    <w:rsid w:val="008F4307"/>
    <w:rsid w:val="008F67A2"/>
    <w:rsid w:val="008F6CCE"/>
    <w:rsid w:val="008F6FF4"/>
    <w:rsid w:val="008F70B2"/>
    <w:rsid w:val="009006B7"/>
    <w:rsid w:val="009008BD"/>
    <w:rsid w:val="00901CC0"/>
    <w:rsid w:val="00901F1C"/>
    <w:rsid w:val="00902430"/>
    <w:rsid w:val="009029D1"/>
    <w:rsid w:val="00902E22"/>
    <w:rsid w:val="00904139"/>
    <w:rsid w:val="00904F9D"/>
    <w:rsid w:val="0090543D"/>
    <w:rsid w:val="009056C5"/>
    <w:rsid w:val="00905A59"/>
    <w:rsid w:val="009063E4"/>
    <w:rsid w:val="00910C71"/>
    <w:rsid w:val="00910CE2"/>
    <w:rsid w:val="0091236C"/>
    <w:rsid w:val="0091263B"/>
    <w:rsid w:val="009127E4"/>
    <w:rsid w:val="00912E26"/>
    <w:rsid w:val="00912F23"/>
    <w:rsid w:val="0091304F"/>
    <w:rsid w:val="0091497A"/>
    <w:rsid w:val="00914AF5"/>
    <w:rsid w:val="009160C7"/>
    <w:rsid w:val="00917422"/>
    <w:rsid w:val="009174FC"/>
    <w:rsid w:val="00917D87"/>
    <w:rsid w:val="00920EFA"/>
    <w:rsid w:val="00920F4B"/>
    <w:rsid w:val="00921CCF"/>
    <w:rsid w:val="00922E07"/>
    <w:rsid w:val="009231D2"/>
    <w:rsid w:val="009239B4"/>
    <w:rsid w:val="009239ED"/>
    <w:rsid w:val="0092496B"/>
    <w:rsid w:val="00924DE8"/>
    <w:rsid w:val="0092597D"/>
    <w:rsid w:val="009259D2"/>
    <w:rsid w:val="00925F12"/>
    <w:rsid w:val="009262F2"/>
    <w:rsid w:val="00926582"/>
    <w:rsid w:val="009275E0"/>
    <w:rsid w:val="0093061E"/>
    <w:rsid w:val="009306EB"/>
    <w:rsid w:val="00930D4B"/>
    <w:rsid w:val="00930D99"/>
    <w:rsid w:val="00931DB3"/>
    <w:rsid w:val="0093332D"/>
    <w:rsid w:val="009333DF"/>
    <w:rsid w:val="00933D9C"/>
    <w:rsid w:val="00934885"/>
    <w:rsid w:val="00935856"/>
    <w:rsid w:val="00935C3E"/>
    <w:rsid w:val="00935E47"/>
    <w:rsid w:val="009366F5"/>
    <w:rsid w:val="00936EAE"/>
    <w:rsid w:val="00937347"/>
    <w:rsid w:val="00937791"/>
    <w:rsid w:val="009378CF"/>
    <w:rsid w:val="00937B98"/>
    <w:rsid w:val="00940700"/>
    <w:rsid w:val="009410D8"/>
    <w:rsid w:val="00942018"/>
    <w:rsid w:val="00942059"/>
    <w:rsid w:val="00942065"/>
    <w:rsid w:val="00942339"/>
    <w:rsid w:val="009430CB"/>
    <w:rsid w:val="009430F3"/>
    <w:rsid w:val="009436F9"/>
    <w:rsid w:val="00943BE3"/>
    <w:rsid w:val="009441B3"/>
    <w:rsid w:val="009444C6"/>
    <w:rsid w:val="009450A2"/>
    <w:rsid w:val="0094563B"/>
    <w:rsid w:val="009466B1"/>
    <w:rsid w:val="009507FF"/>
    <w:rsid w:val="00951273"/>
    <w:rsid w:val="009514CA"/>
    <w:rsid w:val="00951933"/>
    <w:rsid w:val="00952AA4"/>
    <w:rsid w:val="00953199"/>
    <w:rsid w:val="009538D4"/>
    <w:rsid w:val="0095416C"/>
    <w:rsid w:val="00954343"/>
    <w:rsid w:val="00954B55"/>
    <w:rsid w:val="00955212"/>
    <w:rsid w:val="00955271"/>
    <w:rsid w:val="009553F3"/>
    <w:rsid w:val="00955634"/>
    <w:rsid w:val="00955938"/>
    <w:rsid w:val="009565BA"/>
    <w:rsid w:val="00956918"/>
    <w:rsid w:val="00956D3E"/>
    <w:rsid w:val="009575A9"/>
    <w:rsid w:val="00960154"/>
    <w:rsid w:val="009611E0"/>
    <w:rsid w:val="009613D2"/>
    <w:rsid w:val="00961534"/>
    <w:rsid w:val="00961678"/>
    <w:rsid w:val="009622FF"/>
    <w:rsid w:val="009623A6"/>
    <w:rsid w:val="00962B03"/>
    <w:rsid w:val="00962D8A"/>
    <w:rsid w:val="00963C9C"/>
    <w:rsid w:val="00963F01"/>
    <w:rsid w:val="00964240"/>
    <w:rsid w:val="009645BB"/>
    <w:rsid w:val="009649F3"/>
    <w:rsid w:val="00964D53"/>
    <w:rsid w:val="009655E8"/>
    <w:rsid w:val="009659A1"/>
    <w:rsid w:val="00965B6B"/>
    <w:rsid w:val="00966073"/>
    <w:rsid w:val="009668C3"/>
    <w:rsid w:val="00970291"/>
    <w:rsid w:val="009705CD"/>
    <w:rsid w:val="00971B00"/>
    <w:rsid w:val="00971E60"/>
    <w:rsid w:val="00971EDB"/>
    <w:rsid w:val="00972306"/>
    <w:rsid w:val="00974D50"/>
    <w:rsid w:val="00974F40"/>
    <w:rsid w:val="00974F7B"/>
    <w:rsid w:val="00975951"/>
    <w:rsid w:val="00976711"/>
    <w:rsid w:val="009776F8"/>
    <w:rsid w:val="00980ED8"/>
    <w:rsid w:val="009810ED"/>
    <w:rsid w:val="00981E11"/>
    <w:rsid w:val="009821CE"/>
    <w:rsid w:val="00982299"/>
    <w:rsid w:val="009834E2"/>
    <w:rsid w:val="0098455A"/>
    <w:rsid w:val="0098503B"/>
    <w:rsid w:val="00985D66"/>
    <w:rsid w:val="00986ED9"/>
    <w:rsid w:val="00986FF0"/>
    <w:rsid w:val="0098759A"/>
    <w:rsid w:val="00987ABE"/>
    <w:rsid w:val="00991EE4"/>
    <w:rsid w:val="00991FE4"/>
    <w:rsid w:val="009939DC"/>
    <w:rsid w:val="00993B9C"/>
    <w:rsid w:val="009943F4"/>
    <w:rsid w:val="0099595C"/>
    <w:rsid w:val="00995E68"/>
    <w:rsid w:val="00996E02"/>
    <w:rsid w:val="00996EB1"/>
    <w:rsid w:val="0099743B"/>
    <w:rsid w:val="00997D6B"/>
    <w:rsid w:val="00997F6C"/>
    <w:rsid w:val="009A20C7"/>
    <w:rsid w:val="009A2146"/>
    <w:rsid w:val="009A25C4"/>
    <w:rsid w:val="009A40E4"/>
    <w:rsid w:val="009A4783"/>
    <w:rsid w:val="009A4847"/>
    <w:rsid w:val="009A4A93"/>
    <w:rsid w:val="009A5121"/>
    <w:rsid w:val="009A5BAF"/>
    <w:rsid w:val="009A5C93"/>
    <w:rsid w:val="009A68FC"/>
    <w:rsid w:val="009A6D61"/>
    <w:rsid w:val="009A6F99"/>
    <w:rsid w:val="009A6FFC"/>
    <w:rsid w:val="009B1422"/>
    <w:rsid w:val="009B18D7"/>
    <w:rsid w:val="009B2972"/>
    <w:rsid w:val="009B350F"/>
    <w:rsid w:val="009B3D24"/>
    <w:rsid w:val="009B3E56"/>
    <w:rsid w:val="009B4E1E"/>
    <w:rsid w:val="009B60E5"/>
    <w:rsid w:val="009B6E61"/>
    <w:rsid w:val="009B7BFE"/>
    <w:rsid w:val="009C03FB"/>
    <w:rsid w:val="009C2526"/>
    <w:rsid w:val="009C428F"/>
    <w:rsid w:val="009C42E4"/>
    <w:rsid w:val="009C46BA"/>
    <w:rsid w:val="009C4B4F"/>
    <w:rsid w:val="009C689B"/>
    <w:rsid w:val="009C713A"/>
    <w:rsid w:val="009C7303"/>
    <w:rsid w:val="009D0AD3"/>
    <w:rsid w:val="009D0BC2"/>
    <w:rsid w:val="009D1133"/>
    <w:rsid w:val="009D15B7"/>
    <w:rsid w:val="009D1943"/>
    <w:rsid w:val="009D21EA"/>
    <w:rsid w:val="009D34C4"/>
    <w:rsid w:val="009D4C09"/>
    <w:rsid w:val="009D61E6"/>
    <w:rsid w:val="009D6413"/>
    <w:rsid w:val="009D6C78"/>
    <w:rsid w:val="009D79F9"/>
    <w:rsid w:val="009E2078"/>
    <w:rsid w:val="009E2B01"/>
    <w:rsid w:val="009E3002"/>
    <w:rsid w:val="009E3003"/>
    <w:rsid w:val="009E3495"/>
    <w:rsid w:val="009E3764"/>
    <w:rsid w:val="009E5360"/>
    <w:rsid w:val="009E5482"/>
    <w:rsid w:val="009E55C8"/>
    <w:rsid w:val="009E5777"/>
    <w:rsid w:val="009E5D10"/>
    <w:rsid w:val="009E5D37"/>
    <w:rsid w:val="009E6898"/>
    <w:rsid w:val="009E6CD3"/>
    <w:rsid w:val="009F0C02"/>
    <w:rsid w:val="009F22CB"/>
    <w:rsid w:val="009F28B4"/>
    <w:rsid w:val="009F2A88"/>
    <w:rsid w:val="009F388C"/>
    <w:rsid w:val="009F4260"/>
    <w:rsid w:val="009F471B"/>
    <w:rsid w:val="009F506C"/>
    <w:rsid w:val="009F5758"/>
    <w:rsid w:val="009F634E"/>
    <w:rsid w:val="009F6559"/>
    <w:rsid w:val="009F6D1C"/>
    <w:rsid w:val="009F7203"/>
    <w:rsid w:val="009F7E99"/>
    <w:rsid w:val="00A01018"/>
    <w:rsid w:val="00A01112"/>
    <w:rsid w:val="00A0197C"/>
    <w:rsid w:val="00A0283F"/>
    <w:rsid w:val="00A02E91"/>
    <w:rsid w:val="00A03334"/>
    <w:rsid w:val="00A034C8"/>
    <w:rsid w:val="00A03938"/>
    <w:rsid w:val="00A047FE"/>
    <w:rsid w:val="00A048AF"/>
    <w:rsid w:val="00A04F4A"/>
    <w:rsid w:val="00A05938"/>
    <w:rsid w:val="00A05E68"/>
    <w:rsid w:val="00A06149"/>
    <w:rsid w:val="00A06DB9"/>
    <w:rsid w:val="00A072E5"/>
    <w:rsid w:val="00A1040A"/>
    <w:rsid w:val="00A10FE1"/>
    <w:rsid w:val="00A116F3"/>
    <w:rsid w:val="00A11BD3"/>
    <w:rsid w:val="00A1285D"/>
    <w:rsid w:val="00A1378B"/>
    <w:rsid w:val="00A172B3"/>
    <w:rsid w:val="00A1790B"/>
    <w:rsid w:val="00A17951"/>
    <w:rsid w:val="00A20121"/>
    <w:rsid w:val="00A214D2"/>
    <w:rsid w:val="00A218C9"/>
    <w:rsid w:val="00A22221"/>
    <w:rsid w:val="00A22268"/>
    <w:rsid w:val="00A2308E"/>
    <w:rsid w:val="00A24396"/>
    <w:rsid w:val="00A24D74"/>
    <w:rsid w:val="00A2559A"/>
    <w:rsid w:val="00A26343"/>
    <w:rsid w:val="00A27B2E"/>
    <w:rsid w:val="00A27EA8"/>
    <w:rsid w:val="00A3091F"/>
    <w:rsid w:val="00A30B46"/>
    <w:rsid w:val="00A31427"/>
    <w:rsid w:val="00A31CB3"/>
    <w:rsid w:val="00A31F03"/>
    <w:rsid w:val="00A32102"/>
    <w:rsid w:val="00A3219F"/>
    <w:rsid w:val="00A34096"/>
    <w:rsid w:val="00A34327"/>
    <w:rsid w:val="00A34903"/>
    <w:rsid w:val="00A34B66"/>
    <w:rsid w:val="00A35409"/>
    <w:rsid w:val="00A3555C"/>
    <w:rsid w:val="00A35DF3"/>
    <w:rsid w:val="00A364DA"/>
    <w:rsid w:val="00A36A40"/>
    <w:rsid w:val="00A37896"/>
    <w:rsid w:val="00A37F3F"/>
    <w:rsid w:val="00A401AF"/>
    <w:rsid w:val="00A408B5"/>
    <w:rsid w:val="00A40CE6"/>
    <w:rsid w:val="00A41B56"/>
    <w:rsid w:val="00A41C5E"/>
    <w:rsid w:val="00A43087"/>
    <w:rsid w:val="00A4568A"/>
    <w:rsid w:val="00A459A8"/>
    <w:rsid w:val="00A459F5"/>
    <w:rsid w:val="00A46C79"/>
    <w:rsid w:val="00A5033F"/>
    <w:rsid w:val="00A5167E"/>
    <w:rsid w:val="00A518DA"/>
    <w:rsid w:val="00A51C24"/>
    <w:rsid w:val="00A5203A"/>
    <w:rsid w:val="00A52103"/>
    <w:rsid w:val="00A529E2"/>
    <w:rsid w:val="00A52D3D"/>
    <w:rsid w:val="00A539F8"/>
    <w:rsid w:val="00A54EF7"/>
    <w:rsid w:val="00A55B67"/>
    <w:rsid w:val="00A562A0"/>
    <w:rsid w:val="00A57489"/>
    <w:rsid w:val="00A5752A"/>
    <w:rsid w:val="00A603F2"/>
    <w:rsid w:val="00A60455"/>
    <w:rsid w:val="00A60826"/>
    <w:rsid w:val="00A60878"/>
    <w:rsid w:val="00A60FC0"/>
    <w:rsid w:val="00A62A13"/>
    <w:rsid w:val="00A62AFB"/>
    <w:rsid w:val="00A644B5"/>
    <w:rsid w:val="00A64563"/>
    <w:rsid w:val="00A6491A"/>
    <w:rsid w:val="00A64E57"/>
    <w:rsid w:val="00A65036"/>
    <w:rsid w:val="00A65802"/>
    <w:rsid w:val="00A6594E"/>
    <w:rsid w:val="00A663F2"/>
    <w:rsid w:val="00A67825"/>
    <w:rsid w:val="00A7047A"/>
    <w:rsid w:val="00A704CA"/>
    <w:rsid w:val="00A7122F"/>
    <w:rsid w:val="00A726C0"/>
    <w:rsid w:val="00A727B6"/>
    <w:rsid w:val="00A73511"/>
    <w:rsid w:val="00A74C34"/>
    <w:rsid w:val="00A75547"/>
    <w:rsid w:val="00A7582B"/>
    <w:rsid w:val="00A75DBD"/>
    <w:rsid w:val="00A75FBB"/>
    <w:rsid w:val="00A7786A"/>
    <w:rsid w:val="00A77BE9"/>
    <w:rsid w:val="00A77C24"/>
    <w:rsid w:val="00A8071E"/>
    <w:rsid w:val="00A81CC6"/>
    <w:rsid w:val="00A8378A"/>
    <w:rsid w:val="00A8385F"/>
    <w:rsid w:val="00A83EC6"/>
    <w:rsid w:val="00A859F0"/>
    <w:rsid w:val="00A8732C"/>
    <w:rsid w:val="00A9017B"/>
    <w:rsid w:val="00A9062D"/>
    <w:rsid w:val="00A90802"/>
    <w:rsid w:val="00A90E76"/>
    <w:rsid w:val="00A917D0"/>
    <w:rsid w:val="00A9214B"/>
    <w:rsid w:val="00A93AA7"/>
    <w:rsid w:val="00A93D89"/>
    <w:rsid w:val="00A93E4D"/>
    <w:rsid w:val="00A93F58"/>
    <w:rsid w:val="00A941E4"/>
    <w:rsid w:val="00A9448C"/>
    <w:rsid w:val="00A954B9"/>
    <w:rsid w:val="00A95C8C"/>
    <w:rsid w:val="00A96329"/>
    <w:rsid w:val="00A973E2"/>
    <w:rsid w:val="00A976FE"/>
    <w:rsid w:val="00AA019C"/>
    <w:rsid w:val="00AA0321"/>
    <w:rsid w:val="00AA0D6B"/>
    <w:rsid w:val="00AA12B9"/>
    <w:rsid w:val="00AA134B"/>
    <w:rsid w:val="00AA2CAE"/>
    <w:rsid w:val="00AA2CFE"/>
    <w:rsid w:val="00AA2E91"/>
    <w:rsid w:val="00AA3465"/>
    <w:rsid w:val="00AA416E"/>
    <w:rsid w:val="00AA5738"/>
    <w:rsid w:val="00AA5FDA"/>
    <w:rsid w:val="00AA6291"/>
    <w:rsid w:val="00AA6BBB"/>
    <w:rsid w:val="00AB1BFC"/>
    <w:rsid w:val="00AB2904"/>
    <w:rsid w:val="00AB2A7C"/>
    <w:rsid w:val="00AB5322"/>
    <w:rsid w:val="00AB5EE0"/>
    <w:rsid w:val="00AB606E"/>
    <w:rsid w:val="00AB6BAE"/>
    <w:rsid w:val="00AC028B"/>
    <w:rsid w:val="00AC0C91"/>
    <w:rsid w:val="00AC0DA6"/>
    <w:rsid w:val="00AC145C"/>
    <w:rsid w:val="00AC1F84"/>
    <w:rsid w:val="00AC20E1"/>
    <w:rsid w:val="00AC20E3"/>
    <w:rsid w:val="00AC2D41"/>
    <w:rsid w:val="00AC2E0C"/>
    <w:rsid w:val="00AC3379"/>
    <w:rsid w:val="00AC3A6E"/>
    <w:rsid w:val="00AC43CA"/>
    <w:rsid w:val="00AC4C9E"/>
    <w:rsid w:val="00AC5B09"/>
    <w:rsid w:val="00AC5D3D"/>
    <w:rsid w:val="00AC5D5D"/>
    <w:rsid w:val="00AC5FA3"/>
    <w:rsid w:val="00AC7479"/>
    <w:rsid w:val="00AD0BFB"/>
    <w:rsid w:val="00AD1283"/>
    <w:rsid w:val="00AD25AB"/>
    <w:rsid w:val="00AD3097"/>
    <w:rsid w:val="00AD37D4"/>
    <w:rsid w:val="00AD43FB"/>
    <w:rsid w:val="00AD4CB5"/>
    <w:rsid w:val="00AD4DB9"/>
    <w:rsid w:val="00AD5EAB"/>
    <w:rsid w:val="00AD65C1"/>
    <w:rsid w:val="00AD7986"/>
    <w:rsid w:val="00AD7A83"/>
    <w:rsid w:val="00AD7D70"/>
    <w:rsid w:val="00AE1188"/>
    <w:rsid w:val="00AE1AF8"/>
    <w:rsid w:val="00AE1EF9"/>
    <w:rsid w:val="00AE4F56"/>
    <w:rsid w:val="00AE50FA"/>
    <w:rsid w:val="00AE64DF"/>
    <w:rsid w:val="00AE6695"/>
    <w:rsid w:val="00AE6FA9"/>
    <w:rsid w:val="00AE71D2"/>
    <w:rsid w:val="00AE738C"/>
    <w:rsid w:val="00AE740C"/>
    <w:rsid w:val="00AE7A17"/>
    <w:rsid w:val="00AF0C43"/>
    <w:rsid w:val="00AF1046"/>
    <w:rsid w:val="00AF1159"/>
    <w:rsid w:val="00AF1387"/>
    <w:rsid w:val="00AF142B"/>
    <w:rsid w:val="00AF2E56"/>
    <w:rsid w:val="00AF2EE8"/>
    <w:rsid w:val="00AF375D"/>
    <w:rsid w:val="00AF37CC"/>
    <w:rsid w:val="00AF3814"/>
    <w:rsid w:val="00AF403F"/>
    <w:rsid w:val="00AF4466"/>
    <w:rsid w:val="00AF5168"/>
    <w:rsid w:val="00AF5404"/>
    <w:rsid w:val="00AF55EB"/>
    <w:rsid w:val="00AF5D1E"/>
    <w:rsid w:val="00AF6584"/>
    <w:rsid w:val="00AF66CE"/>
    <w:rsid w:val="00AF6D7C"/>
    <w:rsid w:val="00AF7A72"/>
    <w:rsid w:val="00AF7B33"/>
    <w:rsid w:val="00B01F14"/>
    <w:rsid w:val="00B026F5"/>
    <w:rsid w:val="00B03B95"/>
    <w:rsid w:val="00B040A9"/>
    <w:rsid w:val="00B059D2"/>
    <w:rsid w:val="00B05D06"/>
    <w:rsid w:val="00B0606E"/>
    <w:rsid w:val="00B07C0F"/>
    <w:rsid w:val="00B07EEB"/>
    <w:rsid w:val="00B07F86"/>
    <w:rsid w:val="00B1074A"/>
    <w:rsid w:val="00B10C72"/>
    <w:rsid w:val="00B10F0C"/>
    <w:rsid w:val="00B11997"/>
    <w:rsid w:val="00B11F48"/>
    <w:rsid w:val="00B127A7"/>
    <w:rsid w:val="00B12DDF"/>
    <w:rsid w:val="00B13D4D"/>
    <w:rsid w:val="00B1437F"/>
    <w:rsid w:val="00B1490A"/>
    <w:rsid w:val="00B149EC"/>
    <w:rsid w:val="00B14D07"/>
    <w:rsid w:val="00B15214"/>
    <w:rsid w:val="00B15C04"/>
    <w:rsid w:val="00B15C70"/>
    <w:rsid w:val="00B1692E"/>
    <w:rsid w:val="00B1711E"/>
    <w:rsid w:val="00B17CBE"/>
    <w:rsid w:val="00B17E26"/>
    <w:rsid w:val="00B20EB5"/>
    <w:rsid w:val="00B20F50"/>
    <w:rsid w:val="00B2177E"/>
    <w:rsid w:val="00B21CA0"/>
    <w:rsid w:val="00B22581"/>
    <w:rsid w:val="00B22A5B"/>
    <w:rsid w:val="00B22B8B"/>
    <w:rsid w:val="00B231A4"/>
    <w:rsid w:val="00B24597"/>
    <w:rsid w:val="00B252B1"/>
    <w:rsid w:val="00B25580"/>
    <w:rsid w:val="00B25D20"/>
    <w:rsid w:val="00B262F3"/>
    <w:rsid w:val="00B267C7"/>
    <w:rsid w:val="00B27044"/>
    <w:rsid w:val="00B2747C"/>
    <w:rsid w:val="00B31209"/>
    <w:rsid w:val="00B31BDC"/>
    <w:rsid w:val="00B31C99"/>
    <w:rsid w:val="00B324B0"/>
    <w:rsid w:val="00B325FB"/>
    <w:rsid w:val="00B32BD4"/>
    <w:rsid w:val="00B32DBA"/>
    <w:rsid w:val="00B33BED"/>
    <w:rsid w:val="00B33DFF"/>
    <w:rsid w:val="00B3446A"/>
    <w:rsid w:val="00B354ED"/>
    <w:rsid w:val="00B35BDD"/>
    <w:rsid w:val="00B36AB0"/>
    <w:rsid w:val="00B36CFD"/>
    <w:rsid w:val="00B372DE"/>
    <w:rsid w:val="00B3797F"/>
    <w:rsid w:val="00B40187"/>
    <w:rsid w:val="00B4018B"/>
    <w:rsid w:val="00B40832"/>
    <w:rsid w:val="00B41485"/>
    <w:rsid w:val="00B41D9D"/>
    <w:rsid w:val="00B4249A"/>
    <w:rsid w:val="00B4286B"/>
    <w:rsid w:val="00B4489A"/>
    <w:rsid w:val="00B4497B"/>
    <w:rsid w:val="00B44B55"/>
    <w:rsid w:val="00B45DFF"/>
    <w:rsid w:val="00B46FAD"/>
    <w:rsid w:val="00B477B6"/>
    <w:rsid w:val="00B47FB4"/>
    <w:rsid w:val="00B50999"/>
    <w:rsid w:val="00B5112C"/>
    <w:rsid w:val="00B528FE"/>
    <w:rsid w:val="00B534B8"/>
    <w:rsid w:val="00B53BA6"/>
    <w:rsid w:val="00B543F5"/>
    <w:rsid w:val="00B54F13"/>
    <w:rsid w:val="00B55262"/>
    <w:rsid w:val="00B55376"/>
    <w:rsid w:val="00B557BF"/>
    <w:rsid w:val="00B5731D"/>
    <w:rsid w:val="00B573CA"/>
    <w:rsid w:val="00B6002E"/>
    <w:rsid w:val="00B6006C"/>
    <w:rsid w:val="00B60CED"/>
    <w:rsid w:val="00B621B3"/>
    <w:rsid w:val="00B62739"/>
    <w:rsid w:val="00B62A33"/>
    <w:rsid w:val="00B6314A"/>
    <w:rsid w:val="00B63767"/>
    <w:rsid w:val="00B6378B"/>
    <w:rsid w:val="00B63E3A"/>
    <w:rsid w:val="00B641E0"/>
    <w:rsid w:val="00B64634"/>
    <w:rsid w:val="00B6480A"/>
    <w:rsid w:val="00B66757"/>
    <w:rsid w:val="00B66B8C"/>
    <w:rsid w:val="00B66FFA"/>
    <w:rsid w:val="00B67B32"/>
    <w:rsid w:val="00B67DA2"/>
    <w:rsid w:val="00B70443"/>
    <w:rsid w:val="00B705C6"/>
    <w:rsid w:val="00B7129D"/>
    <w:rsid w:val="00B7144C"/>
    <w:rsid w:val="00B71F7B"/>
    <w:rsid w:val="00B72A74"/>
    <w:rsid w:val="00B72C5D"/>
    <w:rsid w:val="00B732B0"/>
    <w:rsid w:val="00B739C8"/>
    <w:rsid w:val="00B740EB"/>
    <w:rsid w:val="00B74666"/>
    <w:rsid w:val="00B7576A"/>
    <w:rsid w:val="00B75965"/>
    <w:rsid w:val="00B75A7A"/>
    <w:rsid w:val="00B76F55"/>
    <w:rsid w:val="00B771AD"/>
    <w:rsid w:val="00B77582"/>
    <w:rsid w:val="00B7761E"/>
    <w:rsid w:val="00B778A1"/>
    <w:rsid w:val="00B803B9"/>
    <w:rsid w:val="00B80900"/>
    <w:rsid w:val="00B80915"/>
    <w:rsid w:val="00B814CB"/>
    <w:rsid w:val="00B816FC"/>
    <w:rsid w:val="00B81A71"/>
    <w:rsid w:val="00B825E0"/>
    <w:rsid w:val="00B8290C"/>
    <w:rsid w:val="00B82E25"/>
    <w:rsid w:val="00B83988"/>
    <w:rsid w:val="00B853B6"/>
    <w:rsid w:val="00B85413"/>
    <w:rsid w:val="00B85DF9"/>
    <w:rsid w:val="00B86CA8"/>
    <w:rsid w:val="00B913A3"/>
    <w:rsid w:val="00B91938"/>
    <w:rsid w:val="00B9233D"/>
    <w:rsid w:val="00B92C70"/>
    <w:rsid w:val="00B93A80"/>
    <w:rsid w:val="00B94600"/>
    <w:rsid w:val="00B94E8B"/>
    <w:rsid w:val="00B95631"/>
    <w:rsid w:val="00B95995"/>
    <w:rsid w:val="00B95DA2"/>
    <w:rsid w:val="00B965E2"/>
    <w:rsid w:val="00B970CC"/>
    <w:rsid w:val="00B9771C"/>
    <w:rsid w:val="00B97B35"/>
    <w:rsid w:val="00B97ED4"/>
    <w:rsid w:val="00BA01E0"/>
    <w:rsid w:val="00BA0CF8"/>
    <w:rsid w:val="00BA1AD8"/>
    <w:rsid w:val="00BA1ADF"/>
    <w:rsid w:val="00BA2602"/>
    <w:rsid w:val="00BA2916"/>
    <w:rsid w:val="00BA2FB5"/>
    <w:rsid w:val="00BA3565"/>
    <w:rsid w:val="00BA3688"/>
    <w:rsid w:val="00BA4529"/>
    <w:rsid w:val="00BA45E7"/>
    <w:rsid w:val="00BA4F6E"/>
    <w:rsid w:val="00BA516C"/>
    <w:rsid w:val="00BA51FC"/>
    <w:rsid w:val="00BA6A65"/>
    <w:rsid w:val="00BA7D1F"/>
    <w:rsid w:val="00BB003A"/>
    <w:rsid w:val="00BB0080"/>
    <w:rsid w:val="00BB0271"/>
    <w:rsid w:val="00BB1D42"/>
    <w:rsid w:val="00BB21AD"/>
    <w:rsid w:val="00BB2580"/>
    <w:rsid w:val="00BB2BF4"/>
    <w:rsid w:val="00BB3358"/>
    <w:rsid w:val="00BB3382"/>
    <w:rsid w:val="00BB353E"/>
    <w:rsid w:val="00BB3643"/>
    <w:rsid w:val="00BB3F09"/>
    <w:rsid w:val="00BB48CF"/>
    <w:rsid w:val="00BB4B90"/>
    <w:rsid w:val="00BB59C2"/>
    <w:rsid w:val="00BB5E63"/>
    <w:rsid w:val="00BB6977"/>
    <w:rsid w:val="00BB7D81"/>
    <w:rsid w:val="00BC00B5"/>
    <w:rsid w:val="00BC080D"/>
    <w:rsid w:val="00BC1998"/>
    <w:rsid w:val="00BC2AE1"/>
    <w:rsid w:val="00BC373D"/>
    <w:rsid w:val="00BC3983"/>
    <w:rsid w:val="00BC3D99"/>
    <w:rsid w:val="00BC3DA0"/>
    <w:rsid w:val="00BC4039"/>
    <w:rsid w:val="00BC424B"/>
    <w:rsid w:val="00BC4503"/>
    <w:rsid w:val="00BC48E0"/>
    <w:rsid w:val="00BC5C8E"/>
    <w:rsid w:val="00BC6128"/>
    <w:rsid w:val="00BD028F"/>
    <w:rsid w:val="00BD033A"/>
    <w:rsid w:val="00BD1012"/>
    <w:rsid w:val="00BD1374"/>
    <w:rsid w:val="00BD1636"/>
    <w:rsid w:val="00BD222E"/>
    <w:rsid w:val="00BD249D"/>
    <w:rsid w:val="00BD295E"/>
    <w:rsid w:val="00BD2BB7"/>
    <w:rsid w:val="00BD3370"/>
    <w:rsid w:val="00BD392F"/>
    <w:rsid w:val="00BD47BE"/>
    <w:rsid w:val="00BD4BF9"/>
    <w:rsid w:val="00BD506F"/>
    <w:rsid w:val="00BD6338"/>
    <w:rsid w:val="00BD773B"/>
    <w:rsid w:val="00BD7842"/>
    <w:rsid w:val="00BD78AB"/>
    <w:rsid w:val="00BE04ED"/>
    <w:rsid w:val="00BE052F"/>
    <w:rsid w:val="00BE0B7F"/>
    <w:rsid w:val="00BE0FDE"/>
    <w:rsid w:val="00BE13E4"/>
    <w:rsid w:val="00BE1585"/>
    <w:rsid w:val="00BE2E0C"/>
    <w:rsid w:val="00BE2E82"/>
    <w:rsid w:val="00BE3CD0"/>
    <w:rsid w:val="00BE43B5"/>
    <w:rsid w:val="00BE5649"/>
    <w:rsid w:val="00BE5864"/>
    <w:rsid w:val="00BE69F7"/>
    <w:rsid w:val="00BE6A18"/>
    <w:rsid w:val="00BE6B8B"/>
    <w:rsid w:val="00BE6E62"/>
    <w:rsid w:val="00BE6F45"/>
    <w:rsid w:val="00BE79C5"/>
    <w:rsid w:val="00BE7B94"/>
    <w:rsid w:val="00BE7E46"/>
    <w:rsid w:val="00BE7F90"/>
    <w:rsid w:val="00BF039E"/>
    <w:rsid w:val="00BF09DC"/>
    <w:rsid w:val="00BF0B9E"/>
    <w:rsid w:val="00BF2F0E"/>
    <w:rsid w:val="00BF33BC"/>
    <w:rsid w:val="00BF3905"/>
    <w:rsid w:val="00BF4C59"/>
    <w:rsid w:val="00BF561D"/>
    <w:rsid w:val="00BF58AE"/>
    <w:rsid w:val="00BF598C"/>
    <w:rsid w:val="00BF6549"/>
    <w:rsid w:val="00BF6AC5"/>
    <w:rsid w:val="00BF6CC6"/>
    <w:rsid w:val="00C0055C"/>
    <w:rsid w:val="00C00D97"/>
    <w:rsid w:val="00C01121"/>
    <w:rsid w:val="00C01895"/>
    <w:rsid w:val="00C02934"/>
    <w:rsid w:val="00C030A5"/>
    <w:rsid w:val="00C03111"/>
    <w:rsid w:val="00C0394B"/>
    <w:rsid w:val="00C04BD8"/>
    <w:rsid w:val="00C05389"/>
    <w:rsid w:val="00C058D8"/>
    <w:rsid w:val="00C05A45"/>
    <w:rsid w:val="00C060D6"/>
    <w:rsid w:val="00C0614A"/>
    <w:rsid w:val="00C063E4"/>
    <w:rsid w:val="00C06536"/>
    <w:rsid w:val="00C06889"/>
    <w:rsid w:val="00C06F2D"/>
    <w:rsid w:val="00C0729D"/>
    <w:rsid w:val="00C07832"/>
    <w:rsid w:val="00C0796F"/>
    <w:rsid w:val="00C07E4F"/>
    <w:rsid w:val="00C11543"/>
    <w:rsid w:val="00C1163A"/>
    <w:rsid w:val="00C11B34"/>
    <w:rsid w:val="00C1246E"/>
    <w:rsid w:val="00C12917"/>
    <w:rsid w:val="00C12970"/>
    <w:rsid w:val="00C12B73"/>
    <w:rsid w:val="00C12C5C"/>
    <w:rsid w:val="00C12CCB"/>
    <w:rsid w:val="00C12DE3"/>
    <w:rsid w:val="00C12FDB"/>
    <w:rsid w:val="00C13835"/>
    <w:rsid w:val="00C1393F"/>
    <w:rsid w:val="00C1522D"/>
    <w:rsid w:val="00C15459"/>
    <w:rsid w:val="00C15DBC"/>
    <w:rsid w:val="00C171FB"/>
    <w:rsid w:val="00C17294"/>
    <w:rsid w:val="00C205CD"/>
    <w:rsid w:val="00C209C2"/>
    <w:rsid w:val="00C20A45"/>
    <w:rsid w:val="00C20B99"/>
    <w:rsid w:val="00C20DF7"/>
    <w:rsid w:val="00C20ED5"/>
    <w:rsid w:val="00C21C3D"/>
    <w:rsid w:val="00C21F7C"/>
    <w:rsid w:val="00C2211C"/>
    <w:rsid w:val="00C2267F"/>
    <w:rsid w:val="00C22A7E"/>
    <w:rsid w:val="00C22AD8"/>
    <w:rsid w:val="00C234A1"/>
    <w:rsid w:val="00C245B9"/>
    <w:rsid w:val="00C24773"/>
    <w:rsid w:val="00C25537"/>
    <w:rsid w:val="00C256CB"/>
    <w:rsid w:val="00C25811"/>
    <w:rsid w:val="00C25A06"/>
    <w:rsid w:val="00C26B87"/>
    <w:rsid w:val="00C26C09"/>
    <w:rsid w:val="00C30834"/>
    <w:rsid w:val="00C30F89"/>
    <w:rsid w:val="00C31356"/>
    <w:rsid w:val="00C32EC7"/>
    <w:rsid w:val="00C3453D"/>
    <w:rsid w:val="00C34D9F"/>
    <w:rsid w:val="00C3557E"/>
    <w:rsid w:val="00C3594B"/>
    <w:rsid w:val="00C35B04"/>
    <w:rsid w:val="00C3625F"/>
    <w:rsid w:val="00C3763D"/>
    <w:rsid w:val="00C37820"/>
    <w:rsid w:val="00C37DFC"/>
    <w:rsid w:val="00C40436"/>
    <w:rsid w:val="00C43102"/>
    <w:rsid w:val="00C43682"/>
    <w:rsid w:val="00C44302"/>
    <w:rsid w:val="00C44FF2"/>
    <w:rsid w:val="00C457C0"/>
    <w:rsid w:val="00C45A69"/>
    <w:rsid w:val="00C4696B"/>
    <w:rsid w:val="00C4699F"/>
    <w:rsid w:val="00C46D35"/>
    <w:rsid w:val="00C47F72"/>
    <w:rsid w:val="00C50513"/>
    <w:rsid w:val="00C51C42"/>
    <w:rsid w:val="00C51FDA"/>
    <w:rsid w:val="00C526C6"/>
    <w:rsid w:val="00C52CF8"/>
    <w:rsid w:val="00C53108"/>
    <w:rsid w:val="00C5323F"/>
    <w:rsid w:val="00C53348"/>
    <w:rsid w:val="00C5394A"/>
    <w:rsid w:val="00C53DB2"/>
    <w:rsid w:val="00C54503"/>
    <w:rsid w:val="00C54589"/>
    <w:rsid w:val="00C552C1"/>
    <w:rsid w:val="00C55B3F"/>
    <w:rsid w:val="00C568B1"/>
    <w:rsid w:val="00C56B06"/>
    <w:rsid w:val="00C61405"/>
    <w:rsid w:val="00C61DB7"/>
    <w:rsid w:val="00C62262"/>
    <w:rsid w:val="00C6254C"/>
    <w:rsid w:val="00C62768"/>
    <w:rsid w:val="00C627BC"/>
    <w:rsid w:val="00C62915"/>
    <w:rsid w:val="00C62C9F"/>
    <w:rsid w:val="00C63055"/>
    <w:rsid w:val="00C6324E"/>
    <w:rsid w:val="00C635D3"/>
    <w:rsid w:val="00C65E53"/>
    <w:rsid w:val="00C67F0C"/>
    <w:rsid w:val="00C7026B"/>
    <w:rsid w:val="00C71D71"/>
    <w:rsid w:val="00C72262"/>
    <w:rsid w:val="00C739CF"/>
    <w:rsid w:val="00C73B62"/>
    <w:rsid w:val="00C73C02"/>
    <w:rsid w:val="00C751B9"/>
    <w:rsid w:val="00C75B9A"/>
    <w:rsid w:val="00C76266"/>
    <w:rsid w:val="00C76682"/>
    <w:rsid w:val="00C776B1"/>
    <w:rsid w:val="00C77A97"/>
    <w:rsid w:val="00C77C12"/>
    <w:rsid w:val="00C815FE"/>
    <w:rsid w:val="00C81FA0"/>
    <w:rsid w:val="00C8230E"/>
    <w:rsid w:val="00C82627"/>
    <w:rsid w:val="00C82B48"/>
    <w:rsid w:val="00C83E59"/>
    <w:rsid w:val="00C84199"/>
    <w:rsid w:val="00C847AE"/>
    <w:rsid w:val="00C84B88"/>
    <w:rsid w:val="00C85BEB"/>
    <w:rsid w:val="00C86400"/>
    <w:rsid w:val="00C86431"/>
    <w:rsid w:val="00C879F7"/>
    <w:rsid w:val="00C907A7"/>
    <w:rsid w:val="00C9165E"/>
    <w:rsid w:val="00C927A7"/>
    <w:rsid w:val="00C92AE1"/>
    <w:rsid w:val="00C92DA1"/>
    <w:rsid w:val="00C9425D"/>
    <w:rsid w:val="00C94477"/>
    <w:rsid w:val="00C94A53"/>
    <w:rsid w:val="00C95538"/>
    <w:rsid w:val="00C95802"/>
    <w:rsid w:val="00C958C7"/>
    <w:rsid w:val="00C958FF"/>
    <w:rsid w:val="00C95B39"/>
    <w:rsid w:val="00C95B7E"/>
    <w:rsid w:val="00C966FA"/>
    <w:rsid w:val="00C96A94"/>
    <w:rsid w:val="00C97670"/>
    <w:rsid w:val="00C976B0"/>
    <w:rsid w:val="00C979F6"/>
    <w:rsid w:val="00C97FFB"/>
    <w:rsid w:val="00CA04C6"/>
    <w:rsid w:val="00CA19DC"/>
    <w:rsid w:val="00CA1E60"/>
    <w:rsid w:val="00CA2335"/>
    <w:rsid w:val="00CA26DD"/>
    <w:rsid w:val="00CA2AEB"/>
    <w:rsid w:val="00CA2E6A"/>
    <w:rsid w:val="00CA320C"/>
    <w:rsid w:val="00CA3A38"/>
    <w:rsid w:val="00CA3F4B"/>
    <w:rsid w:val="00CA477A"/>
    <w:rsid w:val="00CA485E"/>
    <w:rsid w:val="00CA5148"/>
    <w:rsid w:val="00CA5756"/>
    <w:rsid w:val="00CA61F6"/>
    <w:rsid w:val="00CA6A3B"/>
    <w:rsid w:val="00CA6E1A"/>
    <w:rsid w:val="00CA7492"/>
    <w:rsid w:val="00CA762E"/>
    <w:rsid w:val="00CA7841"/>
    <w:rsid w:val="00CB12EC"/>
    <w:rsid w:val="00CB15A3"/>
    <w:rsid w:val="00CB1BA7"/>
    <w:rsid w:val="00CB28E7"/>
    <w:rsid w:val="00CB2BA9"/>
    <w:rsid w:val="00CB3B45"/>
    <w:rsid w:val="00CB3F0C"/>
    <w:rsid w:val="00CB4381"/>
    <w:rsid w:val="00CB4AC8"/>
    <w:rsid w:val="00CB4F26"/>
    <w:rsid w:val="00CB50F5"/>
    <w:rsid w:val="00CB5C59"/>
    <w:rsid w:val="00CB7E7E"/>
    <w:rsid w:val="00CC056F"/>
    <w:rsid w:val="00CC06B0"/>
    <w:rsid w:val="00CC09D7"/>
    <w:rsid w:val="00CC12B8"/>
    <w:rsid w:val="00CC1904"/>
    <w:rsid w:val="00CC2AF4"/>
    <w:rsid w:val="00CC406A"/>
    <w:rsid w:val="00CC4680"/>
    <w:rsid w:val="00CC469B"/>
    <w:rsid w:val="00CC4D8A"/>
    <w:rsid w:val="00CC4D97"/>
    <w:rsid w:val="00CC5AB1"/>
    <w:rsid w:val="00CC6359"/>
    <w:rsid w:val="00CC6600"/>
    <w:rsid w:val="00CC66C4"/>
    <w:rsid w:val="00CC6753"/>
    <w:rsid w:val="00CC69CD"/>
    <w:rsid w:val="00CD015E"/>
    <w:rsid w:val="00CD0249"/>
    <w:rsid w:val="00CD0AF1"/>
    <w:rsid w:val="00CD0DEC"/>
    <w:rsid w:val="00CD142B"/>
    <w:rsid w:val="00CD1F84"/>
    <w:rsid w:val="00CD205C"/>
    <w:rsid w:val="00CD22E3"/>
    <w:rsid w:val="00CD25D7"/>
    <w:rsid w:val="00CD397D"/>
    <w:rsid w:val="00CD3DF1"/>
    <w:rsid w:val="00CD4AF9"/>
    <w:rsid w:val="00CD4B09"/>
    <w:rsid w:val="00CD4C2D"/>
    <w:rsid w:val="00CD4E44"/>
    <w:rsid w:val="00CD5AE4"/>
    <w:rsid w:val="00CD60AB"/>
    <w:rsid w:val="00CD626A"/>
    <w:rsid w:val="00CD63F8"/>
    <w:rsid w:val="00CD63FE"/>
    <w:rsid w:val="00CD67C6"/>
    <w:rsid w:val="00CD6A93"/>
    <w:rsid w:val="00CD72CB"/>
    <w:rsid w:val="00CD7A7D"/>
    <w:rsid w:val="00CE025B"/>
    <w:rsid w:val="00CE1941"/>
    <w:rsid w:val="00CE203A"/>
    <w:rsid w:val="00CE27F0"/>
    <w:rsid w:val="00CE2D19"/>
    <w:rsid w:val="00CE3B02"/>
    <w:rsid w:val="00CE3C57"/>
    <w:rsid w:val="00CE4704"/>
    <w:rsid w:val="00CE4CE5"/>
    <w:rsid w:val="00CE4F91"/>
    <w:rsid w:val="00CE57B5"/>
    <w:rsid w:val="00CE6DED"/>
    <w:rsid w:val="00CE788D"/>
    <w:rsid w:val="00CF0195"/>
    <w:rsid w:val="00CF1085"/>
    <w:rsid w:val="00CF14D8"/>
    <w:rsid w:val="00CF1CD3"/>
    <w:rsid w:val="00CF2398"/>
    <w:rsid w:val="00CF2D8E"/>
    <w:rsid w:val="00CF2DFA"/>
    <w:rsid w:val="00CF31C7"/>
    <w:rsid w:val="00CF518D"/>
    <w:rsid w:val="00CF5736"/>
    <w:rsid w:val="00CF5AD8"/>
    <w:rsid w:val="00CF5B45"/>
    <w:rsid w:val="00CF7588"/>
    <w:rsid w:val="00D00122"/>
    <w:rsid w:val="00D004B7"/>
    <w:rsid w:val="00D01D2A"/>
    <w:rsid w:val="00D01DEF"/>
    <w:rsid w:val="00D0209F"/>
    <w:rsid w:val="00D02CEE"/>
    <w:rsid w:val="00D036C3"/>
    <w:rsid w:val="00D03781"/>
    <w:rsid w:val="00D04D99"/>
    <w:rsid w:val="00D04E82"/>
    <w:rsid w:val="00D05254"/>
    <w:rsid w:val="00D052B1"/>
    <w:rsid w:val="00D0558C"/>
    <w:rsid w:val="00D05F9D"/>
    <w:rsid w:val="00D061AD"/>
    <w:rsid w:val="00D063A9"/>
    <w:rsid w:val="00D064B7"/>
    <w:rsid w:val="00D0661B"/>
    <w:rsid w:val="00D06749"/>
    <w:rsid w:val="00D101B7"/>
    <w:rsid w:val="00D10517"/>
    <w:rsid w:val="00D105DE"/>
    <w:rsid w:val="00D10B47"/>
    <w:rsid w:val="00D11001"/>
    <w:rsid w:val="00D1122A"/>
    <w:rsid w:val="00D11C60"/>
    <w:rsid w:val="00D11EB1"/>
    <w:rsid w:val="00D12180"/>
    <w:rsid w:val="00D13009"/>
    <w:rsid w:val="00D1326E"/>
    <w:rsid w:val="00D14CA3"/>
    <w:rsid w:val="00D14E25"/>
    <w:rsid w:val="00D15ACB"/>
    <w:rsid w:val="00D16184"/>
    <w:rsid w:val="00D16208"/>
    <w:rsid w:val="00D16585"/>
    <w:rsid w:val="00D1767F"/>
    <w:rsid w:val="00D17F17"/>
    <w:rsid w:val="00D207BC"/>
    <w:rsid w:val="00D210C2"/>
    <w:rsid w:val="00D21214"/>
    <w:rsid w:val="00D216EC"/>
    <w:rsid w:val="00D2322C"/>
    <w:rsid w:val="00D23597"/>
    <w:rsid w:val="00D237C7"/>
    <w:rsid w:val="00D23B73"/>
    <w:rsid w:val="00D24027"/>
    <w:rsid w:val="00D24DF5"/>
    <w:rsid w:val="00D25525"/>
    <w:rsid w:val="00D25A78"/>
    <w:rsid w:val="00D2671B"/>
    <w:rsid w:val="00D273FB"/>
    <w:rsid w:val="00D30BDC"/>
    <w:rsid w:val="00D30CE3"/>
    <w:rsid w:val="00D30F4A"/>
    <w:rsid w:val="00D321A9"/>
    <w:rsid w:val="00D324DE"/>
    <w:rsid w:val="00D32560"/>
    <w:rsid w:val="00D32CEB"/>
    <w:rsid w:val="00D33C2C"/>
    <w:rsid w:val="00D34675"/>
    <w:rsid w:val="00D34D5B"/>
    <w:rsid w:val="00D35701"/>
    <w:rsid w:val="00D35BB3"/>
    <w:rsid w:val="00D36C3D"/>
    <w:rsid w:val="00D375B7"/>
    <w:rsid w:val="00D3788B"/>
    <w:rsid w:val="00D40271"/>
    <w:rsid w:val="00D40AAB"/>
    <w:rsid w:val="00D40DBC"/>
    <w:rsid w:val="00D40DD7"/>
    <w:rsid w:val="00D40EEB"/>
    <w:rsid w:val="00D41EC8"/>
    <w:rsid w:val="00D424B5"/>
    <w:rsid w:val="00D42D74"/>
    <w:rsid w:val="00D437A4"/>
    <w:rsid w:val="00D44692"/>
    <w:rsid w:val="00D46C69"/>
    <w:rsid w:val="00D46CE7"/>
    <w:rsid w:val="00D477CB"/>
    <w:rsid w:val="00D503F4"/>
    <w:rsid w:val="00D50BCF"/>
    <w:rsid w:val="00D51A98"/>
    <w:rsid w:val="00D52DD2"/>
    <w:rsid w:val="00D54D65"/>
    <w:rsid w:val="00D558A6"/>
    <w:rsid w:val="00D55923"/>
    <w:rsid w:val="00D560D0"/>
    <w:rsid w:val="00D56868"/>
    <w:rsid w:val="00D56981"/>
    <w:rsid w:val="00D56B82"/>
    <w:rsid w:val="00D5781A"/>
    <w:rsid w:val="00D57F88"/>
    <w:rsid w:val="00D6011F"/>
    <w:rsid w:val="00D60903"/>
    <w:rsid w:val="00D60FE1"/>
    <w:rsid w:val="00D6151A"/>
    <w:rsid w:val="00D62129"/>
    <w:rsid w:val="00D62F37"/>
    <w:rsid w:val="00D6341B"/>
    <w:rsid w:val="00D63A5B"/>
    <w:rsid w:val="00D66DB0"/>
    <w:rsid w:val="00D66F15"/>
    <w:rsid w:val="00D67CE9"/>
    <w:rsid w:val="00D70960"/>
    <w:rsid w:val="00D70E46"/>
    <w:rsid w:val="00D7105C"/>
    <w:rsid w:val="00D71A11"/>
    <w:rsid w:val="00D71B99"/>
    <w:rsid w:val="00D71C3D"/>
    <w:rsid w:val="00D71CC2"/>
    <w:rsid w:val="00D72489"/>
    <w:rsid w:val="00D72ADA"/>
    <w:rsid w:val="00D72F01"/>
    <w:rsid w:val="00D73646"/>
    <w:rsid w:val="00D74AB6"/>
    <w:rsid w:val="00D7537F"/>
    <w:rsid w:val="00D7737F"/>
    <w:rsid w:val="00D777B4"/>
    <w:rsid w:val="00D77827"/>
    <w:rsid w:val="00D77A1D"/>
    <w:rsid w:val="00D77A90"/>
    <w:rsid w:val="00D80CA9"/>
    <w:rsid w:val="00D8127E"/>
    <w:rsid w:val="00D81B31"/>
    <w:rsid w:val="00D81F44"/>
    <w:rsid w:val="00D828F8"/>
    <w:rsid w:val="00D82BF7"/>
    <w:rsid w:val="00D830E8"/>
    <w:rsid w:val="00D8360B"/>
    <w:rsid w:val="00D83930"/>
    <w:rsid w:val="00D83C11"/>
    <w:rsid w:val="00D83C62"/>
    <w:rsid w:val="00D845D7"/>
    <w:rsid w:val="00D8515C"/>
    <w:rsid w:val="00D853C7"/>
    <w:rsid w:val="00D85676"/>
    <w:rsid w:val="00D85D06"/>
    <w:rsid w:val="00D86402"/>
    <w:rsid w:val="00D8687A"/>
    <w:rsid w:val="00D86CCD"/>
    <w:rsid w:val="00D86D73"/>
    <w:rsid w:val="00D87158"/>
    <w:rsid w:val="00D87C45"/>
    <w:rsid w:val="00D908E2"/>
    <w:rsid w:val="00D91919"/>
    <w:rsid w:val="00D91995"/>
    <w:rsid w:val="00D91B63"/>
    <w:rsid w:val="00D9202D"/>
    <w:rsid w:val="00D921A3"/>
    <w:rsid w:val="00D92277"/>
    <w:rsid w:val="00D9247B"/>
    <w:rsid w:val="00D9279D"/>
    <w:rsid w:val="00D93188"/>
    <w:rsid w:val="00D93698"/>
    <w:rsid w:val="00D93CAD"/>
    <w:rsid w:val="00D94543"/>
    <w:rsid w:val="00D95D07"/>
    <w:rsid w:val="00D96040"/>
    <w:rsid w:val="00D96852"/>
    <w:rsid w:val="00D96ADA"/>
    <w:rsid w:val="00D96D7F"/>
    <w:rsid w:val="00D977FA"/>
    <w:rsid w:val="00D978B0"/>
    <w:rsid w:val="00DA02CB"/>
    <w:rsid w:val="00DA0B7F"/>
    <w:rsid w:val="00DA1D29"/>
    <w:rsid w:val="00DA2886"/>
    <w:rsid w:val="00DA2B12"/>
    <w:rsid w:val="00DA30CE"/>
    <w:rsid w:val="00DA4212"/>
    <w:rsid w:val="00DA4F99"/>
    <w:rsid w:val="00DA5E50"/>
    <w:rsid w:val="00DA60F1"/>
    <w:rsid w:val="00DA6286"/>
    <w:rsid w:val="00DA7D0C"/>
    <w:rsid w:val="00DB043A"/>
    <w:rsid w:val="00DB0580"/>
    <w:rsid w:val="00DB06C3"/>
    <w:rsid w:val="00DB1476"/>
    <w:rsid w:val="00DB1963"/>
    <w:rsid w:val="00DB2669"/>
    <w:rsid w:val="00DB311C"/>
    <w:rsid w:val="00DB432D"/>
    <w:rsid w:val="00DB4E1A"/>
    <w:rsid w:val="00DB519B"/>
    <w:rsid w:val="00DB60DA"/>
    <w:rsid w:val="00DB66F4"/>
    <w:rsid w:val="00DB6746"/>
    <w:rsid w:val="00DB6909"/>
    <w:rsid w:val="00DB6E87"/>
    <w:rsid w:val="00DB72B1"/>
    <w:rsid w:val="00DB7CC6"/>
    <w:rsid w:val="00DB7CE1"/>
    <w:rsid w:val="00DB7EF1"/>
    <w:rsid w:val="00DC002B"/>
    <w:rsid w:val="00DC0422"/>
    <w:rsid w:val="00DC0801"/>
    <w:rsid w:val="00DC0A41"/>
    <w:rsid w:val="00DC0C45"/>
    <w:rsid w:val="00DC1758"/>
    <w:rsid w:val="00DC1970"/>
    <w:rsid w:val="00DC2112"/>
    <w:rsid w:val="00DC3284"/>
    <w:rsid w:val="00DC4A90"/>
    <w:rsid w:val="00DC5E6B"/>
    <w:rsid w:val="00DC74B9"/>
    <w:rsid w:val="00DC7694"/>
    <w:rsid w:val="00DC797E"/>
    <w:rsid w:val="00DC7FBE"/>
    <w:rsid w:val="00DD0066"/>
    <w:rsid w:val="00DD114D"/>
    <w:rsid w:val="00DD130E"/>
    <w:rsid w:val="00DD1C52"/>
    <w:rsid w:val="00DD2722"/>
    <w:rsid w:val="00DD29D1"/>
    <w:rsid w:val="00DD3069"/>
    <w:rsid w:val="00DD308E"/>
    <w:rsid w:val="00DD426C"/>
    <w:rsid w:val="00DD4889"/>
    <w:rsid w:val="00DD4A9D"/>
    <w:rsid w:val="00DD7140"/>
    <w:rsid w:val="00DD74B3"/>
    <w:rsid w:val="00DE029C"/>
    <w:rsid w:val="00DE09FD"/>
    <w:rsid w:val="00DE1395"/>
    <w:rsid w:val="00DE206F"/>
    <w:rsid w:val="00DE2C6A"/>
    <w:rsid w:val="00DE433D"/>
    <w:rsid w:val="00DE4EB0"/>
    <w:rsid w:val="00DE5056"/>
    <w:rsid w:val="00DE5CC2"/>
    <w:rsid w:val="00DE69AA"/>
    <w:rsid w:val="00DF024C"/>
    <w:rsid w:val="00DF06CE"/>
    <w:rsid w:val="00DF0C51"/>
    <w:rsid w:val="00DF0D47"/>
    <w:rsid w:val="00DF114E"/>
    <w:rsid w:val="00DF1260"/>
    <w:rsid w:val="00DF15EE"/>
    <w:rsid w:val="00DF1652"/>
    <w:rsid w:val="00DF18A1"/>
    <w:rsid w:val="00DF4869"/>
    <w:rsid w:val="00DF61F4"/>
    <w:rsid w:val="00DF65B8"/>
    <w:rsid w:val="00DF6D37"/>
    <w:rsid w:val="00E002E1"/>
    <w:rsid w:val="00E00578"/>
    <w:rsid w:val="00E01168"/>
    <w:rsid w:val="00E01239"/>
    <w:rsid w:val="00E01D5F"/>
    <w:rsid w:val="00E025AF"/>
    <w:rsid w:val="00E03E5A"/>
    <w:rsid w:val="00E048ED"/>
    <w:rsid w:val="00E04CC6"/>
    <w:rsid w:val="00E04FB3"/>
    <w:rsid w:val="00E05281"/>
    <w:rsid w:val="00E054C4"/>
    <w:rsid w:val="00E058F2"/>
    <w:rsid w:val="00E05D9C"/>
    <w:rsid w:val="00E05E17"/>
    <w:rsid w:val="00E06102"/>
    <w:rsid w:val="00E06C64"/>
    <w:rsid w:val="00E075FD"/>
    <w:rsid w:val="00E077AC"/>
    <w:rsid w:val="00E07A93"/>
    <w:rsid w:val="00E102CB"/>
    <w:rsid w:val="00E10902"/>
    <w:rsid w:val="00E111C3"/>
    <w:rsid w:val="00E11779"/>
    <w:rsid w:val="00E117D8"/>
    <w:rsid w:val="00E11B2B"/>
    <w:rsid w:val="00E13300"/>
    <w:rsid w:val="00E13A9C"/>
    <w:rsid w:val="00E154C4"/>
    <w:rsid w:val="00E158D1"/>
    <w:rsid w:val="00E159BB"/>
    <w:rsid w:val="00E16522"/>
    <w:rsid w:val="00E16D3A"/>
    <w:rsid w:val="00E171C0"/>
    <w:rsid w:val="00E179CF"/>
    <w:rsid w:val="00E17BE4"/>
    <w:rsid w:val="00E17DF2"/>
    <w:rsid w:val="00E21158"/>
    <w:rsid w:val="00E22BF5"/>
    <w:rsid w:val="00E23E71"/>
    <w:rsid w:val="00E23E89"/>
    <w:rsid w:val="00E25A4A"/>
    <w:rsid w:val="00E27BAD"/>
    <w:rsid w:val="00E30ABD"/>
    <w:rsid w:val="00E30BE1"/>
    <w:rsid w:val="00E30F19"/>
    <w:rsid w:val="00E31505"/>
    <w:rsid w:val="00E31776"/>
    <w:rsid w:val="00E31F1F"/>
    <w:rsid w:val="00E3282A"/>
    <w:rsid w:val="00E3286C"/>
    <w:rsid w:val="00E32895"/>
    <w:rsid w:val="00E32D06"/>
    <w:rsid w:val="00E33C4A"/>
    <w:rsid w:val="00E34EE2"/>
    <w:rsid w:val="00E356AC"/>
    <w:rsid w:val="00E357B9"/>
    <w:rsid w:val="00E35B3C"/>
    <w:rsid w:val="00E3627A"/>
    <w:rsid w:val="00E3799C"/>
    <w:rsid w:val="00E401B7"/>
    <w:rsid w:val="00E40332"/>
    <w:rsid w:val="00E40467"/>
    <w:rsid w:val="00E4077D"/>
    <w:rsid w:val="00E40BB1"/>
    <w:rsid w:val="00E40DB0"/>
    <w:rsid w:val="00E40EC7"/>
    <w:rsid w:val="00E4136B"/>
    <w:rsid w:val="00E4145B"/>
    <w:rsid w:val="00E41CDF"/>
    <w:rsid w:val="00E42D19"/>
    <w:rsid w:val="00E4321E"/>
    <w:rsid w:val="00E435B3"/>
    <w:rsid w:val="00E4404C"/>
    <w:rsid w:val="00E44B80"/>
    <w:rsid w:val="00E44E1A"/>
    <w:rsid w:val="00E4542C"/>
    <w:rsid w:val="00E4564D"/>
    <w:rsid w:val="00E45722"/>
    <w:rsid w:val="00E45D7A"/>
    <w:rsid w:val="00E46990"/>
    <w:rsid w:val="00E46DDB"/>
    <w:rsid w:val="00E46EFA"/>
    <w:rsid w:val="00E46FBD"/>
    <w:rsid w:val="00E474A9"/>
    <w:rsid w:val="00E47623"/>
    <w:rsid w:val="00E50B4C"/>
    <w:rsid w:val="00E5120C"/>
    <w:rsid w:val="00E51258"/>
    <w:rsid w:val="00E51471"/>
    <w:rsid w:val="00E5198D"/>
    <w:rsid w:val="00E51AC8"/>
    <w:rsid w:val="00E521F9"/>
    <w:rsid w:val="00E5257F"/>
    <w:rsid w:val="00E528D2"/>
    <w:rsid w:val="00E52FAB"/>
    <w:rsid w:val="00E53424"/>
    <w:rsid w:val="00E53682"/>
    <w:rsid w:val="00E5432A"/>
    <w:rsid w:val="00E550E4"/>
    <w:rsid w:val="00E55222"/>
    <w:rsid w:val="00E55706"/>
    <w:rsid w:val="00E56AEB"/>
    <w:rsid w:val="00E57150"/>
    <w:rsid w:val="00E60109"/>
    <w:rsid w:val="00E60529"/>
    <w:rsid w:val="00E60855"/>
    <w:rsid w:val="00E616E8"/>
    <w:rsid w:val="00E61DF4"/>
    <w:rsid w:val="00E62CC7"/>
    <w:rsid w:val="00E63227"/>
    <w:rsid w:val="00E63707"/>
    <w:rsid w:val="00E63A1F"/>
    <w:rsid w:val="00E6414B"/>
    <w:rsid w:val="00E641EF"/>
    <w:rsid w:val="00E65250"/>
    <w:rsid w:val="00E70583"/>
    <w:rsid w:val="00E70D86"/>
    <w:rsid w:val="00E70FEA"/>
    <w:rsid w:val="00E71C2F"/>
    <w:rsid w:val="00E71E16"/>
    <w:rsid w:val="00E7273E"/>
    <w:rsid w:val="00E72D0A"/>
    <w:rsid w:val="00E73097"/>
    <w:rsid w:val="00E73A46"/>
    <w:rsid w:val="00E74084"/>
    <w:rsid w:val="00E74533"/>
    <w:rsid w:val="00E7628E"/>
    <w:rsid w:val="00E765D0"/>
    <w:rsid w:val="00E767A9"/>
    <w:rsid w:val="00E768BC"/>
    <w:rsid w:val="00E76981"/>
    <w:rsid w:val="00E80F81"/>
    <w:rsid w:val="00E82F54"/>
    <w:rsid w:val="00E8348E"/>
    <w:rsid w:val="00E835CF"/>
    <w:rsid w:val="00E84129"/>
    <w:rsid w:val="00E84567"/>
    <w:rsid w:val="00E85894"/>
    <w:rsid w:val="00E85E17"/>
    <w:rsid w:val="00E8649B"/>
    <w:rsid w:val="00E86700"/>
    <w:rsid w:val="00E87192"/>
    <w:rsid w:val="00E871CD"/>
    <w:rsid w:val="00E8776A"/>
    <w:rsid w:val="00E903D9"/>
    <w:rsid w:val="00E90990"/>
    <w:rsid w:val="00E90E57"/>
    <w:rsid w:val="00E91173"/>
    <w:rsid w:val="00E9126B"/>
    <w:rsid w:val="00E91CE7"/>
    <w:rsid w:val="00E91EFD"/>
    <w:rsid w:val="00E922FF"/>
    <w:rsid w:val="00E930AC"/>
    <w:rsid w:val="00E946F7"/>
    <w:rsid w:val="00E955A2"/>
    <w:rsid w:val="00E956B2"/>
    <w:rsid w:val="00E957A9"/>
    <w:rsid w:val="00E95D3D"/>
    <w:rsid w:val="00E97814"/>
    <w:rsid w:val="00EA0053"/>
    <w:rsid w:val="00EA06AF"/>
    <w:rsid w:val="00EA0E25"/>
    <w:rsid w:val="00EA173C"/>
    <w:rsid w:val="00EA1C3F"/>
    <w:rsid w:val="00EA28AF"/>
    <w:rsid w:val="00EA2E61"/>
    <w:rsid w:val="00EA3994"/>
    <w:rsid w:val="00EA535A"/>
    <w:rsid w:val="00EA5511"/>
    <w:rsid w:val="00EA64E2"/>
    <w:rsid w:val="00EA6F3E"/>
    <w:rsid w:val="00EA7239"/>
    <w:rsid w:val="00EA7460"/>
    <w:rsid w:val="00EA7C4B"/>
    <w:rsid w:val="00EA7E88"/>
    <w:rsid w:val="00EB03DB"/>
    <w:rsid w:val="00EB070C"/>
    <w:rsid w:val="00EB136C"/>
    <w:rsid w:val="00EB1645"/>
    <w:rsid w:val="00EB2258"/>
    <w:rsid w:val="00EB26B5"/>
    <w:rsid w:val="00EB3458"/>
    <w:rsid w:val="00EB3BDD"/>
    <w:rsid w:val="00EB4C21"/>
    <w:rsid w:val="00EB4D42"/>
    <w:rsid w:val="00EB5369"/>
    <w:rsid w:val="00EB577F"/>
    <w:rsid w:val="00EB6056"/>
    <w:rsid w:val="00EB65D7"/>
    <w:rsid w:val="00EB6906"/>
    <w:rsid w:val="00EB6AD1"/>
    <w:rsid w:val="00EB6FD2"/>
    <w:rsid w:val="00EC07B2"/>
    <w:rsid w:val="00EC0AA4"/>
    <w:rsid w:val="00EC127A"/>
    <w:rsid w:val="00EC1792"/>
    <w:rsid w:val="00EC1C59"/>
    <w:rsid w:val="00EC1FF9"/>
    <w:rsid w:val="00EC2737"/>
    <w:rsid w:val="00EC2A44"/>
    <w:rsid w:val="00EC3CAC"/>
    <w:rsid w:val="00EC512C"/>
    <w:rsid w:val="00EC5318"/>
    <w:rsid w:val="00EC5D1E"/>
    <w:rsid w:val="00EC67D9"/>
    <w:rsid w:val="00EC7342"/>
    <w:rsid w:val="00EC7E78"/>
    <w:rsid w:val="00ED0884"/>
    <w:rsid w:val="00ED114A"/>
    <w:rsid w:val="00ED227C"/>
    <w:rsid w:val="00ED2AD5"/>
    <w:rsid w:val="00ED488B"/>
    <w:rsid w:val="00ED4C51"/>
    <w:rsid w:val="00ED5684"/>
    <w:rsid w:val="00ED6526"/>
    <w:rsid w:val="00ED6779"/>
    <w:rsid w:val="00ED74B8"/>
    <w:rsid w:val="00EE0114"/>
    <w:rsid w:val="00EE04C9"/>
    <w:rsid w:val="00EE0715"/>
    <w:rsid w:val="00EE1462"/>
    <w:rsid w:val="00EE1538"/>
    <w:rsid w:val="00EE1790"/>
    <w:rsid w:val="00EE20C4"/>
    <w:rsid w:val="00EE2124"/>
    <w:rsid w:val="00EE2716"/>
    <w:rsid w:val="00EE2D42"/>
    <w:rsid w:val="00EE30F7"/>
    <w:rsid w:val="00EE3321"/>
    <w:rsid w:val="00EE3CC0"/>
    <w:rsid w:val="00EE3D62"/>
    <w:rsid w:val="00EE3FD1"/>
    <w:rsid w:val="00EE52DA"/>
    <w:rsid w:val="00EE5998"/>
    <w:rsid w:val="00EE5B56"/>
    <w:rsid w:val="00EE5EC6"/>
    <w:rsid w:val="00EE60FE"/>
    <w:rsid w:val="00EE6450"/>
    <w:rsid w:val="00EE7134"/>
    <w:rsid w:val="00EE7FF3"/>
    <w:rsid w:val="00EF1049"/>
    <w:rsid w:val="00EF17B0"/>
    <w:rsid w:val="00EF2BBB"/>
    <w:rsid w:val="00EF3874"/>
    <w:rsid w:val="00EF404C"/>
    <w:rsid w:val="00EF417D"/>
    <w:rsid w:val="00EF41F8"/>
    <w:rsid w:val="00EF462A"/>
    <w:rsid w:val="00EF477D"/>
    <w:rsid w:val="00EF4B01"/>
    <w:rsid w:val="00EF4CD7"/>
    <w:rsid w:val="00EF4CE4"/>
    <w:rsid w:val="00EF4EF7"/>
    <w:rsid w:val="00EF5728"/>
    <w:rsid w:val="00EF73C7"/>
    <w:rsid w:val="00F0052A"/>
    <w:rsid w:val="00F007B3"/>
    <w:rsid w:val="00F00E78"/>
    <w:rsid w:val="00F00F0F"/>
    <w:rsid w:val="00F0183A"/>
    <w:rsid w:val="00F01AB2"/>
    <w:rsid w:val="00F01C2C"/>
    <w:rsid w:val="00F02590"/>
    <w:rsid w:val="00F028F5"/>
    <w:rsid w:val="00F02F4B"/>
    <w:rsid w:val="00F04CB0"/>
    <w:rsid w:val="00F0548D"/>
    <w:rsid w:val="00F057D7"/>
    <w:rsid w:val="00F05D86"/>
    <w:rsid w:val="00F05F91"/>
    <w:rsid w:val="00F061F6"/>
    <w:rsid w:val="00F06A17"/>
    <w:rsid w:val="00F06C03"/>
    <w:rsid w:val="00F06C65"/>
    <w:rsid w:val="00F10ED8"/>
    <w:rsid w:val="00F11532"/>
    <w:rsid w:val="00F12D62"/>
    <w:rsid w:val="00F13EB1"/>
    <w:rsid w:val="00F140AD"/>
    <w:rsid w:val="00F14518"/>
    <w:rsid w:val="00F15422"/>
    <w:rsid w:val="00F169CE"/>
    <w:rsid w:val="00F207CA"/>
    <w:rsid w:val="00F20DDC"/>
    <w:rsid w:val="00F212F4"/>
    <w:rsid w:val="00F2168B"/>
    <w:rsid w:val="00F21CBD"/>
    <w:rsid w:val="00F222BE"/>
    <w:rsid w:val="00F22C06"/>
    <w:rsid w:val="00F22DBD"/>
    <w:rsid w:val="00F22DE9"/>
    <w:rsid w:val="00F22E69"/>
    <w:rsid w:val="00F23321"/>
    <w:rsid w:val="00F23B88"/>
    <w:rsid w:val="00F24179"/>
    <w:rsid w:val="00F24A73"/>
    <w:rsid w:val="00F2602A"/>
    <w:rsid w:val="00F26607"/>
    <w:rsid w:val="00F270AD"/>
    <w:rsid w:val="00F27860"/>
    <w:rsid w:val="00F301F1"/>
    <w:rsid w:val="00F307B9"/>
    <w:rsid w:val="00F30C22"/>
    <w:rsid w:val="00F3150C"/>
    <w:rsid w:val="00F315C8"/>
    <w:rsid w:val="00F31683"/>
    <w:rsid w:val="00F31760"/>
    <w:rsid w:val="00F3187B"/>
    <w:rsid w:val="00F33F1A"/>
    <w:rsid w:val="00F34029"/>
    <w:rsid w:val="00F34B60"/>
    <w:rsid w:val="00F34B97"/>
    <w:rsid w:val="00F352BA"/>
    <w:rsid w:val="00F35CB1"/>
    <w:rsid w:val="00F36672"/>
    <w:rsid w:val="00F367E7"/>
    <w:rsid w:val="00F36AD3"/>
    <w:rsid w:val="00F376D2"/>
    <w:rsid w:val="00F40AD7"/>
    <w:rsid w:val="00F4161D"/>
    <w:rsid w:val="00F41B00"/>
    <w:rsid w:val="00F42351"/>
    <w:rsid w:val="00F4648E"/>
    <w:rsid w:val="00F46E69"/>
    <w:rsid w:val="00F47C0A"/>
    <w:rsid w:val="00F5096E"/>
    <w:rsid w:val="00F50C82"/>
    <w:rsid w:val="00F50E8E"/>
    <w:rsid w:val="00F52872"/>
    <w:rsid w:val="00F53074"/>
    <w:rsid w:val="00F531F6"/>
    <w:rsid w:val="00F5366B"/>
    <w:rsid w:val="00F538E2"/>
    <w:rsid w:val="00F53F69"/>
    <w:rsid w:val="00F5423B"/>
    <w:rsid w:val="00F54391"/>
    <w:rsid w:val="00F547F7"/>
    <w:rsid w:val="00F549D5"/>
    <w:rsid w:val="00F54CCF"/>
    <w:rsid w:val="00F557E5"/>
    <w:rsid w:val="00F57F47"/>
    <w:rsid w:val="00F6074F"/>
    <w:rsid w:val="00F61D7A"/>
    <w:rsid w:val="00F626A4"/>
    <w:rsid w:val="00F629B4"/>
    <w:rsid w:val="00F630B1"/>
    <w:rsid w:val="00F630D3"/>
    <w:rsid w:val="00F637B3"/>
    <w:rsid w:val="00F63B65"/>
    <w:rsid w:val="00F63F56"/>
    <w:rsid w:val="00F64B58"/>
    <w:rsid w:val="00F653B2"/>
    <w:rsid w:val="00F654DB"/>
    <w:rsid w:val="00F665E8"/>
    <w:rsid w:val="00F6670D"/>
    <w:rsid w:val="00F66CF7"/>
    <w:rsid w:val="00F671AB"/>
    <w:rsid w:val="00F67842"/>
    <w:rsid w:val="00F67BCB"/>
    <w:rsid w:val="00F703D8"/>
    <w:rsid w:val="00F70C42"/>
    <w:rsid w:val="00F71786"/>
    <w:rsid w:val="00F71F39"/>
    <w:rsid w:val="00F726F2"/>
    <w:rsid w:val="00F731EA"/>
    <w:rsid w:val="00F73376"/>
    <w:rsid w:val="00F739EC"/>
    <w:rsid w:val="00F743F2"/>
    <w:rsid w:val="00F76091"/>
    <w:rsid w:val="00F764AA"/>
    <w:rsid w:val="00F76A14"/>
    <w:rsid w:val="00F77C57"/>
    <w:rsid w:val="00F77DF6"/>
    <w:rsid w:val="00F80A9E"/>
    <w:rsid w:val="00F813C7"/>
    <w:rsid w:val="00F81F09"/>
    <w:rsid w:val="00F83366"/>
    <w:rsid w:val="00F83566"/>
    <w:rsid w:val="00F83A9D"/>
    <w:rsid w:val="00F8516E"/>
    <w:rsid w:val="00F8661E"/>
    <w:rsid w:val="00F86936"/>
    <w:rsid w:val="00F8759C"/>
    <w:rsid w:val="00F902E5"/>
    <w:rsid w:val="00F906B5"/>
    <w:rsid w:val="00F90895"/>
    <w:rsid w:val="00F90DA1"/>
    <w:rsid w:val="00F91841"/>
    <w:rsid w:val="00F91F8C"/>
    <w:rsid w:val="00F9227D"/>
    <w:rsid w:val="00F92EF3"/>
    <w:rsid w:val="00F932F7"/>
    <w:rsid w:val="00F93784"/>
    <w:rsid w:val="00F93B8E"/>
    <w:rsid w:val="00F93D05"/>
    <w:rsid w:val="00F94414"/>
    <w:rsid w:val="00F9461E"/>
    <w:rsid w:val="00F94B6D"/>
    <w:rsid w:val="00F94C62"/>
    <w:rsid w:val="00F95B97"/>
    <w:rsid w:val="00F96002"/>
    <w:rsid w:val="00F962EE"/>
    <w:rsid w:val="00F963F1"/>
    <w:rsid w:val="00F96A8B"/>
    <w:rsid w:val="00F971CC"/>
    <w:rsid w:val="00F97688"/>
    <w:rsid w:val="00FA0470"/>
    <w:rsid w:val="00FA0A20"/>
    <w:rsid w:val="00FA14DD"/>
    <w:rsid w:val="00FA154E"/>
    <w:rsid w:val="00FA29D0"/>
    <w:rsid w:val="00FA2CAA"/>
    <w:rsid w:val="00FA30D9"/>
    <w:rsid w:val="00FA3321"/>
    <w:rsid w:val="00FA3D7B"/>
    <w:rsid w:val="00FA3DA1"/>
    <w:rsid w:val="00FA43CC"/>
    <w:rsid w:val="00FA45E5"/>
    <w:rsid w:val="00FA5138"/>
    <w:rsid w:val="00FA56BF"/>
    <w:rsid w:val="00FA6554"/>
    <w:rsid w:val="00FA65DC"/>
    <w:rsid w:val="00FA68CC"/>
    <w:rsid w:val="00FA6C85"/>
    <w:rsid w:val="00FA7066"/>
    <w:rsid w:val="00FA7145"/>
    <w:rsid w:val="00FB0B51"/>
    <w:rsid w:val="00FB0CA7"/>
    <w:rsid w:val="00FB16FB"/>
    <w:rsid w:val="00FB1FAE"/>
    <w:rsid w:val="00FB2FE2"/>
    <w:rsid w:val="00FB3BD1"/>
    <w:rsid w:val="00FB5FA5"/>
    <w:rsid w:val="00FB623E"/>
    <w:rsid w:val="00FB65E2"/>
    <w:rsid w:val="00FB77D8"/>
    <w:rsid w:val="00FC04F4"/>
    <w:rsid w:val="00FC0E66"/>
    <w:rsid w:val="00FC3EA8"/>
    <w:rsid w:val="00FC5103"/>
    <w:rsid w:val="00FC5336"/>
    <w:rsid w:val="00FC617F"/>
    <w:rsid w:val="00FC6BD5"/>
    <w:rsid w:val="00FC7C1F"/>
    <w:rsid w:val="00FD0392"/>
    <w:rsid w:val="00FD3C1E"/>
    <w:rsid w:val="00FD40A6"/>
    <w:rsid w:val="00FD43CE"/>
    <w:rsid w:val="00FD4F51"/>
    <w:rsid w:val="00FD586E"/>
    <w:rsid w:val="00FD59E0"/>
    <w:rsid w:val="00FD5A80"/>
    <w:rsid w:val="00FD5B03"/>
    <w:rsid w:val="00FD5DDB"/>
    <w:rsid w:val="00FD6378"/>
    <w:rsid w:val="00FD675A"/>
    <w:rsid w:val="00FD67E3"/>
    <w:rsid w:val="00FD6A37"/>
    <w:rsid w:val="00FD78A3"/>
    <w:rsid w:val="00FE0435"/>
    <w:rsid w:val="00FE08E4"/>
    <w:rsid w:val="00FE0A48"/>
    <w:rsid w:val="00FE0D91"/>
    <w:rsid w:val="00FE0FDC"/>
    <w:rsid w:val="00FE1570"/>
    <w:rsid w:val="00FE16C1"/>
    <w:rsid w:val="00FE19FF"/>
    <w:rsid w:val="00FE1A50"/>
    <w:rsid w:val="00FE2BB5"/>
    <w:rsid w:val="00FE31E8"/>
    <w:rsid w:val="00FE33A6"/>
    <w:rsid w:val="00FE34A8"/>
    <w:rsid w:val="00FE43E7"/>
    <w:rsid w:val="00FE4DFE"/>
    <w:rsid w:val="00FE4ECC"/>
    <w:rsid w:val="00FE5069"/>
    <w:rsid w:val="00FE52D8"/>
    <w:rsid w:val="00FE5452"/>
    <w:rsid w:val="00FE5AD8"/>
    <w:rsid w:val="00FE5FC5"/>
    <w:rsid w:val="00FE660E"/>
    <w:rsid w:val="00FE670E"/>
    <w:rsid w:val="00FE6E21"/>
    <w:rsid w:val="00FE73AD"/>
    <w:rsid w:val="00FE7754"/>
    <w:rsid w:val="00FE7B23"/>
    <w:rsid w:val="00FF096C"/>
    <w:rsid w:val="00FF0AAB"/>
    <w:rsid w:val="00FF14CA"/>
    <w:rsid w:val="00FF2AEB"/>
    <w:rsid w:val="00FF300E"/>
    <w:rsid w:val="00FF415F"/>
    <w:rsid w:val="00FF4BFD"/>
    <w:rsid w:val="00FF59A8"/>
    <w:rsid w:val="00FF6077"/>
    <w:rsid w:val="00FF6C1E"/>
    <w:rsid w:val="00FF746E"/>
    <w:rsid w:val="00FF74C9"/>
    <w:rsid w:val="00FF78D9"/>
    <w:rsid w:val="01479AAE"/>
    <w:rsid w:val="029377DA"/>
    <w:rsid w:val="02CF704D"/>
    <w:rsid w:val="03470CA3"/>
    <w:rsid w:val="03A183CD"/>
    <w:rsid w:val="03AD6F3D"/>
    <w:rsid w:val="0410CF5D"/>
    <w:rsid w:val="0431C7A4"/>
    <w:rsid w:val="047DB2D0"/>
    <w:rsid w:val="047F3B70"/>
    <w:rsid w:val="04A4F705"/>
    <w:rsid w:val="06B1BCA1"/>
    <w:rsid w:val="06CC70AA"/>
    <w:rsid w:val="07E7D44A"/>
    <w:rsid w:val="0840F435"/>
    <w:rsid w:val="089DCCE7"/>
    <w:rsid w:val="091FD8FC"/>
    <w:rsid w:val="09E98E6A"/>
    <w:rsid w:val="0B4A36BF"/>
    <w:rsid w:val="0B52CE3A"/>
    <w:rsid w:val="0B6EC03E"/>
    <w:rsid w:val="0C64388E"/>
    <w:rsid w:val="0ECA4867"/>
    <w:rsid w:val="0F3AECE5"/>
    <w:rsid w:val="0F678E6C"/>
    <w:rsid w:val="0FBFCA65"/>
    <w:rsid w:val="11AA8D6B"/>
    <w:rsid w:val="121B799B"/>
    <w:rsid w:val="1394A519"/>
    <w:rsid w:val="13CB1F11"/>
    <w:rsid w:val="13E9A956"/>
    <w:rsid w:val="1513A246"/>
    <w:rsid w:val="168DF82A"/>
    <w:rsid w:val="18545F5D"/>
    <w:rsid w:val="18D3D33F"/>
    <w:rsid w:val="1983DCF3"/>
    <w:rsid w:val="19A6B1FB"/>
    <w:rsid w:val="1ACAFF6A"/>
    <w:rsid w:val="1AD08C21"/>
    <w:rsid w:val="1B0ED230"/>
    <w:rsid w:val="1C029523"/>
    <w:rsid w:val="1C56D5F2"/>
    <w:rsid w:val="1DBAB2C5"/>
    <w:rsid w:val="1FCA8117"/>
    <w:rsid w:val="1FFC31B3"/>
    <w:rsid w:val="2156EF71"/>
    <w:rsid w:val="22962DDE"/>
    <w:rsid w:val="22C0A208"/>
    <w:rsid w:val="23589986"/>
    <w:rsid w:val="243B1777"/>
    <w:rsid w:val="25630EFB"/>
    <w:rsid w:val="25CFF6CE"/>
    <w:rsid w:val="269D9ABA"/>
    <w:rsid w:val="27A8EB25"/>
    <w:rsid w:val="27B3F384"/>
    <w:rsid w:val="27E01BCE"/>
    <w:rsid w:val="28D45130"/>
    <w:rsid w:val="29196E70"/>
    <w:rsid w:val="2A82C05D"/>
    <w:rsid w:val="2BCC50E3"/>
    <w:rsid w:val="2C38C190"/>
    <w:rsid w:val="2C5664DD"/>
    <w:rsid w:val="2D63378C"/>
    <w:rsid w:val="2D91FD19"/>
    <w:rsid w:val="2E6C21B0"/>
    <w:rsid w:val="2EE64709"/>
    <w:rsid w:val="2F1CD38B"/>
    <w:rsid w:val="2FC4FC11"/>
    <w:rsid w:val="2FE54FAF"/>
    <w:rsid w:val="2FF07A92"/>
    <w:rsid w:val="3037435C"/>
    <w:rsid w:val="316A1768"/>
    <w:rsid w:val="3208043F"/>
    <w:rsid w:val="327E08DA"/>
    <w:rsid w:val="32A59AFF"/>
    <w:rsid w:val="33721ABE"/>
    <w:rsid w:val="35B00CEC"/>
    <w:rsid w:val="3608C007"/>
    <w:rsid w:val="37954DCF"/>
    <w:rsid w:val="380282DB"/>
    <w:rsid w:val="39383C8A"/>
    <w:rsid w:val="3984823F"/>
    <w:rsid w:val="3B63D991"/>
    <w:rsid w:val="3BF536EA"/>
    <w:rsid w:val="3C2EDCB7"/>
    <w:rsid w:val="3C66C184"/>
    <w:rsid w:val="3C8FDB77"/>
    <w:rsid w:val="3CCC7244"/>
    <w:rsid w:val="3D812518"/>
    <w:rsid w:val="3DA4B93E"/>
    <w:rsid w:val="3E1876CC"/>
    <w:rsid w:val="3E203075"/>
    <w:rsid w:val="3E30BAE6"/>
    <w:rsid w:val="3EA05FB2"/>
    <w:rsid w:val="3ED02B69"/>
    <w:rsid w:val="3EFECD52"/>
    <w:rsid w:val="3F16F990"/>
    <w:rsid w:val="400F4CD5"/>
    <w:rsid w:val="401C2D02"/>
    <w:rsid w:val="40B718DC"/>
    <w:rsid w:val="40F866C5"/>
    <w:rsid w:val="41084F59"/>
    <w:rsid w:val="4164F2A3"/>
    <w:rsid w:val="41C650C4"/>
    <w:rsid w:val="41D345CA"/>
    <w:rsid w:val="41D39713"/>
    <w:rsid w:val="41E3A706"/>
    <w:rsid w:val="420D7753"/>
    <w:rsid w:val="42BCA36D"/>
    <w:rsid w:val="4346DF31"/>
    <w:rsid w:val="43627343"/>
    <w:rsid w:val="4403D156"/>
    <w:rsid w:val="44713068"/>
    <w:rsid w:val="45585131"/>
    <w:rsid w:val="45BC96A0"/>
    <w:rsid w:val="46CE04BE"/>
    <w:rsid w:val="46EC1BBE"/>
    <w:rsid w:val="4703187D"/>
    <w:rsid w:val="47333899"/>
    <w:rsid w:val="473B6952"/>
    <w:rsid w:val="49762495"/>
    <w:rsid w:val="497D87F9"/>
    <w:rsid w:val="49A978AE"/>
    <w:rsid w:val="4A067F87"/>
    <w:rsid w:val="4BA11F61"/>
    <w:rsid w:val="4BD689A0"/>
    <w:rsid w:val="4D64BD88"/>
    <w:rsid w:val="4D69AC4C"/>
    <w:rsid w:val="4DA527E3"/>
    <w:rsid w:val="4E75EE59"/>
    <w:rsid w:val="4E7BE684"/>
    <w:rsid w:val="4F51DE06"/>
    <w:rsid w:val="500B2E79"/>
    <w:rsid w:val="50573BD9"/>
    <w:rsid w:val="505D92A3"/>
    <w:rsid w:val="507D7304"/>
    <w:rsid w:val="514CA2B0"/>
    <w:rsid w:val="51C34C9D"/>
    <w:rsid w:val="521D929B"/>
    <w:rsid w:val="5271FC13"/>
    <w:rsid w:val="5281B051"/>
    <w:rsid w:val="52BFD260"/>
    <w:rsid w:val="52DEAFC0"/>
    <w:rsid w:val="532831C6"/>
    <w:rsid w:val="53D58EFE"/>
    <w:rsid w:val="5413D0BC"/>
    <w:rsid w:val="541B6D86"/>
    <w:rsid w:val="5456677F"/>
    <w:rsid w:val="54C2697C"/>
    <w:rsid w:val="56BFE7CC"/>
    <w:rsid w:val="5708903C"/>
    <w:rsid w:val="580F7AE0"/>
    <w:rsid w:val="58764BA2"/>
    <w:rsid w:val="58B0B07D"/>
    <w:rsid w:val="58D19DB5"/>
    <w:rsid w:val="59765F07"/>
    <w:rsid w:val="5A50EFCB"/>
    <w:rsid w:val="5A95FCE0"/>
    <w:rsid w:val="5AC7B861"/>
    <w:rsid w:val="5B81B62E"/>
    <w:rsid w:val="5BB6CEF0"/>
    <w:rsid w:val="5E6E531A"/>
    <w:rsid w:val="5EA106BA"/>
    <w:rsid w:val="5EF5B440"/>
    <w:rsid w:val="5F60526C"/>
    <w:rsid w:val="5FD10FCE"/>
    <w:rsid w:val="6003F722"/>
    <w:rsid w:val="60704563"/>
    <w:rsid w:val="60B48145"/>
    <w:rsid w:val="6165A9DC"/>
    <w:rsid w:val="61E9294B"/>
    <w:rsid w:val="61F90458"/>
    <w:rsid w:val="61FEB823"/>
    <w:rsid w:val="62165F51"/>
    <w:rsid w:val="62A41C33"/>
    <w:rsid w:val="62A7F021"/>
    <w:rsid w:val="641000AA"/>
    <w:rsid w:val="647A1603"/>
    <w:rsid w:val="64C64E77"/>
    <w:rsid w:val="6680F5A6"/>
    <w:rsid w:val="671171D4"/>
    <w:rsid w:val="6774DFC3"/>
    <w:rsid w:val="680E6496"/>
    <w:rsid w:val="68A04F42"/>
    <w:rsid w:val="68ABF5A9"/>
    <w:rsid w:val="68C4270D"/>
    <w:rsid w:val="68F4459C"/>
    <w:rsid w:val="695BE8B4"/>
    <w:rsid w:val="6A277D0E"/>
    <w:rsid w:val="6A4C70FE"/>
    <w:rsid w:val="6A4D1847"/>
    <w:rsid w:val="6A5D66BD"/>
    <w:rsid w:val="6B75C55D"/>
    <w:rsid w:val="6DBF1504"/>
    <w:rsid w:val="6DF27CA9"/>
    <w:rsid w:val="6F4583FC"/>
    <w:rsid w:val="70E21658"/>
    <w:rsid w:val="70F445A0"/>
    <w:rsid w:val="714101CC"/>
    <w:rsid w:val="716A9932"/>
    <w:rsid w:val="71CA79AC"/>
    <w:rsid w:val="71DA97A7"/>
    <w:rsid w:val="73C7A60B"/>
    <w:rsid w:val="7402D947"/>
    <w:rsid w:val="741E955C"/>
    <w:rsid w:val="74764102"/>
    <w:rsid w:val="74CA8F72"/>
    <w:rsid w:val="74CDDFF3"/>
    <w:rsid w:val="75FAE513"/>
    <w:rsid w:val="766E6883"/>
    <w:rsid w:val="7696E457"/>
    <w:rsid w:val="775DDB93"/>
    <w:rsid w:val="77AF259C"/>
    <w:rsid w:val="77D16DFF"/>
    <w:rsid w:val="78A5B71C"/>
    <w:rsid w:val="7A08BEC2"/>
    <w:rsid w:val="7A8C4C25"/>
    <w:rsid w:val="7AEB45CF"/>
    <w:rsid w:val="7AFDD7F0"/>
    <w:rsid w:val="7B33C0E5"/>
    <w:rsid w:val="7B4CC9F3"/>
    <w:rsid w:val="7B79FF11"/>
    <w:rsid w:val="7B836762"/>
    <w:rsid w:val="7BB62B88"/>
    <w:rsid w:val="7C48004D"/>
    <w:rsid w:val="7C49F29D"/>
    <w:rsid w:val="7CCF9146"/>
    <w:rsid w:val="7D479268"/>
    <w:rsid w:val="7E7DA722"/>
    <w:rsid w:val="7E8A9A15"/>
    <w:rsid w:val="7EBC733F"/>
    <w:rsid w:val="7EDD782D"/>
    <w:rsid w:val="7EF47EBE"/>
    <w:rsid w:val="7F6344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32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24"/>
      </w:numPr>
      <w:outlineLvl w:val="1"/>
    </w:pPr>
    <w:rPr>
      <w:b/>
      <w:szCs w:val="20"/>
    </w:rPr>
  </w:style>
  <w:style w:type="paragraph" w:styleId="Heading4">
    <w:name w:val="heading 4"/>
    <w:basedOn w:val="Normal"/>
    <w:next w:val="Normal"/>
    <w:link w:val="Heading4Char"/>
    <w:uiPriority w:val="9"/>
    <w:semiHidden/>
    <w:unhideWhenUsed/>
    <w:qFormat/>
    <w:rsid w:val="005903E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903E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customStyle="1" w:styleId="Mention1">
    <w:name w:val="Mention1"/>
    <w:basedOn w:val="DefaultParagraphFont"/>
    <w:uiPriority w:val="99"/>
    <w:unhideWhenUsed/>
    <w:rsid w:val="00C21C3D"/>
    <w:rPr>
      <w:color w:val="2B579A"/>
      <w:shd w:val="clear" w:color="auto" w:fill="E1DFDD"/>
    </w:rPr>
  </w:style>
  <w:style w:type="character" w:customStyle="1" w:styleId="UnresolvedMention1">
    <w:name w:val="Unresolved Mention1"/>
    <w:basedOn w:val="DefaultParagraphFont"/>
    <w:uiPriority w:val="99"/>
    <w:unhideWhenUsed/>
    <w:rsid w:val="00C21C3D"/>
    <w:rPr>
      <w:color w:val="605E5C"/>
      <w:shd w:val="clear" w:color="auto" w:fill="E1DFDD"/>
    </w:rPr>
  </w:style>
  <w:style w:type="paragraph" w:customStyle="1" w:styleId="TableText">
    <w:name w:val="Table Text"/>
    <w:basedOn w:val="Normal"/>
    <w:link w:val="TableTextChar"/>
    <w:qFormat/>
    <w:rsid w:val="00A05E68"/>
    <w:pPr>
      <w:spacing w:before="40" w:after="40" w:line="240" w:lineRule="exact"/>
    </w:pPr>
    <w:rPr>
      <w:rFonts w:ascii="Arial" w:hAnsi="Arial"/>
      <w:color w:val="505759"/>
      <w:sz w:val="16"/>
      <w:lang w:val="en-US"/>
    </w:rPr>
  </w:style>
  <w:style w:type="character" w:customStyle="1" w:styleId="TableTextChar">
    <w:name w:val="Table Text Char"/>
    <w:basedOn w:val="DefaultParagraphFont"/>
    <w:link w:val="TableText"/>
    <w:rsid w:val="00A05E68"/>
    <w:rPr>
      <w:rFonts w:ascii="Arial" w:hAnsi="Arial"/>
      <w:color w:val="505759"/>
      <w:sz w:val="16"/>
      <w:lang w:val="en-US"/>
    </w:rPr>
  </w:style>
  <w:style w:type="paragraph" w:customStyle="1" w:styleId="Tablebullet1">
    <w:name w:val="Table bullet 1"/>
    <w:link w:val="Tablebullet1Char"/>
    <w:qFormat/>
    <w:rsid w:val="00264A19"/>
    <w:pPr>
      <w:numPr>
        <w:numId w:val="15"/>
      </w:numPr>
      <w:spacing w:before="40" w:after="20" w:line="240" w:lineRule="atLeast"/>
      <w:ind w:left="187" w:hanging="187"/>
    </w:pPr>
    <w:rPr>
      <w:rFonts w:ascii="Arial" w:eastAsia="Times New Roman" w:hAnsi="Arial" w:cs="Times New Roman"/>
      <w:color w:val="505759"/>
      <w:sz w:val="16"/>
      <w:szCs w:val="20"/>
      <w:lang w:val="en-US"/>
    </w:rPr>
  </w:style>
  <w:style w:type="character" w:customStyle="1" w:styleId="Tablebullet1Char">
    <w:name w:val="Table bullet 1 Char"/>
    <w:basedOn w:val="DefaultParagraphFont"/>
    <w:link w:val="Tablebullet1"/>
    <w:locked/>
    <w:rsid w:val="00264A19"/>
    <w:rPr>
      <w:rFonts w:ascii="Arial" w:eastAsia="Times New Roman" w:hAnsi="Arial" w:cs="Times New Roman"/>
      <w:color w:val="505759"/>
      <w:sz w:val="16"/>
      <w:szCs w:val="20"/>
      <w:lang w:val="en-US"/>
    </w:rPr>
  </w:style>
  <w:style w:type="paragraph" w:customStyle="1" w:styleId="Default">
    <w:name w:val="Default"/>
    <w:rsid w:val="00AE71D2"/>
    <w:pPr>
      <w:autoSpaceDE w:val="0"/>
      <w:autoSpaceDN w:val="0"/>
      <w:adjustRightInd w:val="0"/>
      <w:spacing w:after="0" w:line="240" w:lineRule="auto"/>
    </w:pPr>
    <w:rPr>
      <w:rFonts w:ascii="Arial" w:hAnsi="Arial" w:cs="Arial"/>
      <w:color w:val="000000"/>
      <w:sz w:val="24"/>
      <w:szCs w:val="24"/>
      <w:lang w:val="en-US"/>
    </w:rPr>
  </w:style>
  <w:style w:type="paragraph" w:styleId="Revision">
    <w:name w:val="Revision"/>
    <w:hidden/>
    <w:uiPriority w:val="99"/>
    <w:semiHidden/>
    <w:rsid w:val="009008BD"/>
    <w:pPr>
      <w:spacing w:after="0" w:line="240" w:lineRule="auto"/>
    </w:pPr>
    <w:rPr>
      <w:sz w:val="20"/>
    </w:rPr>
  </w:style>
  <w:style w:type="character" w:styleId="FollowedHyperlink">
    <w:name w:val="FollowedHyperlink"/>
    <w:basedOn w:val="DefaultParagraphFont"/>
    <w:uiPriority w:val="99"/>
    <w:semiHidden/>
    <w:unhideWhenUsed/>
    <w:rsid w:val="00917422"/>
    <w:rPr>
      <w:color w:val="800080" w:themeColor="followedHyperlink"/>
      <w:u w:val="single"/>
    </w:rPr>
  </w:style>
  <w:style w:type="paragraph" w:customStyle="1" w:styleId="Tablenote">
    <w:name w:val="Table note"/>
    <w:basedOn w:val="Normal"/>
    <w:link w:val="TablenoteChar"/>
    <w:qFormat/>
    <w:rsid w:val="00757F34"/>
    <w:pPr>
      <w:keepLines/>
      <w:autoSpaceDE w:val="0"/>
      <w:autoSpaceDN w:val="0"/>
      <w:adjustRightInd w:val="0"/>
      <w:spacing w:before="60" w:after="60" w:line="180" w:lineRule="exact"/>
    </w:pPr>
    <w:rPr>
      <w:rFonts w:ascii="Arial" w:eastAsiaTheme="minorEastAsia" w:hAnsi="Arial" w:cs="Arial"/>
      <w:color w:val="FFFFFF"/>
      <w:sz w:val="14"/>
      <w:szCs w:val="16"/>
      <w:lang w:val="en-US"/>
    </w:rPr>
  </w:style>
  <w:style w:type="character" w:customStyle="1" w:styleId="TablenoteChar">
    <w:name w:val="Table note Char"/>
    <w:basedOn w:val="DefaultParagraphFont"/>
    <w:link w:val="Tablenote"/>
    <w:rsid w:val="00757F34"/>
    <w:rPr>
      <w:rFonts w:ascii="Arial" w:eastAsiaTheme="minorEastAsia" w:hAnsi="Arial" w:cs="Arial"/>
      <w:color w:val="FFFFFF"/>
      <w:sz w:val="14"/>
      <w:szCs w:val="16"/>
      <w:lang w:val="en-US"/>
    </w:rPr>
  </w:style>
  <w:style w:type="paragraph" w:customStyle="1" w:styleId="Tableheadings">
    <w:name w:val="Table headings"/>
    <w:basedOn w:val="Normal"/>
    <w:link w:val="TableheadingsChar"/>
    <w:rsid w:val="00757F34"/>
    <w:pPr>
      <w:keepNext/>
      <w:keepLines/>
      <w:spacing w:after="20" w:line="240" w:lineRule="exact"/>
    </w:pPr>
    <w:rPr>
      <w:rFonts w:ascii="Arial" w:eastAsia="Times New Roman" w:hAnsi="Arial" w:cs="Times New Roman"/>
      <w:b/>
      <w:color w:val="FFFFFF" w:themeColor="background1"/>
      <w:sz w:val="18"/>
      <w:szCs w:val="20"/>
      <w:lang w:val="en-US"/>
    </w:rPr>
  </w:style>
  <w:style w:type="character" w:customStyle="1" w:styleId="TableheadingsChar">
    <w:name w:val="Table headings Char"/>
    <w:link w:val="Tableheadings"/>
    <w:rsid w:val="00757F34"/>
    <w:rPr>
      <w:rFonts w:ascii="Arial" w:eastAsia="Times New Roman" w:hAnsi="Arial" w:cs="Times New Roman"/>
      <w:b/>
      <w:color w:val="FFFFFF" w:themeColor="background1"/>
      <w:sz w:val="18"/>
      <w:szCs w:val="20"/>
      <w:lang w:val="en-US"/>
    </w:rPr>
  </w:style>
  <w:style w:type="paragraph" w:customStyle="1" w:styleId="TableTextBold">
    <w:name w:val="Table Text Bold"/>
    <w:basedOn w:val="TableText"/>
    <w:rsid w:val="00757F34"/>
    <w:rPr>
      <w:rFonts w:eastAsiaTheme="minorEastAsia"/>
      <w:b/>
      <w:szCs w:val="20"/>
    </w:rPr>
  </w:style>
  <w:style w:type="paragraph" w:customStyle="1" w:styleId="Figurenote">
    <w:name w:val="Figure note"/>
    <w:basedOn w:val="Tablenote"/>
    <w:qFormat/>
    <w:rsid w:val="00D94543"/>
    <w:rPr>
      <w:color w:val="505759"/>
    </w:rPr>
  </w:style>
  <w:style w:type="paragraph" w:customStyle="1" w:styleId="Tabletextrowheading">
    <w:name w:val="Table text row heading"/>
    <w:basedOn w:val="Normal"/>
    <w:rsid w:val="00E179CF"/>
    <w:pPr>
      <w:keepNext/>
      <w:spacing w:before="40" w:after="40" w:line="240" w:lineRule="exact"/>
    </w:pPr>
    <w:rPr>
      <w:rFonts w:ascii="Arial" w:eastAsiaTheme="minorEastAsia" w:hAnsi="Arial"/>
      <w:b/>
      <w:color w:val="FFFFFF"/>
      <w:sz w:val="16"/>
      <w:szCs w:val="20"/>
      <w:lang w:val="en-US"/>
    </w:rPr>
  </w:style>
  <w:style w:type="paragraph" w:customStyle="1" w:styleId="reference">
    <w:name w:val="reference"/>
    <w:basedOn w:val="Normal"/>
    <w:link w:val="referenceChar"/>
    <w:qFormat/>
    <w:rsid w:val="00835055"/>
    <w:pPr>
      <w:keepLines/>
      <w:spacing w:before="200" w:after="240"/>
      <w:ind w:left="576" w:hanging="576"/>
    </w:pPr>
    <w:rPr>
      <w:rFonts w:ascii="Arial" w:eastAsia="Times New Roman" w:hAnsi="Arial" w:cs="Times New Roman"/>
      <w:noProof/>
      <w:snapToGrid w:val="0"/>
      <w:color w:val="505759"/>
      <w:szCs w:val="20"/>
      <w:lang w:val="en-US"/>
    </w:rPr>
  </w:style>
  <w:style w:type="character" w:customStyle="1" w:styleId="referenceChar">
    <w:name w:val="reference Char"/>
    <w:basedOn w:val="DefaultParagraphFont"/>
    <w:link w:val="reference"/>
    <w:locked/>
    <w:rsid w:val="00835055"/>
    <w:rPr>
      <w:rFonts w:ascii="Arial" w:eastAsia="Times New Roman" w:hAnsi="Arial" w:cs="Times New Roman"/>
      <w:noProof/>
      <w:snapToGrid w:val="0"/>
      <w:color w:val="505759"/>
      <w:sz w:val="20"/>
      <w:szCs w:val="20"/>
      <w:lang w:val="en-US"/>
    </w:rPr>
  </w:style>
  <w:style w:type="character" w:customStyle="1" w:styleId="Heading4Char">
    <w:name w:val="Heading 4 Char"/>
    <w:basedOn w:val="DefaultParagraphFont"/>
    <w:link w:val="Heading4"/>
    <w:uiPriority w:val="9"/>
    <w:semiHidden/>
    <w:rsid w:val="005903EA"/>
    <w:rPr>
      <w:rFonts w:asciiTheme="majorHAnsi" w:eastAsiaTheme="majorEastAsia" w:hAnsiTheme="majorHAnsi" w:cstheme="majorBidi"/>
      <w:i/>
      <w:iCs/>
      <w:color w:val="365F91" w:themeColor="accent1" w:themeShade="BF"/>
      <w:sz w:val="20"/>
    </w:rPr>
  </w:style>
  <w:style w:type="character" w:customStyle="1" w:styleId="Heading5Char">
    <w:name w:val="Heading 5 Char"/>
    <w:basedOn w:val="DefaultParagraphFont"/>
    <w:link w:val="Heading5"/>
    <w:uiPriority w:val="9"/>
    <w:semiHidden/>
    <w:rsid w:val="005903EA"/>
    <w:rPr>
      <w:rFonts w:asciiTheme="majorHAnsi" w:eastAsiaTheme="majorEastAsia" w:hAnsiTheme="majorHAnsi" w:cstheme="majorBidi"/>
      <w:color w:val="365F91" w:themeColor="accent1" w:themeShade="BF"/>
      <w:sz w:val="20"/>
    </w:rPr>
  </w:style>
  <w:style w:type="paragraph" w:styleId="ListBullet">
    <w:name w:val="List Bullet"/>
    <w:basedOn w:val="Normal"/>
    <w:uiPriority w:val="99"/>
    <w:unhideWhenUsed/>
    <w:rsid w:val="00AB2904"/>
    <w:pPr>
      <w:numPr>
        <w:numId w:val="47"/>
      </w:numPr>
      <w:contextualSpacing/>
    </w:pPr>
  </w:style>
  <w:style w:type="character" w:styleId="UnresolvedMention">
    <w:name w:val="Unresolved Mention"/>
    <w:basedOn w:val="DefaultParagraphFont"/>
    <w:uiPriority w:val="99"/>
    <w:semiHidden/>
    <w:unhideWhenUsed/>
    <w:rsid w:val="008A2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61225">
      <w:bodyDiv w:val="1"/>
      <w:marLeft w:val="0"/>
      <w:marRight w:val="0"/>
      <w:marTop w:val="0"/>
      <w:marBottom w:val="0"/>
      <w:divBdr>
        <w:top w:val="none" w:sz="0" w:space="0" w:color="auto"/>
        <w:left w:val="none" w:sz="0" w:space="0" w:color="auto"/>
        <w:bottom w:val="none" w:sz="0" w:space="0" w:color="auto"/>
        <w:right w:val="none" w:sz="0" w:space="0" w:color="auto"/>
      </w:divBdr>
    </w:div>
    <w:div w:id="216867168">
      <w:bodyDiv w:val="1"/>
      <w:marLeft w:val="0"/>
      <w:marRight w:val="0"/>
      <w:marTop w:val="0"/>
      <w:marBottom w:val="0"/>
      <w:divBdr>
        <w:top w:val="none" w:sz="0" w:space="0" w:color="auto"/>
        <w:left w:val="none" w:sz="0" w:space="0" w:color="auto"/>
        <w:bottom w:val="none" w:sz="0" w:space="0" w:color="auto"/>
        <w:right w:val="none" w:sz="0" w:space="0" w:color="auto"/>
      </w:divBdr>
    </w:div>
    <w:div w:id="238059384">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21978771">
      <w:bodyDiv w:val="1"/>
      <w:marLeft w:val="0"/>
      <w:marRight w:val="0"/>
      <w:marTop w:val="0"/>
      <w:marBottom w:val="0"/>
      <w:divBdr>
        <w:top w:val="none" w:sz="0" w:space="0" w:color="auto"/>
        <w:left w:val="none" w:sz="0" w:space="0" w:color="auto"/>
        <w:bottom w:val="none" w:sz="0" w:space="0" w:color="auto"/>
        <w:right w:val="none" w:sz="0" w:space="0" w:color="auto"/>
      </w:divBdr>
    </w:div>
    <w:div w:id="414742212">
      <w:bodyDiv w:val="1"/>
      <w:marLeft w:val="0"/>
      <w:marRight w:val="0"/>
      <w:marTop w:val="0"/>
      <w:marBottom w:val="0"/>
      <w:divBdr>
        <w:top w:val="none" w:sz="0" w:space="0" w:color="auto"/>
        <w:left w:val="none" w:sz="0" w:space="0" w:color="auto"/>
        <w:bottom w:val="none" w:sz="0" w:space="0" w:color="auto"/>
        <w:right w:val="none" w:sz="0" w:space="0" w:color="auto"/>
      </w:divBdr>
    </w:div>
    <w:div w:id="415174640">
      <w:bodyDiv w:val="1"/>
      <w:marLeft w:val="0"/>
      <w:marRight w:val="0"/>
      <w:marTop w:val="0"/>
      <w:marBottom w:val="0"/>
      <w:divBdr>
        <w:top w:val="none" w:sz="0" w:space="0" w:color="auto"/>
        <w:left w:val="none" w:sz="0" w:space="0" w:color="auto"/>
        <w:bottom w:val="none" w:sz="0" w:space="0" w:color="auto"/>
        <w:right w:val="none" w:sz="0" w:space="0" w:color="auto"/>
      </w:divBdr>
    </w:div>
    <w:div w:id="443353670">
      <w:bodyDiv w:val="1"/>
      <w:marLeft w:val="0"/>
      <w:marRight w:val="0"/>
      <w:marTop w:val="0"/>
      <w:marBottom w:val="0"/>
      <w:divBdr>
        <w:top w:val="none" w:sz="0" w:space="0" w:color="auto"/>
        <w:left w:val="none" w:sz="0" w:space="0" w:color="auto"/>
        <w:bottom w:val="none" w:sz="0" w:space="0" w:color="auto"/>
        <w:right w:val="none" w:sz="0" w:space="0" w:color="auto"/>
      </w:divBdr>
    </w:div>
    <w:div w:id="444807022">
      <w:bodyDiv w:val="1"/>
      <w:marLeft w:val="0"/>
      <w:marRight w:val="0"/>
      <w:marTop w:val="0"/>
      <w:marBottom w:val="0"/>
      <w:divBdr>
        <w:top w:val="none" w:sz="0" w:space="0" w:color="auto"/>
        <w:left w:val="none" w:sz="0" w:space="0" w:color="auto"/>
        <w:bottom w:val="none" w:sz="0" w:space="0" w:color="auto"/>
        <w:right w:val="none" w:sz="0" w:space="0" w:color="auto"/>
      </w:divBdr>
    </w:div>
    <w:div w:id="477310664">
      <w:bodyDiv w:val="1"/>
      <w:marLeft w:val="0"/>
      <w:marRight w:val="0"/>
      <w:marTop w:val="0"/>
      <w:marBottom w:val="0"/>
      <w:divBdr>
        <w:top w:val="none" w:sz="0" w:space="0" w:color="auto"/>
        <w:left w:val="none" w:sz="0" w:space="0" w:color="auto"/>
        <w:bottom w:val="none" w:sz="0" w:space="0" w:color="auto"/>
        <w:right w:val="none" w:sz="0" w:space="0" w:color="auto"/>
      </w:divBdr>
    </w:div>
    <w:div w:id="538858167">
      <w:bodyDiv w:val="1"/>
      <w:marLeft w:val="0"/>
      <w:marRight w:val="0"/>
      <w:marTop w:val="0"/>
      <w:marBottom w:val="0"/>
      <w:divBdr>
        <w:top w:val="none" w:sz="0" w:space="0" w:color="auto"/>
        <w:left w:val="none" w:sz="0" w:space="0" w:color="auto"/>
        <w:bottom w:val="none" w:sz="0" w:space="0" w:color="auto"/>
        <w:right w:val="none" w:sz="0" w:space="0" w:color="auto"/>
      </w:divBdr>
    </w:div>
    <w:div w:id="569659526">
      <w:bodyDiv w:val="1"/>
      <w:marLeft w:val="0"/>
      <w:marRight w:val="0"/>
      <w:marTop w:val="0"/>
      <w:marBottom w:val="0"/>
      <w:divBdr>
        <w:top w:val="none" w:sz="0" w:space="0" w:color="auto"/>
        <w:left w:val="none" w:sz="0" w:space="0" w:color="auto"/>
        <w:bottom w:val="none" w:sz="0" w:space="0" w:color="auto"/>
        <w:right w:val="none" w:sz="0" w:space="0" w:color="auto"/>
      </w:divBdr>
    </w:div>
    <w:div w:id="703095555">
      <w:bodyDiv w:val="1"/>
      <w:marLeft w:val="0"/>
      <w:marRight w:val="0"/>
      <w:marTop w:val="0"/>
      <w:marBottom w:val="0"/>
      <w:divBdr>
        <w:top w:val="none" w:sz="0" w:space="0" w:color="auto"/>
        <w:left w:val="none" w:sz="0" w:space="0" w:color="auto"/>
        <w:bottom w:val="none" w:sz="0" w:space="0" w:color="auto"/>
        <w:right w:val="none" w:sz="0" w:space="0" w:color="auto"/>
      </w:divBdr>
    </w:div>
    <w:div w:id="778717452">
      <w:bodyDiv w:val="1"/>
      <w:marLeft w:val="0"/>
      <w:marRight w:val="0"/>
      <w:marTop w:val="0"/>
      <w:marBottom w:val="0"/>
      <w:divBdr>
        <w:top w:val="none" w:sz="0" w:space="0" w:color="auto"/>
        <w:left w:val="none" w:sz="0" w:space="0" w:color="auto"/>
        <w:bottom w:val="none" w:sz="0" w:space="0" w:color="auto"/>
        <w:right w:val="none" w:sz="0" w:space="0" w:color="auto"/>
      </w:divBdr>
    </w:div>
    <w:div w:id="967055444">
      <w:bodyDiv w:val="1"/>
      <w:marLeft w:val="0"/>
      <w:marRight w:val="0"/>
      <w:marTop w:val="0"/>
      <w:marBottom w:val="0"/>
      <w:divBdr>
        <w:top w:val="none" w:sz="0" w:space="0" w:color="auto"/>
        <w:left w:val="none" w:sz="0" w:space="0" w:color="auto"/>
        <w:bottom w:val="none" w:sz="0" w:space="0" w:color="auto"/>
        <w:right w:val="none" w:sz="0" w:space="0" w:color="auto"/>
      </w:divBdr>
    </w:div>
    <w:div w:id="1015226318">
      <w:bodyDiv w:val="1"/>
      <w:marLeft w:val="0"/>
      <w:marRight w:val="0"/>
      <w:marTop w:val="0"/>
      <w:marBottom w:val="0"/>
      <w:divBdr>
        <w:top w:val="none" w:sz="0" w:space="0" w:color="auto"/>
        <w:left w:val="none" w:sz="0" w:space="0" w:color="auto"/>
        <w:bottom w:val="none" w:sz="0" w:space="0" w:color="auto"/>
        <w:right w:val="none" w:sz="0" w:space="0" w:color="auto"/>
      </w:divBdr>
    </w:div>
    <w:div w:id="1155300634">
      <w:bodyDiv w:val="1"/>
      <w:marLeft w:val="0"/>
      <w:marRight w:val="0"/>
      <w:marTop w:val="0"/>
      <w:marBottom w:val="0"/>
      <w:divBdr>
        <w:top w:val="none" w:sz="0" w:space="0" w:color="auto"/>
        <w:left w:val="none" w:sz="0" w:space="0" w:color="auto"/>
        <w:bottom w:val="none" w:sz="0" w:space="0" w:color="auto"/>
        <w:right w:val="none" w:sz="0" w:space="0" w:color="auto"/>
      </w:divBdr>
    </w:div>
    <w:div w:id="1174682755">
      <w:bodyDiv w:val="1"/>
      <w:marLeft w:val="0"/>
      <w:marRight w:val="0"/>
      <w:marTop w:val="0"/>
      <w:marBottom w:val="0"/>
      <w:divBdr>
        <w:top w:val="none" w:sz="0" w:space="0" w:color="auto"/>
        <w:left w:val="none" w:sz="0" w:space="0" w:color="auto"/>
        <w:bottom w:val="none" w:sz="0" w:space="0" w:color="auto"/>
        <w:right w:val="none" w:sz="0" w:space="0" w:color="auto"/>
      </w:divBdr>
    </w:div>
    <w:div w:id="1233858649">
      <w:bodyDiv w:val="1"/>
      <w:marLeft w:val="0"/>
      <w:marRight w:val="0"/>
      <w:marTop w:val="0"/>
      <w:marBottom w:val="0"/>
      <w:divBdr>
        <w:top w:val="none" w:sz="0" w:space="0" w:color="auto"/>
        <w:left w:val="none" w:sz="0" w:space="0" w:color="auto"/>
        <w:bottom w:val="none" w:sz="0" w:space="0" w:color="auto"/>
        <w:right w:val="none" w:sz="0" w:space="0" w:color="auto"/>
      </w:divBdr>
    </w:div>
    <w:div w:id="1394740868">
      <w:bodyDiv w:val="1"/>
      <w:marLeft w:val="0"/>
      <w:marRight w:val="0"/>
      <w:marTop w:val="0"/>
      <w:marBottom w:val="0"/>
      <w:divBdr>
        <w:top w:val="none" w:sz="0" w:space="0" w:color="auto"/>
        <w:left w:val="none" w:sz="0" w:space="0" w:color="auto"/>
        <w:bottom w:val="none" w:sz="0" w:space="0" w:color="auto"/>
        <w:right w:val="none" w:sz="0" w:space="0" w:color="auto"/>
      </w:divBdr>
    </w:div>
    <w:div w:id="1412311082">
      <w:bodyDiv w:val="1"/>
      <w:marLeft w:val="0"/>
      <w:marRight w:val="0"/>
      <w:marTop w:val="0"/>
      <w:marBottom w:val="0"/>
      <w:divBdr>
        <w:top w:val="none" w:sz="0" w:space="0" w:color="auto"/>
        <w:left w:val="none" w:sz="0" w:space="0" w:color="auto"/>
        <w:bottom w:val="none" w:sz="0" w:space="0" w:color="auto"/>
        <w:right w:val="none" w:sz="0" w:space="0" w:color="auto"/>
      </w:divBdr>
    </w:div>
    <w:div w:id="1417019657">
      <w:bodyDiv w:val="1"/>
      <w:marLeft w:val="0"/>
      <w:marRight w:val="0"/>
      <w:marTop w:val="0"/>
      <w:marBottom w:val="0"/>
      <w:divBdr>
        <w:top w:val="none" w:sz="0" w:space="0" w:color="auto"/>
        <w:left w:val="none" w:sz="0" w:space="0" w:color="auto"/>
        <w:bottom w:val="none" w:sz="0" w:space="0" w:color="auto"/>
        <w:right w:val="none" w:sz="0" w:space="0" w:color="auto"/>
      </w:divBdr>
    </w:div>
    <w:div w:id="1426000363">
      <w:bodyDiv w:val="1"/>
      <w:marLeft w:val="0"/>
      <w:marRight w:val="0"/>
      <w:marTop w:val="0"/>
      <w:marBottom w:val="0"/>
      <w:divBdr>
        <w:top w:val="none" w:sz="0" w:space="0" w:color="auto"/>
        <w:left w:val="none" w:sz="0" w:space="0" w:color="auto"/>
        <w:bottom w:val="none" w:sz="0" w:space="0" w:color="auto"/>
        <w:right w:val="none" w:sz="0" w:space="0" w:color="auto"/>
      </w:divBdr>
    </w:div>
    <w:div w:id="1491290074">
      <w:bodyDiv w:val="1"/>
      <w:marLeft w:val="0"/>
      <w:marRight w:val="0"/>
      <w:marTop w:val="0"/>
      <w:marBottom w:val="0"/>
      <w:divBdr>
        <w:top w:val="none" w:sz="0" w:space="0" w:color="auto"/>
        <w:left w:val="none" w:sz="0" w:space="0" w:color="auto"/>
        <w:bottom w:val="none" w:sz="0" w:space="0" w:color="auto"/>
        <w:right w:val="none" w:sz="0" w:space="0" w:color="auto"/>
      </w:divBdr>
    </w:div>
    <w:div w:id="1522744069">
      <w:bodyDiv w:val="1"/>
      <w:marLeft w:val="0"/>
      <w:marRight w:val="0"/>
      <w:marTop w:val="0"/>
      <w:marBottom w:val="0"/>
      <w:divBdr>
        <w:top w:val="none" w:sz="0" w:space="0" w:color="auto"/>
        <w:left w:val="none" w:sz="0" w:space="0" w:color="auto"/>
        <w:bottom w:val="none" w:sz="0" w:space="0" w:color="auto"/>
        <w:right w:val="none" w:sz="0" w:space="0" w:color="auto"/>
      </w:divBdr>
    </w:div>
    <w:div w:id="1691177229">
      <w:bodyDiv w:val="1"/>
      <w:marLeft w:val="0"/>
      <w:marRight w:val="0"/>
      <w:marTop w:val="0"/>
      <w:marBottom w:val="0"/>
      <w:divBdr>
        <w:top w:val="none" w:sz="0" w:space="0" w:color="auto"/>
        <w:left w:val="none" w:sz="0" w:space="0" w:color="auto"/>
        <w:bottom w:val="none" w:sz="0" w:space="0" w:color="auto"/>
        <w:right w:val="none" w:sz="0" w:space="0" w:color="auto"/>
      </w:divBdr>
    </w:div>
    <w:div w:id="1754929556">
      <w:bodyDiv w:val="1"/>
      <w:marLeft w:val="0"/>
      <w:marRight w:val="0"/>
      <w:marTop w:val="0"/>
      <w:marBottom w:val="0"/>
      <w:divBdr>
        <w:top w:val="none" w:sz="0" w:space="0" w:color="auto"/>
        <w:left w:val="none" w:sz="0" w:space="0" w:color="auto"/>
        <w:bottom w:val="none" w:sz="0" w:space="0" w:color="auto"/>
        <w:right w:val="none" w:sz="0" w:space="0" w:color="auto"/>
      </w:divBdr>
    </w:div>
    <w:div w:id="1824544717">
      <w:bodyDiv w:val="1"/>
      <w:marLeft w:val="0"/>
      <w:marRight w:val="0"/>
      <w:marTop w:val="0"/>
      <w:marBottom w:val="0"/>
      <w:divBdr>
        <w:top w:val="none" w:sz="0" w:space="0" w:color="auto"/>
        <w:left w:val="none" w:sz="0" w:space="0" w:color="auto"/>
        <w:bottom w:val="none" w:sz="0" w:space="0" w:color="auto"/>
        <w:right w:val="none" w:sz="0" w:space="0" w:color="auto"/>
      </w:divBdr>
      <w:divsChild>
        <w:div w:id="695931087">
          <w:marLeft w:val="0"/>
          <w:marRight w:val="0"/>
          <w:marTop w:val="0"/>
          <w:marBottom w:val="0"/>
          <w:divBdr>
            <w:top w:val="none" w:sz="0" w:space="0" w:color="auto"/>
            <w:left w:val="none" w:sz="0" w:space="0" w:color="auto"/>
            <w:bottom w:val="none" w:sz="0" w:space="0" w:color="auto"/>
            <w:right w:val="none" w:sz="0" w:space="0" w:color="auto"/>
          </w:divBdr>
        </w:div>
      </w:divsChild>
    </w:div>
    <w:div w:id="1878656649">
      <w:bodyDiv w:val="1"/>
      <w:marLeft w:val="0"/>
      <w:marRight w:val="0"/>
      <w:marTop w:val="0"/>
      <w:marBottom w:val="0"/>
      <w:divBdr>
        <w:top w:val="none" w:sz="0" w:space="0" w:color="auto"/>
        <w:left w:val="none" w:sz="0" w:space="0" w:color="auto"/>
        <w:bottom w:val="none" w:sz="0" w:space="0" w:color="auto"/>
        <w:right w:val="none" w:sz="0" w:space="0" w:color="auto"/>
      </w:divBdr>
    </w:div>
    <w:div w:id="1925451653">
      <w:bodyDiv w:val="1"/>
      <w:marLeft w:val="0"/>
      <w:marRight w:val="0"/>
      <w:marTop w:val="0"/>
      <w:marBottom w:val="0"/>
      <w:divBdr>
        <w:top w:val="none" w:sz="0" w:space="0" w:color="auto"/>
        <w:left w:val="none" w:sz="0" w:space="0" w:color="auto"/>
        <w:bottom w:val="none" w:sz="0" w:space="0" w:color="auto"/>
        <w:right w:val="none" w:sz="0" w:space="0" w:color="auto"/>
      </w:divBdr>
    </w:div>
    <w:div w:id="2001418051">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linicaltrials.gov/ct2/show/NCT03170349" TargetMode="External"/><Relationship Id="rId18" Type="http://schemas.openxmlformats.org/officeDocument/2006/relationships/hyperlink" Target="https://www.asecho.org/wp-content/uploads/2017/04/2017VavularRegurgitationGuideline.pdf" TargetMode="External"/><Relationship Id="rId26" Type="http://schemas.openxmlformats.org/officeDocument/2006/relationships/hyperlink" Target="https://www.ahajournals.org/doi/10.1161/CIR.0000000000000503?url_ver=Z39.88-2003&amp;rfr_id=ori:rid:crossref.org&amp;rfr_dat=cr_pub%20%200pubmed" TargetMode="External"/><Relationship Id="rId39" Type="http://schemas.openxmlformats.org/officeDocument/2006/relationships/hyperlink" Target="https://www.ahajournals.org/doi/10.1161/CIR.0000000000000029?url_ver=Z39.88-2003&amp;rfr_id=ori:rid:crossref.org&amp;rfr_dat=cr_pub%20%200pubmed" TargetMode="External"/><Relationship Id="rId21" Type="http://schemas.openxmlformats.org/officeDocument/2006/relationships/hyperlink" Target="https://urldefense.com/v3/__https:/www.ahajournals.org/doi/10.1161/CIR.0000000000000031?url_ver=Z39.88-2003&amp;rfr_id=ori:rid:crossref.org&amp;rfr_dat=cr_pub*20*200pubmed__;JSU!!Otx9Iru-MmF6NOA!o1GY2B9dIf5KVE90xsQVFAB4YKNYOU4A2Aq3V2Y5rwQmTWiTCH4LkvEfIlBnolQWZf0$" TargetMode="External"/><Relationship Id="rId34" Type="http://schemas.openxmlformats.org/officeDocument/2006/relationships/hyperlink" Target="https://www.ahajournals.org/doi/10.1161/CIR.0000000000000031?url_ver=Z39.88-2003&amp;rfr_id=ori:rid:crossref.org&amp;rfr_dat=cr_pub%20%200pubmed" TargetMode="External"/><Relationship Id="rId42" Type="http://schemas.openxmlformats.org/officeDocument/2006/relationships/hyperlink" Target="https://www.ahajournals.org/doi/10.1161/CIR.0000000000000029?url_ver=Z39.88-2003&amp;rfr_id=ori:rid:crossref.org&amp;rfr_dat=cr_pub%20%200pubmed" TargetMode="External"/><Relationship Id="rId47" Type="http://schemas.openxmlformats.org/officeDocument/2006/relationships/hyperlink" Target="https://www.ahajournals.org/doi/10.1161/CIR.0000000000000029?url_ver=Z39.88-2003&amp;rfr_id=ori:rid:crossref.org&amp;rfr_dat=cr_pub%20%200pubmed" TargetMode="External"/><Relationship Id="rId50" Type="http://schemas.openxmlformats.org/officeDocument/2006/relationships/hyperlink" Target="https://www.ahajournals.org/doi/10.1161/CIR.0000000000000503?url_ver=Z39.88-2003&amp;rfr_id=ori:rid:crossref.org&amp;rfr_dat=cr_pub%20%200pubmed" TargetMode="External"/><Relationship Id="rId55" Type="http://schemas.openxmlformats.org/officeDocument/2006/relationships/hyperlink" Target="https://www.eunethta.eu/wp-content/uploads/2018/01/Transcatheter-Implantable-Devices-for-mitral-valve-repair-in-adults-with-chronic-mitral-valve-regurgitation_Rapid-REA_Final_Sep-2015_0.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iencedirect.com/science/article/pii/S1936878X18301086?via%3Dihub" TargetMode="External"/><Relationship Id="rId20" Type="http://schemas.openxmlformats.org/officeDocument/2006/relationships/hyperlink" Target="https://www.ahajournals.org/doi/10.1161/CIR.0000000000000503?url_ver=Z39.88-2003&amp;rfr_id=ori:rid:crossref.org&amp;rfr_dat=cr_pub%20%200pubmed" TargetMode="External"/><Relationship Id="rId29" Type="http://schemas.openxmlformats.org/officeDocument/2006/relationships/hyperlink" Target="https://academic.oup.com/eurheartj/article/38/36/2739/4095039" TargetMode="External"/><Relationship Id="rId41" Type="http://schemas.openxmlformats.org/officeDocument/2006/relationships/hyperlink" Target="https://academic.oup.com/eurheartj/article/38/36/2739/4095039" TargetMode="External"/><Relationship Id="rId54" Type="http://schemas.openxmlformats.org/officeDocument/2006/relationships/image" Target="media/image3.jp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hajournals.org/doi/10.1161/CIR.0000000000000031?url_ver=Z39.88-2003&amp;rfr_id=ori:rid:crossref.org&amp;rfr_dat=cr_pub%20%200pubmed" TargetMode="External"/><Relationship Id="rId32" Type="http://schemas.openxmlformats.org/officeDocument/2006/relationships/hyperlink" Target="https://www.jtcvs.org/article/S0022-5223(17)30156-3/fulltext" TargetMode="External"/><Relationship Id="rId37" Type="http://schemas.openxmlformats.org/officeDocument/2006/relationships/hyperlink" Target="https://academic.oup.com/eurheartj/article/38/36/2739/4095039" TargetMode="External"/><Relationship Id="rId40" Type="http://schemas.openxmlformats.org/officeDocument/2006/relationships/hyperlink" Target="https://www.jtcvs.org/article/S0022-5223(17)30156-3/fulltext" TargetMode="External"/><Relationship Id="rId45" Type="http://schemas.openxmlformats.org/officeDocument/2006/relationships/hyperlink" Target="https://academic.oup.com/eurheartj/article/38/36/2739/4095039" TargetMode="External"/><Relationship Id="rId53" Type="http://schemas.openxmlformats.org/officeDocument/2006/relationships/image" Target="media/image2.jpg"/><Relationship Id="rId58" Type="http://schemas.openxmlformats.org/officeDocument/2006/relationships/hyperlink" Target="https://www.nice.org.uk/guidance/indevelopment/gid-ipg10088" TargetMode="External"/><Relationship Id="rId66" Type="http://schemas.microsoft.com/office/2019/05/relationships/documenttasks" Target="documenttasks/documenttasks1.xml"/><Relationship Id="rId5" Type="http://schemas.openxmlformats.org/officeDocument/2006/relationships/webSettings" Target="webSettings.xml"/><Relationship Id="rId15" Type="http://schemas.openxmlformats.org/officeDocument/2006/relationships/hyperlink" Target="https://www.worldcat.org/title/carpentiers-reconstructive-valve-surgery-from-valve-analysis-to-valve-reconstruction/oclc/774282625" TargetMode="External"/><Relationship Id="rId23" Type="http://schemas.openxmlformats.org/officeDocument/2006/relationships/hyperlink" Target="https://www.ahajournals.org/doi/10.1161/CIR.0000000000000503?url_ver=Z39.88-2003&amp;rfr_id=ori:rid:crossref.org&amp;rfr_dat=cr_pub%20%200pubmed" TargetMode="External"/><Relationship Id="rId28" Type="http://schemas.openxmlformats.org/officeDocument/2006/relationships/hyperlink" Target="https://www.jtcvs.org/article/S0022-5223(17)30156-3/fulltext" TargetMode="External"/><Relationship Id="rId36" Type="http://schemas.openxmlformats.org/officeDocument/2006/relationships/hyperlink" Target="https://www.ahajournals.org/doi/10.1161/CIR.0000000000000031?url_ver=Z39.88-2003&amp;rfr_id=ori:rid:crossref.org&amp;rfr_dat=cr_pub%20%200pubmed" TargetMode="External"/><Relationship Id="rId49" Type="http://schemas.openxmlformats.org/officeDocument/2006/relationships/hyperlink" Target="https://www.ahajournals.org/doi/10.1161/CIR.0000000000000029?url_ver=Z39.88-2003&amp;rfr_id=ori:rid:crossref.org&amp;rfr_dat=cr_pub%20%200pubmed" TargetMode="External"/><Relationship Id="rId57" Type="http://schemas.openxmlformats.org/officeDocument/2006/relationships/hyperlink" Target="https://www.nice.org.uk/guidance/cg187" TargetMode="External"/><Relationship Id="rId61" Type="http://schemas.openxmlformats.org/officeDocument/2006/relationships/fontTable" Target="fontTable.xml"/><Relationship Id="rId10" Type="http://schemas.openxmlformats.org/officeDocument/2006/relationships/hyperlink" Target="http://www.msac.gov.au/" TargetMode="External"/><Relationship Id="rId19" Type="http://schemas.openxmlformats.org/officeDocument/2006/relationships/hyperlink" Target="https://academic.oup.com/eurheartj/article/38/36/2739/4095039" TargetMode="External"/><Relationship Id="rId31" Type="http://schemas.openxmlformats.org/officeDocument/2006/relationships/hyperlink" Target="https://www.ahajournals.org/doi/10.1161/CIR.0000000000000503?url_ver=Z39.88-2003&amp;rfr_id=ori:rid:crossref.org&amp;rfr_dat=cr_pub%20%200pubmed" TargetMode="External"/><Relationship Id="rId44" Type="http://schemas.openxmlformats.org/officeDocument/2006/relationships/hyperlink" Target="https://www.jtcvs.org/article/S0022-5223(17)30156-3/fulltext" TargetMode="External"/><Relationship Id="rId52" Type="http://schemas.openxmlformats.org/officeDocument/2006/relationships/hyperlink" Target="https://academic.oup.com/eurheartj/article/38/36/2739/4095039" TargetMode="External"/><Relationship Id="rId60" Type="http://schemas.openxmlformats.org/officeDocument/2006/relationships/hyperlink" Target="http://www.salute.gov.it/imgs/C_17_ReportDispositivi_14_documentoInglese_inglese_itemName_0_documentoENG.pdf"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hyperlink" Target="https://clinicaltrials.gov/ct2/show/NCT03706833" TargetMode="External"/><Relationship Id="rId22" Type="http://schemas.openxmlformats.org/officeDocument/2006/relationships/hyperlink" Target="https://academic.oup.com/eurheartj/article/38/36/2739/4095039" TargetMode="External"/><Relationship Id="rId27" Type="http://schemas.openxmlformats.org/officeDocument/2006/relationships/hyperlink" Target="https://urldefense.com/v3/__https:/www.ahajournals.org/doi/10.1161/CIR.0000000000000031?url_ver=Z39.88-2003&amp;rfr_id=ori:rid:crossref.org&amp;rfr_dat=cr_pub*20*200pubmed__;JSU!!Otx9Iru-MmF6NOA!o1GY2B9dIf5KVE90xsQVFAB4YKNYOU4A2Aq3V2Y5rwQmTWiTCH4LkvEfIlBnolQWZf0$" TargetMode="External"/><Relationship Id="rId30" Type="http://schemas.openxmlformats.org/officeDocument/2006/relationships/hyperlink" Target="https://www.ahajournals.org/doi/10.1161/CIR.0000000000000031?url_ver=Z39.88-2003&amp;rfr_id=ori:rid:crossref.org&amp;rfr_dat=cr_pub%20%200pubmed" TargetMode="External"/><Relationship Id="rId35" Type="http://schemas.openxmlformats.org/officeDocument/2006/relationships/hyperlink" Target="https://academic.oup.com/eurheartj/article/38/36/2739/4095039" TargetMode="External"/><Relationship Id="rId43" Type="http://schemas.openxmlformats.org/officeDocument/2006/relationships/hyperlink" Target="https://www.ahajournals.org/doi/10.1161/CIR.0000000000000503?url_ver=Z39.88-2003&amp;rfr_id=ori:rid:crossref.org&amp;rfr_dat=cr_pub%20%200pubmed" TargetMode="External"/><Relationship Id="rId48" Type="http://schemas.openxmlformats.org/officeDocument/2006/relationships/hyperlink" Target="https://www.jtcvs.org/article/S0022-5223(17)30156-3/fulltext" TargetMode="External"/><Relationship Id="rId56" Type="http://schemas.openxmlformats.org/officeDocument/2006/relationships/hyperlink" Target="https://www.nice.org.uk/guidance/ipg352" TargetMode="External"/><Relationship Id="rId8" Type="http://schemas.openxmlformats.org/officeDocument/2006/relationships/image" Target="media/image1.jpg"/><Relationship Id="rId51" Type="http://schemas.openxmlformats.org/officeDocument/2006/relationships/hyperlink" Target="https://www.jtcvs.org/article/S0022-5223(17)30156-3/fulltext" TargetMode="External"/><Relationship Id="rId3" Type="http://schemas.openxmlformats.org/officeDocument/2006/relationships/styles" Target="styles.xml"/><Relationship Id="rId12" Type="http://schemas.openxmlformats.org/officeDocument/2006/relationships/hyperlink" Target="https://clinicaltrials.gov/ct2/show/NCT03170349" TargetMode="External"/><Relationship Id="rId17" Type="http://schemas.openxmlformats.org/officeDocument/2006/relationships/hyperlink" Target="https://www.asecho.org/wp-content/uploads/2017/04/2017VavularRegurgitationGuideline.pdf" TargetMode="External"/><Relationship Id="rId25" Type="http://schemas.openxmlformats.org/officeDocument/2006/relationships/hyperlink" Target="https://academic.oup.com/eurheartj/article/38/36/2739/4095039" TargetMode="External"/><Relationship Id="rId33" Type="http://schemas.openxmlformats.org/officeDocument/2006/relationships/hyperlink" Target="https://academic.oup.com/eurheartj/article/38/36/2739/4095039" TargetMode="External"/><Relationship Id="rId38" Type="http://schemas.openxmlformats.org/officeDocument/2006/relationships/hyperlink" Target="https://www.ahajournals.org/doi/10.1161/CIR.0000000000000503?url_ver=Z39.88-2003&amp;rfr_id=ori:rid:crossref.org&amp;rfr_dat=cr_pub%20%200pubmed" TargetMode="External"/><Relationship Id="rId46" Type="http://schemas.openxmlformats.org/officeDocument/2006/relationships/hyperlink" Target="https://www.ahajournals.org/doi/10.1161/CIR.0000000000000503?url_ver=Z39.88-2003&amp;rfr_id=ori:rid:crossref.org&amp;rfr_dat=cr_pub%20%200pubmed" TargetMode="External"/><Relationship Id="rId59" Type="http://schemas.openxmlformats.org/officeDocument/2006/relationships/hyperlink" Target="https://www.has-sante.fr/portail/jcms/c_2050051/fr/assessment-of-mitraclip-summary" TargetMode="External"/></Relationships>
</file>

<file path=word/documenttasks/documenttasks1.xml><?xml version="1.0" encoding="utf-8"?>
<t:Tasks xmlns:t="http://schemas.microsoft.com/office/tasks/2019/documenttasks">
  <t:Task id="{7AD561FC-87E6-4904-9001-18969157CA50}">
    <t:Anchor>
      <t:Comment id="1281306580"/>
    </t:Anchor>
    <t:History>
      <t:Event id="{DF8CE1C3-9B31-4AD3-ABDA-803D6F4C364C}" time="2020-11-10T06:15:43Z">
        <t:Attribution userId="S::polo_guilbert-wright@edwards.com::bcaf6fc9-e575-49a8-83d9-658899af349a" userProvider="AD" userName="Polo Guilbert-Wright"/>
        <t:Anchor>
          <t:Comment id="1281306580"/>
        </t:Anchor>
        <t:Create/>
      </t:Event>
      <t:Event id="{8EFCD34C-5CDB-4CE0-99C3-58D0F942CC6F}" time="2020-11-10T06:15:43Z">
        <t:Attribution userId="S::polo_guilbert-wright@edwards.com::bcaf6fc9-e575-49a8-83d9-658899af349a" userProvider="AD" userName="Polo Guilbert-Wright"/>
        <t:Anchor>
          <t:Comment id="1281306580"/>
        </t:Anchor>
        <t:Assign userId="S::Courtney_Darby@edwards.com::5ba92878-8a09-4edc-9ebd-9b5c25e4938f" userProvider="AD" userName="Courtney Darby"/>
      </t:Event>
      <t:Event id="{C459A49F-5B4C-4B7E-8ADC-448DEBA3824C}" time="2020-11-10T06:15:43Z">
        <t:Attribution userId="S::polo_guilbert-wright@edwards.com::bcaf6fc9-e575-49a8-83d9-658899af349a" userProvider="AD" userName="Polo Guilbert-Wright"/>
        <t:Anchor>
          <t:Comment id="1281306580"/>
        </t:Anchor>
        <t:SetTitle title="@Courtney Darby @Sarah Mollenkopf does this include all the pivotal trials we are involved with in MR?"/>
      </t:Event>
    </t:History>
  </t:Task>
  <t:Task id="{11B90C54-24BB-4033-A4C6-06C4DF17DC1E}">
    <t:Anchor>
      <t:Comment id="592937019"/>
    </t:Anchor>
    <t:History>
      <t:Event id="{EBE5B935-A4D3-4972-9599-3D3FA88CB3E6}" time="2020-11-12T20:52:52Z">
        <t:Attribution userId="S::simon_williamson@edwards.com::d5d93c3a-cd0c-4eae-847f-89d9a745627c" userProvider="AD" userName="Simon Williamson"/>
        <t:Anchor>
          <t:Comment id="400675742"/>
        </t:Anchor>
        <t:Create/>
      </t:Event>
      <t:Event id="{F78E5CCF-728B-451B-A939-7557E6ECE676}" time="2020-11-12T20:52:52Z">
        <t:Attribution userId="S::simon_williamson@edwards.com::d5d93c3a-cd0c-4eae-847f-89d9a745627c" userProvider="AD" userName="Simon Williamson"/>
        <t:Anchor>
          <t:Comment id="400675742"/>
        </t:Anchor>
        <t:Assign userId="S::Courtney_Darby@edwards.com::5ba92878-8a09-4edc-9ebd-9b5c25e4938f" userProvider="AD" userName="Courtney Darby"/>
      </t:Event>
      <t:Event id="{5B9A5B38-164F-4378-9D87-7A63ECF45935}" time="2020-11-12T20:52:52Z">
        <t:Attribution userId="S::simon_williamson@edwards.com::d5d93c3a-cd0c-4eae-847f-89d9a745627c" userProvider="AD" userName="Simon Williamson"/>
        <t:Anchor>
          <t:Comment id="400675742"/>
        </t:Anchor>
        <t:SetTitle title="@Courtney Darby I've edited these to only include codes used in Australia"/>
      </t:Event>
    </t:History>
  </t:Task>
  <t:Task id="{10B1A959-99E2-42E4-BBD4-78B180A410C8}">
    <t:Anchor>
      <t:Comment id="592934230"/>
    </t:Anchor>
    <t:History>
      <t:Event id="{EA77AAEB-12F9-418A-A8DF-3844F7054862}" time="2020-11-12T20:53:50Z">
        <t:Attribution userId="S::maneesha_pillay@edwards.com::63312741-7f63-45cf-b0d8-43aad183b508" userProvider="AD" userName="Maneesha Pillay"/>
        <t:Anchor>
          <t:Comment id="837499757"/>
        </t:Anchor>
        <t:Create/>
      </t:Event>
      <t:Event id="{4C0AA255-1BEE-435D-BB86-48E95DB27C9E}" time="2020-11-12T20:53:50Z">
        <t:Attribution userId="S::maneesha_pillay@edwards.com::63312741-7f63-45cf-b0d8-43aad183b508" userProvider="AD" userName="Maneesha Pillay"/>
        <t:Anchor>
          <t:Comment id="837499757"/>
        </t:Anchor>
        <t:Assign userId="S::Courtney_Darby@edwards.com::5ba92878-8a09-4edc-9ebd-9b5c25e4938f" userProvider="AD" userName="Courtney Darby"/>
      </t:Event>
      <t:Event id="{BBF831AD-039E-4AA7-9A2B-AC4011F333B7}" time="2020-11-12T20:53:50Z">
        <t:Attribution userId="S::maneesha_pillay@edwards.com::63312741-7f63-45cf-b0d8-43aad183b508" userProvider="AD" userName="Maneesha Pillay"/>
        <t:Anchor>
          <t:Comment id="837499757"/>
        </t:Anchor>
        <t:SetTitle title="@Courtney Darby, that date is correct"/>
      </t:Event>
    </t:History>
  </t:Task>
  <t:Task id="{469CF04B-A0E1-4989-972F-AE2F82F28227}">
    <t:Anchor>
      <t:Comment id="592934354"/>
    </t:Anchor>
    <t:History>
      <t:Event id="{B3521DEB-ED62-43F4-BA6F-7EED970CF625}" time="2020-11-12T20:53:06Z">
        <t:Attribution userId="S::maneesha_pillay@edwards.com::63312741-7f63-45cf-b0d8-43aad183b508" userProvider="AD" userName="Maneesha Pillay"/>
        <t:Anchor>
          <t:Comment id="118123061"/>
        </t:Anchor>
        <t:Create/>
      </t:Event>
      <t:Event id="{59FB696D-D253-4E17-B5DB-D3719F36A900}" time="2020-11-12T20:53:06Z">
        <t:Attribution userId="S::maneesha_pillay@edwards.com::63312741-7f63-45cf-b0d8-43aad183b508" userProvider="AD" userName="Maneesha Pillay"/>
        <t:Anchor>
          <t:Comment id="118123061"/>
        </t:Anchor>
        <t:Assign userId="S::Courtney_Darby@edwards.com::5ba92878-8a09-4edc-9ebd-9b5c25e4938f" userProvider="AD" userName="Courtney Darby"/>
      </t:Event>
      <t:Event id="{A35FC122-7409-4DE5-91E2-06B753C24890}" time="2020-11-12T20:53:06Z">
        <t:Attribution userId="S::maneesha_pillay@edwards.com::63312741-7f63-45cf-b0d8-43aad183b508" userProvider="AD" userName="Maneesha Pillay"/>
        <t:Anchor>
          <t:Comment id="118123061"/>
        </t:Anchor>
        <t:SetTitle title="@Courtney Darby - 6 - 9 months confirmed, taking into account the Christmas break"/>
      </t:Event>
    </t:History>
  </t:Task>
  <t:Task id="{44C14D2B-226C-49DF-9FF3-FBADBCF2EA62}">
    <t:Anchor>
      <t:Comment id="728320443"/>
    </t:Anchor>
    <t:History>
      <t:Event id="{41A029DF-EDC8-4095-A41B-D55D608C2E04}" time="2020-11-12T21:44:02Z">
        <t:Attribution userId="S::simon_williamson@edwards.com::d5d93c3a-cd0c-4eae-847f-89d9a745627c" userProvider="AD" userName="Simon Williamson"/>
        <t:Anchor>
          <t:Comment id="728320443"/>
        </t:Anchor>
        <t:Create/>
      </t:Event>
      <t:Event id="{85695A69-543D-4552-ACE0-752FA22DDAA5}" time="2020-11-12T21:44:02Z">
        <t:Attribution userId="S::simon_williamson@edwards.com::d5d93c3a-cd0c-4eae-847f-89d9a745627c" userProvider="AD" userName="Simon Williamson"/>
        <t:Anchor>
          <t:Comment id="728320443"/>
        </t:Anchor>
        <t:Assign userId="S::Courtney_Darby@edwards.com::5ba92878-8a09-4edc-9ebd-9b5c25e4938f" userProvider="AD" userName="Courtney Darby"/>
      </t:Event>
      <t:Event id="{1A0E491E-502C-4917-A512-D34C71C51E3F}" time="2020-11-12T21:44:02Z">
        <t:Attribution userId="S::simon_williamson@edwards.com::d5d93c3a-cd0c-4eae-847f-89d9a745627c" userProvider="AD" userName="Simon Williamson"/>
        <t:Anchor>
          <t:Comment id="728320443"/>
        </t:Anchor>
        <t:SetTitle title="@Courtney Darby @Rachael Todd Are we planning to remove the direct reference to MitraClip in this section, and instead refer to TMV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65527-9DF0-494E-BDB2-31988E20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12952</Words>
  <Characters>73833</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86612</CharactersWithSpaces>
  <SharedDoc>false</SharedDoc>
  <HLinks>
    <vt:vector size="336" baseType="variant">
      <vt:variant>
        <vt:i4>7929914</vt:i4>
      </vt:variant>
      <vt:variant>
        <vt:i4>550</vt:i4>
      </vt:variant>
      <vt:variant>
        <vt:i4>0</vt:i4>
      </vt:variant>
      <vt:variant>
        <vt:i4>5</vt:i4>
      </vt:variant>
      <vt:variant>
        <vt:lpwstr/>
      </vt:variant>
      <vt:variant>
        <vt:lpwstr>_ENREF_119</vt:lpwstr>
      </vt:variant>
      <vt:variant>
        <vt:i4>7864378</vt:i4>
      </vt:variant>
      <vt:variant>
        <vt:i4>544</vt:i4>
      </vt:variant>
      <vt:variant>
        <vt:i4>0</vt:i4>
      </vt:variant>
      <vt:variant>
        <vt:i4>5</vt:i4>
      </vt:variant>
      <vt:variant>
        <vt:lpwstr/>
      </vt:variant>
      <vt:variant>
        <vt:lpwstr>_ENREF_118</vt:lpwstr>
      </vt:variant>
      <vt:variant>
        <vt:i4>7798842</vt:i4>
      </vt:variant>
      <vt:variant>
        <vt:i4>536</vt:i4>
      </vt:variant>
      <vt:variant>
        <vt:i4>0</vt:i4>
      </vt:variant>
      <vt:variant>
        <vt:i4>5</vt:i4>
      </vt:variant>
      <vt:variant>
        <vt:lpwstr/>
      </vt:variant>
      <vt:variant>
        <vt:lpwstr>_ENREF_117</vt:lpwstr>
      </vt:variant>
      <vt:variant>
        <vt:i4>7929915</vt:i4>
      </vt:variant>
      <vt:variant>
        <vt:i4>530</vt:i4>
      </vt:variant>
      <vt:variant>
        <vt:i4>0</vt:i4>
      </vt:variant>
      <vt:variant>
        <vt:i4>5</vt:i4>
      </vt:variant>
      <vt:variant>
        <vt:lpwstr/>
      </vt:variant>
      <vt:variant>
        <vt:lpwstr>_ENREF_109</vt:lpwstr>
      </vt:variant>
      <vt:variant>
        <vt:i4>7667770</vt:i4>
      </vt:variant>
      <vt:variant>
        <vt:i4>522</vt:i4>
      </vt:variant>
      <vt:variant>
        <vt:i4>0</vt:i4>
      </vt:variant>
      <vt:variant>
        <vt:i4>5</vt:i4>
      </vt:variant>
      <vt:variant>
        <vt:lpwstr/>
      </vt:variant>
      <vt:variant>
        <vt:lpwstr>_ENREF_115</vt:lpwstr>
      </vt:variant>
      <vt:variant>
        <vt:i4>7471163</vt:i4>
      </vt:variant>
      <vt:variant>
        <vt:i4>516</vt:i4>
      </vt:variant>
      <vt:variant>
        <vt:i4>0</vt:i4>
      </vt:variant>
      <vt:variant>
        <vt:i4>5</vt:i4>
      </vt:variant>
      <vt:variant>
        <vt:lpwstr/>
      </vt:variant>
      <vt:variant>
        <vt:lpwstr>_ENREF_102</vt:lpwstr>
      </vt:variant>
      <vt:variant>
        <vt:i4>7864379</vt:i4>
      </vt:variant>
      <vt:variant>
        <vt:i4>510</vt:i4>
      </vt:variant>
      <vt:variant>
        <vt:i4>0</vt:i4>
      </vt:variant>
      <vt:variant>
        <vt:i4>5</vt:i4>
      </vt:variant>
      <vt:variant>
        <vt:lpwstr/>
      </vt:variant>
      <vt:variant>
        <vt:lpwstr>_ENREF_108</vt:lpwstr>
      </vt:variant>
      <vt:variant>
        <vt:i4>4653067</vt:i4>
      </vt:variant>
      <vt:variant>
        <vt:i4>504</vt:i4>
      </vt:variant>
      <vt:variant>
        <vt:i4>0</vt:i4>
      </vt:variant>
      <vt:variant>
        <vt:i4>5</vt:i4>
      </vt:variant>
      <vt:variant>
        <vt:lpwstr/>
      </vt:variant>
      <vt:variant>
        <vt:lpwstr>_ENREF_6</vt:lpwstr>
      </vt:variant>
      <vt:variant>
        <vt:i4>7667770</vt:i4>
      </vt:variant>
      <vt:variant>
        <vt:i4>496</vt:i4>
      </vt:variant>
      <vt:variant>
        <vt:i4>0</vt:i4>
      </vt:variant>
      <vt:variant>
        <vt:i4>5</vt:i4>
      </vt:variant>
      <vt:variant>
        <vt:lpwstr/>
      </vt:variant>
      <vt:variant>
        <vt:lpwstr>_ENREF_115</vt:lpwstr>
      </vt:variant>
      <vt:variant>
        <vt:i4>7798843</vt:i4>
      </vt:variant>
      <vt:variant>
        <vt:i4>490</vt:i4>
      </vt:variant>
      <vt:variant>
        <vt:i4>0</vt:i4>
      </vt:variant>
      <vt:variant>
        <vt:i4>5</vt:i4>
      </vt:variant>
      <vt:variant>
        <vt:lpwstr/>
      </vt:variant>
      <vt:variant>
        <vt:lpwstr>_ENREF_107</vt:lpwstr>
      </vt:variant>
      <vt:variant>
        <vt:i4>7602235</vt:i4>
      </vt:variant>
      <vt:variant>
        <vt:i4>484</vt:i4>
      </vt:variant>
      <vt:variant>
        <vt:i4>0</vt:i4>
      </vt:variant>
      <vt:variant>
        <vt:i4>5</vt:i4>
      </vt:variant>
      <vt:variant>
        <vt:lpwstr/>
      </vt:variant>
      <vt:variant>
        <vt:lpwstr>_ENREF_104</vt:lpwstr>
      </vt:variant>
      <vt:variant>
        <vt:i4>7536699</vt:i4>
      </vt:variant>
      <vt:variant>
        <vt:i4>478</vt:i4>
      </vt:variant>
      <vt:variant>
        <vt:i4>0</vt:i4>
      </vt:variant>
      <vt:variant>
        <vt:i4>5</vt:i4>
      </vt:variant>
      <vt:variant>
        <vt:lpwstr/>
      </vt:variant>
      <vt:variant>
        <vt:lpwstr>_ENREF_103</vt:lpwstr>
      </vt:variant>
      <vt:variant>
        <vt:i4>7667771</vt:i4>
      </vt:variant>
      <vt:variant>
        <vt:i4>472</vt:i4>
      </vt:variant>
      <vt:variant>
        <vt:i4>0</vt:i4>
      </vt:variant>
      <vt:variant>
        <vt:i4>5</vt:i4>
      </vt:variant>
      <vt:variant>
        <vt:lpwstr/>
      </vt:variant>
      <vt:variant>
        <vt:lpwstr>_ENREF_105</vt:lpwstr>
      </vt:variant>
      <vt:variant>
        <vt:i4>7798842</vt:i4>
      </vt:variant>
      <vt:variant>
        <vt:i4>464</vt:i4>
      </vt:variant>
      <vt:variant>
        <vt:i4>0</vt:i4>
      </vt:variant>
      <vt:variant>
        <vt:i4>5</vt:i4>
      </vt:variant>
      <vt:variant>
        <vt:lpwstr/>
      </vt:variant>
      <vt:variant>
        <vt:lpwstr>_ENREF_117</vt:lpwstr>
      </vt:variant>
      <vt:variant>
        <vt:i4>7733307</vt:i4>
      </vt:variant>
      <vt:variant>
        <vt:i4>458</vt:i4>
      </vt:variant>
      <vt:variant>
        <vt:i4>0</vt:i4>
      </vt:variant>
      <vt:variant>
        <vt:i4>5</vt:i4>
      </vt:variant>
      <vt:variant>
        <vt:lpwstr/>
      </vt:variant>
      <vt:variant>
        <vt:lpwstr>_ENREF_106</vt:lpwstr>
      </vt:variant>
      <vt:variant>
        <vt:i4>7667770</vt:i4>
      </vt:variant>
      <vt:variant>
        <vt:i4>450</vt:i4>
      </vt:variant>
      <vt:variant>
        <vt:i4>0</vt:i4>
      </vt:variant>
      <vt:variant>
        <vt:i4>5</vt:i4>
      </vt:variant>
      <vt:variant>
        <vt:lpwstr/>
      </vt:variant>
      <vt:variant>
        <vt:lpwstr>_ENREF_115</vt:lpwstr>
      </vt:variant>
      <vt:variant>
        <vt:i4>7733307</vt:i4>
      </vt:variant>
      <vt:variant>
        <vt:i4>446</vt:i4>
      </vt:variant>
      <vt:variant>
        <vt:i4>0</vt:i4>
      </vt:variant>
      <vt:variant>
        <vt:i4>5</vt:i4>
      </vt:variant>
      <vt:variant>
        <vt:lpwstr/>
      </vt:variant>
      <vt:variant>
        <vt:lpwstr>_ENREF_106</vt:lpwstr>
      </vt:variant>
      <vt:variant>
        <vt:i4>7536699</vt:i4>
      </vt:variant>
      <vt:variant>
        <vt:i4>443</vt:i4>
      </vt:variant>
      <vt:variant>
        <vt:i4>0</vt:i4>
      </vt:variant>
      <vt:variant>
        <vt:i4>5</vt:i4>
      </vt:variant>
      <vt:variant>
        <vt:lpwstr/>
      </vt:variant>
      <vt:variant>
        <vt:lpwstr>_ENREF_103</vt:lpwstr>
      </vt:variant>
      <vt:variant>
        <vt:i4>7471163</vt:i4>
      </vt:variant>
      <vt:variant>
        <vt:i4>435</vt:i4>
      </vt:variant>
      <vt:variant>
        <vt:i4>0</vt:i4>
      </vt:variant>
      <vt:variant>
        <vt:i4>5</vt:i4>
      </vt:variant>
      <vt:variant>
        <vt:lpwstr/>
      </vt:variant>
      <vt:variant>
        <vt:lpwstr>_ENREF_102</vt:lpwstr>
      </vt:variant>
      <vt:variant>
        <vt:i4>7733306</vt:i4>
      </vt:variant>
      <vt:variant>
        <vt:i4>429</vt:i4>
      </vt:variant>
      <vt:variant>
        <vt:i4>0</vt:i4>
      </vt:variant>
      <vt:variant>
        <vt:i4>5</vt:i4>
      </vt:variant>
      <vt:variant>
        <vt:lpwstr/>
      </vt:variant>
      <vt:variant>
        <vt:lpwstr>_ENREF_116</vt:lpwstr>
      </vt:variant>
      <vt:variant>
        <vt:i4>4653067</vt:i4>
      </vt:variant>
      <vt:variant>
        <vt:i4>423</vt:i4>
      </vt:variant>
      <vt:variant>
        <vt:i4>0</vt:i4>
      </vt:variant>
      <vt:variant>
        <vt:i4>5</vt:i4>
      </vt:variant>
      <vt:variant>
        <vt:lpwstr/>
      </vt:variant>
      <vt:variant>
        <vt:lpwstr>_ENREF_6</vt:lpwstr>
      </vt:variant>
      <vt:variant>
        <vt:i4>7667770</vt:i4>
      </vt:variant>
      <vt:variant>
        <vt:i4>415</vt:i4>
      </vt:variant>
      <vt:variant>
        <vt:i4>0</vt:i4>
      </vt:variant>
      <vt:variant>
        <vt:i4>5</vt:i4>
      </vt:variant>
      <vt:variant>
        <vt:lpwstr/>
      </vt:variant>
      <vt:variant>
        <vt:lpwstr>_ENREF_115</vt:lpwstr>
      </vt:variant>
      <vt:variant>
        <vt:i4>7340091</vt:i4>
      </vt:variant>
      <vt:variant>
        <vt:i4>352</vt:i4>
      </vt:variant>
      <vt:variant>
        <vt:i4>0</vt:i4>
      </vt:variant>
      <vt:variant>
        <vt:i4>5</vt:i4>
      </vt:variant>
      <vt:variant>
        <vt:lpwstr/>
      </vt:variant>
      <vt:variant>
        <vt:lpwstr>_ENREF_100</vt:lpwstr>
      </vt:variant>
      <vt:variant>
        <vt:i4>4390923</vt:i4>
      </vt:variant>
      <vt:variant>
        <vt:i4>346</vt:i4>
      </vt:variant>
      <vt:variant>
        <vt:i4>0</vt:i4>
      </vt:variant>
      <vt:variant>
        <vt:i4>5</vt:i4>
      </vt:variant>
      <vt:variant>
        <vt:lpwstr/>
      </vt:variant>
      <vt:variant>
        <vt:lpwstr>_ENREF_27</vt:lpwstr>
      </vt:variant>
      <vt:variant>
        <vt:i4>4653067</vt:i4>
      </vt:variant>
      <vt:variant>
        <vt:i4>340</vt:i4>
      </vt:variant>
      <vt:variant>
        <vt:i4>0</vt:i4>
      </vt:variant>
      <vt:variant>
        <vt:i4>5</vt:i4>
      </vt:variant>
      <vt:variant>
        <vt:lpwstr/>
      </vt:variant>
      <vt:variant>
        <vt:lpwstr>_ENREF_6</vt:lpwstr>
      </vt:variant>
      <vt:variant>
        <vt:i4>4587531</vt:i4>
      </vt:variant>
      <vt:variant>
        <vt:i4>332</vt:i4>
      </vt:variant>
      <vt:variant>
        <vt:i4>0</vt:i4>
      </vt:variant>
      <vt:variant>
        <vt:i4>5</vt:i4>
      </vt:variant>
      <vt:variant>
        <vt:lpwstr/>
      </vt:variant>
      <vt:variant>
        <vt:lpwstr>_ENREF_78</vt:lpwstr>
      </vt:variant>
      <vt:variant>
        <vt:i4>4653067</vt:i4>
      </vt:variant>
      <vt:variant>
        <vt:i4>326</vt:i4>
      </vt:variant>
      <vt:variant>
        <vt:i4>0</vt:i4>
      </vt:variant>
      <vt:variant>
        <vt:i4>5</vt:i4>
      </vt:variant>
      <vt:variant>
        <vt:lpwstr/>
      </vt:variant>
      <vt:variant>
        <vt:lpwstr>_ENREF_6</vt:lpwstr>
      </vt:variant>
      <vt:variant>
        <vt:i4>7340091</vt:i4>
      </vt:variant>
      <vt:variant>
        <vt:i4>320</vt:i4>
      </vt:variant>
      <vt:variant>
        <vt:i4>0</vt:i4>
      </vt:variant>
      <vt:variant>
        <vt:i4>5</vt:i4>
      </vt:variant>
      <vt:variant>
        <vt:lpwstr/>
      </vt:variant>
      <vt:variant>
        <vt:lpwstr>_ENREF_100</vt:lpwstr>
      </vt:variant>
      <vt:variant>
        <vt:i4>4653067</vt:i4>
      </vt:variant>
      <vt:variant>
        <vt:i4>314</vt:i4>
      </vt:variant>
      <vt:variant>
        <vt:i4>0</vt:i4>
      </vt:variant>
      <vt:variant>
        <vt:i4>5</vt:i4>
      </vt:variant>
      <vt:variant>
        <vt:lpwstr/>
      </vt:variant>
      <vt:variant>
        <vt:lpwstr>_ENREF_6</vt:lpwstr>
      </vt:variant>
      <vt:variant>
        <vt:i4>4587531</vt:i4>
      </vt:variant>
      <vt:variant>
        <vt:i4>306</vt:i4>
      </vt:variant>
      <vt:variant>
        <vt:i4>0</vt:i4>
      </vt:variant>
      <vt:variant>
        <vt:i4>5</vt:i4>
      </vt:variant>
      <vt:variant>
        <vt:lpwstr/>
      </vt:variant>
      <vt:variant>
        <vt:lpwstr>_ENREF_78</vt:lpwstr>
      </vt:variant>
      <vt:variant>
        <vt:i4>4587531</vt:i4>
      </vt:variant>
      <vt:variant>
        <vt:i4>300</vt:i4>
      </vt:variant>
      <vt:variant>
        <vt:i4>0</vt:i4>
      </vt:variant>
      <vt:variant>
        <vt:i4>5</vt:i4>
      </vt:variant>
      <vt:variant>
        <vt:lpwstr/>
      </vt:variant>
      <vt:variant>
        <vt:lpwstr>_ENREF_73</vt:lpwstr>
      </vt:variant>
      <vt:variant>
        <vt:i4>4587531</vt:i4>
      </vt:variant>
      <vt:variant>
        <vt:i4>292</vt:i4>
      </vt:variant>
      <vt:variant>
        <vt:i4>0</vt:i4>
      </vt:variant>
      <vt:variant>
        <vt:i4>5</vt:i4>
      </vt:variant>
      <vt:variant>
        <vt:lpwstr/>
      </vt:variant>
      <vt:variant>
        <vt:lpwstr>_ENREF_78</vt:lpwstr>
      </vt:variant>
      <vt:variant>
        <vt:i4>4587531</vt:i4>
      </vt:variant>
      <vt:variant>
        <vt:i4>286</vt:i4>
      </vt:variant>
      <vt:variant>
        <vt:i4>0</vt:i4>
      </vt:variant>
      <vt:variant>
        <vt:i4>5</vt:i4>
      </vt:variant>
      <vt:variant>
        <vt:lpwstr/>
      </vt:variant>
      <vt:variant>
        <vt:lpwstr>_ENREF_73</vt:lpwstr>
      </vt:variant>
      <vt:variant>
        <vt:i4>4653067</vt:i4>
      </vt:variant>
      <vt:variant>
        <vt:i4>280</vt:i4>
      </vt:variant>
      <vt:variant>
        <vt:i4>0</vt:i4>
      </vt:variant>
      <vt:variant>
        <vt:i4>5</vt:i4>
      </vt:variant>
      <vt:variant>
        <vt:lpwstr/>
      </vt:variant>
      <vt:variant>
        <vt:lpwstr>_ENREF_6</vt:lpwstr>
      </vt:variant>
      <vt:variant>
        <vt:i4>4587531</vt:i4>
      </vt:variant>
      <vt:variant>
        <vt:i4>274</vt:i4>
      </vt:variant>
      <vt:variant>
        <vt:i4>0</vt:i4>
      </vt:variant>
      <vt:variant>
        <vt:i4>5</vt:i4>
      </vt:variant>
      <vt:variant>
        <vt:lpwstr/>
      </vt:variant>
      <vt:variant>
        <vt:lpwstr>_ENREF_73</vt:lpwstr>
      </vt:variant>
      <vt:variant>
        <vt:i4>7340091</vt:i4>
      </vt:variant>
      <vt:variant>
        <vt:i4>268</vt:i4>
      </vt:variant>
      <vt:variant>
        <vt:i4>0</vt:i4>
      </vt:variant>
      <vt:variant>
        <vt:i4>5</vt:i4>
      </vt:variant>
      <vt:variant>
        <vt:lpwstr/>
      </vt:variant>
      <vt:variant>
        <vt:lpwstr>_ENREF_100</vt:lpwstr>
      </vt:variant>
      <vt:variant>
        <vt:i4>4390923</vt:i4>
      </vt:variant>
      <vt:variant>
        <vt:i4>262</vt:i4>
      </vt:variant>
      <vt:variant>
        <vt:i4>0</vt:i4>
      </vt:variant>
      <vt:variant>
        <vt:i4>5</vt:i4>
      </vt:variant>
      <vt:variant>
        <vt:lpwstr/>
      </vt:variant>
      <vt:variant>
        <vt:lpwstr>_ENREF_27</vt:lpwstr>
      </vt:variant>
      <vt:variant>
        <vt:i4>4653067</vt:i4>
      </vt:variant>
      <vt:variant>
        <vt:i4>256</vt:i4>
      </vt:variant>
      <vt:variant>
        <vt:i4>0</vt:i4>
      </vt:variant>
      <vt:variant>
        <vt:i4>5</vt:i4>
      </vt:variant>
      <vt:variant>
        <vt:lpwstr/>
      </vt:variant>
      <vt:variant>
        <vt:lpwstr>_ENREF_6</vt:lpwstr>
      </vt:variant>
      <vt:variant>
        <vt:i4>4587531</vt:i4>
      </vt:variant>
      <vt:variant>
        <vt:i4>250</vt:i4>
      </vt:variant>
      <vt:variant>
        <vt:i4>0</vt:i4>
      </vt:variant>
      <vt:variant>
        <vt:i4>5</vt:i4>
      </vt:variant>
      <vt:variant>
        <vt:lpwstr/>
      </vt:variant>
      <vt:variant>
        <vt:lpwstr>_ENREF_73</vt:lpwstr>
      </vt:variant>
      <vt:variant>
        <vt:i4>4653067</vt:i4>
      </vt:variant>
      <vt:variant>
        <vt:i4>244</vt:i4>
      </vt:variant>
      <vt:variant>
        <vt:i4>0</vt:i4>
      </vt:variant>
      <vt:variant>
        <vt:i4>5</vt:i4>
      </vt:variant>
      <vt:variant>
        <vt:lpwstr/>
      </vt:variant>
      <vt:variant>
        <vt:lpwstr>_ENREF_6</vt:lpwstr>
      </vt:variant>
      <vt:variant>
        <vt:i4>4390923</vt:i4>
      </vt:variant>
      <vt:variant>
        <vt:i4>238</vt:i4>
      </vt:variant>
      <vt:variant>
        <vt:i4>0</vt:i4>
      </vt:variant>
      <vt:variant>
        <vt:i4>5</vt:i4>
      </vt:variant>
      <vt:variant>
        <vt:lpwstr/>
      </vt:variant>
      <vt:variant>
        <vt:lpwstr>_ENREF_27</vt:lpwstr>
      </vt:variant>
      <vt:variant>
        <vt:i4>4653067</vt:i4>
      </vt:variant>
      <vt:variant>
        <vt:i4>232</vt:i4>
      </vt:variant>
      <vt:variant>
        <vt:i4>0</vt:i4>
      </vt:variant>
      <vt:variant>
        <vt:i4>5</vt:i4>
      </vt:variant>
      <vt:variant>
        <vt:lpwstr/>
      </vt:variant>
      <vt:variant>
        <vt:lpwstr>_ENREF_6</vt:lpwstr>
      </vt:variant>
      <vt:variant>
        <vt:i4>4587531</vt:i4>
      </vt:variant>
      <vt:variant>
        <vt:i4>226</vt:i4>
      </vt:variant>
      <vt:variant>
        <vt:i4>0</vt:i4>
      </vt:variant>
      <vt:variant>
        <vt:i4>5</vt:i4>
      </vt:variant>
      <vt:variant>
        <vt:lpwstr/>
      </vt:variant>
      <vt:variant>
        <vt:lpwstr>_ENREF_73</vt:lpwstr>
      </vt:variant>
      <vt:variant>
        <vt:i4>4653067</vt:i4>
      </vt:variant>
      <vt:variant>
        <vt:i4>220</vt:i4>
      </vt:variant>
      <vt:variant>
        <vt:i4>0</vt:i4>
      </vt:variant>
      <vt:variant>
        <vt:i4>5</vt:i4>
      </vt:variant>
      <vt:variant>
        <vt:lpwstr/>
      </vt:variant>
      <vt:variant>
        <vt:lpwstr>_ENREF_6</vt:lpwstr>
      </vt:variant>
      <vt:variant>
        <vt:i4>4194315</vt:i4>
      </vt:variant>
      <vt:variant>
        <vt:i4>212</vt:i4>
      </vt:variant>
      <vt:variant>
        <vt:i4>0</vt:i4>
      </vt:variant>
      <vt:variant>
        <vt:i4>5</vt:i4>
      </vt:variant>
      <vt:variant>
        <vt:lpwstr/>
      </vt:variant>
      <vt:variant>
        <vt:lpwstr>_ENREF_13</vt:lpwstr>
      </vt:variant>
      <vt:variant>
        <vt:i4>4194315</vt:i4>
      </vt:variant>
      <vt:variant>
        <vt:i4>204</vt:i4>
      </vt:variant>
      <vt:variant>
        <vt:i4>0</vt:i4>
      </vt:variant>
      <vt:variant>
        <vt:i4>5</vt:i4>
      </vt:variant>
      <vt:variant>
        <vt:lpwstr/>
      </vt:variant>
      <vt:variant>
        <vt:lpwstr>_ENREF_13</vt:lpwstr>
      </vt:variant>
      <vt:variant>
        <vt:i4>4194315</vt:i4>
      </vt:variant>
      <vt:variant>
        <vt:i4>198</vt:i4>
      </vt:variant>
      <vt:variant>
        <vt:i4>0</vt:i4>
      </vt:variant>
      <vt:variant>
        <vt:i4>5</vt:i4>
      </vt:variant>
      <vt:variant>
        <vt:lpwstr/>
      </vt:variant>
      <vt:variant>
        <vt:lpwstr>_ENREF_18</vt:lpwstr>
      </vt:variant>
      <vt:variant>
        <vt:i4>4718603</vt:i4>
      </vt:variant>
      <vt:variant>
        <vt:i4>192</vt:i4>
      </vt:variant>
      <vt:variant>
        <vt:i4>0</vt:i4>
      </vt:variant>
      <vt:variant>
        <vt:i4>5</vt:i4>
      </vt:variant>
      <vt:variant>
        <vt:lpwstr/>
      </vt:variant>
      <vt:variant>
        <vt:lpwstr>_ENREF_9</vt:lpwstr>
      </vt:variant>
      <vt:variant>
        <vt:i4>7209016</vt:i4>
      </vt:variant>
      <vt:variant>
        <vt:i4>189</vt:i4>
      </vt:variant>
      <vt:variant>
        <vt:i4>0</vt:i4>
      </vt:variant>
      <vt:variant>
        <vt:i4>5</vt:i4>
      </vt:variant>
      <vt:variant>
        <vt:lpwstr>https://clinicaltrials.gov/ct2/show/NCT03706833</vt:lpwstr>
      </vt:variant>
      <vt:variant>
        <vt:lpwstr/>
      </vt:variant>
      <vt:variant>
        <vt:i4>6881332</vt:i4>
      </vt:variant>
      <vt:variant>
        <vt:i4>186</vt:i4>
      </vt:variant>
      <vt:variant>
        <vt:i4>0</vt:i4>
      </vt:variant>
      <vt:variant>
        <vt:i4>5</vt:i4>
      </vt:variant>
      <vt:variant>
        <vt:lpwstr>https://clinicaltrials.gov/ct2/show/NCT03170349</vt:lpwstr>
      </vt:variant>
      <vt:variant>
        <vt:lpwstr/>
      </vt:variant>
      <vt:variant>
        <vt:i4>6881332</vt:i4>
      </vt:variant>
      <vt:variant>
        <vt:i4>183</vt:i4>
      </vt:variant>
      <vt:variant>
        <vt:i4>0</vt:i4>
      </vt:variant>
      <vt:variant>
        <vt:i4>5</vt:i4>
      </vt:variant>
      <vt:variant>
        <vt:lpwstr>https://clinicaltrials.gov/ct2/show/NCT03170349</vt:lpwstr>
      </vt:variant>
      <vt:variant>
        <vt:lpwstr/>
      </vt:variant>
      <vt:variant>
        <vt:i4>3997744</vt:i4>
      </vt:variant>
      <vt:variant>
        <vt:i4>3</vt:i4>
      </vt:variant>
      <vt:variant>
        <vt:i4>0</vt:i4>
      </vt:variant>
      <vt:variant>
        <vt:i4>5</vt:i4>
      </vt:variant>
      <vt:variant>
        <vt:lpwstr>http://www.msac.gov.au/</vt:lpwstr>
      </vt:variant>
      <vt:variant>
        <vt:lpwstr/>
      </vt:variant>
      <vt:variant>
        <vt:i4>786543</vt:i4>
      </vt:variant>
      <vt:variant>
        <vt:i4>0</vt:i4>
      </vt:variant>
      <vt:variant>
        <vt:i4>0</vt:i4>
      </vt:variant>
      <vt:variant>
        <vt:i4>5</vt:i4>
      </vt:variant>
      <vt:variant>
        <vt:lpwstr>mailto:hta@health.gov.au</vt:lpwstr>
      </vt:variant>
      <vt:variant>
        <vt:lpwstr/>
      </vt:variant>
      <vt:variant>
        <vt:i4>131098</vt:i4>
      </vt:variant>
      <vt:variant>
        <vt:i4>6</vt:i4>
      </vt:variant>
      <vt:variant>
        <vt:i4>0</vt:i4>
      </vt:variant>
      <vt:variant>
        <vt:i4>5</vt:i4>
      </vt:variant>
      <vt:variant>
        <vt:lpwstr>mailto:Simon_Williamson@edwards.com</vt:lpwstr>
      </vt:variant>
      <vt:variant>
        <vt:lpwstr/>
      </vt:variant>
      <vt:variant>
        <vt:i4>4128872</vt:i4>
      </vt:variant>
      <vt:variant>
        <vt:i4>3</vt:i4>
      </vt:variant>
      <vt:variant>
        <vt:i4>0</vt:i4>
      </vt:variant>
      <vt:variant>
        <vt:i4>5</vt:i4>
      </vt:variant>
      <vt:variant>
        <vt:lpwstr>mailto:Polo_Guilbert-Wright@edwards.com</vt:lpwstr>
      </vt:variant>
      <vt:variant>
        <vt:lpwstr/>
      </vt:variant>
      <vt:variant>
        <vt:i4>917506</vt:i4>
      </vt:variant>
      <vt:variant>
        <vt:i4>0</vt:i4>
      </vt:variant>
      <vt:variant>
        <vt:i4>0</vt:i4>
      </vt:variant>
      <vt:variant>
        <vt:i4>5</vt:i4>
      </vt:variant>
      <vt:variant>
        <vt:lpwstr>mailto:Rachael_Todd@edwards.com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2021-08-09T01:07:00Z</dcterms:created>
  <dcterms:modified xsi:type="dcterms:W3CDTF">2021-08-09T01:18:00Z</dcterms:modified>
</cp:coreProperties>
</file>