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CAC0" w14:textId="74751961" w:rsidR="00772829" w:rsidRPr="00903F9D" w:rsidRDefault="00EB62FF" w:rsidP="00772829">
      <w:pPr>
        <w:spacing w:after="240"/>
        <w:jc w:val="center"/>
        <w:rPr>
          <w:b/>
          <w:szCs w:val="24"/>
        </w:rPr>
      </w:pPr>
      <w:r w:rsidRPr="00903F9D">
        <w:rPr>
          <w:noProof/>
        </w:rPr>
        <w:drawing>
          <wp:inline distT="0" distB="0" distL="0" distR="0" wp14:anchorId="4B5B8C15" wp14:editId="1219E68F">
            <wp:extent cx="2627630" cy="1078865"/>
            <wp:effectExtent l="0" t="0" r="1270" b="6985"/>
            <wp:docPr id="1" name="Picture 1" descr="Medical Services Advisory Committee Logo"/>
            <wp:cNvGraphicFramePr/>
            <a:graphic xmlns:a="http://schemas.openxmlformats.org/drawingml/2006/main">
              <a:graphicData uri="http://schemas.openxmlformats.org/drawingml/2006/picture">
                <pic:pic xmlns:pic="http://schemas.openxmlformats.org/drawingml/2006/picture">
                  <pic:nvPicPr>
                    <pic:cNvPr id="1" name="Picture 1" descr="Medical Services Advisory Committee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A47F4A1" w14:textId="484A404C" w:rsidR="00EB62FF" w:rsidRPr="00903F9D" w:rsidRDefault="00EB62FF" w:rsidP="00EB62FF">
      <w:pPr>
        <w:pStyle w:val="Subtitle"/>
        <w:spacing w:before="480"/>
        <w:rPr>
          <w:rFonts w:eastAsiaTheme="majorEastAsia"/>
          <w:i w:val="0"/>
          <w:iCs/>
          <w:sz w:val="36"/>
          <w:szCs w:val="36"/>
        </w:rPr>
      </w:pPr>
      <w:r w:rsidRPr="00903F9D">
        <w:rPr>
          <w:rFonts w:eastAsiaTheme="majorEastAsia"/>
          <w:bCs w:val="0"/>
          <w:i w:val="0"/>
          <w:iCs/>
          <w:sz w:val="36"/>
          <w:szCs w:val="36"/>
        </w:rPr>
        <w:t>Public Summary Document</w:t>
      </w:r>
    </w:p>
    <w:p w14:paraId="7696594C" w14:textId="77777777" w:rsidR="00772829" w:rsidRPr="00903F9D" w:rsidRDefault="00772829" w:rsidP="003106CE">
      <w:pPr>
        <w:pStyle w:val="Subtitle"/>
        <w:rPr>
          <w:iCs/>
        </w:rPr>
      </w:pPr>
      <w:r w:rsidRPr="00903F9D">
        <w:rPr>
          <w:iCs/>
        </w:rPr>
        <w:t xml:space="preserve">Application No. </w:t>
      </w:r>
      <w:r w:rsidR="00037EDA" w:rsidRPr="00903F9D">
        <w:rPr>
          <w:iCs/>
        </w:rPr>
        <w:t>1665</w:t>
      </w:r>
      <w:r w:rsidRPr="00903F9D">
        <w:rPr>
          <w:iCs/>
        </w:rPr>
        <w:t xml:space="preserve"> – </w:t>
      </w:r>
      <w:r w:rsidR="00037EDA" w:rsidRPr="00903F9D">
        <w:rPr>
          <w:iCs/>
        </w:rPr>
        <w:t>Radiofrequency echographic multi spectrometry for bone density measurement and determination of osteopenia/osteoporosis</w:t>
      </w:r>
      <w:r w:rsidRPr="00903F9D">
        <w:rPr>
          <w:iCs/>
        </w:rPr>
        <w:t>)</w:t>
      </w:r>
    </w:p>
    <w:p w14:paraId="00ECACD4" w14:textId="77777777" w:rsidR="00772829" w:rsidRPr="00903F9D" w:rsidRDefault="00772829" w:rsidP="00772829">
      <w:pPr>
        <w:tabs>
          <w:tab w:val="left" w:pos="3686"/>
        </w:tabs>
        <w:spacing w:after="240"/>
        <w:rPr>
          <w:rFonts w:ascii="Arial" w:hAnsi="Arial" w:cs="Arial"/>
          <w:b/>
          <w:szCs w:val="24"/>
        </w:rPr>
      </w:pPr>
      <w:r w:rsidRPr="00903F9D">
        <w:rPr>
          <w:rFonts w:ascii="Arial" w:hAnsi="Arial" w:cs="Arial"/>
          <w:b/>
          <w:szCs w:val="24"/>
        </w:rPr>
        <w:t>Applicant:</w:t>
      </w:r>
      <w:r w:rsidRPr="00903F9D">
        <w:rPr>
          <w:rFonts w:ascii="Arial" w:hAnsi="Arial" w:cs="Arial"/>
          <w:b/>
          <w:szCs w:val="24"/>
        </w:rPr>
        <w:tab/>
      </w:r>
      <w:r w:rsidR="00734DD9" w:rsidRPr="00903F9D">
        <w:rPr>
          <w:rFonts w:ascii="Arial" w:hAnsi="Arial" w:cs="Arial"/>
          <w:b/>
          <w:szCs w:val="24"/>
        </w:rPr>
        <w:t>Cortex Health Pty Ltd</w:t>
      </w:r>
    </w:p>
    <w:p w14:paraId="1B698AD0" w14:textId="7475B394" w:rsidR="00610F95" w:rsidRPr="00903F9D" w:rsidRDefault="00610F95" w:rsidP="00610F95">
      <w:pPr>
        <w:tabs>
          <w:tab w:val="left" w:pos="3686"/>
        </w:tabs>
        <w:spacing w:after="360"/>
        <w:rPr>
          <w:rFonts w:ascii="Arial" w:eastAsia="Calibri" w:hAnsi="Arial" w:cs="Arial"/>
          <w:b/>
          <w:szCs w:val="24"/>
        </w:rPr>
      </w:pPr>
      <w:bookmarkStart w:id="0" w:name="_Toc69491415"/>
      <w:r w:rsidRPr="00903F9D">
        <w:rPr>
          <w:rFonts w:ascii="Arial" w:eastAsia="Calibri" w:hAnsi="Arial" w:cs="Arial"/>
          <w:b/>
          <w:szCs w:val="24"/>
        </w:rPr>
        <w:t xml:space="preserve">Date of </w:t>
      </w:r>
      <w:r w:rsidR="00EB62FF" w:rsidRPr="00903F9D">
        <w:rPr>
          <w:rFonts w:ascii="Arial" w:eastAsia="Calibri" w:hAnsi="Arial" w:cs="Arial"/>
          <w:b/>
          <w:szCs w:val="24"/>
        </w:rPr>
        <w:t>MSAC</w:t>
      </w:r>
      <w:r w:rsidRPr="00903F9D">
        <w:rPr>
          <w:rFonts w:ascii="Arial" w:eastAsia="Calibri" w:hAnsi="Arial" w:cs="Arial"/>
          <w:b/>
          <w:szCs w:val="24"/>
        </w:rPr>
        <w:t xml:space="preserve"> consideration:</w:t>
      </w:r>
      <w:r w:rsidRPr="00903F9D">
        <w:rPr>
          <w:rFonts w:ascii="Arial" w:eastAsia="Calibri" w:hAnsi="Arial" w:cs="Arial"/>
          <w:b/>
          <w:szCs w:val="24"/>
        </w:rPr>
        <w:tab/>
      </w:r>
      <w:r w:rsidR="00EB62FF" w:rsidRPr="00903F9D">
        <w:rPr>
          <w:rFonts w:ascii="Arial" w:eastAsia="Calibri" w:hAnsi="Arial" w:cs="Arial"/>
          <w:b/>
          <w:szCs w:val="24"/>
        </w:rPr>
        <w:t>28-29 July</w:t>
      </w:r>
      <w:r w:rsidRPr="00903F9D">
        <w:rPr>
          <w:rFonts w:ascii="Arial" w:eastAsia="Calibri" w:hAnsi="Arial" w:cs="Arial"/>
          <w:b/>
          <w:szCs w:val="24"/>
        </w:rPr>
        <w:t xml:space="preserve"> 2022</w:t>
      </w:r>
    </w:p>
    <w:p w14:paraId="0FD95B0E" w14:textId="77777777" w:rsidR="00253BEF" w:rsidRPr="00903F9D" w:rsidRDefault="00253BEF" w:rsidP="00253BEF">
      <w:pPr>
        <w:spacing w:before="240" w:after="360"/>
        <w:rPr>
          <w:color w:val="0000FF"/>
          <w:szCs w:val="24"/>
          <w:u w:val="single"/>
        </w:rPr>
      </w:pPr>
      <w:r w:rsidRPr="00903F9D">
        <w:rPr>
          <w:szCs w:val="24"/>
        </w:rPr>
        <w:t xml:space="preserve">Context for decision: MSAC makes its advice in accordance with its Terms of Reference, </w:t>
      </w:r>
      <w:hyperlink r:id="rId8" w:tooltip="Link to Medical Services Advisory Committee website" w:history="1">
        <w:r w:rsidRPr="00903F9D">
          <w:rPr>
            <w:rStyle w:val="Hyperlink"/>
            <w:szCs w:val="24"/>
          </w:rPr>
          <w:t>visit the MSAC website</w:t>
        </w:r>
      </w:hyperlink>
    </w:p>
    <w:p w14:paraId="7A6F7E19" w14:textId="4C020F3C" w:rsidR="00772829" w:rsidRPr="00903F9D" w:rsidRDefault="00C36633" w:rsidP="00C36633">
      <w:pPr>
        <w:pStyle w:val="Heading2"/>
        <w:numPr>
          <w:ilvl w:val="0"/>
          <w:numId w:val="0"/>
        </w:numPr>
      </w:pPr>
      <w:r w:rsidRPr="00903F9D">
        <w:t>1.</w:t>
      </w:r>
      <w:r w:rsidRPr="00903F9D">
        <w:tab/>
      </w:r>
      <w:r w:rsidR="00772829" w:rsidRPr="00903F9D">
        <w:t xml:space="preserve">Purpose </w:t>
      </w:r>
      <w:r w:rsidR="00772829" w:rsidRPr="00903F9D">
        <w:rPr>
          <w:szCs w:val="32"/>
        </w:rPr>
        <w:t>of</w:t>
      </w:r>
      <w:r w:rsidR="00772829" w:rsidRPr="00903F9D">
        <w:t xml:space="preserve"> application</w:t>
      </w:r>
      <w:bookmarkEnd w:id="0"/>
    </w:p>
    <w:p w14:paraId="22456F1C" w14:textId="6A32652D" w:rsidR="00313883" w:rsidRPr="00903F9D" w:rsidRDefault="00772829" w:rsidP="00772829">
      <w:pPr>
        <w:spacing w:after="240"/>
        <w:rPr>
          <w:iCs/>
        </w:rPr>
      </w:pPr>
      <w:bookmarkStart w:id="1" w:name="_Hlk69734469"/>
      <w:r w:rsidRPr="00903F9D">
        <w:rPr>
          <w:iCs/>
        </w:rPr>
        <w:t xml:space="preserve">An application requesting </w:t>
      </w:r>
      <w:r w:rsidR="0097022D" w:rsidRPr="00903F9D">
        <w:rPr>
          <w:iCs/>
        </w:rPr>
        <w:t>Medicare Benefits Schedule (</w:t>
      </w:r>
      <w:r w:rsidRPr="00903F9D">
        <w:rPr>
          <w:iCs/>
        </w:rPr>
        <w:t>MBS</w:t>
      </w:r>
      <w:r w:rsidR="0097022D" w:rsidRPr="00903F9D">
        <w:rPr>
          <w:iCs/>
        </w:rPr>
        <w:t>)</w:t>
      </w:r>
      <w:r w:rsidR="00627A37" w:rsidRPr="00903F9D">
        <w:rPr>
          <w:iCs/>
        </w:rPr>
        <w:t xml:space="preserve"> </w:t>
      </w:r>
      <w:r w:rsidRPr="00903F9D">
        <w:rPr>
          <w:iCs/>
        </w:rPr>
        <w:t xml:space="preserve">listing of </w:t>
      </w:r>
      <w:r w:rsidR="00B5258C" w:rsidRPr="00903F9D">
        <w:rPr>
          <w:iCs/>
        </w:rPr>
        <w:t xml:space="preserve">ultrasound </w:t>
      </w:r>
      <w:r w:rsidR="002476FA" w:rsidRPr="00903F9D">
        <w:rPr>
          <w:iCs/>
        </w:rPr>
        <w:t>r</w:t>
      </w:r>
      <w:r w:rsidR="00B5258C" w:rsidRPr="00903F9D">
        <w:rPr>
          <w:iCs/>
        </w:rPr>
        <w:t xml:space="preserve">adiofrequency </w:t>
      </w:r>
      <w:r w:rsidR="002476FA" w:rsidRPr="00903F9D">
        <w:rPr>
          <w:iCs/>
        </w:rPr>
        <w:t>e</w:t>
      </w:r>
      <w:r w:rsidR="00B5258C" w:rsidRPr="00903F9D">
        <w:rPr>
          <w:iCs/>
        </w:rPr>
        <w:t xml:space="preserve">chographic </w:t>
      </w:r>
      <w:r w:rsidR="002476FA" w:rsidRPr="00903F9D">
        <w:rPr>
          <w:iCs/>
        </w:rPr>
        <w:t>m</w:t>
      </w:r>
      <w:r w:rsidR="00B5258C" w:rsidRPr="00903F9D">
        <w:rPr>
          <w:iCs/>
        </w:rPr>
        <w:t xml:space="preserve">ulti </w:t>
      </w:r>
      <w:r w:rsidR="002476FA" w:rsidRPr="00903F9D">
        <w:rPr>
          <w:iCs/>
        </w:rPr>
        <w:t>s</w:t>
      </w:r>
      <w:r w:rsidR="00B5258C" w:rsidRPr="00903F9D">
        <w:rPr>
          <w:iCs/>
        </w:rPr>
        <w:t>pectrometry (REMS</w:t>
      </w:r>
      <w:r w:rsidR="00F50585" w:rsidRPr="00903F9D">
        <w:rPr>
          <w:iCs/>
        </w:rPr>
        <w:t>)</w:t>
      </w:r>
      <w:r w:rsidRPr="00903F9D">
        <w:rPr>
          <w:iCs/>
        </w:rPr>
        <w:t xml:space="preserve"> for </w:t>
      </w:r>
      <w:r w:rsidR="00B5258C" w:rsidRPr="00903F9D">
        <w:rPr>
          <w:iCs/>
        </w:rPr>
        <w:t xml:space="preserve">the diagnosis of </w:t>
      </w:r>
      <w:r w:rsidR="00901553" w:rsidRPr="00903F9D">
        <w:rPr>
          <w:iCs/>
        </w:rPr>
        <w:t xml:space="preserve">osteopenia and </w:t>
      </w:r>
      <w:r w:rsidR="00B5258C" w:rsidRPr="00903F9D">
        <w:rPr>
          <w:iCs/>
        </w:rPr>
        <w:t>osteoporosis</w:t>
      </w:r>
      <w:r w:rsidRPr="00903F9D">
        <w:rPr>
          <w:iCs/>
        </w:rPr>
        <w:t xml:space="preserve"> was received from </w:t>
      </w:r>
      <w:r w:rsidR="00B5258C" w:rsidRPr="00903F9D">
        <w:rPr>
          <w:iCs/>
        </w:rPr>
        <w:t xml:space="preserve">Cortex Health Pty Ltd </w:t>
      </w:r>
      <w:r w:rsidRPr="00903F9D">
        <w:rPr>
          <w:iCs/>
        </w:rPr>
        <w:t>by the Department of Health</w:t>
      </w:r>
      <w:r w:rsidR="003E4014" w:rsidRPr="00903F9D">
        <w:rPr>
          <w:iCs/>
        </w:rPr>
        <w:t xml:space="preserve"> and Aged Care</w:t>
      </w:r>
      <w:r w:rsidRPr="00903F9D">
        <w:rPr>
          <w:iCs/>
        </w:rPr>
        <w:t>.</w:t>
      </w:r>
    </w:p>
    <w:p w14:paraId="6DF6158F" w14:textId="2812C69F" w:rsidR="00EB62FF" w:rsidRPr="00903F9D" w:rsidRDefault="00C36633" w:rsidP="00EB62FF">
      <w:pPr>
        <w:pStyle w:val="Heading2"/>
        <w:numPr>
          <w:ilvl w:val="0"/>
          <w:numId w:val="0"/>
        </w:numPr>
      </w:pPr>
      <w:bookmarkStart w:id="2" w:name="_Toc69491416"/>
      <w:bookmarkEnd w:id="1"/>
      <w:r w:rsidRPr="00903F9D">
        <w:t>2.</w:t>
      </w:r>
      <w:r w:rsidRPr="00903F9D">
        <w:tab/>
      </w:r>
      <w:r w:rsidR="00EB62FF" w:rsidRPr="00903F9D">
        <w:t>MSAC’s advice to the Minister</w:t>
      </w:r>
    </w:p>
    <w:p w14:paraId="7BB922B4" w14:textId="02496F6E" w:rsidR="00581066" w:rsidRPr="00903F9D" w:rsidRDefault="00581066" w:rsidP="00581066">
      <w:pPr>
        <w:rPr>
          <w:szCs w:val="24"/>
        </w:rPr>
      </w:pPr>
      <w:r w:rsidRPr="00903F9D">
        <w:t>After considering the strength of the available evidence in relation to comparative safety, clinical effectiveness</w:t>
      </w:r>
      <w:r w:rsidR="00CE3118" w:rsidRPr="00903F9D">
        <w:t>,</w:t>
      </w:r>
      <w:r w:rsidRPr="00903F9D">
        <w:t xml:space="preserve"> </w:t>
      </w:r>
      <w:proofErr w:type="gramStart"/>
      <w:r w:rsidRPr="00903F9D">
        <w:t>cost-effectiveness</w:t>
      </w:r>
      <w:proofErr w:type="gramEnd"/>
      <w:r w:rsidR="00CE3118" w:rsidRPr="00903F9D">
        <w:t xml:space="preserve"> and total cost</w:t>
      </w:r>
      <w:r w:rsidRPr="00903F9D">
        <w:t xml:space="preserve">, </w:t>
      </w:r>
      <w:r w:rsidRPr="00903F9D">
        <w:rPr>
          <w:szCs w:val="24"/>
        </w:rPr>
        <w:t>MSAC did not support public funding of the radiofrequency echographic multispectrometry (REMS) for bone density measurement and determination of osteopenia and osteoporosis. MSAC considered the evidence presented did not demonstrate sufficient correlation of REMS with dual-energy x-ray absorptiometry (DXA). As such, MSAC queried whether there is a population for whom there is a residual clinical need for REMS and suggested that a re-application could instead identify those defined as eligible for DXA but are unable to be tested by DXA. MSAC also requested data on inter-machine variability, inter-operator variability and intra-patient variability over time.</w:t>
      </w:r>
    </w:p>
    <w:tbl>
      <w:tblPr>
        <w:tblStyle w:val="TableGrid"/>
        <w:tblW w:w="0" w:type="auto"/>
        <w:tblLook w:val="04A0" w:firstRow="1" w:lastRow="0" w:firstColumn="1" w:lastColumn="0" w:noHBand="0" w:noVBand="1"/>
        <w:tblDescription w:val="Consumer summary of MSAC consideration"/>
      </w:tblPr>
      <w:tblGrid>
        <w:gridCol w:w="9016"/>
      </w:tblGrid>
      <w:tr w:rsidR="00EB62FF" w:rsidRPr="00903F9D" w14:paraId="7D8A72C7" w14:textId="77777777" w:rsidTr="00EB62FF">
        <w:trPr>
          <w:tblHeader/>
        </w:trPr>
        <w:tc>
          <w:tcPr>
            <w:tcW w:w="9016" w:type="dxa"/>
            <w:tcBorders>
              <w:top w:val="single" w:sz="4" w:space="0" w:color="auto"/>
              <w:left w:val="single" w:sz="4" w:space="0" w:color="auto"/>
              <w:bottom w:val="single" w:sz="4" w:space="0" w:color="auto"/>
              <w:right w:val="single" w:sz="4" w:space="0" w:color="auto"/>
            </w:tcBorders>
            <w:hideMark/>
          </w:tcPr>
          <w:p w14:paraId="40D9C5EA" w14:textId="77777777" w:rsidR="00EB62FF" w:rsidRPr="00903F9D" w:rsidRDefault="00EB62FF">
            <w:pPr>
              <w:pStyle w:val="Default"/>
              <w:spacing w:before="120" w:after="120"/>
              <w:rPr>
                <w:rFonts w:ascii="Franklin Gothic Book" w:hAnsi="Franklin Gothic Book"/>
                <w:b/>
                <w:bCs/>
                <w:color w:val="auto"/>
                <w:sz w:val="22"/>
                <w:szCs w:val="22"/>
              </w:rPr>
            </w:pPr>
            <w:r w:rsidRPr="00903F9D">
              <w:rPr>
                <w:rFonts w:ascii="Franklin Gothic Book" w:hAnsi="Franklin Gothic Book"/>
                <w:b/>
                <w:bCs/>
                <w:color w:val="auto"/>
                <w:sz w:val="22"/>
                <w:szCs w:val="22"/>
              </w:rPr>
              <w:t>Consumer summary</w:t>
            </w:r>
          </w:p>
        </w:tc>
      </w:tr>
      <w:tr w:rsidR="00EB62FF" w:rsidRPr="00903F9D" w14:paraId="62185819" w14:textId="77777777" w:rsidTr="00EB62FF">
        <w:tc>
          <w:tcPr>
            <w:tcW w:w="9016" w:type="dxa"/>
            <w:tcBorders>
              <w:top w:val="single" w:sz="4" w:space="0" w:color="auto"/>
              <w:left w:val="single" w:sz="4" w:space="0" w:color="auto"/>
              <w:bottom w:val="single" w:sz="4" w:space="0" w:color="auto"/>
              <w:right w:val="single" w:sz="4" w:space="0" w:color="auto"/>
            </w:tcBorders>
            <w:hideMark/>
          </w:tcPr>
          <w:p w14:paraId="60A8BEFB" w14:textId="3F10123A" w:rsidR="00581066" w:rsidRPr="00903F9D" w:rsidRDefault="00581066" w:rsidP="00581066">
            <w:pPr>
              <w:pStyle w:val="Default"/>
              <w:spacing w:after="240"/>
              <w:rPr>
                <w:rFonts w:ascii="Franklin Gothic Book" w:hAnsi="Franklin Gothic Book"/>
                <w:iCs/>
                <w:color w:val="auto"/>
                <w:sz w:val="22"/>
                <w:szCs w:val="22"/>
              </w:rPr>
            </w:pPr>
            <w:r w:rsidRPr="00903F9D">
              <w:rPr>
                <w:rFonts w:ascii="Franklin Gothic Book" w:hAnsi="Franklin Gothic Book"/>
                <w:iCs/>
                <w:color w:val="auto"/>
                <w:sz w:val="22"/>
                <w:szCs w:val="22"/>
              </w:rPr>
              <w:t xml:space="preserve">This is an application from Cortex Health </w:t>
            </w:r>
            <w:r w:rsidR="003E4014" w:rsidRPr="00903F9D">
              <w:rPr>
                <w:rFonts w:ascii="Franklin Gothic Book" w:hAnsi="Franklin Gothic Book"/>
                <w:iCs/>
                <w:color w:val="auto"/>
                <w:sz w:val="22"/>
                <w:szCs w:val="22"/>
              </w:rPr>
              <w:t xml:space="preserve">Pty Ltd </w:t>
            </w:r>
            <w:r w:rsidRPr="00903F9D">
              <w:rPr>
                <w:rFonts w:ascii="Franklin Gothic Book" w:hAnsi="Franklin Gothic Book"/>
                <w:iCs/>
                <w:color w:val="auto"/>
                <w:sz w:val="22"/>
                <w:szCs w:val="22"/>
              </w:rPr>
              <w:t xml:space="preserve">requesting Medicare Benefits Schedule (MBS) listing of </w:t>
            </w:r>
            <w:proofErr w:type="gramStart"/>
            <w:r w:rsidRPr="00903F9D">
              <w:rPr>
                <w:rFonts w:ascii="Franklin Gothic Book" w:hAnsi="Franklin Gothic Book"/>
                <w:iCs/>
                <w:color w:val="auto"/>
                <w:sz w:val="22"/>
                <w:szCs w:val="22"/>
              </w:rPr>
              <w:t>radiofrequency</w:t>
            </w:r>
            <w:proofErr w:type="gramEnd"/>
            <w:r w:rsidRPr="00903F9D">
              <w:rPr>
                <w:rFonts w:ascii="Franklin Gothic Book" w:hAnsi="Franklin Gothic Book"/>
                <w:iCs/>
                <w:color w:val="auto"/>
                <w:sz w:val="22"/>
                <w:szCs w:val="22"/>
              </w:rPr>
              <w:t xml:space="preserve"> echographic multispectrometry (REMS) for the diagnosis of osteopenia</w:t>
            </w:r>
            <w:r w:rsidR="00661EE6" w:rsidRPr="00903F9D">
              <w:rPr>
                <w:rFonts w:ascii="Franklin Gothic Book" w:hAnsi="Franklin Gothic Book"/>
                <w:iCs/>
                <w:color w:val="auto"/>
                <w:sz w:val="22"/>
                <w:szCs w:val="22"/>
              </w:rPr>
              <w:t xml:space="preserve"> </w:t>
            </w:r>
            <w:r w:rsidR="00901553" w:rsidRPr="00903F9D">
              <w:rPr>
                <w:rFonts w:ascii="Franklin Gothic Book" w:hAnsi="Franklin Gothic Book"/>
                <w:iCs/>
                <w:color w:val="auto"/>
                <w:sz w:val="22"/>
                <w:szCs w:val="22"/>
              </w:rPr>
              <w:t xml:space="preserve">and </w:t>
            </w:r>
            <w:r w:rsidRPr="00903F9D">
              <w:rPr>
                <w:rFonts w:ascii="Franklin Gothic Book" w:hAnsi="Franklin Gothic Book"/>
                <w:iCs/>
                <w:color w:val="auto"/>
                <w:sz w:val="22"/>
                <w:szCs w:val="22"/>
              </w:rPr>
              <w:t>osteoporosis.</w:t>
            </w:r>
          </w:p>
          <w:p w14:paraId="44B3900E" w14:textId="3FA1E85E" w:rsidR="00581066" w:rsidRPr="00903F9D" w:rsidRDefault="00581066" w:rsidP="00581066">
            <w:pPr>
              <w:pStyle w:val="Default"/>
              <w:spacing w:after="240"/>
              <w:rPr>
                <w:rFonts w:ascii="Franklin Gothic Book" w:hAnsi="Franklin Gothic Book"/>
                <w:iCs/>
                <w:color w:val="auto"/>
                <w:sz w:val="22"/>
                <w:szCs w:val="22"/>
              </w:rPr>
            </w:pPr>
            <w:r w:rsidRPr="00903F9D">
              <w:rPr>
                <w:rFonts w:ascii="Franklin Gothic Book" w:hAnsi="Franklin Gothic Book"/>
                <w:iCs/>
                <w:color w:val="auto"/>
                <w:sz w:val="22"/>
                <w:szCs w:val="22"/>
              </w:rPr>
              <w:t xml:space="preserve">Osteoporosis is a condition where bones become weak and fragile. For people with osteoporosis, even a minor bump or accident can cause a broken bone (called a minimal trauma fracture). Fractures due to osteoporosis can cause chronic pain, disability, loss of independence and early death. Osteopenia is a condition where bone mineral density (the </w:t>
            </w:r>
            <w:r w:rsidRPr="00903F9D">
              <w:rPr>
                <w:rFonts w:ascii="Franklin Gothic Book" w:hAnsi="Franklin Gothic Book"/>
                <w:iCs/>
                <w:color w:val="auto"/>
                <w:sz w:val="22"/>
                <w:szCs w:val="22"/>
              </w:rPr>
              <w:lastRenderedPageBreak/>
              <w:t>amount of calcium and other minerals in bone) is lower than normal, but not low enough to be classified as osteoporosis. Women usually start losing bone mass earlier than men.</w:t>
            </w:r>
          </w:p>
          <w:p w14:paraId="37AA4001" w14:textId="57CFD950" w:rsidR="00581066" w:rsidRPr="00903F9D" w:rsidRDefault="00581066" w:rsidP="00581066">
            <w:pPr>
              <w:pStyle w:val="Default"/>
              <w:spacing w:after="240"/>
              <w:rPr>
                <w:rFonts w:ascii="Franklin Gothic Book" w:hAnsi="Franklin Gothic Book"/>
                <w:iCs/>
                <w:color w:val="auto"/>
                <w:sz w:val="22"/>
                <w:szCs w:val="22"/>
              </w:rPr>
            </w:pPr>
            <w:r w:rsidRPr="00903F9D">
              <w:rPr>
                <w:rFonts w:ascii="Franklin Gothic Book" w:hAnsi="Franklin Gothic Book"/>
                <w:iCs/>
                <w:color w:val="auto"/>
                <w:sz w:val="22"/>
                <w:szCs w:val="22"/>
              </w:rPr>
              <w:t xml:space="preserve">Dual-energy </w:t>
            </w:r>
            <w:r w:rsidR="00604E4A" w:rsidRPr="00903F9D">
              <w:rPr>
                <w:rFonts w:ascii="Franklin Gothic Book" w:hAnsi="Franklin Gothic Book"/>
                <w:iCs/>
                <w:color w:val="auto"/>
                <w:sz w:val="22"/>
                <w:szCs w:val="22"/>
              </w:rPr>
              <w:t>x</w:t>
            </w:r>
            <w:r w:rsidRPr="00903F9D">
              <w:rPr>
                <w:rFonts w:ascii="Franklin Gothic Book" w:hAnsi="Franklin Gothic Book"/>
                <w:iCs/>
                <w:color w:val="auto"/>
                <w:sz w:val="22"/>
                <w:szCs w:val="22"/>
              </w:rPr>
              <w:t xml:space="preserve">-ray absorptiometry (DXA) is the </w:t>
            </w:r>
            <w:r w:rsidR="003E4014" w:rsidRPr="00903F9D">
              <w:rPr>
                <w:rFonts w:ascii="Franklin Gothic Book" w:hAnsi="Franklin Gothic Book"/>
                <w:iCs/>
                <w:color w:val="auto"/>
                <w:sz w:val="22"/>
                <w:szCs w:val="22"/>
              </w:rPr>
              <w:t>current</w:t>
            </w:r>
            <w:r w:rsidRPr="00903F9D">
              <w:rPr>
                <w:rFonts w:ascii="Franklin Gothic Book" w:hAnsi="Franklin Gothic Book"/>
                <w:iCs/>
                <w:color w:val="auto"/>
                <w:sz w:val="22"/>
                <w:szCs w:val="22"/>
              </w:rPr>
              <w:t xml:space="preserve"> standard for screening and monitoring bone mineral density. Two </w:t>
            </w:r>
            <w:r w:rsidR="00316C71" w:rsidRPr="00903F9D">
              <w:rPr>
                <w:rFonts w:ascii="Franklin Gothic Book" w:hAnsi="Franklin Gothic Book"/>
                <w:iCs/>
                <w:color w:val="auto"/>
                <w:sz w:val="22"/>
                <w:szCs w:val="22"/>
              </w:rPr>
              <w:t>x</w:t>
            </w:r>
            <w:r w:rsidRPr="00903F9D">
              <w:rPr>
                <w:rFonts w:ascii="Franklin Gothic Book" w:hAnsi="Franklin Gothic Book"/>
                <w:iCs/>
                <w:color w:val="auto"/>
                <w:sz w:val="22"/>
                <w:szCs w:val="22"/>
              </w:rPr>
              <w:t>-ray beams with different energy levels are aimed at a patient’s bones</w:t>
            </w:r>
            <w:r w:rsidR="00D30142" w:rsidRPr="00903F9D">
              <w:rPr>
                <w:rFonts w:ascii="Franklin Gothic Book" w:hAnsi="Franklin Gothic Book"/>
                <w:iCs/>
                <w:color w:val="auto"/>
                <w:sz w:val="22"/>
                <w:szCs w:val="22"/>
              </w:rPr>
              <w:t xml:space="preserve"> anywhere in the body but most commonly</w:t>
            </w:r>
            <w:r w:rsidRPr="00903F9D">
              <w:rPr>
                <w:rFonts w:ascii="Franklin Gothic Book" w:hAnsi="Franklin Gothic Book"/>
                <w:iCs/>
                <w:color w:val="auto"/>
                <w:sz w:val="22"/>
                <w:szCs w:val="22"/>
              </w:rPr>
              <w:t xml:space="preserve"> in the hips, spine and/or wrist. Radiofrequency echographic multispectrometry is a more recent technology that uses ultrasound to scan bones in the hip and spine</w:t>
            </w:r>
            <w:r w:rsidR="00D30142" w:rsidRPr="00903F9D">
              <w:rPr>
                <w:rFonts w:ascii="Franklin Gothic Book" w:hAnsi="Franklin Gothic Book"/>
                <w:iCs/>
                <w:color w:val="auto"/>
                <w:sz w:val="22"/>
                <w:szCs w:val="22"/>
              </w:rPr>
              <w:t xml:space="preserve"> only</w:t>
            </w:r>
            <w:r w:rsidRPr="00903F9D">
              <w:rPr>
                <w:rFonts w:ascii="Franklin Gothic Book" w:hAnsi="Franklin Gothic Book"/>
                <w:iCs/>
                <w:color w:val="auto"/>
                <w:sz w:val="22"/>
                <w:szCs w:val="22"/>
              </w:rPr>
              <w:t>.</w:t>
            </w:r>
          </w:p>
          <w:p w14:paraId="196634D1" w14:textId="56447241" w:rsidR="00581066" w:rsidRPr="00903F9D" w:rsidRDefault="00D30142" w:rsidP="00581066">
            <w:pPr>
              <w:pStyle w:val="Default"/>
              <w:spacing w:after="240"/>
              <w:rPr>
                <w:rFonts w:ascii="Franklin Gothic Book" w:hAnsi="Franklin Gothic Book"/>
                <w:iCs/>
                <w:color w:val="auto"/>
                <w:sz w:val="22"/>
                <w:szCs w:val="22"/>
              </w:rPr>
            </w:pPr>
            <w:r w:rsidRPr="00903F9D">
              <w:rPr>
                <w:rFonts w:ascii="Franklin Gothic Book" w:hAnsi="Franklin Gothic Book"/>
                <w:iCs/>
                <w:color w:val="auto"/>
                <w:sz w:val="22"/>
                <w:szCs w:val="22"/>
              </w:rPr>
              <w:t xml:space="preserve">After considering the evidence, </w:t>
            </w:r>
            <w:r w:rsidR="00581066" w:rsidRPr="00903F9D">
              <w:rPr>
                <w:rFonts w:ascii="Franklin Gothic Book" w:hAnsi="Franklin Gothic Book"/>
                <w:iCs/>
                <w:color w:val="auto"/>
                <w:sz w:val="22"/>
                <w:szCs w:val="22"/>
              </w:rPr>
              <w:t xml:space="preserve">MSAC was not convinced that REMS </w:t>
            </w:r>
            <w:r w:rsidRPr="00903F9D">
              <w:rPr>
                <w:rFonts w:ascii="Franklin Gothic Book" w:hAnsi="Franklin Gothic Book"/>
                <w:iCs/>
                <w:color w:val="auto"/>
                <w:sz w:val="22"/>
                <w:szCs w:val="22"/>
              </w:rPr>
              <w:t>is as good as</w:t>
            </w:r>
            <w:r w:rsidR="00581066" w:rsidRPr="00903F9D">
              <w:rPr>
                <w:rFonts w:ascii="Franklin Gothic Book" w:hAnsi="Franklin Gothic Book"/>
                <w:iCs/>
                <w:color w:val="auto"/>
                <w:sz w:val="22"/>
                <w:szCs w:val="22"/>
              </w:rPr>
              <w:t xml:space="preserve"> DXA</w:t>
            </w:r>
            <w:r w:rsidR="00870FBC" w:rsidRPr="00903F9D">
              <w:rPr>
                <w:rFonts w:ascii="Franklin Gothic Book" w:hAnsi="Franklin Gothic Book"/>
                <w:iCs/>
                <w:color w:val="auto"/>
                <w:sz w:val="22"/>
                <w:szCs w:val="22"/>
              </w:rPr>
              <w:t xml:space="preserve"> at diagnosing osteoporosis</w:t>
            </w:r>
            <w:r w:rsidR="003E4014" w:rsidRPr="00903F9D">
              <w:rPr>
                <w:rFonts w:ascii="Franklin Gothic Book" w:hAnsi="Franklin Gothic Book"/>
                <w:iCs/>
                <w:color w:val="auto"/>
                <w:sz w:val="22"/>
                <w:szCs w:val="22"/>
              </w:rPr>
              <w:t xml:space="preserve"> based on low mineral density</w:t>
            </w:r>
            <w:r w:rsidR="00581066" w:rsidRPr="00903F9D">
              <w:rPr>
                <w:rFonts w:ascii="Franklin Gothic Book" w:hAnsi="Franklin Gothic Book"/>
                <w:iCs/>
                <w:color w:val="auto"/>
                <w:sz w:val="22"/>
                <w:szCs w:val="22"/>
              </w:rPr>
              <w:t xml:space="preserve">. Additionally, MSAC questioned if there was a need for REMS, as most patients would be able to have a DXA scan and those who </w:t>
            </w:r>
            <w:r w:rsidR="00B36C5F" w:rsidRPr="00903F9D">
              <w:rPr>
                <w:rFonts w:ascii="Franklin Gothic Book" w:hAnsi="Franklin Gothic Book"/>
                <w:iCs/>
                <w:color w:val="auto"/>
                <w:sz w:val="22"/>
                <w:szCs w:val="22"/>
              </w:rPr>
              <w:t>cannot</w:t>
            </w:r>
            <w:r w:rsidR="00581066" w:rsidRPr="00903F9D">
              <w:rPr>
                <w:rFonts w:ascii="Franklin Gothic Book" w:hAnsi="Franklin Gothic Book"/>
                <w:iCs/>
                <w:color w:val="auto"/>
                <w:sz w:val="22"/>
                <w:szCs w:val="22"/>
              </w:rPr>
              <w:t xml:space="preserve"> have a DXA scan (such as very obese people) would</w:t>
            </w:r>
            <w:r w:rsidR="00446E4E" w:rsidRPr="00903F9D">
              <w:rPr>
                <w:rFonts w:ascii="Franklin Gothic Book" w:hAnsi="Franklin Gothic Book"/>
                <w:iCs/>
                <w:color w:val="auto"/>
                <w:sz w:val="22"/>
                <w:szCs w:val="22"/>
              </w:rPr>
              <w:t xml:space="preserve"> </w:t>
            </w:r>
            <w:r w:rsidR="00581066" w:rsidRPr="00903F9D">
              <w:rPr>
                <w:rFonts w:ascii="Franklin Gothic Book" w:hAnsi="Franklin Gothic Book"/>
                <w:iCs/>
                <w:color w:val="auto"/>
                <w:sz w:val="22"/>
                <w:szCs w:val="22"/>
              </w:rPr>
              <w:t>n</w:t>
            </w:r>
            <w:r w:rsidR="00446E4E" w:rsidRPr="00903F9D">
              <w:rPr>
                <w:rFonts w:ascii="Franklin Gothic Book" w:hAnsi="Franklin Gothic Book"/>
                <w:iCs/>
                <w:color w:val="auto"/>
                <w:sz w:val="22"/>
                <w:szCs w:val="22"/>
              </w:rPr>
              <w:t>o</w:t>
            </w:r>
            <w:r w:rsidR="00581066" w:rsidRPr="00903F9D">
              <w:rPr>
                <w:rFonts w:ascii="Franklin Gothic Book" w:hAnsi="Franklin Gothic Book"/>
                <w:iCs/>
                <w:color w:val="auto"/>
                <w:sz w:val="22"/>
                <w:szCs w:val="22"/>
              </w:rPr>
              <w:t>t be able to have a REMS scan either. MSAC also noted that REMS was unsuitable for some people, and that referring clinicians would need to be educated on</w:t>
            </w:r>
            <w:r w:rsidR="0016084E" w:rsidRPr="00903F9D">
              <w:rPr>
                <w:rFonts w:ascii="Franklin Gothic Book" w:hAnsi="Franklin Gothic Book"/>
                <w:iCs/>
                <w:color w:val="auto"/>
                <w:sz w:val="22"/>
                <w:szCs w:val="22"/>
              </w:rPr>
              <w:t xml:space="preserve"> </w:t>
            </w:r>
            <w:r w:rsidR="003E4014" w:rsidRPr="00903F9D">
              <w:rPr>
                <w:rFonts w:ascii="Franklin Gothic Book" w:hAnsi="Franklin Gothic Book"/>
                <w:iCs/>
                <w:color w:val="auto"/>
                <w:sz w:val="22"/>
                <w:szCs w:val="22"/>
              </w:rPr>
              <w:t>which</w:t>
            </w:r>
            <w:r w:rsidR="0016084E" w:rsidRPr="00903F9D">
              <w:rPr>
                <w:rFonts w:ascii="Franklin Gothic Book" w:hAnsi="Franklin Gothic Book"/>
                <w:iCs/>
                <w:color w:val="auto"/>
                <w:sz w:val="22"/>
                <w:szCs w:val="22"/>
              </w:rPr>
              <w:t xml:space="preserve"> types of patients REMS scans would be suitable for</w:t>
            </w:r>
            <w:r w:rsidR="00581066" w:rsidRPr="00903F9D">
              <w:rPr>
                <w:rFonts w:ascii="Franklin Gothic Book" w:hAnsi="Franklin Gothic Book"/>
                <w:iCs/>
                <w:color w:val="auto"/>
                <w:sz w:val="22"/>
                <w:szCs w:val="22"/>
              </w:rPr>
              <w:t>, to lower the chance of unsuccessful scans. MSAC also noted that the quality of the REMS scans depended on the person doing it, so they would need to undergo training that is developed and accredited by relevant organisations.</w:t>
            </w:r>
          </w:p>
          <w:p w14:paraId="0104F039" w14:textId="2E1A2DDF" w:rsidR="00581066" w:rsidRPr="00903F9D" w:rsidRDefault="00581066" w:rsidP="00581066">
            <w:pPr>
              <w:pStyle w:val="Default"/>
              <w:spacing w:after="240"/>
              <w:rPr>
                <w:rFonts w:ascii="Franklin Gothic Book" w:hAnsi="Franklin Gothic Book"/>
                <w:b/>
                <w:bCs/>
                <w:iCs/>
                <w:color w:val="auto"/>
                <w:sz w:val="22"/>
                <w:szCs w:val="22"/>
              </w:rPr>
            </w:pPr>
            <w:r w:rsidRPr="00903F9D">
              <w:rPr>
                <w:rFonts w:ascii="Franklin Gothic Book" w:hAnsi="Franklin Gothic Book"/>
                <w:b/>
                <w:bCs/>
                <w:iCs/>
                <w:color w:val="auto"/>
                <w:sz w:val="22"/>
                <w:szCs w:val="22"/>
              </w:rPr>
              <w:t xml:space="preserve">MSAC’s advice to the </w:t>
            </w:r>
            <w:proofErr w:type="gramStart"/>
            <w:r w:rsidRPr="00903F9D">
              <w:rPr>
                <w:rFonts w:ascii="Franklin Gothic Book" w:hAnsi="Franklin Gothic Book"/>
                <w:b/>
                <w:bCs/>
                <w:iCs/>
                <w:color w:val="auto"/>
                <w:sz w:val="22"/>
                <w:szCs w:val="22"/>
              </w:rPr>
              <w:t>Commonwealth Minister</w:t>
            </w:r>
            <w:proofErr w:type="gramEnd"/>
            <w:r w:rsidRPr="00903F9D">
              <w:rPr>
                <w:rFonts w:ascii="Franklin Gothic Book" w:hAnsi="Franklin Gothic Book"/>
                <w:b/>
                <w:bCs/>
                <w:iCs/>
                <w:color w:val="auto"/>
                <w:sz w:val="22"/>
                <w:szCs w:val="22"/>
              </w:rPr>
              <w:t xml:space="preserve"> for Health</w:t>
            </w:r>
            <w:r w:rsidR="00555F49" w:rsidRPr="00903F9D">
              <w:rPr>
                <w:rFonts w:ascii="Franklin Gothic Book" w:hAnsi="Franklin Gothic Book"/>
                <w:b/>
                <w:bCs/>
                <w:iCs/>
                <w:color w:val="auto"/>
                <w:sz w:val="22"/>
                <w:szCs w:val="22"/>
              </w:rPr>
              <w:t xml:space="preserve"> and Aged Care</w:t>
            </w:r>
          </w:p>
          <w:p w14:paraId="2B6F262D" w14:textId="3CEC61ED" w:rsidR="00EB62FF" w:rsidRPr="00903F9D" w:rsidRDefault="00581066" w:rsidP="00581066">
            <w:pPr>
              <w:pStyle w:val="Default"/>
              <w:spacing w:after="240"/>
              <w:rPr>
                <w:i/>
                <w:color w:val="auto"/>
              </w:rPr>
            </w:pPr>
            <w:r w:rsidRPr="00903F9D">
              <w:rPr>
                <w:rFonts w:ascii="Franklin Gothic Book" w:hAnsi="Franklin Gothic Book"/>
                <w:iCs/>
                <w:color w:val="auto"/>
                <w:sz w:val="22"/>
                <w:szCs w:val="22"/>
              </w:rPr>
              <w:t xml:space="preserve">MSAC did not support listing REMS on the MBS. </w:t>
            </w:r>
            <w:r w:rsidR="00D30142" w:rsidRPr="00903F9D">
              <w:rPr>
                <w:rFonts w:ascii="Franklin Gothic Book" w:hAnsi="Franklin Gothic Book"/>
                <w:iCs/>
                <w:color w:val="auto"/>
                <w:sz w:val="22"/>
                <w:szCs w:val="22"/>
              </w:rPr>
              <w:t>MSAC</w:t>
            </w:r>
            <w:r w:rsidRPr="00903F9D">
              <w:rPr>
                <w:rFonts w:ascii="Franklin Gothic Book" w:hAnsi="Franklin Gothic Book"/>
                <w:iCs/>
                <w:color w:val="auto"/>
                <w:sz w:val="22"/>
                <w:szCs w:val="22"/>
              </w:rPr>
              <w:t xml:space="preserve"> considered that REMS was not </w:t>
            </w:r>
            <w:r w:rsidR="00D30142" w:rsidRPr="00903F9D">
              <w:rPr>
                <w:rFonts w:ascii="Franklin Gothic Book" w:hAnsi="Franklin Gothic Book"/>
                <w:iCs/>
                <w:color w:val="auto"/>
                <w:sz w:val="22"/>
                <w:szCs w:val="22"/>
              </w:rPr>
              <w:t>as good as</w:t>
            </w:r>
            <w:r w:rsidRPr="00903F9D">
              <w:rPr>
                <w:rFonts w:ascii="Franklin Gothic Book" w:hAnsi="Franklin Gothic Book"/>
                <w:iCs/>
                <w:color w:val="auto"/>
                <w:sz w:val="22"/>
                <w:szCs w:val="22"/>
              </w:rPr>
              <w:t xml:space="preserve"> the </w:t>
            </w:r>
            <w:r w:rsidR="003E4014" w:rsidRPr="00903F9D">
              <w:rPr>
                <w:rFonts w:ascii="Franklin Gothic Book" w:hAnsi="Franklin Gothic Book"/>
                <w:iCs/>
                <w:color w:val="auto"/>
                <w:sz w:val="22"/>
                <w:szCs w:val="22"/>
              </w:rPr>
              <w:t>current</w:t>
            </w:r>
            <w:r w:rsidRPr="00903F9D">
              <w:rPr>
                <w:rFonts w:ascii="Franklin Gothic Book" w:hAnsi="Franklin Gothic Book"/>
                <w:iCs/>
                <w:color w:val="auto"/>
                <w:sz w:val="22"/>
                <w:szCs w:val="22"/>
              </w:rPr>
              <w:t xml:space="preserve"> standard, DXA, and did not offer any safety or other </w:t>
            </w:r>
            <w:r w:rsidR="003E4014" w:rsidRPr="00903F9D">
              <w:rPr>
                <w:rFonts w:ascii="Franklin Gothic Book" w:hAnsi="Franklin Gothic Book"/>
                <w:iCs/>
                <w:color w:val="auto"/>
                <w:sz w:val="22"/>
                <w:szCs w:val="22"/>
              </w:rPr>
              <w:t xml:space="preserve">health </w:t>
            </w:r>
            <w:r w:rsidRPr="00903F9D">
              <w:rPr>
                <w:rFonts w:ascii="Franklin Gothic Book" w:hAnsi="Franklin Gothic Book"/>
                <w:iCs/>
                <w:color w:val="auto"/>
                <w:sz w:val="22"/>
                <w:szCs w:val="22"/>
              </w:rPr>
              <w:t xml:space="preserve">benefits compared to DXA. </w:t>
            </w:r>
            <w:r w:rsidR="00D30142" w:rsidRPr="00903F9D">
              <w:rPr>
                <w:rFonts w:ascii="Franklin Gothic Book" w:hAnsi="Franklin Gothic Book"/>
                <w:iCs/>
                <w:color w:val="auto"/>
                <w:sz w:val="22"/>
                <w:szCs w:val="22"/>
              </w:rPr>
              <w:t>MSAC</w:t>
            </w:r>
            <w:r w:rsidRPr="00903F9D">
              <w:rPr>
                <w:rFonts w:ascii="Franklin Gothic Book" w:hAnsi="Franklin Gothic Book"/>
                <w:iCs/>
                <w:color w:val="auto"/>
                <w:sz w:val="22"/>
                <w:szCs w:val="22"/>
              </w:rPr>
              <w:t xml:space="preserve"> was also uncertain which patients would need to use REMS instead of DXA</w:t>
            </w:r>
            <w:r w:rsidR="003E4014" w:rsidRPr="00903F9D">
              <w:rPr>
                <w:rFonts w:ascii="Franklin Gothic Book" w:hAnsi="Franklin Gothic Book"/>
                <w:iCs/>
                <w:color w:val="auto"/>
                <w:sz w:val="22"/>
                <w:szCs w:val="22"/>
              </w:rPr>
              <w:t>. I</w:t>
            </w:r>
            <w:r w:rsidR="001C655C" w:rsidRPr="00903F9D">
              <w:rPr>
                <w:rFonts w:ascii="Franklin Gothic Book" w:hAnsi="Franklin Gothic Book"/>
                <w:iCs/>
                <w:color w:val="auto"/>
                <w:sz w:val="22"/>
                <w:szCs w:val="22"/>
              </w:rPr>
              <w:t xml:space="preserve">f there is a small number of people for whom DXA is not possible, further evidence on how well REMS works is </w:t>
            </w:r>
            <w:r w:rsidR="003E4014" w:rsidRPr="00903F9D">
              <w:rPr>
                <w:rFonts w:ascii="Franklin Gothic Book" w:hAnsi="Franklin Gothic Book"/>
                <w:iCs/>
                <w:color w:val="auto"/>
                <w:sz w:val="22"/>
                <w:szCs w:val="22"/>
              </w:rPr>
              <w:t xml:space="preserve">also </w:t>
            </w:r>
            <w:r w:rsidR="001C655C" w:rsidRPr="00903F9D">
              <w:rPr>
                <w:rFonts w:ascii="Franklin Gothic Book" w:hAnsi="Franklin Gothic Book"/>
                <w:iCs/>
                <w:color w:val="auto"/>
                <w:sz w:val="22"/>
                <w:szCs w:val="22"/>
              </w:rPr>
              <w:t>needed</w:t>
            </w:r>
            <w:r w:rsidRPr="00903F9D">
              <w:rPr>
                <w:rFonts w:ascii="Franklin Gothic Book" w:hAnsi="Franklin Gothic Book"/>
                <w:iCs/>
                <w:color w:val="auto"/>
                <w:sz w:val="22"/>
                <w:szCs w:val="22"/>
              </w:rPr>
              <w:t>.</w:t>
            </w:r>
          </w:p>
        </w:tc>
      </w:tr>
    </w:tbl>
    <w:p w14:paraId="5AF8A96C" w14:textId="77777777" w:rsidR="00EB62FF" w:rsidRPr="00903F9D" w:rsidRDefault="00EB62FF" w:rsidP="00EB62FF">
      <w:pPr>
        <w:pStyle w:val="Heading2"/>
        <w:numPr>
          <w:ilvl w:val="0"/>
          <w:numId w:val="0"/>
        </w:numPr>
        <w:ind w:left="720" w:hanging="862"/>
      </w:pPr>
      <w:r w:rsidRPr="00903F9D">
        <w:lastRenderedPageBreak/>
        <w:t>3.</w:t>
      </w:r>
      <w:r w:rsidRPr="00903F9D">
        <w:tab/>
        <w:t>Summary of consideration and rationale for MSAC’s advice</w:t>
      </w:r>
    </w:p>
    <w:p w14:paraId="0BADA32C" w14:textId="53758DE6" w:rsidR="00581066" w:rsidRPr="00903F9D" w:rsidRDefault="00581066" w:rsidP="00581066">
      <w:r w:rsidRPr="00903F9D">
        <w:t>MSAC noted that this application from Cortex Health Pty Ltd request</w:t>
      </w:r>
      <w:r w:rsidR="00901553" w:rsidRPr="00903F9D">
        <w:t>ed</w:t>
      </w:r>
      <w:r w:rsidRPr="00903F9D">
        <w:t xml:space="preserve"> MBS listing of REMS for the diagnosis of </w:t>
      </w:r>
      <w:r w:rsidR="00901553" w:rsidRPr="00903F9D">
        <w:t xml:space="preserve">osteopenia and </w:t>
      </w:r>
      <w:r w:rsidRPr="00903F9D">
        <w:t xml:space="preserve">osteoporosis. MSAC noted that listing </w:t>
      </w:r>
      <w:r w:rsidR="00DA390A" w:rsidRPr="00903F9D">
        <w:t>wa</w:t>
      </w:r>
      <w:r w:rsidRPr="00903F9D">
        <w:t>s requested based on a claim of noninferiority (and thus cost-minimisation of MBS fees) versus DXA as the main and only comparator.</w:t>
      </w:r>
    </w:p>
    <w:p w14:paraId="1F597400" w14:textId="1ED839FE" w:rsidR="00581066" w:rsidRPr="00903F9D" w:rsidRDefault="00581066" w:rsidP="00581066">
      <w:r w:rsidRPr="00903F9D">
        <w:t>MSAC noted that the REMS technology was included on the Australian Register of Therapeutic Goods (ARTG) for use in Australia on 28 September</w:t>
      </w:r>
      <w:r w:rsidR="00DA390A" w:rsidRPr="00903F9D">
        <w:t> </w:t>
      </w:r>
      <w:r w:rsidRPr="00903F9D">
        <w:t xml:space="preserve">2020. Through its software, </w:t>
      </w:r>
      <w:r w:rsidR="004A0147" w:rsidRPr="00903F9D">
        <w:t xml:space="preserve">REMS </w:t>
      </w:r>
      <w:r w:rsidR="00DA390A" w:rsidRPr="00903F9D">
        <w:t>reports</w:t>
      </w:r>
      <w:r w:rsidRPr="00903F9D">
        <w:t xml:space="preserve"> standard </w:t>
      </w:r>
      <w:r w:rsidR="00DA390A" w:rsidRPr="00903F9D">
        <w:t xml:space="preserve">bone mineral density (BMD) </w:t>
      </w:r>
      <w:r w:rsidRPr="00903F9D">
        <w:t xml:space="preserve">parameters for the diagnosis of osteoporosis, including </w:t>
      </w:r>
      <w:r w:rsidR="00D1591C" w:rsidRPr="00903F9D">
        <w:t xml:space="preserve">a </w:t>
      </w:r>
      <w:r w:rsidRPr="00903F9D">
        <w:t>T</w:t>
      </w:r>
      <w:r w:rsidR="001845A7" w:rsidRPr="00903F9D">
        <w:noBreakHyphen/>
      </w:r>
      <w:r w:rsidRPr="00903F9D">
        <w:t>score.</w:t>
      </w:r>
    </w:p>
    <w:p w14:paraId="0AC9D856" w14:textId="72D7C6A0" w:rsidR="00870FBC" w:rsidRPr="00903F9D" w:rsidRDefault="00581066" w:rsidP="00581066">
      <w:r w:rsidRPr="00903F9D">
        <w:t xml:space="preserve">MSAC noted that the consultation feedback </w:t>
      </w:r>
      <w:r w:rsidR="00C14985" w:rsidRPr="00903F9D">
        <w:t xml:space="preserve">including from clinical societies </w:t>
      </w:r>
      <w:r w:rsidRPr="00903F9D">
        <w:t>was generally not supportive of this application</w:t>
      </w:r>
      <w:r w:rsidR="001D5AA0" w:rsidRPr="00903F9D">
        <w:t xml:space="preserve">. </w:t>
      </w:r>
      <w:r w:rsidRPr="00903F9D">
        <w:t xml:space="preserve">Most </w:t>
      </w:r>
      <w:r w:rsidR="00DF3D11" w:rsidRPr="00903F9D">
        <w:t xml:space="preserve">of those providing comment </w:t>
      </w:r>
      <w:r w:rsidRPr="00903F9D">
        <w:t xml:space="preserve">noted that the portability of the REMS device </w:t>
      </w:r>
      <w:r w:rsidR="001C655C" w:rsidRPr="00903F9D">
        <w:t>c</w:t>
      </w:r>
      <w:r w:rsidRPr="00903F9D">
        <w:t>ould allow easier access to BMD scans, such as for patients in nursing homes or in rural and remote communities</w:t>
      </w:r>
      <w:r w:rsidR="00DF3D11" w:rsidRPr="00903F9D">
        <w:t xml:space="preserve"> and </w:t>
      </w:r>
      <w:r w:rsidR="003A2568" w:rsidRPr="00903F9D">
        <w:t xml:space="preserve">some pointed to </w:t>
      </w:r>
      <w:r w:rsidR="00DF3D11" w:rsidRPr="00903F9D">
        <w:t>the provision of greater consumer choice</w:t>
      </w:r>
      <w:r w:rsidRPr="00903F9D">
        <w:t xml:space="preserve">. However, MSAC noted </w:t>
      </w:r>
      <w:r w:rsidR="0016084E" w:rsidRPr="00903F9D">
        <w:t xml:space="preserve">that while </w:t>
      </w:r>
      <w:r w:rsidRPr="00903F9D">
        <w:t xml:space="preserve">DXA </w:t>
      </w:r>
      <w:r w:rsidR="0016084E" w:rsidRPr="00903F9D">
        <w:t xml:space="preserve">is not </w:t>
      </w:r>
      <w:r w:rsidR="00C14985" w:rsidRPr="00903F9D">
        <w:t xml:space="preserve">as </w:t>
      </w:r>
      <w:r w:rsidR="0016084E" w:rsidRPr="00903F9D">
        <w:t xml:space="preserve">portable, it is currently </w:t>
      </w:r>
      <w:r w:rsidR="008F19D8" w:rsidRPr="00903F9D">
        <w:t xml:space="preserve">provided </w:t>
      </w:r>
      <w:r w:rsidR="0016084E" w:rsidRPr="00903F9D">
        <w:t>via mobile units</w:t>
      </w:r>
      <w:r w:rsidRPr="00903F9D">
        <w:t xml:space="preserve">. MSAC also noted </w:t>
      </w:r>
      <w:r w:rsidR="004C3456" w:rsidRPr="00903F9D">
        <w:t>feedback</w:t>
      </w:r>
      <w:r w:rsidRPr="00903F9D">
        <w:t xml:space="preserve"> that REMS could offer greater flexibility for patients who are unable to lie completely supine for DXA scans. However, </w:t>
      </w:r>
      <w:r w:rsidR="006B1010" w:rsidRPr="00903F9D">
        <w:t xml:space="preserve">MSAC noted that for </w:t>
      </w:r>
      <w:r w:rsidR="0026148B" w:rsidRPr="00903F9D">
        <w:t xml:space="preserve">these </w:t>
      </w:r>
      <w:r w:rsidR="006B1010" w:rsidRPr="00903F9D">
        <w:t xml:space="preserve">patients, DXA </w:t>
      </w:r>
      <w:r w:rsidR="009E63E7" w:rsidRPr="00903F9D">
        <w:t>can</w:t>
      </w:r>
      <w:r w:rsidR="0026148B" w:rsidRPr="00903F9D">
        <w:t xml:space="preserve"> scan other areas of the body, such as </w:t>
      </w:r>
      <w:r w:rsidR="006B1010" w:rsidRPr="00903F9D">
        <w:t xml:space="preserve">the wrist. </w:t>
      </w:r>
      <w:r w:rsidRPr="00903F9D">
        <w:t xml:space="preserve">MSAC noted that </w:t>
      </w:r>
      <w:r w:rsidR="00744CC3" w:rsidRPr="00903F9D">
        <w:t xml:space="preserve">the </w:t>
      </w:r>
      <w:r w:rsidRPr="00903F9D">
        <w:t xml:space="preserve">organisations </w:t>
      </w:r>
      <w:r w:rsidR="00C14985" w:rsidRPr="00903F9D">
        <w:t xml:space="preserve">providing feedback </w:t>
      </w:r>
      <w:r w:rsidRPr="00903F9D">
        <w:t>did not consider REMS to have the same functionality as DXA</w:t>
      </w:r>
      <w:r w:rsidR="00985763" w:rsidRPr="00903F9D">
        <w:t xml:space="preserve"> because </w:t>
      </w:r>
      <w:r w:rsidR="001845A7" w:rsidRPr="00903F9D">
        <w:t xml:space="preserve">it is </w:t>
      </w:r>
      <w:r w:rsidR="00C3090F" w:rsidRPr="00903F9D" w:rsidDel="004C3456">
        <w:t>limited to two regions (lumbar vertebrae L1–L4 and the femoral neck)</w:t>
      </w:r>
      <w:r w:rsidR="009E63E7" w:rsidRPr="00903F9D">
        <w:t>,</w:t>
      </w:r>
      <w:r w:rsidR="00C3090F" w:rsidRPr="00903F9D">
        <w:t xml:space="preserve"> meaning REMS cannot scan </w:t>
      </w:r>
      <w:r w:rsidR="001937FC" w:rsidRPr="00903F9D">
        <w:t>other</w:t>
      </w:r>
      <w:r w:rsidR="00C3090F" w:rsidRPr="00903F9D">
        <w:t xml:space="preserve"> areas of the body that are measured for certain diseases specified </w:t>
      </w:r>
      <w:r w:rsidR="001937FC" w:rsidRPr="00903F9D">
        <w:t>in</w:t>
      </w:r>
      <w:r w:rsidR="00C3090F" w:rsidRPr="00903F9D">
        <w:t xml:space="preserve"> DXA MBS</w:t>
      </w:r>
      <w:r w:rsidR="001937FC" w:rsidRPr="00903F9D">
        <w:t xml:space="preserve"> items</w:t>
      </w:r>
      <w:r w:rsidR="00C3090F" w:rsidRPr="00903F9D">
        <w:t>, such as the forearm in patients with hyperparathyroidism</w:t>
      </w:r>
      <w:r w:rsidR="009E63E7" w:rsidRPr="00903F9D">
        <w:t xml:space="preserve">. There was also concern that </w:t>
      </w:r>
      <w:r w:rsidR="00C3090F" w:rsidRPr="00903F9D" w:rsidDel="004C3456">
        <w:t xml:space="preserve">REMS cannot estimate BMD for </w:t>
      </w:r>
      <w:r w:rsidR="00C3090F" w:rsidRPr="00903F9D" w:rsidDel="004C3456">
        <w:lastRenderedPageBreak/>
        <w:t xml:space="preserve">the total proximal femur (TPF) region of interest – one of the main sites used in DXA. </w:t>
      </w:r>
      <w:r w:rsidR="009E63E7" w:rsidRPr="00903F9D">
        <w:t xml:space="preserve">MSAC noted other </w:t>
      </w:r>
      <w:r w:rsidRPr="00903F9D">
        <w:t>concerns were raised, including the discordant results between REMS and DXA, the potential for a high rate of unsuccessful scans, the inability to retrospectively review scans, and the limited data on REMS to support its utility for men and different racial populations</w:t>
      </w:r>
      <w:r w:rsidR="00744CC3" w:rsidRPr="00903F9D">
        <w:t>.</w:t>
      </w:r>
    </w:p>
    <w:p w14:paraId="45C3F380" w14:textId="5E927A41" w:rsidR="00581066" w:rsidRPr="00903F9D" w:rsidRDefault="00581066" w:rsidP="00581066">
      <w:r w:rsidRPr="00903F9D">
        <w:t xml:space="preserve">Feedback also noted concerns with sufficient operator training and considered that the model of service delivery (point of care) </w:t>
      </w:r>
      <w:r w:rsidR="00214E09" w:rsidRPr="00903F9D">
        <w:t>c</w:t>
      </w:r>
      <w:r w:rsidRPr="00903F9D">
        <w:t>ould lead to overservicing of multiple patients at the same healthcare facility</w:t>
      </w:r>
      <w:r w:rsidR="00267FAD" w:rsidRPr="00903F9D">
        <w:t xml:space="preserve"> or in rural and remote settings</w:t>
      </w:r>
      <w:r w:rsidRPr="00903F9D">
        <w:t xml:space="preserve">. </w:t>
      </w:r>
      <w:r w:rsidR="009339A0" w:rsidRPr="00903F9D">
        <w:t>MSAC agreed with ESC that th</w:t>
      </w:r>
      <w:r w:rsidR="00985763" w:rsidRPr="00903F9D">
        <w:t>is</w:t>
      </w:r>
      <w:r w:rsidR="009339A0" w:rsidRPr="00903F9D">
        <w:t xml:space="preserve"> potential for overservicing remained an issue.</w:t>
      </w:r>
    </w:p>
    <w:p w14:paraId="5B6E6D8E" w14:textId="77777777" w:rsidR="00985763" w:rsidRPr="00903F9D" w:rsidRDefault="00581066" w:rsidP="00581066">
      <w:r w:rsidRPr="00903F9D">
        <w:t xml:space="preserve">MSAC noted that the proposed population for REMS is patients who require BMD measurement for the diagnosis or monitoring of osteoporosis and who are currently eligible for an MBS-funded DXA. </w:t>
      </w:r>
      <w:r w:rsidR="00E435B2" w:rsidRPr="00903F9D">
        <w:t xml:space="preserve">MSAC noted that eligible patients would be investigated, </w:t>
      </w:r>
      <w:proofErr w:type="gramStart"/>
      <w:r w:rsidR="00E435B2" w:rsidRPr="00903F9D">
        <w:t>managed</w:t>
      </w:r>
      <w:proofErr w:type="gramEnd"/>
      <w:r w:rsidR="00E435B2" w:rsidRPr="00903F9D">
        <w:t xml:space="preserve"> and referred in the same way as for DXA scanning, and the clinical management algorithm for DXA is already well established in Australia by the Royal Australian College of General Practitioners (RACGP). However, MSAC noted in the clinical management algorithm for DXA that postmenopausal women and men over 50 years of age with minimal trauma hip or vertebral fracture do not require a DXA scan to diagnose or initiate treatment for osteoporosis.</w:t>
      </w:r>
    </w:p>
    <w:p w14:paraId="2C23F375" w14:textId="4A2FC639" w:rsidR="00581066" w:rsidRPr="00903F9D" w:rsidRDefault="00581066" w:rsidP="00581066">
      <w:r w:rsidRPr="00903F9D">
        <w:t xml:space="preserve">MSAC considered the comparator of DXA </w:t>
      </w:r>
      <w:r w:rsidR="00985763" w:rsidRPr="00903F9D">
        <w:t>to be</w:t>
      </w:r>
      <w:r w:rsidRPr="00903F9D">
        <w:t xml:space="preserve"> appropriate</w:t>
      </w:r>
      <w:r w:rsidR="00D439F3" w:rsidRPr="00903F9D">
        <w:t xml:space="preserve"> for th</w:t>
      </w:r>
      <w:r w:rsidR="00985763" w:rsidRPr="00903F9D">
        <w:t xml:space="preserve">e </w:t>
      </w:r>
      <w:r w:rsidR="00D87B03" w:rsidRPr="00903F9D">
        <w:t xml:space="preserve">current </w:t>
      </w:r>
      <w:r w:rsidR="00985763" w:rsidRPr="00903F9D">
        <w:t>application</w:t>
      </w:r>
      <w:r w:rsidRPr="00903F9D">
        <w:t>.</w:t>
      </w:r>
    </w:p>
    <w:p w14:paraId="303F0FD0" w14:textId="0BF489E6" w:rsidR="00CB3C46" w:rsidRPr="00903F9D" w:rsidRDefault="00D439F3" w:rsidP="00581066">
      <w:r w:rsidRPr="00903F9D">
        <w:t xml:space="preserve">Regarding comparative safety, MSAC noted that none of the studies reported significant safety issues with either REMS or DXA. However, MSAC noted that both tests have a risk of incorrect diagnosis. Regarding the risk of ionising radiation with DXA, MSAC </w:t>
      </w:r>
      <w:r w:rsidR="00DA1042" w:rsidRPr="00903F9D">
        <w:t>noted that the dose associated with DXA is very low</w:t>
      </w:r>
      <w:r w:rsidRPr="00903F9D">
        <w:t xml:space="preserve"> </w:t>
      </w:r>
      <w:r w:rsidR="00DA1042" w:rsidRPr="00903F9D">
        <w:t xml:space="preserve">and </w:t>
      </w:r>
      <w:r w:rsidR="00985763" w:rsidRPr="00903F9D">
        <w:t xml:space="preserve">so considered that it </w:t>
      </w:r>
      <w:r w:rsidR="00DA1042" w:rsidRPr="00903F9D">
        <w:t xml:space="preserve">did not represent a significant safety concern. </w:t>
      </w:r>
      <w:r w:rsidR="00EC5ED4" w:rsidRPr="00903F9D">
        <w:t>MSAC considered that the claim that REMS has noninferior safety compared with DXA was supported.</w:t>
      </w:r>
    </w:p>
    <w:p w14:paraId="5CA9B004" w14:textId="41AC7053" w:rsidR="00D439F3" w:rsidRPr="00903F9D" w:rsidRDefault="00581066" w:rsidP="00581066">
      <w:r w:rsidRPr="00903F9D">
        <w:t>MSAC noted that a linked evidence approach was used to compare</w:t>
      </w:r>
      <w:r w:rsidR="00253701" w:rsidRPr="00903F9D">
        <w:t xml:space="preserve"> the effectiveness of</w:t>
      </w:r>
      <w:r w:rsidRPr="00903F9D">
        <w:t xml:space="preserve"> REMS to DXA. MSAC noted that the evidence base included two key comparative</w:t>
      </w:r>
      <w:r w:rsidR="004D3784" w:rsidRPr="00903F9D">
        <w:t xml:space="preserve"> cross-sectional, observational</w:t>
      </w:r>
      <w:r w:rsidRPr="00903F9D">
        <w:t xml:space="preserve"> cohort studies (</w:t>
      </w:r>
      <w:proofErr w:type="spellStart"/>
      <w:r w:rsidRPr="00903F9D">
        <w:t>Cortet</w:t>
      </w:r>
      <w:proofErr w:type="spellEnd"/>
      <w:r w:rsidRPr="00903F9D">
        <w:t xml:space="preserve"> et al. 2021</w:t>
      </w:r>
      <w:r w:rsidRPr="00903F9D">
        <w:rPr>
          <w:rStyle w:val="FootnoteReference"/>
        </w:rPr>
        <w:footnoteReference w:id="1"/>
      </w:r>
      <w:r w:rsidRPr="00903F9D">
        <w:t xml:space="preserve"> and Di Paola et al. 2019</w:t>
      </w:r>
      <w:r w:rsidRPr="00903F9D">
        <w:rPr>
          <w:rStyle w:val="FootnoteReference"/>
        </w:rPr>
        <w:footnoteReference w:id="2"/>
      </w:r>
      <w:r w:rsidRPr="00903F9D">
        <w:t>) and supplementary evidence consisting of three comparative studies (Amorim et al. 2021</w:t>
      </w:r>
      <w:r w:rsidRPr="00903F9D">
        <w:rPr>
          <w:rStyle w:val="FootnoteReference"/>
        </w:rPr>
        <w:footnoteReference w:id="3"/>
      </w:r>
      <w:r w:rsidRPr="00903F9D">
        <w:t xml:space="preserve">, </w:t>
      </w:r>
      <w:proofErr w:type="spellStart"/>
      <w:r w:rsidRPr="00903F9D">
        <w:t>Nowakowska</w:t>
      </w:r>
      <w:proofErr w:type="spellEnd"/>
      <w:r w:rsidRPr="00903F9D">
        <w:t>-Plaza et al. 2021</w:t>
      </w:r>
      <w:r w:rsidRPr="00903F9D">
        <w:rPr>
          <w:rStyle w:val="FootnoteReference"/>
        </w:rPr>
        <w:footnoteReference w:id="4"/>
      </w:r>
      <w:r w:rsidRPr="00903F9D">
        <w:t xml:space="preserve"> and </w:t>
      </w:r>
      <w:proofErr w:type="spellStart"/>
      <w:r w:rsidRPr="00903F9D">
        <w:t>Adami</w:t>
      </w:r>
      <w:proofErr w:type="spellEnd"/>
      <w:r w:rsidRPr="00903F9D">
        <w:t xml:space="preserve"> et al. 2020</w:t>
      </w:r>
      <w:r w:rsidRPr="00903F9D">
        <w:rPr>
          <w:rStyle w:val="FootnoteReference"/>
        </w:rPr>
        <w:footnoteReference w:id="5"/>
      </w:r>
      <w:r w:rsidRPr="00903F9D">
        <w:t>). The studies were reported to have an overall low risk of bias. However, MSAC noted that there was an unclear risk of bias in patient selection for all studies</w:t>
      </w:r>
      <w:r w:rsidR="00D439F3" w:rsidRPr="00903F9D">
        <w:t xml:space="preserve">. </w:t>
      </w:r>
      <w:r w:rsidRPr="00903F9D">
        <w:t>MSAC also noted that the applicant provided unpublished data for “total femur</w:t>
      </w:r>
      <w:r w:rsidR="00D87B03" w:rsidRPr="00903F9D">
        <w:t xml:space="preserve"> score</w:t>
      </w:r>
      <w:r w:rsidRPr="00903F9D">
        <w:t xml:space="preserve">” results from </w:t>
      </w:r>
      <w:proofErr w:type="spellStart"/>
      <w:r w:rsidRPr="00903F9D">
        <w:t>Echolight</w:t>
      </w:r>
      <w:proofErr w:type="spellEnd"/>
      <w:r w:rsidRPr="00903F9D">
        <w:t xml:space="preserve"> Italy (November 2017) after the applicant-developed assessment report (ADAR) submission, with</w:t>
      </w:r>
      <w:r w:rsidR="00D439F3" w:rsidRPr="00903F9D">
        <w:t xml:space="preserve"> results from a subgroup of </w:t>
      </w:r>
      <w:r w:rsidRPr="00903F9D">
        <w:t>patients from the Di Paola et al. 2019 key study.</w:t>
      </w:r>
    </w:p>
    <w:p w14:paraId="606A7F39" w14:textId="2DD8CD72" w:rsidR="00581066" w:rsidRPr="00903F9D" w:rsidRDefault="00581066" w:rsidP="00581066">
      <w:r w:rsidRPr="00903F9D">
        <w:t>MSAC noted that quality errors are possible with both DXA and REMS scans, and that the studies excluded DXA and REMS scans with quality errors from the primary analysis (referred to as the quality-checked scenario). MSAC noted that the pre-MSAC response stated that the unchecked/real life scenario is more consistent with clinical practice</w:t>
      </w:r>
      <w:r w:rsidR="005E7441" w:rsidRPr="00903F9D">
        <w:t xml:space="preserve"> </w:t>
      </w:r>
      <w:r w:rsidR="00AC68E0" w:rsidRPr="00903F9D">
        <w:t xml:space="preserve">because the quality errors identified for REMS would not be identified in practice </w:t>
      </w:r>
      <w:r w:rsidR="005E7441" w:rsidRPr="00903F9D">
        <w:t>and</w:t>
      </w:r>
      <w:r w:rsidRPr="00903F9D">
        <w:t xml:space="preserve"> </w:t>
      </w:r>
      <w:r w:rsidR="00AC68E0" w:rsidRPr="00903F9D">
        <w:t xml:space="preserve">so </w:t>
      </w:r>
      <w:r w:rsidRPr="00903F9D">
        <w:t xml:space="preserve">MSAC </w:t>
      </w:r>
      <w:r w:rsidR="00AC68E0" w:rsidRPr="00903F9D">
        <w:t xml:space="preserve">decided that the results of </w:t>
      </w:r>
      <w:r w:rsidR="00AC68E0" w:rsidRPr="00903F9D">
        <w:lastRenderedPageBreak/>
        <w:t xml:space="preserve">this </w:t>
      </w:r>
      <w:r w:rsidR="00B90EE3" w:rsidRPr="00903F9D">
        <w:t>other scenario</w:t>
      </w:r>
      <w:r w:rsidR="00AC68E0" w:rsidRPr="00903F9D">
        <w:t xml:space="preserve"> were more relevant for its deliberations</w:t>
      </w:r>
      <w:r w:rsidR="005E7441" w:rsidRPr="00903F9D">
        <w:t xml:space="preserve">. </w:t>
      </w:r>
      <w:r w:rsidRPr="00903F9D">
        <w:t xml:space="preserve">MSAC noted from the pre-MSAC response that the REMS software can </w:t>
      </w:r>
      <w:r w:rsidR="003A7D45" w:rsidRPr="00903F9D">
        <w:t>still process and produce results when the scans are considered as</w:t>
      </w:r>
      <w:r w:rsidRPr="00903F9D">
        <w:t xml:space="preserve"> “low</w:t>
      </w:r>
      <w:r w:rsidR="00A93B61" w:rsidRPr="00903F9D">
        <w:t>-</w:t>
      </w:r>
      <w:r w:rsidRPr="00903F9D">
        <w:t xml:space="preserve">quality” </w:t>
      </w:r>
      <w:r w:rsidR="003A7D45" w:rsidRPr="00903F9D">
        <w:t>(that is, the scan was not centralised), but that “invalid” scans (that is, the scan did not lock on to a region of interest) are not reported. Low</w:t>
      </w:r>
      <w:r w:rsidR="00A93B61" w:rsidRPr="00903F9D">
        <w:t>-</w:t>
      </w:r>
      <w:r w:rsidR="003A7D45" w:rsidRPr="00903F9D">
        <w:t xml:space="preserve">quality scans </w:t>
      </w:r>
      <w:r w:rsidRPr="00903F9D">
        <w:t xml:space="preserve">can be identified at the time of scanning </w:t>
      </w:r>
      <w:r w:rsidR="003A7D45" w:rsidRPr="00903F9D">
        <w:t xml:space="preserve">with a manual review of the scan image </w:t>
      </w:r>
      <w:r w:rsidRPr="00903F9D">
        <w:t>and rectified by the operator moving the probe</w:t>
      </w:r>
      <w:r w:rsidR="003A7D45" w:rsidRPr="00903F9D">
        <w:t xml:space="preserve"> and re-scanning</w:t>
      </w:r>
      <w:r w:rsidRPr="00903F9D">
        <w:t xml:space="preserve">. MSAC noted </w:t>
      </w:r>
      <w:r w:rsidR="003A7D45" w:rsidRPr="00903F9D">
        <w:t>the pre-MSAC response that</w:t>
      </w:r>
      <w:r w:rsidR="00ED4C98" w:rsidRPr="00903F9D">
        <w:t>,</w:t>
      </w:r>
      <w:r w:rsidR="003A7D45" w:rsidRPr="00903F9D">
        <w:t xml:space="preserve"> even with low</w:t>
      </w:r>
      <w:r w:rsidR="00A93B61" w:rsidRPr="00903F9D">
        <w:t>-</w:t>
      </w:r>
      <w:r w:rsidR="003A7D45" w:rsidRPr="00903F9D">
        <w:t>quality scans</w:t>
      </w:r>
      <w:r w:rsidR="00ED4C98" w:rsidRPr="00903F9D">
        <w:t>,</w:t>
      </w:r>
      <w:r w:rsidR="003A7D45" w:rsidRPr="00903F9D">
        <w:t xml:space="preserve"> </w:t>
      </w:r>
      <w:r w:rsidRPr="00903F9D">
        <w:t xml:space="preserve">there was a degree of tolerance with REMS, but considered </w:t>
      </w:r>
      <w:r w:rsidR="007F008C" w:rsidRPr="00903F9D">
        <w:t>this</w:t>
      </w:r>
      <w:r w:rsidR="00FE4C92" w:rsidRPr="00903F9D">
        <w:t xml:space="preserve"> to be uncertain </w:t>
      </w:r>
      <w:r w:rsidR="007F008C" w:rsidRPr="00903F9D">
        <w:t xml:space="preserve">because </w:t>
      </w:r>
      <w:r w:rsidRPr="00903F9D">
        <w:t xml:space="preserve">there was no clear threshold for what would be considered </w:t>
      </w:r>
      <w:r w:rsidR="00FE4C92" w:rsidRPr="00903F9D">
        <w:t xml:space="preserve">acceptable or not and what would result in </w:t>
      </w:r>
      <w:r w:rsidRPr="00903F9D">
        <w:t xml:space="preserve">an erroneous scan. </w:t>
      </w:r>
      <w:r w:rsidR="00E56873" w:rsidRPr="00903F9D">
        <w:t xml:space="preserve">MSAC therefore requested evidence on the rate and any clinical implications of repeat scans before a successful scan is completed, even though unsuccessful scans could not be billed to the MBS. </w:t>
      </w:r>
      <w:r w:rsidRPr="00903F9D">
        <w:t xml:space="preserve">MSAC also noted from the pre-MSAC response that </w:t>
      </w:r>
      <w:r w:rsidR="00FE4C92" w:rsidRPr="00903F9D">
        <w:t xml:space="preserve">low </w:t>
      </w:r>
      <w:r w:rsidRPr="00903F9D">
        <w:t xml:space="preserve">quality </w:t>
      </w:r>
      <w:r w:rsidR="00FE4C92" w:rsidRPr="00903F9D">
        <w:t>scans</w:t>
      </w:r>
      <w:r w:rsidRPr="00903F9D">
        <w:t xml:space="preserve"> could not be re-analysed after reviewing the REMS report for the femoral neck, but for the lumbar spine, there was an option to disregard specific vertebrae and regenerate the report</w:t>
      </w:r>
      <w:r w:rsidR="00FE4C92" w:rsidRPr="00903F9D">
        <w:t xml:space="preserve"> and re-</w:t>
      </w:r>
      <w:r w:rsidRPr="00903F9D">
        <w:t xml:space="preserve">calculate total scores. However, MSAC noted that there was no supportive data provided on the impact of reducing </w:t>
      </w:r>
      <w:r w:rsidR="00FE4C92" w:rsidRPr="00903F9D">
        <w:t xml:space="preserve">the number of </w:t>
      </w:r>
      <w:r w:rsidRPr="00903F9D">
        <w:t xml:space="preserve">vertebrae </w:t>
      </w:r>
      <w:r w:rsidR="00FE4C92" w:rsidRPr="00903F9D">
        <w:t xml:space="preserve">included in </w:t>
      </w:r>
      <w:r w:rsidRPr="00903F9D">
        <w:t>the total score.</w:t>
      </w:r>
    </w:p>
    <w:p w14:paraId="709F84B2" w14:textId="5874C6CF" w:rsidR="00581066" w:rsidRPr="00903F9D" w:rsidRDefault="00581066" w:rsidP="00F96EFF">
      <w:pPr>
        <w:keepNext/>
      </w:pPr>
      <w:r w:rsidRPr="00903F9D">
        <w:t xml:space="preserve">For </w:t>
      </w:r>
      <w:r w:rsidR="00B6196F" w:rsidRPr="00903F9D">
        <w:t>comparative analytical performance (and thus effectiveness and safety based on scan results)</w:t>
      </w:r>
      <w:r w:rsidR="00ED4C98" w:rsidRPr="00903F9D">
        <w:t>,</w:t>
      </w:r>
      <w:r w:rsidR="00B6196F" w:rsidRPr="00903F9D">
        <w:t xml:space="preserve"> </w:t>
      </w:r>
      <w:r w:rsidRPr="00903F9D">
        <w:t>MSAC noted that the ADAR claim</w:t>
      </w:r>
      <w:r w:rsidR="00373A7E" w:rsidRPr="00903F9D">
        <w:t>ed</w:t>
      </w:r>
      <w:r w:rsidRPr="00903F9D">
        <w:t xml:space="preserve"> REMS is noninferior compared with DXA</w:t>
      </w:r>
      <w:r w:rsidR="00DC595A" w:rsidRPr="00903F9D">
        <w:t xml:space="preserve">. </w:t>
      </w:r>
      <w:r w:rsidR="00EE2840" w:rsidRPr="00903F9D">
        <w:t>MSAC noted that the</w:t>
      </w:r>
      <w:r w:rsidR="00DC595A" w:rsidRPr="00903F9D">
        <w:t xml:space="preserve"> two key </w:t>
      </w:r>
      <w:r w:rsidR="00DC595A" w:rsidRPr="00903F9D">
        <w:rPr>
          <w:rFonts w:eastAsia="Calibri" w:cs="Times New Roman"/>
        </w:rPr>
        <w:t xml:space="preserve">studies reported sensitivity of between 81% - 89% and specificity of between 84.3% - 94.5% of REMS versus DXA in the </w:t>
      </w:r>
      <w:r w:rsidR="00ED4C98" w:rsidRPr="00903F9D">
        <w:rPr>
          <w:rFonts w:eastAsia="Calibri" w:cs="Times New Roman"/>
        </w:rPr>
        <w:t>more relevant</w:t>
      </w:r>
      <w:r w:rsidR="00DC595A" w:rsidRPr="00903F9D">
        <w:rPr>
          <w:rFonts w:eastAsia="Calibri" w:cs="Times New Roman"/>
        </w:rPr>
        <w:t xml:space="preserve"> unchecked/real world analysis. MSAC </w:t>
      </w:r>
      <w:r w:rsidR="00EC5ED4" w:rsidRPr="00903F9D">
        <w:rPr>
          <w:rFonts w:eastAsia="Calibri" w:cs="Times New Roman"/>
        </w:rPr>
        <w:t>also</w:t>
      </w:r>
      <w:r w:rsidR="00DC595A" w:rsidRPr="00903F9D">
        <w:rPr>
          <w:rFonts w:eastAsia="Calibri" w:cs="Times New Roman"/>
        </w:rPr>
        <w:t xml:space="preserve"> noted that diagnostic concordance between REMS and DXA </w:t>
      </w:r>
      <w:r w:rsidR="00373A7E" w:rsidRPr="00903F9D">
        <w:rPr>
          <w:rFonts w:eastAsia="Calibri" w:cs="Times New Roman"/>
        </w:rPr>
        <w:t>was</w:t>
      </w:r>
      <w:r w:rsidR="00DC595A" w:rsidRPr="00903F9D">
        <w:rPr>
          <w:rFonts w:eastAsia="Calibri" w:cs="Times New Roman"/>
        </w:rPr>
        <w:t xml:space="preserve"> low (between 76.4% and 83.4%) in th</w:t>
      </w:r>
      <w:r w:rsidR="00ED4C98" w:rsidRPr="00903F9D">
        <w:rPr>
          <w:rFonts w:eastAsia="Calibri" w:cs="Times New Roman"/>
        </w:rPr>
        <w:t>is</w:t>
      </w:r>
      <w:r w:rsidR="00DC595A" w:rsidRPr="00903F9D">
        <w:rPr>
          <w:rFonts w:eastAsia="Calibri" w:cs="Times New Roman"/>
        </w:rPr>
        <w:t xml:space="preserve"> unchecked analysis</w:t>
      </w:r>
      <w:r w:rsidR="00661EE6" w:rsidRPr="00903F9D">
        <w:rPr>
          <w:rFonts w:eastAsia="Calibri" w:cs="Times New Roman"/>
        </w:rPr>
        <w:t xml:space="preserve">. </w:t>
      </w:r>
      <w:r w:rsidR="00EE2840" w:rsidRPr="00903F9D">
        <w:t>In addition,</w:t>
      </w:r>
      <w:r w:rsidRPr="00903F9D">
        <w:t xml:space="preserve"> MSAC noted that:</w:t>
      </w:r>
    </w:p>
    <w:p w14:paraId="09289DF4" w14:textId="1E8936A6" w:rsidR="00581066" w:rsidRPr="00903F9D" w:rsidRDefault="00581066" w:rsidP="00581066">
      <w:pPr>
        <w:pStyle w:val="Bullet"/>
        <w:numPr>
          <w:ilvl w:val="0"/>
          <w:numId w:val="32"/>
        </w:numPr>
        <w:spacing w:before="0"/>
        <w:ind w:left="720"/>
        <w:rPr>
          <w:rFonts w:ascii="Franklin Gothic Book" w:hAnsi="Franklin Gothic Book"/>
        </w:rPr>
      </w:pPr>
      <w:r w:rsidRPr="00903F9D">
        <w:rPr>
          <w:rFonts w:ascii="Franklin Gothic Book" w:hAnsi="Franklin Gothic Book"/>
        </w:rPr>
        <w:t>no noninferiority margins</w:t>
      </w:r>
      <w:r w:rsidR="00BE1323" w:rsidRPr="00903F9D">
        <w:rPr>
          <w:rFonts w:ascii="Franklin Gothic Book" w:hAnsi="Franklin Gothic Book"/>
        </w:rPr>
        <w:t xml:space="preserve"> or minimal clinically important differences</w:t>
      </w:r>
      <w:r w:rsidRPr="00903F9D">
        <w:rPr>
          <w:rFonts w:ascii="Franklin Gothic Book" w:hAnsi="Franklin Gothic Book"/>
        </w:rPr>
        <w:t xml:space="preserve"> were proposed</w:t>
      </w:r>
    </w:p>
    <w:p w14:paraId="46F4A64E" w14:textId="118BE6F2" w:rsidR="00B6196F" w:rsidRPr="00903F9D" w:rsidRDefault="00B6196F" w:rsidP="00581066">
      <w:pPr>
        <w:pStyle w:val="Bullet"/>
        <w:numPr>
          <w:ilvl w:val="0"/>
          <w:numId w:val="32"/>
        </w:numPr>
        <w:spacing w:before="0"/>
        <w:ind w:left="720"/>
        <w:rPr>
          <w:rFonts w:ascii="Franklin Gothic Book" w:hAnsi="Franklin Gothic Book"/>
        </w:rPr>
      </w:pPr>
      <w:r w:rsidRPr="00903F9D">
        <w:rPr>
          <w:rFonts w:ascii="Franklin Gothic Book" w:hAnsi="Franklin Gothic Book"/>
        </w:rPr>
        <w:t>the TPF score was not included</w:t>
      </w:r>
      <w:r w:rsidR="00373A7E" w:rsidRPr="00903F9D">
        <w:rPr>
          <w:rFonts w:ascii="Franklin Gothic Book" w:hAnsi="Franklin Gothic Book"/>
        </w:rPr>
        <w:t xml:space="preserve"> in the published studies</w:t>
      </w:r>
      <w:r w:rsidRPr="00903F9D">
        <w:rPr>
          <w:rFonts w:ascii="Franklin Gothic Book" w:hAnsi="Franklin Gothic Book"/>
        </w:rPr>
        <w:t xml:space="preserve">; only an unvalidated and inconclusive comparison </w:t>
      </w:r>
      <w:r w:rsidR="00373A7E" w:rsidRPr="00903F9D">
        <w:rPr>
          <w:rFonts w:ascii="Franklin Gothic Book" w:hAnsi="Franklin Gothic Book"/>
        </w:rPr>
        <w:t>of</w:t>
      </w:r>
      <w:r w:rsidRPr="00903F9D">
        <w:rPr>
          <w:rFonts w:ascii="Franklin Gothic Book" w:hAnsi="Franklin Gothic Book"/>
        </w:rPr>
        <w:t xml:space="preserve"> </w:t>
      </w:r>
      <w:r w:rsidR="00BD144E" w:rsidRPr="00903F9D">
        <w:rPr>
          <w:rFonts w:ascii="Franklin Gothic Book" w:hAnsi="Franklin Gothic Book"/>
        </w:rPr>
        <w:t xml:space="preserve">the </w:t>
      </w:r>
      <w:r w:rsidRPr="00903F9D">
        <w:rPr>
          <w:rFonts w:ascii="Franklin Gothic Book" w:hAnsi="Franklin Gothic Book"/>
        </w:rPr>
        <w:t>REMS total femur</w:t>
      </w:r>
      <w:r w:rsidR="00373A7E" w:rsidRPr="00903F9D">
        <w:rPr>
          <w:rFonts w:ascii="Franklin Gothic Book" w:hAnsi="Franklin Gothic Book"/>
        </w:rPr>
        <w:t xml:space="preserve"> </w:t>
      </w:r>
      <w:r w:rsidR="00BD144E" w:rsidRPr="00903F9D">
        <w:rPr>
          <w:rFonts w:ascii="Franklin Gothic Book" w:hAnsi="Franklin Gothic Book"/>
        </w:rPr>
        <w:t xml:space="preserve">score </w:t>
      </w:r>
      <w:r w:rsidR="00373A7E" w:rsidRPr="00903F9D">
        <w:rPr>
          <w:rFonts w:ascii="Franklin Gothic Book" w:hAnsi="Franklin Gothic Book"/>
        </w:rPr>
        <w:t xml:space="preserve">vs </w:t>
      </w:r>
      <w:r w:rsidR="00BD144E" w:rsidRPr="00903F9D">
        <w:rPr>
          <w:rFonts w:ascii="Franklin Gothic Book" w:hAnsi="Franklin Gothic Book"/>
        </w:rPr>
        <w:t xml:space="preserve">the </w:t>
      </w:r>
      <w:r w:rsidR="00D87B03" w:rsidRPr="00903F9D">
        <w:rPr>
          <w:rFonts w:ascii="Franklin Gothic Book" w:hAnsi="Franklin Gothic Book"/>
        </w:rPr>
        <w:t xml:space="preserve">DXA </w:t>
      </w:r>
      <w:r w:rsidR="00373A7E" w:rsidRPr="00903F9D">
        <w:rPr>
          <w:rFonts w:ascii="Franklin Gothic Book" w:hAnsi="Franklin Gothic Book"/>
        </w:rPr>
        <w:t>TPF</w:t>
      </w:r>
      <w:r w:rsidRPr="00903F9D">
        <w:rPr>
          <w:rFonts w:ascii="Franklin Gothic Book" w:hAnsi="Franklin Gothic Book"/>
        </w:rPr>
        <w:t xml:space="preserve"> score was provided</w:t>
      </w:r>
    </w:p>
    <w:p w14:paraId="3691533F" w14:textId="30B65519" w:rsidR="00581066" w:rsidRPr="00903F9D" w:rsidRDefault="00B6196F" w:rsidP="00BD144E">
      <w:pPr>
        <w:pStyle w:val="Bullet"/>
        <w:numPr>
          <w:ilvl w:val="0"/>
          <w:numId w:val="32"/>
        </w:numPr>
        <w:spacing w:before="0"/>
        <w:ind w:left="720"/>
        <w:rPr>
          <w:rFonts w:ascii="Franklin Gothic Book" w:hAnsi="Franklin Gothic Book"/>
        </w:rPr>
      </w:pPr>
      <w:r w:rsidRPr="00903F9D">
        <w:rPr>
          <w:rFonts w:ascii="Franklin Gothic Book" w:hAnsi="Franklin Gothic Book"/>
        </w:rPr>
        <w:t xml:space="preserve">the Z-score or fragility score was not reported in any of the studies and </w:t>
      </w:r>
      <w:r w:rsidR="00581066" w:rsidRPr="00903F9D">
        <w:rPr>
          <w:rFonts w:ascii="Franklin Gothic Book" w:hAnsi="Franklin Gothic Book"/>
        </w:rPr>
        <w:t xml:space="preserve">there was no </w:t>
      </w:r>
      <w:r w:rsidRPr="00903F9D">
        <w:rPr>
          <w:rFonts w:ascii="Franklin Gothic Book" w:hAnsi="Franklin Gothic Book"/>
        </w:rPr>
        <w:t xml:space="preserve">validated </w:t>
      </w:r>
      <w:r w:rsidR="00581066" w:rsidRPr="00903F9D">
        <w:rPr>
          <w:rFonts w:ascii="Franklin Gothic Book" w:hAnsi="Franklin Gothic Book"/>
        </w:rPr>
        <w:t>evidence to support use in younger populations</w:t>
      </w:r>
      <w:r w:rsidRPr="00903F9D">
        <w:rPr>
          <w:rFonts w:ascii="Franklin Gothic Book" w:hAnsi="Franklin Gothic Book"/>
        </w:rPr>
        <w:t xml:space="preserve"> (including premenopausal women)</w:t>
      </w:r>
      <w:r w:rsidR="00581066" w:rsidRPr="00903F9D">
        <w:rPr>
          <w:rFonts w:ascii="Franklin Gothic Book" w:hAnsi="Franklin Gothic Book"/>
        </w:rPr>
        <w:t xml:space="preserve">, men, obese </w:t>
      </w:r>
      <w:proofErr w:type="gramStart"/>
      <w:r w:rsidR="00581066" w:rsidRPr="00903F9D">
        <w:rPr>
          <w:rFonts w:ascii="Franklin Gothic Book" w:hAnsi="Franklin Gothic Book"/>
        </w:rPr>
        <w:t>patients</w:t>
      </w:r>
      <w:proofErr w:type="gramEnd"/>
      <w:r w:rsidR="00581066" w:rsidRPr="00903F9D">
        <w:rPr>
          <w:rFonts w:ascii="Franklin Gothic Book" w:hAnsi="Franklin Gothic Book"/>
        </w:rPr>
        <w:t xml:space="preserve"> or </w:t>
      </w:r>
      <w:r w:rsidRPr="00903F9D">
        <w:rPr>
          <w:rFonts w:ascii="Franklin Gothic Book" w:hAnsi="Franklin Gothic Book"/>
        </w:rPr>
        <w:t>different racial populations</w:t>
      </w:r>
    </w:p>
    <w:p w14:paraId="4B6386F2" w14:textId="12FBC95F" w:rsidR="00BD144E" w:rsidRPr="00903F9D" w:rsidRDefault="00581066" w:rsidP="00581066">
      <w:pPr>
        <w:pStyle w:val="Bullet"/>
        <w:numPr>
          <w:ilvl w:val="0"/>
          <w:numId w:val="32"/>
        </w:numPr>
        <w:spacing w:before="0"/>
        <w:ind w:left="720"/>
        <w:rPr>
          <w:rFonts w:ascii="Franklin Gothic Book" w:hAnsi="Franklin Gothic Book"/>
        </w:rPr>
      </w:pPr>
      <w:r w:rsidRPr="00903F9D">
        <w:rPr>
          <w:rFonts w:ascii="Franklin Gothic Book" w:hAnsi="Franklin Gothic Book"/>
        </w:rPr>
        <w:t>the rate of “</w:t>
      </w:r>
      <w:r w:rsidR="00DC595A" w:rsidRPr="00903F9D">
        <w:rPr>
          <w:rFonts w:ascii="Franklin Gothic Book" w:hAnsi="Franklin Gothic Book"/>
        </w:rPr>
        <w:t xml:space="preserve">invalid </w:t>
      </w:r>
      <w:r w:rsidRPr="00903F9D">
        <w:rPr>
          <w:rFonts w:ascii="Franklin Gothic Book" w:hAnsi="Franklin Gothic Book"/>
        </w:rPr>
        <w:t xml:space="preserve">scans” was not provided; MSAC considered that </w:t>
      </w:r>
      <w:r w:rsidR="00B6196F" w:rsidRPr="00903F9D">
        <w:rPr>
          <w:rFonts w:ascii="Franklin Gothic Book" w:hAnsi="Franklin Gothic Book"/>
        </w:rPr>
        <w:t xml:space="preserve">invalid </w:t>
      </w:r>
      <w:r w:rsidRPr="00903F9D">
        <w:rPr>
          <w:rFonts w:ascii="Franklin Gothic Book" w:hAnsi="Franklin Gothic Book"/>
        </w:rPr>
        <w:t xml:space="preserve">scans should not attract a rebate, </w:t>
      </w:r>
      <w:r w:rsidR="00B6196F" w:rsidRPr="00903F9D">
        <w:rPr>
          <w:rFonts w:ascii="Franklin Gothic Book" w:hAnsi="Franklin Gothic Book"/>
        </w:rPr>
        <w:t xml:space="preserve">though noted that </w:t>
      </w:r>
      <w:r w:rsidRPr="00903F9D">
        <w:rPr>
          <w:rFonts w:ascii="Franklin Gothic Book" w:hAnsi="Franklin Gothic Book"/>
        </w:rPr>
        <w:t xml:space="preserve">if some patients </w:t>
      </w:r>
      <w:r w:rsidR="003215B3" w:rsidRPr="00903F9D">
        <w:rPr>
          <w:rFonts w:ascii="Franklin Gothic Book" w:hAnsi="Franklin Gothic Book"/>
        </w:rPr>
        <w:t xml:space="preserve">would </w:t>
      </w:r>
      <w:r w:rsidR="00EE2840" w:rsidRPr="00903F9D">
        <w:rPr>
          <w:rFonts w:ascii="Franklin Gothic Book" w:hAnsi="Franklin Gothic Book"/>
        </w:rPr>
        <w:t>need a DXA after an invalid REMS scan</w:t>
      </w:r>
      <w:r w:rsidR="00B6196F" w:rsidRPr="00903F9D">
        <w:rPr>
          <w:rFonts w:ascii="Franklin Gothic Book" w:hAnsi="Franklin Gothic Book"/>
        </w:rPr>
        <w:t xml:space="preserve"> this w</w:t>
      </w:r>
      <w:r w:rsidR="003215B3" w:rsidRPr="00903F9D">
        <w:rPr>
          <w:rFonts w:ascii="Franklin Gothic Book" w:hAnsi="Franklin Gothic Book"/>
        </w:rPr>
        <w:t>ould</w:t>
      </w:r>
      <w:r w:rsidR="00B6196F" w:rsidRPr="00903F9D">
        <w:rPr>
          <w:rFonts w:ascii="Franklin Gothic Book" w:hAnsi="Franklin Gothic Book"/>
        </w:rPr>
        <w:t xml:space="preserve"> result in inconvenience to the patient and providers</w:t>
      </w:r>
    </w:p>
    <w:p w14:paraId="00335EEC" w14:textId="1ACCC932" w:rsidR="00581066" w:rsidRPr="00903F9D" w:rsidRDefault="00BD144E" w:rsidP="00581066">
      <w:pPr>
        <w:pStyle w:val="Bullet"/>
        <w:numPr>
          <w:ilvl w:val="0"/>
          <w:numId w:val="32"/>
        </w:numPr>
        <w:spacing w:before="0"/>
        <w:ind w:left="720"/>
        <w:rPr>
          <w:rFonts w:ascii="Franklin Gothic Book" w:hAnsi="Franklin Gothic Book"/>
        </w:rPr>
      </w:pPr>
      <w:r w:rsidRPr="00903F9D">
        <w:rPr>
          <w:rFonts w:ascii="Franklin Gothic Book" w:hAnsi="Franklin Gothic Book"/>
        </w:rPr>
        <w:t xml:space="preserve">the ability to generate a REMS result relies at least in part on the subjective skills of the operator, which </w:t>
      </w:r>
      <w:r w:rsidR="00D87B03" w:rsidRPr="00903F9D">
        <w:rPr>
          <w:rFonts w:ascii="Franklin Gothic Book" w:hAnsi="Franklin Gothic Book"/>
        </w:rPr>
        <w:t xml:space="preserve">MSAC considered </w:t>
      </w:r>
      <w:r w:rsidRPr="00903F9D">
        <w:rPr>
          <w:rFonts w:ascii="Franklin Gothic Book" w:hAnsi="Franklin Gothic Book"/>
        </w:rPr>
        <w:t>is linked to uncertainties regarding the adequacy and consistency of the training of the operator, the quality assurance measures applied when the operator is using the equipment, and the sufficiency of patient throughput</w:t>
      </w:r>
      <w:r w:rsidR="00581066" w:rsidRPr="00903F9D">
        <w:rPr>
          <w:rFonts w:ascii="Franklin Gothic Book" w:hAnsi="Franklin Gothic Book"/>
        </w:rPr>
        <w:t>.</w:t>
      </w:r>
    </w:p>
    <w:p w14:paraId="68D8FF7F" w14:textId="0C3B66A8" w:rsidR="008467F6" w:rsidRPr="00903F9D" w:rsidRDefault="00581066" w:rsidP="00581066">
      <w:r w:rsidRPr="00903F9D">
        <w:t>Overall, MSAC considered the conclusion of noninferior eff</w:t>
      </w:r>
      <w:r w:rsidR="00B808E0" w:rsidRPr="00903F9D">
        <w:t>ectiveness</w:t>
      </w:r>
      <w:r w:rsidRPr="00903F9D">
        <w:t xml:space="preserve"> </w:t>
      </w:r>
      <w:r w:rsidR="007B45BB" w:rsidRPr="00903F9D">
        <w:t xml:space="preserve">was not supported </w:t>
      </w:r>
      <w:r w:rsidR="003215B3" w:rsidRPr="00903F9D">
        <w:t>by the evidence provided</w:t>
      </w:r>
      <w:r w:rsidR="002F7FFB" w:rsidRPr="00903F9D">
        <w:t xml:space="preserve">, primarily </w:t>
      </w:r>
      <w:proofErr w:type="gramStart"/>
      <w:r w:rsidR="002F7FFB" w:rsidRPr="00903F9D">
        <w:t>on the basis of</w:t>
      </w:r>
      <w:proofErr w:type="gramEnd"/>
      <w:r w:rsidR="002F7FFB" w:rsidRPr="00903F9D">
        <w:t xml:space="preserve"> the poor correlation in the unchecked analysis</w:t>
      </w:r>
      <w:r w:rsidR="003215B3" w:rsidRPr="00903F9D">
        <w:t>. MSAC also observed that there was no direct evidence provided for important</w:t>
      </w:r>
      <w:r w:rsidRPr="00903F9D">
        <w:t xml:space="preserve"> subpopulations </w:t>
      </w:r>
      <w:r w:rsidR="003215B3" w:rsidRPr="00903F9D">
        <w:t xml:space="preserve">of the overall proposed population </w:t>
      </w:r>
      <w:r w:rsidRPr="00903F9D">
        <w:t xml:space="preserve">(including obese patients, males, younger </w:t>
      </w:r>
      <w:proofErr w:type="gramStart"/>
      <w:r w:rsidRPr="00903F9D">
        <w:t>populations</w:t>
      </w:r>
      <w:proofErr w:type="gramEnd"/>
      <w:r w:rsidRPr="00903F9D">
        <w:t xml:space="preserve"> and different racial populations), as the</w:t>
      </w:r>
      <w:r w:rsidR="007B45BB" w:rsidRPr="00903F9D">
        <w:t xml:space="preserve"> use of REMS in these </w:t>
      </w:r>
      <w:r w:rsidR="003215B3" w:rsidRPr="00903F9D">
        <w:t xml:space="preserve">subpopulations </w:t>
      </w:r>
      <w:r w:rsidRPr="00903F9D">
        <w:t>ha</w:t>
      </w:r>
      <w:r w:rsidR="00373A7E" w:rsidRPr="00903F9D">
        <w:t>d</w:t>
      </w:r>
      <w:r w:rsidRPr="00903F9D">
        <w:t xml:space="preserve"> not been evaluated.</w:t>
      </w:r>
    </w:p>
    <w:p w14:paraId="6451F4E2" w14:textId="2A818138" w:rsidR="00B6196F" w:rsidRPr="00903F9D" w:rsidRDefault="008467F6" w:rsidP="00581066">
      <w:r w:rsidRPr="00903F9D">
        <w:t>Given this conclusion</w:t>
      </w:r>
      <w:r w:rsidR="00B6196F" w:rsidRPr="00903F9D">
        <w:rPr>
          <w:rFonts w:eastAsia="Calibri" w:cs="Times New Roman"/>
        </w:rPr>
        <w:t xml:space="preserve">, </w:t>
      </w:r>
      <w:r w:rsidR="007B45BB" w:rsidRPr="00903F9D">
        <w:rPr>
          <w:rFonts w:eastAsia="Calibri" w:cs="Times New Roman"/>
        </w:rPr>
        <w:t>MSAC</w:t>
      </w:r>
      <w:r w:rsidR="00B6196F" w:rsidRPr="00903F9D">
        <w:rPr>
          <w:rFonts w:eastAsia="Calibri" w:cs="Times New Roman"/>
        </w:rPr>
        <w:t xml:space="preserve"> queried whether there could be a case for reserving REMS for </w:t>
      </w:r>
      <w:r w:rsidR="007B45BB" w:rsidRPr="00903F9D">
        <w:rPr>
          <w:rFonts w:eastAsia="Calibri" w:cs="Times New Roman"/>
        </w:rPr>
        <w:t xml:space="preserve">patients who are </w:t>
      </w:r>
      <w:r w:rsidRPr="00903F9D">
        <w:rPr>
          <w:rFonts w:eastAsia="Calibri" w:cs="Times New Roman"/>
        </w:rPr>
        <w:t xml:space="preserve">eligible to receive DXA according to the MBS item descriptors, but for other reasons are </w:t>
      </w:r>
      <w:r w:rsidR="007B45BB" w:rsidRPr="00903F9D">
        <w:rPr>
          <w:rFonts w:eastAsia="Calibri" w:cs="Times New Roman"/>
        </w:rPr>
        <w:t>unable to have a DXA scan</w:t>
      </w:r>
      <w:r w:rsidRPr="00903F9D">
        <w:rPr>
          <w:rFonts w:eastAsia="Calibri" w:cs="Times New Roman"/>
        </w:rPr>
        <w:t>.</w:t>
      </w:r>
      <w:r w:rsidR="00EC5ED4" w:rsidRPr="00903F9D">
        <w:rPr>
          <w:rFonts w:eastAsia="Calibri" w:cs="Times New Roman"/>
        </w:rPr>
        <w:t xml:space="preserve"> </w:t>
      </w:r>
      <w:r w:rsidRPr="00903F9D">
        <w:rPr>
          <w:rFonts w:eastAsia="Calibri" w:cs="Times New Roman"/>
        </w:rPr>
        <w:t>H</w:t>
      </w:r>
      <w:r w:rsidR="00EC5ED4" w:rsidRPr="00903F9D">
        <w:rPr>
          <w:rFonts w:eastAsia="Calibri" w:cs="Times New Roman"/>
        </w:rPr>
        <w:t>owever</w:t>
      </w:r>
      <w:r w:rsidRPr="00903F9D">
        <w:rPr>
          <w:rFonts w:eastAsia="Calibri" w:cs="Times New Roman"/>
        </w:rPr>
        <w:t>,</w:t>
      </w:r>
      <w:r w:rsidR="00EC5ED4" w:rsidRPr="00903F9D">
        <w:rPr>
          <w:rFonts w:eastAsia="Calibri" w:cs="Times New Roman"/>
        </w:rPr>
        <w:t xml:space="preserve"> MSAC considered that the criteria to determine this subpopulation were currently unclear</w:t>
      </w:r>
      <w:r w:rsidR="00E56873" w:rsidRPr="00903F9D">
        <w:rPr>
          <w:rFonts w:eastAsia="Calibri" w:cs="Times New Roman"/>
        </w:rPr>
        <w:t xml:space="preserve"> and specifying this</w:t>
      </w:r>
      <w:r w:rsidR="002F7FFB" w:rsidRPr="00903F9D">
        <w:rPr>
          <w:rFonts w:eastAsia="Calibri" w:cs="Times New Roman"/>
        </w:rPr>
        <w:t xml:space="preserve"> subpopulation might benefit from engagement by the applicant with the many professional organisations which provided consultation feedback</w:t>
      </w:r>
      <w:r w:rsidR="00EC5ED4" w:rsidRPr="00903F9D">
        <w:rPr>
          <w:rFonts w:eastAsia="Calibri" w:cs="Times New Roman"/>
        </w:rPr>
        <w:t>.</w:t>
      </w:r>
      <w:r w:rsidR="007B45BB" w:rsidRPr="00903F9D">
        <w:rPr>
          <w:rFonts w:eastAsia="Calibri" w:cs="Times New Roman"/>
        </w:rPr>
        <w:t xml:space="preserve"> MSAC noted </w:t>
      </w:r>
      <w:r w:rsidRPr="00903F9D">
        <w:rPr>
          <w:rFonts w:eastAsia="Calibri" w:cs="Times New Roman"/>
        </w:rPr>
        <w:t xml:space="preserve">as an example </w:t>
      </w:r>
      <w:r w:rsidR="007B45BB" w:rsidRPr="00903F9D">
        <w:rPr>
          <w:rFonts w:eastAsia="Calibri" w:cs="Times New Roman"/>
        </w:rPr>
        <w:t xml:space="preserve">that very obese people </w:t>
      </w:r>
      <w:r w:rsidR="00EC5ED4" w:rsidRPr="00903F9D">
        <w:rPr>
          <w:rFonts w:eastAsia="Calibri" w:cs="Times New Roman"/>
        </w:rPr>
        <w:t xml:space="preserve">or people who cannot lie supine may not be able to have a DXA </w:t>
      </w:r>
      <w:r w:rsidR="007B45BB" w:rsidRPr="00903F9D">
        <w:rPr>
          <w:rFonts w:eastAsia="Calibri" w:cs="Times New Roman"/>
        </w:rPr>
        <w:t xml:space="preserve">but recalled </w:t>
      </w:r>
      <w:r w:rsidR="00EC5ED4" w:rsidRPr="00903F9D">
        <w:rPr>
          <w:rFonts w:eastAsia="Calibri" w:cs="Times New Roman"/>
        </w:rPr>
        <w:t xml:space="preserve">that there is </w:t>
      </w:r>
      <w:r w:rsidR="007B45BB" w:rsidRPr="00903F9D">
        <w:rPr>
          <w:rFonts w:eastAsia="Calibri" w:cs="Times New Roman"/>
        </w:rPr>
        <w:t xml:space="preserve">the possibility of having a DXA </w:t>
      </w:r>
      <w:r w:rsidR="007B45BB" w:rsidRPr="00903F9D">
        <w:rPr>
          <w:rFonts w:eastAsia="Calibri" w:cs="Times New Roman"/>
        </w:rPr>
        <w:lastRenderedPageBreak/>
        <w:t xml:space="preserve">scan on the wrist. </w:t>
      </w:r>
      <w:r w:rsidR="00EC5ED4" w:rsidRPr="00903F9D">
        <w:rPr>
          <w:rFonts w:eastAsia="Calibri" w:cs="Times New Roman"/>
        </w:rPr>
        <w:t xml:space="preserve">In addition, MSAC also recalled that for patients in </w:t>
      </w:r>
      <w:r w:rsidR="003A2568" w:rsidRPr="00903F9D">
        <w:rPr>
          <w:rFonts w:eastAsia="Calibri" w:cs="Times New Roman"/>
        </w:rPr>
        <w:t xml:space="preserve">nursing homes and </w:t>
      </w:r>
      <w:r w:rsidR="00EC5ED4" w:rsidRPr="00903F9D">
        <w:rPr>
          <w:rFonts w:eastAsia="Calibri" w:cs="Times New Roman"/>
        </w:rPr>
        <w:t xml:space="preserve">rural and remote areas, some access to DXA through mobile units was possible. </w:t>
      </w:r>
      <w:r w:rsidR="007B45BB" w:rsidRPr="00903F9D">
        <w:rPr>
          <w:rFonts w:eastAsia="Calibri" w:cs="Times New Roman"/>
        </w:rPr>
        <w:t xml:space="preserve">It was </w:t>
      </w:r>
      <w:r w:rsidR="00EC5ED4" w:rsidRPr="00903F9D">
        <w:rPr>
          <w:rFonts w:eastAsia="Calibri" w:cs="Times New Roman"/>
        </w:rPr>
        <w:t xml:space="preserve">therefore </w:t>
      </w:r>
      <w:r w:rsidR="007B45BB" w:rsidRPr="00903F9D">
        <w:rPr>
          <w:rFonts w:eastAsia="Calibri" w:cs="Times New Roman"/>
        </w:rPr>
        <w:t xml:space="preserve">unclear </w:t>
      </w:r>
      <w:r w:rsidR="00EC5ED4" w:rsidRPr="00903F9D">
        <w:rPr>
          <w:rFonts w:eastAsia="Calibri" w:cs="Times New Roman"/>
        </w:rPr>
        <w:t xml:space="preserve">who </w:t>
      </w:r>
      <w:r w:rsidR="007B45BB" w:rsidRPr="00903F9D">
        <w:rPr>
          <w:rFonts w:eastAsia="Calibri" w:cs="Times New Roman"/>
        </w:rPr>
        <w:t>may be eligible</w:t>
      </w:r>
      <w:r w:rsidR="009302C1" w:rsidRPr="00903F9D">
        <w:rPr>
          <w:rFonts w:eastAsia="Calibri" w:cs="Times New Roman"/>
        </w:rPr>
        <w:t xml:space="preserve"> for</w:t>
      </w:r>
      <w:r w:rsidR="007B45BB" w:rsidRPr="00903F9D">
        <w:rPr>
          <w:rFonts w:eastAsia="Calibri" w:cs="Times New Roman"/>
        </w:rPr>
        <w:t xml:space="preserve">, but unable to access a DXA, and therefore </w:t>
      </w:r>
      <w:r w:rsidR="009302C1" w:rsidRPr="00903F9D">
        <w:rPr>
          <w:rFonts w:eastAsia="Calibri" w:cs="Times New Roman"/>
        </w:rPr>
        <w:t xml:space="preserve">it was not certain </w:t>
      </w:r>
      <w:r w:rsidR="007B45BB" w:rsidRPr="00903F9D">
        <w:rPr>
          <w:rFonts w:eastAsia="Calibri" w:cs="Times New Roman"/>
        </w:rPr>
        <w:t xml:space="preserve">what the </w:t>
      </w:r>
      <w:r w:rsidR="00EC5ED4" w:rsidRPr="00903F9D">
        <w:rPr>
          <w:rFonts w:eastAsia="Calibri" w:cs="Times New Roman"/>
        </w:rPr>
        <w:t xml:space="preserve">magnitude of </w:t>
      </w:r>
      <w:r w:rsidRPr="00903F9D">
        <w:rPr>
          <w:rFonts w:eastAsia="Calibri" w:cs="Times New Roman"/>
        </w:rPr>
        <w:t xml:space="preserve">this </w:t>
      </w:r>
      <w:r w:rsidR="007B45BB" w:rsidRPr="00903F9D">
        <w:rPr>
          <w:rFonts w:eastAsia="Calibri" w:cs="Times New Roman"/>
        </w:rPr>
        <w:t xml:space="preserve">outstanding </w:t>
      </w:r>
      <w:r w:rsidR="000E0E08" w:rsidRPr="00903F9D">
        <w:rPr>
          <w:rFonts w:eastAsia="Calibri" w:cs="Times New Roman"/>
        </w:rPr>
        <w:t xml:space="preserve">unmet </w:t>
      </w:r>
      <w:r w:rsidR="007B45BB" w:rsidRPr="00903F9D">
        <w:rPr>
          <w:rFonts w:eastAsia="Calibri" w:cs="Times New Roman"/>
        </w:rPr>
        <w:t xml:space="preserve">clinical need might be. </w:t>
      </w:r>
      <w:r w:rsidR="000E0E08" w:rsidRPr="00903F9D">
        <w:rPr>
          <w:rFonts w:eastAsia="Calibri" w:cs="Times New Roman"/>
        </w:rPr>
        <w:t>If such a population were to be identified, then MSAC considered that the use of REMS would require reassessment of comparative safety and effectiveness with a comparator of ‘no DXA’</w:t>
      </w:r>
      <w:r w:rsidR="00BE28F8" w:rsidRPr="00903F9D">
        <w:rPr>
          <w:rFonts w:eastAsia="Calibri" w:cs="Times New Roman"/>
        </w:rPr>
        <w:t xml:space="preserve">, accepting that DXA </w:t>
      </w:r>
      <w:r w:rsidR="003A2568" w:rsidRPr="00903F9D">
        <w:rPr>
          <w:rFonts w:eastAsia="Calibri" w:cs="Times New Roman"/>
        </w:rPr>
        <w:t>c</w:t>
      </w:r>
      <w:r w:rsidR="00BE28F8" w:rsidRPr="00903F9D">
        <w:rPr>
          <w:rFonts w:eastAsia="Calibri" w:cs="Times New Roman"/>
        </w:rPr>
        <w:t>ould still provide a frame of reference for this new comparison</w:t>
      </w:r>
      <w:r w:rsidR="000E0E08" w:rsidRPr="00903F9D">
        <w:rPr>
          <w:rFonts w:eastAsia="Calibri" w:cs="Times New Roman"/>
        </w:rPr>
        <w:t xml:space="preserve">. </w:t>
      </w:r>
      <w:r w:rsidR="000E0E08" w:rsidRPr="00903F9D">
        <w:t>MSAC also recalled that</w:t>
      </w:r>
      <w:r w:rsidR="00EC5ED4" w:rsidRPr="00903F9D">
        <w:t>,</w:t>
      </w:r>
      <w:r w:rsidR="000E0E08" w:rsidRPr="00903F9D">
        <w:t xml:space="preserve"> as the accuracy of REMS is dependent on several variables (such as the operator, the patient and possibly the machine used), MSAC advised that </w:t>
      </w:r>
      <w:r w:rsidR="00696CB8" w:rsidRPr="00903F9D">
        <w:t xml:space="preserve">longitudinal </w:t>
      </w:r>
      <w:r w:rsidR="000E0E08" w:rsidRPr="00903F9D">
        <w:t xml:space="preserve">data on inter-operator variability, </w:t>
      </w:r>
      <w:r w:rsidR="003E0B09" w:rsidRPr="00903F9D">
        <w:t xml:space="preserve">inter-machine variability and </w:t>
      </w:r>
      <w:r w:rsidR="000E0E08" w:rsidRPr="00903F9D">
        <w:t>intr</w:t>
      </w:r>
      <w:r w:rsidR="003E0B09" w:rsidRPr="00903F9D">
        <w:t>a</w:t>
      </w:r>
      <w:r w:rsidR="000E0E08" w:rsidRPr="00903F9D">
        <w:t>-patient variability over time would need to be evaluated.</w:t>
      </w:r>
    </w:p>
    <w:p w14:paraId="38B16AEC" w14:textId="49F3FD17" w:rsidR="00376345" w:rsidRPr="00903F9D" w:rsidRDefault="00581066" w:rsidP="00376345">
      <w:pPr>
        <w:spacing w:before="0" w:after="240" w:line="240" w:lineRule="auto"/>
        <w:rPr>
          <w:rFonts w:eastAsia="Calibri" w:cs="Times New Roman"/>
        </w:rPr>
      </w:pPr>
      <w:r w:rsidRPr="00903F9D">
        <w:t xml:space="preserve">MSAC noted that the ADAR presented a fee justification </w:t>
      </w:r>
      <w:r w:rsidR="00EA4FB6" w:rsidRPr="00903F9D">
        <w:t xml:space="preserve">to support its </w:t>
      </w:r>
      <w:r w:rsidRPr="00903F9D">
        <w:t>cost-minimisation a</w:t>
      </w:r>
      <w:r w:rsidR="00EA4FB6" w:rsidRPr="00903F9D">
        <w:t xml:space="preserve">pproach, seeking to show that a REMS service would incur a fee </w:t>
      </w:r>
      <w:proofErr w:type="gramStart"/>
      <w:r w:rsidR="00EA4FB6" w:rsidRPr="00903F9D">
        <w:t>similar to</w:t>
      </w:r>
      <w:proofErr w:type="gramEnd"/>
      <w:r w:rsidR="00EA4FB6" w:rsidRPr="00903F9D">
        <w:t xml:space="preserve"> the existing MBS fee for a DXA service</w:t>
      </w:r>
      <w:r w:rsidR="00B22070" w:rsidRPr="00903F9D">
        <w:t xml:space="preserve">. MSAC noted the concerns raised by ESC regarding this approach and MSAC agreed with ESC that a </w:t>
      </w:r>
      <w:r w:rsidR="00EA4FB6" w:rsidRPr="00903F9D">
        <w:t xml:space="preserve">more extensive assessment of </w:t>
      </w:r>
      <w:r w:rsidR="00B22070" w:rsidRPr="00903F9D">
        <w:t xml:space="preserve">cost-minimisation would have been more appropriate. </w:t>
      </w:r>
      <w:r w:rsidR="00376345" w:rsidRPr="00903F9D">
        <w:rPr>
          <w:rFonts w:eastAsia="Calibri" w:cs="Times New Roman"/>
        </w:rPr>
        <w:t xml:space="preserve">The approach compared the estimated per service delivery costs for a REMS scan against the MBS fee for a DXA scan, and thus inferred there would be no expectation of a substantial difference in the provision and cost of </w:t>
      </w:r>
      <w:r w:rsidR="007105A8" w:rsidRPr="00903F9D">
        <w:rPr>
          <w:rFonts w:eastAsia="Calibri" w:cs="Times New Roman"/>
        </w:rPr>
        <w:t xml:space="preserve">concurrent or </w:t>
      </w:r>
      <w:r w:rsidR="00376345" w:rsidRPr="00903F9D">
        <w:rPr>
          <w:rFonts w:eastAsia="Calibri" w:cs="Times New Roman"/>
        </w:rPr>
        <w:t>subsequent healthcare resources. MSAC noted the ADAR estimated the REMS per service delivery cost to be $123.67 but that this included the capital costs for the REMS device. When the capital costs for the REMS device were excluded, the per service delivery cost for REMS was $99.66 (</w:t>
      </w:r>
      <w:proofErr w:type="gramStart"/>
      <w:r w:rsidR="00376345" w:rsidRPr="00903F9D">
        <w:rPr>
          <w:rFonts w:eastAsia="Calibri" w:cs="Times New Roman"/>
        </w:rPr>
        <w:t>similar to</w:t>
      </w:r>
      <w:proofErr w:type="gramEnd"/>
      <w:r w:rsidR="00376345" w:rsidRPr="00903F9D">
        <w:rPr>
          <w:rFonts w:eastAsia="Calibri" w:cs="Times New Roman"/>
        </w:rPr>
        <w:t xml:space="preserve"> the DXA MBS fee of $106.55, and the proposed MBS fee for REMS).</w:t>
      </w:r>
    </w:p>
    <w:p w14:paraId="3D1D199A" w14:textId="7E176DF1" w:rsidR="007105A8" w:rsidRPr="00903F9D" w:rsidRDefault="00376345" w:rsidP="004C5B44">
      <w:pPr>
        <w:spacing w:before="0" w:after="240" w:line="240" w:lineRule="auto"/>
      </w:pPr>
      <w:r w:rsidRPr="00903F9D">
        <w:rPr>
          <w:rFonts w:eastAsia="Calibri" w:cs="Times New Roman"/>
        </w:rPr>
        <w:t xml:space="preserve">Regarding the inputs into the fee justification that was conducted, MSAC </w:t>
      </w:r>
      <w:r w:rsidR="007105A8" w:rsidRPr="00903F9D">
        <w:rPr>
          <w:rFonts w:eastAsia="Calibri" w:cs="Times New Roman"/>
        </w:rPr>
        <w:t xml:space="preserve">considered </w:t>
      </w:r>
      <w:r w:rsidRPr="00903F9D">
        <w:rPr>
          <w:rFonts w:eastAsia="Calibri" w:cs="Times New Roman"/>
        </w:rPr>
        <w:t xml:space="preserve">that </w:t>
      </w:r>
      <w:r w:rsidR="00FD568F" w:rsidRPr="00903F9D">
        <w:rPr>
          <w:rFonts w:eastAsia="Calibri" w:cs="Times New Roman"/>
        </w:rPr>
        <w:t xml:space="preserve">the fee </w:t>
      </w:r>
      <w:r w:rsidRPr="00903F9D">
        <w:rPr>
          <w:rFonts w:eastAsia="Calibri" w:cs="Times New Roman"/>
        </w:rPr>
        <w:t>may have been underestimated due to</w:t>
      </w:r>
      <w:r w:rsidR="001E27BA" w:rsidRPr="00903F9D">
        <w:rPr>
          <w:rFonts w:eastAsia="Calibri" w:cs="Times New Roman"/>
        </w:rPr>
        <w:t xml:space="preserve"> the </w:t>
      </w:r>
      <w:r w:rsidRPr="00903F9D">
        <w:rPr>
          <w:rFonts w:eastAsia="Calibri" w:cs="Times New Roman"/>
        </w:rPr>
        <w:t>time required to perform the scan taking longer than the claimed 30 minutes</w:t>
      </w:r>
      <w:r w:rsidR="001E27BA" w:rsidRPr="00903F9D">
        <w:rPr>
          <w:rFonts w:eastAsia="Calibri" w:cs="Times New Roman"/>
        </w:rPr>
        <w:t xml:space="preserve"> </w:t>
      </w:r>
      <w:r w:rsidR="00FD568F" w:rsidRPr="00903F9D">
        <w:rPr>
          <w:rFonts w:eastAsia="Calibri" w:cs="Times New Roman"/>
        </w:rPr>
        <w:t xml:space="preserve">and </w:t>
      </w:r>
      <w:r w:rsidR="00397C5C" w:rsidRPr="00903F9D">
        <w:rPr>
          <w:rFonts w:eastAsia="Calibri" w:cs="Times New Roman"/>
        </w:rPr>
        <w:t xml:space="preserve">increased </w:t>
      </w:r>
      <w:r w:rsidR="001E27BA" w:rsidRPr="00903F9D">
        <w:rPr>
          <w:rFonts w:eastAsia="Calibri" w:cs="Times New Roman"/>
        </w:rPr>
        <w:t xml:space="preserve">costs for the portable REMS device </w:t>
      </w:r>
      <w:r w:rsidR="00397C5C" w:rsidRPr="00903F9D">
        <w:rPr>
          <w:rFonts w:eastAsia="Calibri" w:cs="Times New Roman"/>
        </w:rPr>
        <w:t>over the non-portable REMS device</w:t>
      </w:r>
      <w:r w:rsidR="00FD568F" w:rsidRPr="00903F9D">
        <w:rPr>
          <w:rFonts w:eastAsia="Calibri" w:cs="Times New Roman"/>
        </w:rPr>
        <w:t xml:space="preserve">. </w:t>
      </w:r>
      <w:r w:rsidR="007105A8" w:rsidRPr="00903F9D">
        <w:t>MSAC noted that, in the pre-MSAC response, the applicant stated that the proposed time of 30 minutes is reasonable based on Australian experience, however, MSAC noted this was based on anecdotal evidence only.</w:t>
      </w:r>
    </w:p>
    <w:p w14:paraId="66F604E2" w14:textId="5AEBE075" w:rsidR="007105A8" w:rsidRPr="00903F9D" w:rsidRDefault="00FD568F" w:rsidP="007105A8">
      <w:pPr>
        <w:spacing w:before="0" w:after="240" w:line="240" w:lineRule="auto"/>
      </w:pPr>
      <w:r w:rsidRPr="00903F9D">
        <w:rPr>
          <w:rFonts w:eastAsia="Calibri" w:cs="Times New Roman"/>
        </w:rPr>
        <w:t xml:space="preserve">In addition, </w:t>
      </w:r>
      <w:r w:rsidR="007105A8" w:rsidRPr="00903F9D">
        <w:rPr>
          <w:rFonts w:eastAsia="Calibri" w:cs="Times New Roman"/>
        </w:rPr>
        <w:t xml:space="preserve">MSAC considered that </w:t>
      </w:r>
      <w:r w:rsidRPr="00903F9D">
        <w:rPr>
          <w:rFonts w:eastAsia="Calibri" w:cs="Times New Roman"/>
        </w:rPr>
        <w:t>overall costs may have been underestimated due to</w:t>
      </w:r>
      <w:r w:rsidR="00397C5C" w:rsidRPr="00903F9D">
        <w:rPr>
          <w:rFonts w:eastAsia="Calibri" w:cs="Times New Roman"/>
        </w:rPr>
        <w:t xml:space="preserve"> </w:t>
      </w:r>
      <w:r w:rsidR="00376345" w:rsidRPr="00903F9D">
        <w:rPr>
          <w:rFonts w:eastAsia="Calibri" w:cs="Times New Roman"/>
        </w:rPr>
        <w:t>transportation costs for portable devices not being accounted for</w:t>
      </w:r>
      <w:r w:rsidR="001E27BA" w:rsidRPr="00903F9D">
        <w:rPr>
          <w:rFonts w:eastAsia="Calibri" w:cs="Times New Roman"/>
        </w:rPr>
        <w:t xml:space="preserve"> and staff </w:t>
      </w:r>
      <w:r w:rsidR="00376345" w:rsidRPr="00903F9D">
        <w:rPr>
          <w:rFonts w:eastAsia="Calibri" w:cs="Times New Roman"/>
        </w:rPr>
        <w:t>training costs not being included.</w:t>
      </w:r>
      <w:r w:rsidR="007105A8" w:rsidRPr="00903F9D">
        <w:t xml:space="preserve"> W</w:t>
      </w:r>
      <w:r w:rsidR="001E27BA" w:rsidRPr="00903F9D">
        <w:t xml:space="preserve">hile </w:t>
      </w:r>
      <w:r w:rsidR="00581066" w:rsidRPr="00903F9D">
        <w:t xml:space="preserve">the cost of </w:t>
      </w:r>
      <w:r w:rsidR="00376345" w:rsidRPr="00903F9D">
        <w:t xml:space="preserve">staff </w:t>
      </w:r>
      <w:r w:rsidR="00581066" w:rsidRPr="00903F9D">
        <w:t xml:space="preserve">training is included in the </w:t>
      </w:r>
      <w:r w:rsidR="00376345" w:rsidRPr="00903F9D">
        <w:t xml:space="preserve">purchase </w:t>
      </w:r>
      <w:r w:rsidR="00581066" w:rsidRPr="00903F9D">
        <w:t>price of the machine</w:t>
      </w:r>
      <w:r w:rsidR="001E27BA" w:rsidRPr="00903F9D">
        <w:t>, it did not appear to account for training of staff members that are recruited after the initial training is provided</w:t>
      </w:r>
      <w:r w:rsidR="00581066" w:rsidRPr="00903F9D">
        <w:t>.</w:t>
      </w:r>
    </w:p>
    <w:p w14:paraId="68B36E5C" w14:textId="260EDDEB" w:rsidR="00376345" w:rsidRPr="00903F9D" w:rsidRDefault="001E27BA" w:rsidP="007105A8">
      <w:pPr>
        <w:spacing w:before="0" w:after="240" w:line="240" w:lineRule="auto"/>
      </w:pPr>
      <w:r w:rsidRPr="00903F9D">
        <w:t xml:space="preserve">MSAC </w:t>
      </w:r>
      <w:r w:rsidR="007105A8" w:rsidRPr="00903F9D">
        <w:t xml:space="preserve">further considered </w:t>
      </w:r>
      <w:r w:rsidRPr="00903F9D">
        <w:t xml:space="preserve">that the </w:t>
      </w:r>
      <w:r w:rsidR="00CA7CD8" w:rsidRPr="00903F9D">
        <w:t xml:space="preserve">type of machine and the </w:t>
      </w:r>
      <w:r w:rsidRPr="00903F9D">
        <w:t xml:space="preserve">number of scans per week per machine could affect the </w:t>
      </w:r>
      <w:r w:rsidR="00CA7CD8" w:rsidRPr="00903F9D">
        <w:t xml:space="preserve">economic </w:t>
      </w:r>
      <w:r w:rsidR="00651182" w:rsidRPr="00903F9D">
        <w:t>evaluation</w:t>
      </w:r>
      <w:r w:rsidR="00CA7CD8" w:rsidRPr="00903F9D">
        <w:t xml:space="preserve">, and that if fewer scans are performed on a more expensive machine than in the ADAR then the costs would be underestimated. </w:t>
      </w:r>
      <w:r w:rsidRPr="00903F9D">
        <w:t xml:space="preserve">MSAC </w:t>
      </w:r>
      <w:r w:rsidR="007105A8" w:rsidRPr="00903F9D">
        <w:t xml:space="preserve">considered </w:t>
      </w:r>
      <w:r w:rsidRPr="00903F9D">
        <w:t xml:space="preserve">that device costs are </w:t>
      </w:r>
      <w:r w:rsidR="007105A8" w:rsidRPr="00903F9D">
        <w:t>relevant to the cost-minimisation approach</w:t>
      </w:r>
      <w:r w:rsidRPr="00903F9D">
        <w:t>.</w:t>
      </w:r>
    </w:p>
    <w:p w14:paraId="43736B93" w14:textId="59338011" w:rsidR="00AB5765" w:rsidRPr="00903F9D" w:rsidRDefault="00581066" w:rsidP="00581066">
      <w:r w:rsidRPr="00903F9D">
        <w:t xml:space="preserve">MSAC noted that a market share approach was used to estimate the financial impact for the proposed MBS listing of REMS. </w:t>
      </w:r>
      <w:r w:rsidR="009A17A7" w:rsidRPr="00903F9D">
        <w:t>MSAC considered this to be reasonable</w:t>
      </w:r>
      <w:r w:rsidR="00397C5C" w:rsidRPr="00903F9D">
        <w:t xml:space="preserve"> given the requested MBS listing</w:t>
      </w:r>
      <w:r w:rsidR="009A17A7" w:rsidRPr="00903F9D">
        <w:t xml:space="preserve">. However, the ADAR assumed a one-for-one replacement of DXA by REMS (for initial and repeat scans) at the same MBS fee for 5 to 15% of patients (over 6 years), yielding a net cost to the MBS budget of $0 for every year. </w:t>
      </w:r>
      <w:r w:rsidRPr="00903F9D">
        <w:t xml:space="preserve">MSAC considered this to be </w:t>
      </w:r>
      <w:r w:rsidR="009A17A7" w:rsidRPr="00903F9D">
        <w:t>un</w:t>
      </w:r>
      <w:r w:rsidRPr="00903F9D">
        <w:t>reasonable</w:t>
      </w:r>
      <w:r w:rsidR="009A17A7" w:rsidRPr="00903F9D">
        <w:t xml:space="preserve"> as it did not account for any additional patients who may have a REMS scan who are currently unable to access DXA and the 5 to 15% uptake of REMS </w:t>
      </w:r>
      <w:r w:rsidR="00817E4D" w:rsidRPr="00903F9D">
        <w:t xml:space="preserve">compared with DXA </w:t>
      </w:r>
      <w:r w:rsidR="009A17A7" w:rsidRPr="00903F9D">
        <w:t>was not supported by any data</w:t>
      </w:r>
      <w:r w:rsidR="00CA7CD8" w:rsidRPr="00903F9D">
        <w:t xml:space="preserve"> (even though some utilisation data </w:t>
      </w:r>
      <w:r w:rsidR="00397C5C" w:rsidRPr="00903F9D">
        <w:t xml:space="preserve">from Italy </w:t>
      </w:r>
      <w:r w:rsidR="00CA7CD8" w:rsidRPr="00903F9D">
        <w:t>are now available)</w:t>
      </w:r>
      <w:r w:rsidR="009A17A7" w:rsidRPr="00903F9D">
        <w:t xml:space="preserve">. </w:t>
      </w:r>
      <w:r w:rsidRPr="00903F9D">
        <w:t xml:space="preserve">The ADAR also assumed no growth in DXA </w:t>
      </w:r>
      <w:r w:rsidR="009A17A7" w:rsidRPr="00903F9D">
        <w:t xml:space="preserve">or REMS scans over time, </w:t>
      </w:r>
      <w:r w:rsidRPr="00903F9D">
        <w:t xml:space="preserve">but MSAC did not consider this appropriate as the DXA utilisation data were </w:t>
      </w:r>
      <w:r w:rsidR="001F1D34" w:rsidRPr="00903F9D">
        <w:t>based on</w:t>
      </w:r>
      <w:r w:rsidRPr="00903F9D">
        <w:t xml:space="preserve"> years impacted by the COVID-19 pandemic</w:t>
      </w:r>
      <w:r w:rsidR="009A17A7" w:rsidRPr="00903F9D">
        <w:t xml:space="preserve"> and the longer-term utilisation trend shows year-on-year growth in DXA usage</w:t>
      </w:r>
      <w:r w:rsidR="00817E4D" w:rsidRPr="00903F9D">
        <w:t>, which would be expected to continue</w:t>
      </w:r>
      <w:r w:rsidRPr="00903F9D">
        <w:t xml:space="preserve">. </w:t>
      </w:r>
      <w:r w:rsidR="00F96EFF" w:rsidRPr="00903F9D">
        <w:t xml:space="preserve">Revisiting this assumption would be important in the context of expecting additional new patients to </w:t>
      </w:r>
      <w:r w:rsidR="00E56873" w:rsidRPr="00903F9D">
        <w:t xml:space="preserve">be </w:t>
      </w:r>
      <w:r w:rsidR="00F96EFF" w:rsidRPr="00903F9D">
        <w:t xml:space="preserve">tested with REMS. </w:t>
      </w:r>
      <w:r w:rsidRPr="00903F9D">
        <w:t>MSAC consider</w:t>
      </w:r>
      <w:r w:rsidR="007105A8" w:rsidRPr="00903F9D">
        <w:t>ed</w:t>
      </w:r>
      <w:r w:rsidRPr="00903F9D">
        <w:t xml:space="preserve"> it appropriate that each service in a year is assumed </w:t>
      </w:r>
      <w:r w:rsidRPr="00903F9D">
        <w:lastRenderedPageBreak/>
        <w:t xml:space="preserve">to be for a unique patient. MSAC </w:t>
      </w:r>
      <w:r w:rsidR="00680E97" w:rsidRPr="00903F9D">
        <w:t xml:space="preserve">further </w:t>
      </w:r>
      <w:r w:rsidRPr="00903F9D">
        <w:t xml:space="preserve">considered it may be appropriate to assume no impact on other health budgets, </w:t>
      </w:r>
      <w:r w:rsidR="00680E97" w:rsidRPr="00903F9D">
        <w:t xml:space="preserve">because the small </w:t>
      </w:r>
      <w:r w:rsidRPr="00903F9D">
        <w:t>increase</w:t>
      </w:r>
      <w:r w:rsidR="00680E97" w:rsidRPr="00903F9D">
        <w:t xml:space="preserve"> in</w:t>
      </w:r>
      <w:r w:rsidRPr="00903F9D">
        <w:t xml:space="preserve"> diagnos</w:t>
      </w:r>
      <w:r w:rsidR="00680E97" w:rsidRPr="00903F9D">
        <w:t>e</w:t>
      </w:r>
      <w:r w:rsidRPr="00903F9D">
        <w:t>s of osteoporosis would be expected to increase Pharmaceutical Benefits Scheme (PBS) expenditure for osteoporosis medications</w:t>
      </w:r>
      <w:r w:rsidR="00680E97" w:rsidRPr="00903F9D">
        <w:t xml:space="preserve"> to a negligible extent</w:t>
      </w:r>
      <w:r w:rsidR="009A17A7" w:rsidRPr="00903F9D">
        <w:t>.</w:t>
      </w:r>
    </w:p>
    <w:p w14:paraId="09052FA8" w14:textId="67CDBF41" w:rsidR="00581066" w:rsidRPr="00903F9D" w:rsidRDefault="00581066" w:rsidP="00581066">
      <w:r w:rsidRPr="00903F9D">
        <w:t xml:space="preserve">MSAC considered that general practitioners and other requesting providers would need education about which patients are unsuitable for REMS to reduce the chance of unsuccessful tests. Additionally, because successful scans are operator dependent, MSAC considered it important that operators receive (and provide evidence of) sufficient training that is developed </w:t>
      </w:r>
      <w:r w:rsidR="001F1D34" w:rsidRPr="00903F9D">
        <w:t xml:space="preserve">with </w:t>
      </w:r>
      <w:r w:rsidRPr="00903F9D">
        <w:t xml:space="preserve">and accredited by relevant professional organisations. MSAC noted that the applicant is willing to work with the relevant professional societies to obtain </w:t>
      </w:r>
      <w:r w:rsidR="00F96EFF" w:rsidRPr="00903F9D">
        <w:t xml:space="preserve">their </w:t>
      </w:r>
      <w:r w:rsidRPr="00903F9D">
        <w:t>endorsement</w:t>
      </w:r>
      <w:r w:rsidR="00F96EFF" w:rsidRPr="00903F9D">
        <w:t xml:space="preserve"> of its training</w:t>
      </w:r>
      <w:r w:rsidRPr="00903F9D">
        <w:t xml:space="preserve">. MSAC advised that evidence of </w:t>
      </w:r>
      <w:r w:rsidR="00F96EFF" w:rsidRPr="00903F9D">
        <w:t xml:space="preserve">the </w:t>
      </w:r>
      <w:r w:rsidRPr="00903F9D">
        <w:t xml:space="preserve">effectiveness and </w:t>
      </w:r>
      <w:r w:rsidR="00F96EFF" w:rsidRPr="00903F9D">
        <w:t xml:space="preserve">the </w:t>
      </w:r>
      <w:r w:rsidRPr="00903F9D">
        <w:t xml:space="preserve">quality assurance of the training program should be provided, as well as the learning curve </w:t>
      </w:r>
      <w:r w:rsidR="00F96EFF" w:rsidRPr="00903F9D">
        <w:t xml:space="preserve">involved </w:t>
      </w:r>
      <w:r w:rsidRPr="00903F9D">
        <w:t>and engagement</w:t>
      </w:r>
      <w:r w:rsidR="00F96EFF" w:rsidRPr="00903F9D">
        <w:t xml:space="preserve"> by relevant practitioners</w:t>
      </w:r>
      <w:r w:rsidR="00E56873" w:rsidRPr="00903F9D">
        <w:t xml:space="preserve"> and their professional organisations</w:t>
      </w:r>
      <w:r w:rsidRPr="00903F9D">
        <w:t xml:space="preserve">. Based on </w:t>
      </w:r>
      <w:proofErr w:type="spellStart"/>
      <w:r w:rsidRPr="00903F9D">
        <w:t>Cortet</w:t>
      </w:r>
      <w:proofErr w:type="spellEnd"/>
      <w:r w:rsidRPr="00903F9D">
        <w:t xml:space="preserve"> et al. 2021, MSAC considered that three days of training should be the minimum.</w:t>
      </w:r>
    </w:p>
    <w:p w14:paraId="317A68E6" w14:textId="64C6A512" w:rsidR="00C951DE" w:rsidRPr="00903F9D" w:rsidRDefault="00C951DE" w:rsidP="0089759C">
      <w:r w:rsidRPr="00903F9D">
        <w:t>MSAC considered that</w:t>
      </w:r>
      <w:r w:rsidR="0089759C" w:rsidRPr="00903F9D">
        <w:t xml:space="preserve">, should it be possible to identify a population(s) that is eligible for, but unable to access a DXA, then </w:t>
      </w:r>
      <w:r w:rsidRPr="00903F9D">
        <w:t xml:space="preserve">any resubmission would need to </w:t>
      </w:r>
      <w:r w:rsidR="0089759C" w:rsidRPr="00903F9D">
        <w:t>clearly define the population where there is an unmet need</w:t>
      </w:r>
      <w:r w:rsidR="00CA7CD8" w:rsidRPr="00903F9D">
        <w:t xml:space="preserve">. </w:t>
      </w:r>
      <w:r w:rsidR="00F96EFF" w:rsidRPr="00903F9D">
        <w:t>This would need to provide a</w:t>
      </w:r>
      <w:r w:rsidR="0089759C" w:rsidRPr="00903F9D">
        <w:t xml:space="preserve"> </w:t>
      </w:r>
      <w:r w:rsidRPr="00903F9D">
        <w:rPr>
          <w:rFonts w:eastAsia="Calibri" w:cs="Times New Roman"/>
        </w:rPr>
        <w:t>reassessment of comparative safety and effectiveness with a comparator of ‘no DXA’</w:t>
      </w:r>
      <w:r w:rsidR="0089759C" w:rsidRPr="00903F9D">
        <w:rPr>
          <w:rFonts w:eastAsia="Calibri" w:cs="Times New Roman"/>
        </w:rPr>
        <w:t>, including</w:t>
      </w:r>
      <w:r w:rsidRPr="00903F9D">
        <w:rPr>
          <w:rFonts w:eastAsia="Calibri" w:cs="Times New Roman"/>
        </w:rPr>
        <w:t xml:space="preserve"> </w:t>
      </w:r>
      <w:r w:rsidRPr="00903F9D">
        <w:t xml:space="preserve">longitudinal data on inter-operator variability, inter-machine variability </w:t>
      </w:r>
      <w:r w:rsidR="003E0B09" w:rsidRPr="00903F9D">
        <w:t xml:space="preserve">and intra-patient variability over time, including </w:t>
      </w:r>
      <w:r w:rsidRPr="00903F9D">
        <w:t xml:space="preserve">linked to fracture risk, along with revised economic and financial analyses presented in accordance with </w:t>
      </w:r>
      <w:r w:rsidR="00F96EFF" w:rsidRPr="00903F9D">
        <w:t xml:space="preserve">the </w:t>
      </w:r>
      <w:r w:rsidRPr="00903F9D">
        <w:t>MSAC guidelines.</w:t>
      </w:r>
      <w:r w:rsidR="00FD568F" w:rsidRPr="00903F9D">
        <w:t xml:space="preserve"> If any direct evidence is available for the proposed population with unmet need, this should </w:t>
      </w:r>
      <w:r w:rsidR="00DF3D11" w:rsidRPr="00903F9D">
        <w:t xml:space="preserve">also </w:t>
      </w:r>
      <w:r w:rsidR="00FD568F" w:rsidRPr="00903F9D">
        <w:t>be included.</w:t>
      </w:r>
    </w:p>
    <w:p w14:paraId="5CC4398C" w14:textId="1E2B72B9" w:rsidR="00772829" w:rsidRPr="00903F9D" w:rsidRDefault="00EB62FF" w:rsidP="00EB62FF">
      <w:pPr>
        <w:pStyle w:val="Heading2"/>
        <w:numPr>
          <w:ilvl w:val="0"/>
          <w:numId w:val="0"/>
        </w:numPr>
        <w:ind w:left="720" w:hanging="862"/>
      </w:pPr>
      <w:r w:rsidRPr="00903F9D">
        <w:t>4.</w:t>
      </w:r>
      <w:r w:rsidRPr="00903F9D">
        <w:tab/>
      </w:r>
      <w:r w:rsidR="00772829" w:rsidRPr="00903F9D">
        <w:t>Background</w:t>
      </w:r>
      <w:bookmarkEnd w:id="2"/>
    </w:p>
    <w:p w14:paraId="6EE0886C" w14:textId="07B21FA4" w:rsidR="00763ABA" w:rsidRPr="00903F9D" w:rsidRDefault="00CA42D6" w:rsidP="000A2DA8">
      <w:pPr>
        <w:pStyle w:val="Instructionaltext"/>
        <w:rPr>
          <w:color w:val="auto"/>
        </w:rPr>
      </w:pPr>
      <w:bookmarkStart w:id="3" w:name="_Hlk69734494"/>
      <w:r w:rsidRPr="00903F9D">
        <w:rPr>
          <w:color w:val="auto"/>
        </w:rPr>
        <w:t>MSAC has not previously considered</w:t>
      </w:r>
      <w:r w:rsidR="00BE5374" w:rsidRPr="00903F9D">
        <w:rPr>
          <w:color w:val="auto"/>
        </w:rPr>
        <w:t xml:space="preserve"> </w:t>
      </w:r>
      <w:r w:rsidR="00B5258C" w:rsidRPr="00903F9D">
        <w:rPr>
          <w:color w:val="auto"/>
        </w:rPr>
        <w:t>REMS</w:t>
      </w:r>
      <w:r w:rsidR="00BE5374" w:rsidRPr="00903F9D">
        <w:rPr>
          <w:color w:val="auto"/>
        </w:rPr>
        <w:t xml:space="preserve"> for the </w:t>
      </w:r>
      <w:r w:rsidR="00B5258C" w:rsidRPr="00903F9D">
        <w:rPr>
          <w:color w:val="auto"/>
        </w:rPr>
        <w:t>diagnosis of</w:t>
      </w:r>
      <w:r w:rsidR="0097022D" w:rsidRPr="00903F9D">
        <w:rPr>
          <w:color w:val="auto"/>
        </w:rPr>
        <w:t xml:space="preserve"> osteopenia and</w:t>
      </w:r>
      <w:r w:rsidR="00B5258C" w:rsidRPr="00903F9D">
        <w:rPr>
          <w:color w:val="auto"/>
        </w:rPr>
        <w:t xml:space="preserve"> osteoporosis</w:t>
      </w:r>
      <w:r w:rsidR="00BE5374" w:rsidRPr="00903F9D">
        <w:rPr>
          <w:color w:val="auto"/>
        </w:rPr>
        <w:t>.</w:t>
      </w:r>
      <w:r w:rsidR="00763ABA" w:rsidRPr="00903F9D">
        <w:rPr>
          <w:color w:val="auto"/>
        </w:rPr>
        <w:t xml:space="preserve"> </w:t>
      </w:r>
      <w:r w:rsidR="0097022D" w:rsidRPr="00903F9D">
        <w:rPr>
          <w:color w:val="auto"/>
        </w:rPr>
        <w:t>MBS l</w:t>
      </w:r>
      <w:r w:rsidR="00A16102" w:rsidRPr="00903F9D">
        <w:rPr>
          <w:color w:val="auto"/>
        </w:rPr>
        <w:t xml:space="preserve">isting was requested </w:t>
      </w:r>
      <w:proofErr w:type="gramStart"/>
      <w:r w:rsidR="00A16102" w:rsidRPr="00903F9D">
        <w:rPr>
          <w:color w:val="auto"/>
        </w:rPr>
        <w:t>on the basis of</w:t>
      </w:r>
      <w:proofErr w:type="gramEnd"/>
      <w:r w:rsidR="00A16102" w:rsidRPr="00903F9D">
        <w:rPr>
          <w:color w:val="auto"/>
        </w:rPr>
        <w:t xml:space="preserve"> a</w:t>
      </w:r>
      <w:r w:rsidR="009A67F6" w:rsidRPr="00903F9D">
        <w:rPr>
          <w:color w:val="auto"/>
        </w:rPr>
        <w:t xml:space="preserve"> claim of noninferiority and</w:t>
      </w:r>
      <w:r w:rsidR="00A16102" w:rsidRPr="00903F9D">
        <w:rPr>
          <w:color w:val="auto"/>
        </w:rPr>
        <w:t xml:space="preserve"> </w:t>
      </w:r>
      <w:r w:rsidR="003C6FE1" w:rsidRPr="00903F9D">
        <w:rPr>
          <w:color w:val="auto"/>
        </w:rPr>
        <w:t>cost</w:t>
      </w:r>
      <w:r w:rsidR="00E64C7E" w:rsidRPr="00903F9D">
        <w:rPr>
          <w:color w:val="auto"/>
        </w:rPr>
        <w:t>-</w:t>
      </w:r>
      <w:r w:rsidR="003C6FE1" w:rsidRPr="00903F9D">
        <w:rPr>
          <w:color w:val="auto"/>
        </w:rPr>
        <w:t xml:space="preserve">minimisation </w:t>
      </w:r>
      <w:r w:rsidR="00A16102" w:rsidRPr="00903F9D">
        <w:rPr>
          <w:color w:val="auto"/>
        </w:rPr>
        <w:t>analysis versus DXA as the main</w:t>
      </w:r>
      <w:r w:rsidR="003C6FE1" w:rsidRPr="00903F9D">
        <w:rPr>
          <w:color w:val="auto"/>
        </w:rPr>
        <w:t xml:space="preserve"> and only</w:t>
      </w:r>
      <w:r w:rsidR="00A16102" w:rsidRPr="00903F9D">
        <w:rPr>
          <w:color w:val="auto"/>
        </w:rPr>
        <w:t xml:space="preserve"> comparator.</w:t>
      </w:r>
    </w:p>
    <w:p w14:paraId="36DE8BE6" w14:textId="4CCB2ABA" w:rsidR="00772829" w:rsidRPr="00903F9D" w:rsidRDefault="00EB62FF" w:rsidP="002A18BE">
      <w:pPr>
        <w:pStyle w:val="Heading2"/>
        <w:numPr>
          <w:ilvl w:val="0"/>
          <w:numId w:val="0"/>
        </w:numPr>
      </w:pPr>
      <w:bookmarkStart w:id="4" w:name="_Toc69491417"/>
      <w:bookmarkEnd w:id="3"/>
      <w:r w:rsidRPr="00903F9D">
        <w:t>5</w:t>
      </w:r>
      <w:r w:rsidR="00C36633" w:rsidRPr="00903F9D">
        <w:t>.</w:t>
      </w:r>
      <w:r w:rsidR="00C36633" w:rsidRPr="00903F9D">
        <w:tab/>
      </w:r>
      <w:r w:rsidR="00772829" w:rsidRPr="00903F9D">
        <w:t>Prerequisites to implementation of any funding advice</w:t>
      </w:r>
      <w:bookmarkEnd w:id="4"/>
    </w:p>
    <w:p w14:paraId="12A9C95B" w14:textId="4778591C" w:rsidR="003328A9" w:rsidRPr="00903F9D" w:rsidRDefault="009558A9" w:rsidP="009558A9">
      <w:r w:rsidRPr="00903F9D">
        <w:t xml:space="preserve">The </w:t>
      </w:r>
      <w:r w:rsidR="00B5258C" w:rsidRPr="00903F9D">
        <w:t xml:space="preserve">REMS technology was </w:t>
      </w:r>
      <w:bookmarkStart w:id="5" w:name="_Hlk103174870"/>
      <w:r w:rsidRPr="00903F9D">
        <w:t xml:space="preserve">included on the Australian Register of Therapeutic Goods (ARTG) </w:t>
      </w:r>
      <w:bookmarkEnd w:id="5"/>
      <w:r w:rsidR="00B5258C" w:rsidRPr="00903F9D">
        <w:t>for use in Australia on 28 September 2020</w:t>
      </w:r>
      <w:r w:rsidR="00995C35" w:rsidRPr="00903F9D">
        <w:t xml:space="preserve"> (ARTG 344830</w:t>
      </w:r>
      <w:r w:rsidRPr="00903F9D">
        <w:t xml:space="preserve">, </w:t>
      </w:r>
      <w:r w:rsidRPr="00903F9D">
        <w:fldChar w:fldCharType="begin"/>
      </w:r>
      <w:r w:rsidRPr="00903F9D">
        <w:instrText xml:space="preserve"> REF _Ref103174808 \h  \* MERGEFORMAT </w:instrText>
      </w:r>
      <w:r w:rsidRPr="00903F9D">
        <w:fldChar w:fldCharType="separate"/>
      </w:r>
      <w:r w:rsidR="00DF3307" w:rsidRPr="00903F9D">
        <w:t xml:space="preserve">Table </w:t>
      </w:r>
      <w:r w:rsidR="00DF3307" w:rsidRPr="00903F9D">
        <w:rPr>
          <w:noProof/>
        </w:rPr>
        <w:t>1</w:t>
      </w:r>
      <w:r w:rsidRPr="00903F9D">
        <w:fldChar w:fldCharType="end"/>
      </w:r>
      <w:r w:rsidR="00995C35" w:rsidRPr="00903F9D">
        <w:t>).</w:t>
      </w:r>
    </w:p>
    <w:p w14:paraId="169E5086" w14:textId="5D58CE0F" w:rsidR="00B5258C" w:rsidRPr="00903F9D" w:rsidRDefault="00485E5C" w:rsidP="00F96EFF">
      <w:pPr>
        <w:pStyle w:val="Caption"/>
        <w:keepLines/>
      </w:pPr>
      <w:bookmarkStart w:id="6" w:name="_Ref103174808"/>
      <w:r w:rsidRPr="00903F9D">
        <w:lastRenderedPageBreak/>
        <w:t xml:space="preserve">Table </w:t>
      </w:r>
      <w:r w:rsidR="008D0E73">
        <w:fldChar w:fldCharType="begin"/>
      </w:r>
      <w:r w:rsidR="008D0E73">
        <w:instrText xml:space="preserve"> SEQ Table \*</w:instrText>
      </w:r>
      <w:r w:rsidR="008D0E73">
        <w:instrText xml:space="preserve"> ARABIC </w:instrText>
      </w:r>
      <w:r w:rsidR="008D0E73">
        <w:fldChar w:fldCharType="separate"/>
      </w:r>
      <w:r w:rsidR="00DF3307" w:rsidRPr="00903F9D">
        <w:rPr>
          <w:noProof/>
        </w:rPr>
        <w:t>1</w:t>
      </w:r>
      <w:r w:rsidR="008D0E73">
        <w:rPr>
          <w:noProof/>
        </w:rPr>
        <w:fldChar w:fldCharType="end"/>
      </w:r>
      <w:bookmarkEnd w:id="6"/>
      <w:r w:rsidR="00E66281">
        <w:tab/>
      </w:r>
      <w:r w:rsidR="00462C25" w:rsidRPr="00903F9D">
        <w:t xml:space="preserve"> ARTG Certificate information</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7462"/>
      </w:tblGrid>
      <w:tr w:rsidR="00B5258C" w:rsidRPr="00903F9D" w14:paraId="77E0FF77" w14:textId="77777777" w:rsidTr="0092090E">
        <w:trPr>
          <w:cnfStyle w:val="100000000000" w:firstRow="1" w:lastRow="0" w:firstColumn="0" w:lastColumn="0" w:oddVBand="0" w:evenVBand="0" w:oddHBand="0" w:evenHBand="0" w:firstRowFirstColumn="0" w:firstRowLastColumn="0" w:lastRowFirstColumn="0" w:lastRowLastColumn="0"/>
          <w:trHeight w:val="351"/>
          <w:tblHeader/>
        </w:trPr>
        <w:tc>
          <w:tcPr>
            <w:tcW w:w="862" w:type="pct"/>
            <w:tcBorders>
              <w:top w:val="single" w:sz="4" w:space="0" w:color="000000"/>
              <w:left w:val="single" w:sz="4" w:space="0" w:color="000000"/>
              <w:bottom w:val="single" w:sz="4" w:space="0" w:color="000000"/>
              <w:right w:val="single" w:sz="4" w:space="0" w:color="000000"/>
            </w:tcBorders>
            <w:vAlign w:val="center"/>
          </w:tcPr>
          <w:p w14:paraId="5283DB74" w14:textId="77777777" w:rsidR="00B5258C" w:rsidRPr="00903F9D" w:rsidRDefault="00B5258C" w:rsidP="00F96EFF">
            <w:pPr>
              <w:pStyle w:val="TableText"/>
              <w:keepNext/>
              <w:keepLines/>
              <w:spacing w:before="0" w:after="0"/>
            </w:pPr>
            <w:r w:rsidRPr="00903F9D">
              <w:t xml:space="preserve">ARTG identifier </w:t>
            </w:r>
          </w:p>
        </w:tc>
        <w:tc>
          <w:tcPr>
            <w:tcW w:w="4138" w:type="pct"/>
            <w:tcBorders>
              <w:top w:val="single" w:sz="4" w:space="0" w:color="000000"/>
              <w:left w:val="single" w:sz="4" w:space="0" w:color="000000"/>
              <w:bottom w:val="single" w:sz="4" w:space="0" w:color="000000"/>
              <w:right w:val="single" w:sz="4" w:space="0" w:color="000000"/>
            </w:tcBorders>
            <w:vAlign w:val="center"/>
          </w:tcPr>
          <w:p w14:paraId="2786C284" w14:textId="77777777" w:rsidR="00B5258C" w:rsidRPr="00903F9D" w:rsidRDefault="00B5258C" w:rsidP="00F96EFF">
            <w:pPr>
              <w:pStyle w:val="TableText"/>
              <w:keepNext/>
              <w:keepLines/>
              <w:spacing w:before="0" w:after="0"/>
            </w:pPr>
            <w:r w:rsidRPr="00903F9D">
              <w:t>344830</w:t>
            </w:r>
          </w:p>
        </w:tc>
      </w:tr>
      <w:tr w:rsidR="00B5258C" w:rsidRPr="00903F9D" w14:paraId="18EBF1EC" w14:textId="77777777" w:rsidTr="0092090E">
        <w:trPr>
          <w:trHeight w:val="419"/>
        </w:trPr>
        <w:tc>
          <w:tcPr>
            <w:tcW w:w="862" w:type="pct"/>
            <w:tcBorders>
              <w:top w:val="single" w:sz="4" w:space="0" w:color="000000"/>
              <w:left w:val="single" w:sz="4" w:space="0" w:color="000000"/>
              <w:bottom w:val="single" w:sz="4" w:space="0" w:color="000000"/>
              <w:right w:val="single" w:sz="4" w:space="0" w:color="000000"/>
            </w:tcBorders>
            <w:vAlign w:val="center"/>
          </w:tcPr>
          <w:p w14:paraId="0DB57D4E" w14:textId="77777777" w:rsidR="00B5258C" w:rsidRPr="00903F9D" w:rsidRDefault="00B5258C" w:rsidP="00F96EFF">
            <w:pPr>
              <w:keepNext/>
              <w:keepLines/>
              <w:spacing w:before="0" w:after="0"/>
              <w:rPr>
                <w:rFonts w:ascii="Arial Narrow" w:hAnsi="Arial Narrow"/>
              </w:rPr>
            </w:pPr>
            <w:r w:rsidRPr="00903F9D">
              <w:rPr>
                <w:rFonts w:ascii="Arial Narrow" w:hAnsi="Arial Narrow"/>
              </w:rPr>
              <w:t>ARTG start date</w:t>
            </w:r>
          </w:p>
        </w:tc>
        <w:tc>
          <w:tcPr>
            <w:tcW w:w="4138" w:type="pct"/>
            <w:tcBorders>
              <w:top w:val="single" w:sz="4" w:space="0" w:color="000000"/>
              <w:left w:val="single" w:sz="4" w:space="0" w:color="000000"/>
              <w:bottom w:val="single" w:sz="4" w:space="0" w:color="000000"/>
              <w:right w:val="single" w:sz="4" w:space="0" w:color="000000"/>
            </w:tcBorders>
            <w:vAlign w:val="center"/>
          </w:tcPr>
          <w:p w14:paraId="0694E398" w14:textId="77777777" w:rsidR="00B5258C" w:rsidRPr="00903F9D" w:rsidRDefault="00B5258C" w:rsidP="00F96EFF">
            <w:pPr>
              <w:keepNext/>
              <w:keepLines/>
              <w:spacing w:before="0" w:after="0"/>
              <w:rPr>
                <w:rFonts w:ascii="Arial Narrow" w:hAnsi="Arial Narrow"/>
              </w:rPr>
            </w:pPr>
            <w:r w:rsidRPr="00903F9D">
              <w:rPr>
                <w:rFonts w:ascii="Arial Narrow" w:hAnsi="Arial Narrow"/>
              </w:rPr>
              <w:t>28 September 2020</w:t>
            </w:r>
          </w:p>
        </w:tc>
      </w:tr>
      <w:tr w:rsidR="00B5258C" w:rsidRPr="00903F9D" w14:paraId="3F36F4AF" w14:textId="77777777" w:rsidTr="0092090E">
        <w:tc>
          <w:tcPr>
            <w:tcW w:w="862" w:type="pct"/>
            <w:tcBorders>
              <w:top w:val="single" w:sz="4" w:space="0" w:color="000000"/>
              <w:left w:val="single" w:sz="4" w:space="0" w:color="000000"/>
              <w:bottom w:val="single" w:sz="4" w:space="0" w:color="000000"/>
              <w:right w:val="single" w:sz="4" w:space="0" w:color="000000"/>
            </w:tcBorders>
            <w:vAlign w:val="center"/>
          </w:tcPr>
          <w:p w14:paraId="2EACAAF3" w14:textId="77777777" w:rsidR="00B5258C" w:rsidRPr="00903F9D" w:rsidRDefault="00B5258C" w:rsidP="00F96EFF">
            <w:pPr>
              <w:pStyle w:val="TableText"/>
              <w:keepNext/>
              <w:keepLines/>
              <w:spacing w:before="0" w:after="0"/>
            </w:pPr>
            <w:r w:rsidRPr="00903F9D">
              <w:t>Product Category</w:t>
            </w:r>
          </w:p>
        </w:tc>
        <w:tc>
          <w:tcPr>
            <w:tcW w:w="4138" w:type="pct"/>
            <w:tcBorders>
              <w:top w:val="single" w:sz="4" w:space="0" w:color="000000"/>
              <w:left w:val="single" w:sz="4" w:space="0" w:color="000000"/>
              <w:bottom w:val="single" w:sz="4" w:space="0" w:color="000000"/>
              <w:right w:val="single" w:sz="4" w:space="0" w:color="000000"/>
            </w:tcBorders>
            <w:vAlign w:val="center"/>
          </w:tcPr>
          <w:p w14:paraId="3126F94E" w14:textId="77777777" w:rsidR="00B5258C" w:rsidRPr="00903F9D" w:rsidRDefault="00B5258C" w:rsidP="00F96EFF">
            <w:pPr>
              <w:pStyle w:val="TableText"/>
              <w:keepNext/>
              <w:keepLines/>
              <w:spacing w:before="0" w:after="0"/>
            </w:pPr>
            <w:r w:rsidRPr="00903F9D">
              <w:t>Medical Device Included Class 11a</w:t>
            </w:r>
          </w:p>
        </w:tc>
      </w:tr>
      <w:tr w:rsidR="00B5258C" w:rsidRPr="00903F9D" w14:paraId="29F68318" w14:textId="77777777" w:rsidTr="0092090E">
        <w:tc>
          <w:tcPr>
            <w:tcW w:w="862" w:type="pct"/>
            <w:tcBorders>
              <w:top w:val="single" w:sz="4" w:space="0" w:color="000000"/>
              <w:left w:val="single" w:sz="4" w:space="0" w:color="000000"/>
              <w:bottom w:val="single" w:sz="4" w:space="0" w:color="000000"/>
              <w:right w:val="single" w:sz="4" w:space="0" w:color="000000"/>
            </w:tcBorders>
            <w:vAlign w:val="center"/>
          </w:tcPr>
          <w:p w14:paraId="3A55C520" w14:textId="77777777" w:rsidR="00B5258C" w:rsidRPr="00903F9D" w:rsidRDefault="00B5258C" w:rsidP="00F96EFF">
            <w:pPr>
              <w:pStyle w:val="TableText"/>
              <w:keepNext/>
              <w:keepLines/>
              <w:spacing w:before="0" w:after="0"/>
            </w:pPr>
            <w:r w:rsidRPr="00903F9D">
              <w:t>GMDN</w:t>
            </w:r>
          </w:p>
        </w:tc>
        <w:tc>
          <w:tcPr>
            <w:tcW w:w="4138" w:type="pct"/>
            <w:tcBorders>
              <w:top w:val="single" w:sz="4" w:space="0" w:color="000000"/>
              <w:left w:val="single" w:sz="4" w:space="0" w:color="000000"/>
              <w:bottom w:val="single" w:sz="4" w:space="0" w:color="000000"/>
              <w:right w:val="single" w:sz="4" w:space="0" w:color="000000"/>
            </w:tcBorders>
            <w:vAlign w:val="center"/>
          </w:tcPr>
          <w:p w14:paraId="07783784" w14:textId="77777777" w:rsidR="00B5258C" w:rsidRPr="00903F9D" w:rsidRDefault="00B5258C" w:rsidP="00F96EFF">
            <w:pPr>
              <w:pStyle w:val="TableText"/>
              <w:keepNext/>
              <w:keepLines/>
              <w:spacing w:before="0" w:after="0"/>
            </w:pPr>
            <w:r w:rsidRPr="00903F9D">
              <w:t>40779</w:t>
            </w:r>
          </w:p>
        </w:tc>
      </w:tr>
      <w:tr w:rsidR="00B5258C" w:rsidRPr="00903F9D" w14:paraId="268E6E2B" w14:textId="77777777" w:rsidTr="0092090E">
        <w:tc>
          <w:tcPr>
            <w:tcW w:w="862" w:type="pct"/>
            <w:tcBorders>
              <w:top w:val="single" w:sz="4" w:space="0" w:color="000000"/>
              <w:left w:val="single" w:sz="4" w:space="0" w:color="000000"/>
              <w:bottom w:val="single" w:sz="4" w:space="0" w:color="000000"/>
              <w:right w:val="single" w:sz="4" w:space="0" w:color="000000"/>
            </w:tcBorders>
            <w:vAlign w:val="center"/>
          </w:tcPr>
          <w:p w14:paraId="710FF5C6" w14:textId="77777777" w:rsidR="00B5258C" w:rsidRPr="00903F9D" w:rsidRDefault="00B5258C" w:rsidP="00F96EFF">
            <w:pPr>
              <w:pStyle w:val="TableText"/>
              <w:keepNext/>
              <w:keepLines/>
              <w:spacing w:before="0" w:after="0"/>
            </w:pPr>
            <w:r w:rsidRPr="00903F9D">
              <w:t>GMDN Term</w:t>
            </w:r>
          </w:p>
        </w:tc>
        <w:tc>
          <w:tcPr>
            <w:tcW w:w="4138" w:type="pct"/>
            <w:tcBorders>
              <w:top w:val="single" w:sz="4" w:space="0" w:color="000000"/>
              <w:left w:val="single" w:sz="4" w:space="0" w:color="000000"/>
              <w:bottom w:val="single" w:sz="4" w:space="0" w:color="000000"/>
              <w:right w:val="single" w:sz="4" w:space="0" w:color="000000"/>
            </w:tcBorders>
            <w:vAlign w:val="center"/>
          </w:tcPr>
          <w:p w14:paraId="0C54A6C4" w14:textId="77777777" w:rsidR="00B5258C" w:rsidRPr="00903F9D" w:rsidRDefault="00B5258C" w:rsidP="00F96EFF">
            <w:pPr>
              <w:pStyle w:val="TableText"/>
              <w:keepNext/>
              <w:keepLines/>
              <w:spacing w:before="0" w:after="0"/>
            </w:pPr>
            <w:r w:rsidRPr="00903F9D">
              <w:t>Ultrasound system, bone absorptiometer</w:t>
            </w:r>
          </w:p>
        </w:tc>
      </w:tr>
      <w:tr w:rsidR="00995C35" w:rsidRPr="00903F9D" w14:paraId="7B8F737E" w14:textId="77777777" w:rsidTr="0092090E">
        <w:tc>
          <w:tcPr>
            <w:tcW w:w="862" w:type="pct"/>
            <w:tcBorders>
              <w:top w:val="single" w:sz="4" w:space="0" w:color="000000"/>
              <w:left w:val="single" w:sz="4" w:space="0" w:color="000000"/>
              <w:bottom w:val="single" w:sz="4" w:space="0" w:color="000000"/>
              <w:right w:val="single" w:sz="4" w:space="0" w:color="000000"/>
            </w:tcBorders>
            <w:vAlign w:val="center"/>
          </w:tcPr>
          <w:p w14:paraId="41252D9B" w14:textId="77777777" w:rsidR="00995C35" w:rsidRPr="00903F9D" w:rsidRDefault="00995C35" w:rsidP="00F96EFF">
            <w:pPr>
              <w:pStyle w:val="TableText"/>
              <w:keepNext/>
              <w:keepLines/>
              <w:spacing w:before="0" w:after="0"/>
            </w:pPr>
            <w:r w:rsidRPr="00903F9D">
              <w:t>Condition</w:t>
            </w:r>
          </w:p>
        </w:tc>
        <w:tc>
          <w:tcPr>
            <w:tcW w:w="4138" w:type="pct"/>
            <w:tcBorders>
              <w:top w:val="single" w:sz="4" w:space="0" w:color="000000"/>
              <w:left w:val="single" w:sz="4" w:space="0" w:color="000000"/>
              <w:bottom w:val="single" w:sz="4" w:space="0" w:color="000000"/>
              <w:right w:val="single" w:sz="4" w:space="0" w:color="000000"/>
            </w:tcBorders>
            <w:vAlign w:val="center"/>
          </w:tcPr>
          <w:p w14:paraId="4A535FCF" w14:textId="7F53A060" w:rsidR="00995C35" w:rsidRPr="00903F9D" w:rsidRDefault="00995C35" w:rsidP="00F96EFF">
            <w:pPr>
              <w:pStyle w:val="TableText"/>
              <w:keepNext/>
              <w:keepLines/>
              <w:spacing w:before="0" w:after="0"/>
            </w:pPr>
            <w:proofErr w:type="spellStart"/>
            <w:r w:rsidRPr="00903F9D">
              <w:t>Echolight</w:t>
            </w:r>
            <w:proofErr w:type="spellEnd"/>
            <w:r w:rsidRPr="00903F9D">
              <w:t xml:space="preserve"> devices (</w:t>
            </w:r>
            <w:proofErr w:type="spellStart"/>
            <w:r w:rsidRPr="00903F9D">
              <w:t>EchoStation</w:t>
            </w:r>
            <w:proofErr w:type="spellEnd"/>
            <w:r w:rsidRPr="00903F9D">
              <w:t xml:space="preserve">, </w:t>
            </w:r>
            <w:proofErr w:type="spellStart"/>
            <w:r w:rsidRPr="00903F9D">
              <w:t>EchoS</w:t>
            </w:r>
            <w:proofErr w:type="spellEnd"/>
            <w:r w:rsidRPr="00903F9D">
              <w:t xml:space="preserve">, </w:t>
            </w:r>
            <w:proofErr w:type="spellStart"/>
            <w:r w:rsidRPr="00903F9D">
              <w:t>EchoHybrid</w:t>
            </w:r>
            <w:proofErr w:type="spellEnd"/>
            <w:r w:rsidRPr="00903F9D">
              <w:t>) are all designed to accurately measure bone mineral density (BMD). These devices use patented REMS, highly specific ultrasound technology. The intended use is as a screening &amp;/or diagnostic tool to determine BMD and give the clinician a T-Score and Z-score. The generated findings &amp; report will determine whether the patient has normal BMD or has any degree of osteopenia or osteoporosis according to their specific readings vs matched age controls</w:t>
            </w:r>
            <w:r w:rsidR="00F11BA8" w:rsidRPr="00903F9D">
              <w:t xml:space="preserve">. </w:t>
            </w:r>
          </w:p>
        </w:tc>
      </w:tr>
    </w:tbl>
    <w:p w14:paraId="6BEE67EB" w14:textId="77777777" w:rsidR="00BB0B44" w:rsidRPr="00903F9D" w:rsidRDefault="00BB0B44" w:rsidP="00F96EFF">
      <w:pPr>
        <w:pStyle w:val="TableFigureFooter"/>
      </w:pPr>
      <w:r w:rsidRPr="00903F9D">
        <w:t>Source: https://www.ebs.tga.gov.au/servlet/xmlmillr6?dbid=ebs%2FPublicHTML%2FpdfStore.nsf&amp;docid=3E03DC21E2CAA763CA2585F100422C5A&amp;agid=(PrintDetailsPublic)&amp;actionid=1</w:t>
      </w:r>
    </w:p>
    <w:p w14:paraId="494EAD2C" w14:textId="00CD1A5C" w:rsidR="00B5258C" w:rsidRPr="00903F9D" w:rsidRDefault="00807267" w:rsidP="00F96EFF">
      <w:pPr>
        <w:pStyle w:val="TableFigureFooter"/>
        <w:keepNext w:val="0"/>
      </w:pPr>
      <w:r w:rsidRPr="00903F9D">
        <w:t xml:space="preserve">ARTG= Australian Register of Therapeutic Goods; </w:t>
      </w:r>
      <w:r w:rsidR="002A2963" w:rsidRPr="00903F9D">
        <w:t xml:space="preserve">BMD= bone mineral density; </w:t>
      </w:r>
      <w:r w:rsidR="00995C35" w:rsidRPr="00903F9D">
        <w:t>GMDN</w:t>
      </w:r>
      <w:r w:rsidR="002A2963" w:rsidRPr="00903F9D">
        <w:t>=</w:t>
      </w:r>
      <w:r w:rsidR="00995C35" w:rsidRPr="00903F9D">
        <w:t xml:space="preserve"> global medical device nomenclature</w:t>
      </w:r>
      <w:r w:rsidR="002A2963" w:rsidRPr="00903F9D">
        <w:t>; REMS= radiofrequency echographic multi spectrometry</w:t>
      </w:r>
      <w:r w:rsidR="00C27730" w:rsidRPr="00903F9D">
        <w:t>.</w:t>
      </w:r>
    </w:p>
    <w:p w14:paraId="0B47D4EA" w14:textId="33DE6A58" w:rsidR="003328A9" w:rsidRPr="00903F9D" w:rsidRDefault="001463E9" w:rsidP="00E76AE0">
      <w:pPr>
        <w:pStyle w:val="Instructionaltext"/>
        <w:rPr>
          <w:color w:val="auto"/>
        </w:rPr>
      </w:pPr>
      <w:r w:rsidRPr="00903F9D">
        <w:rPr>
          <w:color w:val="auto"/>
        </w:rPr>
        <w:t>Training of REMS’ operators is required</w:t>
      </w:r>
      <w:r w:rsidR="000B5F8C" w:rsidRPr="00903F9D">
        <w:rPr>
          <w:color w:val="auto"/>
        </w:rPr>
        <w:t xml:space="preserve"> with </w:t>
      </w:r>
      <w:r w:rsidR="002A2963" w:rsidRPr="00903F9D">
        <w:rPr>
          <w:color w:val="auto"/>
        </w:rPr>
        <w:t xml:space="preserve">a </w:t>
      </w:r>
      <w:r w:rsidR="000B5F8C" w:rsidRPr="00903F9D">
        <w:rPr>
          <w:color w:val="auto"/>
        </w:rPr>
        <w:t xml:space="preserve">proposed program </w:t>
      </w:r>
      <w:r w:rsidRPr="00903F9D">
        <w:rPr>
          <w:color w:val="auto"/>
        </w:rPr>
        <w:t>consist</w:t>
      </w:r>
      <w:r w:rsidR="000B5F8C" w:rsidRPr="00903F9D">
        <w:rPr>
          <w:color w:val="auto"/>
        </w:rPr>
        <w:t>ing</w:t>
      </w:r>
      <w:r w:rsidRPr="00903F9D">
        <w:rPr>
          <w:color w:val="auto"/>
        </w:rPr>
        <w:t xml:space="preserve"> of a 3-day training course. </w:t>
      </w:r>
      <w:bookmarkStart w:id="7" w:name="_Hlk97012247"/>
      <w:r w:rsidRPr="00903F9D">
        <w:rPr>
          <w:color w:val="auto"/>
        </w:rPr>
        <w:t>The applicant has not yet engaged relevant professional societies to develop and accredit a training platform for REMS.</w:t>
      </w:r>
      <w:bookmarkEnd w:id="7"/>
      <w:r w:rsidR="00734DD9" w:rsidRPr="00903F9D">
        <w:rPr>
          <w:color w:val="auto"/>
        </w:rPr>
        <w:t xml:space="preserve"> The key studies</w:t>
      </w:r>
      <w:r w:rsidR="00215E68" w:rsidRPr="00903F9D">
        <w:rPr>
          <w:color w:val="auto"/>
        </w:rPr>
        <w:t>,</w:t>
      </w:r>
      <w:r w:rsidR="00734DD9" w:rsidRPr="00903F9D">
        <w:rPr>
          <w:color w:val="auto"/>
        </w:rPr>
        <w:t xml:space="preserve"> </w:t>
      </w:r>
      <w:proofErr w:type="spellStart"/>
      <w:r w:rsidR="00734DD9" w:rsidRPr="00903F9D">
        <w:rPr>
          <w:color w:val="auto"/>
        </w:rPr>
        <w:t>Cortet</w:t>
      </w:r>
      <w:proofErr w:type="spellEnd"/>
      <w:r w:rsidR="00734DD9" w:rsidRPr="00903F9D">
        <w:rPr>
          <w:color w:val="auto"/>
        </w:rPr>
        <w:t xml:space="preserve"> 2021</w:t>
      </w:r>
      <w:r w:rsidR="007A0BD6" w:rsidRPr="00903F9D">
        <w:rPr>
          <w:rStyle w:val="FootnoteReference"/>
          <w:color w:val="auto"/>
        </w:rPr>
        <w:footnoteReference w:id="6"/>
      </w:r>
      <w:r w:rsidR="00734DD9" w:rsidRPr="00903F9D">
        <w:rPr>
          <w:color w:val="auto"/>
        </w:rPr>
        <w:t xml:space="preserve"> and Di Paola 2019</w:t>
      </w:r>
      <w:r w:rsidR="007A0BD6" w:rsidRPr="00903F9D">
        <w:rPr>
          <w:rStyle w:val="FootnoteReference"/>
          <w:color w:val="auto"/>
        </w:rPr>
        <w:footnoteReference w:id="7"/>
      </w:r>
      <w:r w:rsidR="00215E68" w:rsidRPr="00903F9D">
        <w:rPr>
          <w:color w:val="auto"/>
        </w:rPr>
        <w:t>,</w:t>
      </w:r>
      <w:r w:rsidR="00734DD9" w:rsidRPr="00903F9D">
        <w:rPr>
          <w:color w:val="auto"/>
        </w:rPr>
        <w:t xml:space="preserve"> demonstrate that REMS is</w:t>
      </w:r>
      <w:r w:rsidR="00E83997" w:rsidRPr="00903F9D">
        <w:rPr>
          <w:color w:val="auto"/>
        </w:rPr>
        <w:t xml:space="preserve"> an</w:t>
      </w:r>
      <w:r w:rsidR="00734DD9" w:rsidRPr="00903F9D">
        <w:rPr>
          <w:color w:val="auto"/>
        </w:rPr>
        <w:t xml:space="preserve"> operator-dependent technology</w:t>
      </w:r>
      <w:r w:rsidR="001736A1" w:rsidRPr="00903F9D">
        <w:rPr>
          <w:color w:val="auto"/>
        </w:rPr>
        <w:t xml:space="preserve"> (see Section 8 for further discussion)</w:t>
      </w:r>
      <w:r w:rsidR="00734DD9" w:rsidRPr="00903F9D">
        <w:rPr>
          <w:color w:val="auto"/>
        </w:rPr>
        <w:t xml:space="preserve">. </w:t>
      </w:r>
      <w:r w:rsidR="00DA773E" w:rsidRPr="00903F9D">
        <w:rPr>
          <w:color w:val="auto"/>
        </w:rPr>
        <w:t xml:space="preserve">The training program used in these studies was not consistent, while </w:t>
      </w:r>
      <w:proofErr w:type="spellStart"/>
      <w:r w:rsidR="00DA773E" w:rsidRPr="00903F9D">
        <w:rPr>
          <w:color w:val="auto"/>
        </w:rPr>
        <w:t>Cortet</w:t>
      </w:r>
      <w:proofErr w:type="spellEnd"/>
      <w:r w:rsidR="00DA773E" w:rsidRPr="00903F9D">
        <w:rPr>
          <w:color w:val="auto"/>
        </w:rPr>
        <w:t xml:space="preserve"> 2021 considered </w:t>
      </w:r>
      <w:r w:rsidR="005D7371" w:rsidRPr="00903F9D">
        <w:rPr>
          <w:color w:val="auto"/>
        </w:rPr>
        <w:t>3 days</w:t>
      </w:r>
      <w:r w:rsidR="00DA773E" w:rsidRPr="00903F9D">
        <w:rPr>
          <w:color w:val="auto"/>
        </w:rPr>
        <w:t xml:space="preserve">, Di Paola considered </w:t>
      </w:r>
      <w:r w:rsidR="005D7371" w:rsidRPr="00903F9D">
        <w:rPr>
          <w:color w:val="auto"/>
        </w:rPr>
        <w:t>3 hours</w:t>
      </w:r>
      <w:r w:rsidR="00DA773E" w:rsidRPr="00903F9D">
        <w:rPr>
          <w:color w:val="auto"/>
        </w:rPr>
        <w:t xml:space="preserve">. </w:t>
      </w:r>
      <w:r w:rsidR="00734DD9" w:rsidRPr="00903F9D">
        <w:rPr>
          <w:color w:val="auto"/>
        </w:rPr>
        <w:t xml:space="preserve">The </w:t>
      </w:r>
      <w:r w:rsidR="0035184C" w:rsidRPr="00903F9D">
        <w:rPr>
          <w:color w:val="auto"/>
        </w:rPr>
        <w:t xml:space="preserve">ADAR also included a </w:t>
      </w:r>
      <w:r w:rsidR="003D544D" w:rsidRPr="00903F9D">
        <w:rPr>
          <w:color w:val="auto"/>
        </w:rPr>
        <w:t xml:space="preserve">supplementary </w:t>
      </w:r>
      <w:r w:rsidR="00734DD9" w:rsidRPr="00903F9D">
        <w:rPr>
          <w:color w:val="auto"/>
        </w:rPr>
        <w:t xml:space="preserve">study </w:t>
      </w:r>
      <w:r w:rsidR="0035184C" w:rsidRPr="00903F9D">
        <w:rPr>
          <w:color w:val="auto"/>
        </w:rPr>
        <w:t>(</w:t>
      </w:r>
      <w:r w:rsidR="00734DD9" w:rsidRPr="00903F9D">
        <w:rPr>
          <w:color w:val="auto"/>
        </w:rPr>
        <w:t>Amorim 2021</w:t>
      </w:r>
      <w:r w:rsidR="007A0BD6" w:rsidRPr="00903F9D">
        <w:rPr>
          <w:rStyle w:val="FootnoteReference"/>
          <w:color w:val="auto"/>
        </w:rPr>
        <w:footnoteReference w:id="8"/>
      </w:r>
      <w:r w:rsidR="0035184C" w:rsidRPr="00903F9D">
        <w:rPr>
          <w:color w:val="auto"/>
        </w:rPr>
        <w:t>)</w:t>
      </w:r>
      <w:r w:rsidR="00734DD9" w:rsidRPr="00903F9D">
        <w:rPr>
          <w:color w:val="auto"/>
        </w:rPr>
        <w:t xml:space="preserve"> </w:t>
      </w:r>
      <w:r w:rsidR="0035184C" w:rsidRPr="00903F9D">
        <w:rPr>
          <w:color w:val="auto"/>
        </w:rPr>
        <w:t xml:space="preserve">where </w:t>
      </w:r>
      <w:r w:rsidR="00734DD9" w:rsidRPr="00903F9D">
        <w:rPr>
          <w:color w:val="auto"/>
        </w:rPr>
        <w:t>all REMS operators had at least 4 months of previous clinical experience with REMS</w:t>
      </w:r>
      <w:r w:rsidR="00FA1BDD" w:rsidRPr="00903F9D">
        <w:rPr>
          <w:color w:val="auto"/>
        </w:rPr>
        <w:t>.</w:t>
      </w:r>
    </w:p>
    <w:p w14:paraId="5DBFCDBA" w14:textId="21CD14E0" w:rsidR="00772829" w:rsidRPr="00903F9D" w:rsidRDefault="00EB62FF" w:rsidP="002A18BE">
      <w:pPr>
        <w:pStyle w:val="Heading2"/>
        <w:numPr>
          <w:ilvl w:val="0"/>
          <w:numId w:val="0"/>
        </w:numPr>
      </w:pPr>
      <w:bookmarkStart w:id="8" w:name="_Toc69491418"/>
      <w:r w:rsidRPr="00903F9D">
        <w:t>6</w:t>
      </w:r>
      <w:r w:rsidR="00C36633" w:rsidRPr="00903F9D">
        <w:t>.</w:t>
      </w:r>
      <w:r w:rsidR="00C36633" w:rsidRPr="00903F9D">
        <w:tab/>
      </w:r>
      <w:r w:rsidR="00772829" w:rsidRPr="00903F9D">
        <w:t>Proposal for public funding</w:t>
      </w:r>
      <w:bookmarkEnd w:id="8"/>
    </w:p>
    <w:p w14:paraId="224445AB" w14:textId="337C72F5" w:rsidR="00313883" w:rsidRPr="00903F9D" w:rsidRDefault="00AB45F1" w:rsidP="00CA1C9D">
      <w:r w:rsidRPr="00903F9D">
        <w:t xml:space="preserve">The ADAR is requesting to create </w:t>
      </w:r>
      <w:r w:rsidR="00B0614C" w:rsidRPr="00903F9D">
        <w:t xml:space="preserve">six </w:t>
      </w:r>
      <w:r w:rsidRPr="00903F9D">
        <w:t>new MBS item</w:t>
      </w:r>
      <w:r w:rsidR="00AC63B0" w:rsidRPr="00903F9D">
        <w:t>s</w:t>
      </w:r>
      <w:r w:rsidRPr="00903F9D">
        <w:t xml:space="preserve"> </w:t>
      </w:r>
      <w:r w:rsidR="00E141E8" w:rsidRPr="00903F9D">
        <w:t>for REMS</w:t>
      </w:r>
      <w:r w:rsidR="00313883" w:rsidRPr="00903F9D">
        <w:t>, a non-invasive ultrasound device for bone characterisation and micro-architecture assessment for the diagnosis of osteoporosis. The spectral features of the radiofrequency signals acquired during an echographic scan of the target anatomical site are used to determine the status of internal bone architecture</w:t>
      </w:r>
      <w:r w:rsidR="005C4DC2" w:rsidRPr="00903F9D">
        <w:t>.</w:t>
      </w:r>
      <w:r w:rsidR="00313883" w:rsidRPr="00903F9D">
        <w:t xml:space="preserve"> The lumbar vertebrae L1-L4 and the femoral neck </w:t>
      </w:r>
      <w:r w:rsidR="00AF7C23" w:rsidRPr="00903F9D">
        <w:t xml:space="preserve">are </w:t>
      </w:r>
      <w:r w:rsidR="00313883" w:rsidRPr="00903F9D">
        <w:t>nominated as the pivotal sites used for a REMS scan.</w:t>
      </w:r>
      <w:r w:rsidR="00A563C2" w:rsidRPr="00903F9D">
        <w:t xml:space="preserve"> The pre-ESC response stated the REMS software uses the NHANES III</w:t>
      </w:r>
      <w:r w:rsidR="00A563C2" w:rsidRPr="00903F9D">
        <w:rPr>
          <w:rStyle w:val="FootnoteReference"/>
        </w:rPr>
        <w:footnoteReference w:id="9"/>
      </w:r>
      <w:r w:rsidR="00A563C2" w:rsidRPr="00903F9D">
        <w:t xml:space="preserve"> data but did not state if the </w:t>
      </w:r>
      <w:r w:rsidR="00A563C2" w:rsidRPr="00903F9D">
        <w:rPr>
          <w:iCs/>
        </w:rPr>
        <w:t>REMS report identifies the associated population reference data used. The pre-ESC response also indicated the applicant would investigate the feasibility of adding the Australian (Geelong) database as an additional reference set.</w:t>
      </w:r>
    </w:p>
    <w:p w14:paraId="30317695" w14:textId="7001C49F" w:rsidR="00E3330E" w:rsidRPr="00903F9D" w:rsidRDefault="00E141E8" w:rsidP="00CA1C9D">
      <w:r w:rsidRPr="00903F9D">
        <w:t>As the ADAR propose</w:t>
      </w:r>
      <w:r w:rsidR="001F1D34" w:rsidRPr="00903F9D">
        <w:t>d</w:t>
      </w:r>
      <w:r w:rsidRPr="00903F9D">
        <w:t xml:space="preserve"> REMS </w:t>
      </w:r>
      <w:r w:rsidR="00C236EA" w:rsidRPr="00903F9D">
        <w:t>a</w:t>
      </w:r>
      <w:r w:rsidR="002B2D18" w:rsidRPr="00903F9D">
        <w:t>s an</w:t>
      </w:r>
      <w:r w:rsidRPr="00903F9D">
        <w:t xml:space="preserve"> alternative</w:t>
      </w:r>
      <w:r w:rsidR="002B2D18" w:rsidRPr="00903F9D">
        <w:t xml:space="preserve"> to DXA, the current MBS-listed investigat</w:t>
      </w:r>
      <w:r w:rsidR="00033891" w:rsidRPr="00903F9D">
        <w:t>ive</w:t>
      </w:r>
      <w:r w:rsidR="002B2D18" w:rsidRPr="00903F9D">
        <w:t xml:space="preserve"> service for diagnosi</w:t>
      </w:r>
      <w:r w:rsidR="00033891" w:rsidRPr="00903F9D">
        <w:t>ng</w:t>
      </w:r>
      <w:r w:rsidR="002B2D18" w:rsidRPr="00903F9D">
        <w:t xml:space="preserve"> osteoporosis</w:t>
      </w:r>
      <w:r w:rsidR="009A67F6" w:rsidRPr="00903F9D">
        <w:t xml:space="preserve">, </w:t>
      </w:r>
      <w:r w:rsidRPr="00903F9D">
        <w:t xml:space="preserve">the </w:t>
      </w:r>
      <w:r w:rsidR="009A67F6" w:rsidRPr="00903F9D">
        <w:t xml:space="preserve">eligible population and </w:t>
      </w:r>
      <w:r w:rsidRPr="00903F9D">
        <w:t>proposed MBS items for REMS</w:t>
      </w:r>
      <w:r w:rsidR="00AC63B0" w:rsidRPr="00903F9D">
        <w:t xml:space="preserve"> </w:t>
      </w:r>
      <w:r w:rsidR="00D433AB" w:rsidRPr="00903F9D">
        <w:t xml:space="preserve">are </w:t>
      </w:r>
      <w:r w:rsidR="00B0614C" w:rsidRPr="00903F9D">
        <w:t>based on</w:t>
      </w:r>
      <w:r w:rsidR="00D433AB" w:rsidRPr="00903F9D">
        <w:t xml:space="preserve"> </w:t>
      </w:r>
      <w:r w:rsidR="00054B3D" w:rsidRPr="00903F9D">
        <w:t>the current</w:t>
      </w:r>
      <w:r w:rsidR="00037EDA" w:rsidRPr="00903F9D">
        <w:t xml:space="preserve"> </w:t>
      </w:r>
      <w:r w:rsidR="00054B3D" w:rsidRPr="00903F9D">
        <w:t>DXA</w:t>
      </w:r>
      <w:r w:rsidR="009B3128" w:rsidRPr="00903F9D">
        <w:t xml:space="preserve"> MBS</w:t>
      </w:r>
      <w:r w:rsidR="00054B3D" w:rsidRPr="00903F9D">
        <w:t xml:space="preserve"> </w:t>
      </w:r>
      <w:r w:rsidR="00B0614C" w:rsidRPr="00903F9D">
        <w:t>items</w:t>
      </w:r>
      <w:r w:rsidR="00054B3D" w:rsidRPr="00903F9D">
        <w:t xml:space="preserve">. </w:t>
      </w:r>
      <w:r w:rsidR="00B0614C" w:rsidRPr="00903F9D">
        <w:t xml:space="preserve">In </w:t>
      </w:r>
      <w:r w:rsidR="009042DB" w:rsidRPr="00903F9D">
        <w:t xml:space="preserve">the </w:t>
      </w:r>
      <w:hyperlink r:id="rId9" w:history="1">
        <w:r w:rsidR="00B0614C" w:rsidRPr="00903F9D">
          <w:rPr>
            <w:rStyle w:val="Hyperlink"/>
          </w:rPr>
          <w:t>PICO confirmation</w:t>
        </w:r>
      </w:hyperlink>
      <w:r w:rsidR="009042DB" w:rsidRPr="00903F9D">
        <w:t xml:space="preserve"> for MSAC 1665</w:t>
      </w:r>
      <w:r w:rsidR="00B0614C" w:rsidRPr="00903F9D">
        <w:t>, t</w:t>
      </w:r>
      <w:r w:rsidR="00054B3D" w:rsidRPr="00903F9D">
        <w:t>he P</w:t>
      </w:r>
      <w:r w:rsidR="00B0614C" w:rsidRPr="00903F9D">
        <w:t>ICO Advisory Sub-committee (P</w:t>
      </w:r>
      <w:r w:rsidR="00054B3D" w:rsidRPr="00903F9D">
        <w:t>ASC</w:t>
      </w:r>
      <w:r w:rsidR="00B0614C" w:rsidRPr="00903F9D">
        <w:t xml:space="preserve">) and </w:t>
      </w:r>
      <w:r w:rsidR="00054B3D" w:rsidRPr="00903F9D">
        <w:t xml:space="preserve">Department </w:t>
      </w:r>
      <w:r w:rsidR="00B0614C" w:rsidRPr="00903F9D">
        <w:t xml:space="preserve">advised </w:t>
      </w:r>
      <w:r w:rsidR="00054B3D" w:rsidRPr="00903F9D">
        <w:t>that separate items were preferred for REMS that restricted the dual claiming on REMS and DXA within the restricted time periods</w:t>
      </w:r>
      <w:r w:rsidR="006A29B3" w:rsidRPr="00903F9D">
        <w:t xml:space="preserve"> </w:t>
      </w:r>
      <w:r w:rsidR="006A29B3" w:rsidRPr="00903F9D">
        <w:lastRenderedPageBreak/>
        <w:t xml:space="preserve">(ranging from 12 months to 5 years, depending on MBS item </w:t>
      </w:r>
      <w:r w:rsidR="006A29B3" w:rsidRPr="00903F9D">
        <w:fldChar w:fldCharType="begin"/>
      </w:r>
      <w:r w:rsidR="006A29B3" w:rsidRPr="00903F9D">
        <w:instrText xml:space="preserve"> REF _Ref100127396 \h </w:instrText>
      </w:r>
      <w:r w:rsidR="00F97C0B" w:rsidRPr="00903F9D">
        <w:instrText xml:space="preserve"> \* MERGEFORMAT </w:instrText>
      </w:r>
      <w:r w:rsidR="006A29B3" w:rsidRPr="00903F9D">
        <w:fldChar w:fldCharType="separate"/>
      </w:r>
      <w:r w:rsidR="00DF3307" w:rsidRPr="00903F9D">
        <w:t xml:space="preserve">Table </w:t>
      </w:r>
      <w:r w:rsidR="00DF3307" w:rsidRPr="00903F9D">
        <w:rPr>
          <w:noProof/>
        </w:rPr>
        <w:t>4</w:t>
      </w:r>
      <w:r w:rsidR="006A29B3" w:rsidRPr="00903F9D">
        <w:fldChar w:fldCharType="end"/>
      </w:r>
      <w:r w:rsidR="006A29B3" w:rsidRPr="00903F9D">
        <w:t>)</w:t>
      </w:r>
      <w:r w:rsidR="00AC63B0" w:rsidRPr="00903F9D">
        <w:t xml:space="preserve">. The </w:t>
      </w:r>
      <w:r w:rsidR="00B77313" w:rsidRPr="00903F9D">
        <w:t xml:space="preserve">ADAR </w:t>
      </w:r>
      <w:r w:rsidR="00AC63B0" w:rsidRPr="00903F9D">
        <w:t xml:space="preserve">proposed </w:t>
      </w:r>
      <w:r w:rsidR="003F3B87" w:rsidRPr="00903F9D">
        <w:t xml:space="preserve">item </w:t>
      </w:r>
      <w:r w:rsidR="00AC63B0" w:rsidRPr="00903F9D">
        <w:t>descript</w:t>
      </w:r>
      <w:r w:rsidR="00D433AB" w:rsidRPr="00903F9D">
        <w:t>or</w:t>
      </w:r>
      <w:r w:rsidR="009A4E7D" w:rsidRPr="00903F9D">
        <w:t>s</w:t>
      </w:r>
      <w:r w:rsidR="005D76D5" w:rsidRPr="00903F9D">
        <w:t xml:space="preserve"> were modified</w:t>
      </w:r>
      <w:r w:rsidR="003F3B87" w:rsidRPr="00903F9D">
        <w:t xml:space="preserve"> in </w:t>
      </w:r>
      <w:r w:rsidR="00462C25" w:rsidRPr="00903F9D">
        <w:fldChar w:fldCharType="begin"/>
      </w:r>
      <w:r w:rsidR="00462C25" w:rsidRPr="00903F9D">
        <w:instrText xml:space="preserve"> REF _Ref69481033 \h </w:instrText>
      </w:r>
      <w:r w:rsidR="00F97C0B" w:rsidRPr="00903F9D">
        <w:instrText xml:space="preserve"> \* MERGEFORMAT </w:instrText>
      </w:r>
      <w:r w:rsidR="00462C25" w:rsidRPr="00903F9D">
        <w:fldChar w:fldCharType="separate"/>
      </w:r>
      <w:r w:rsidR="00DF3307" w:rsidRPr="00903F9D">
        <w:t>Table 2</w:t>
      </w:r>
      <w:r w:rsidR="00462C25" w:rsidRPr="00903F9D">
        <w:fldChar w:fldCharType="end"/>
      </w:r>
      <w:r w:rsidR="00537647" w:rsidRPr="00903F9D">
        <w:t xml:space="preserve"> </w:t>
      </w:r>
      <w:r w:rsidR="005D76D5" w:rsidRPr="00903F9D">
        <w:t>by</w:t>
      </w:r>
      <w:r w:rsidR="00537647" w:rsidRPr="00903F9D">
        <w:t xml:space="preserve"> </w:t>
      </w:r>
      <w:r w:rsidR="005D76D5" w:rsidRPr="00903F9D">
        <w:t>t</w:t>
      </w:r>
      <w:r w:rsidR="00537647" w:rsidRPr="00903F9D">
        <w:t>he Department (in blue text)</w:t>
      </w:r>
      <w:r w:rsidR="00054B3D" w:rsidRPr="00903F9D">
        <w:t>.</w:t>
      </w:r>
    </w:p>
    <w:p w14:paraId="749EF436" w14:textId="3829313B" w:rsidR="003328A9" w:rsidRPr="00903F9D" w:rsidRDefault="00310C3F" w:rsidP="00B833CE">
      <w:pPr>
        <w:pStyle w:val="Caption"/>
      </w:pPr>
      <w:bookmarkStart w:id="9" w:name="_Ref69481033"/>
      <w:bookmarkStart w:id="10" w:name="_Hlk96685342"/>
      <w:r w:rsidRPr="00903F9D">
        <w:t>Table</w:t>
      </w:r>
      <w:r w:rsidR="004A4FDF" w:rsidRPr="00903F9D">
        <w:t> </w:t>
      </w:r>
      <w:r w:rsidR="008D0E73">
        <w:fldChar w:fldCharType="begin"/>
      </w:r>
      <w:r w:rsidR="008D0E73">
        <w:instrText xml:space="preserve"> SEQ Table \* ARABIC </w:instrText>
      </w:r>
      <w:r w:rsidR="008D0E73">
        <w:fldChar w:fldCharType="separate"/>
      </w:r>
      <w:r w:rsidR="00DF3307" w:rsidRPr="00903F9D">
        <w:rPr>
          <w:noProof/>
        </w:rPr>
        <w:t>2</w:t>
      </w:r>
      <w:r w:rsidR="008D0E73">
        <w:rPr>
          <w:noProof/>
        </w:rPr>
        <w:fldChar w:fldCharType="end"/>
      </w:r>
      <w:bookmarkEnd w:id="9"/>
      <w:r w:rsidR="003328A9" w:rsidRPr="00903F9D">
        <w:tab/>
      </w:r>
      <w:r w:rsidR="00522553" w:rsidRPr="00903F9D">
        <w:t>Department</w:t>
      </w:r>
      <w:r w:rsidR="005A658C" w:rsidRPr="00903F9D">
        <w:t xml:space="preserve"> </w:t>
      </w:r>
      <w:r w:rsidR="00B26622" w:rsidRPr="00903F9D">
        <w:t xml:space="preserve">proposed </w:t>
      </w:r>
      <w:r w:rsidR="005A658C" w:rsidRPr="00903F9D">
        <w:t xml:space="preserve">new </w:t>
      </w:r>
      <w:r w:rsidR="00B26622" w:rsidRPr="00903F9D">
        <w:t>MBS item</w:t>
      </w:r>
      <w:r w:rsidR="003F3B87" w:rsidRPr="00903F9D">
        <w:t>s</w:t>
      </w:r>
      <w:r w:rsidR="003328A9" w:rsidRPr="00903F9D">
        <w:t xml:space="preserve"> </w:t>
      </w:r>
      <w:r w:rsidR="005A658C" w:rsidRPr="00903F9D">
        <w:t>for REMS</w:t>
      </w:r>
    </w:p>
    <w:tbl>
      <w:tblPr>
        <w:tblStyle w:val="HealthConsult1"/>
        <w:tblW w:w="9016"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522553" w:rsidRPr="00903F9D" w14:paraId="30918D23" w14:textId="77777777" w:rsidTr="00522553">
        <w:trPr>
          <w:trHeight w:val="291"/>
        </w:trPr>
        <w:tc>
          <w:tcPr>
            <w:tcW w:w="9016" w:type="dxa"/>
            <w:hideMark/>
          </w:tcPr>
          <w:p w14:paraId="040435D3" w14:textId="77777777" w:rsidR="00522553" w:rsidRPr="00903F9D" w:rsidRDefault="00522553" w:rsidP="00BB77A1">
            <w:pPr>
              <w:rPr>
                <w:rFonts w:ascii="Arial Narrow" w:hAnsi="Arial Narrow"/>
                <w:b/>
                <w:bCs/>
                <w:sz w:val="20"/>
                <w:szCs w:val="20"/>
              </w:rPr>
            </w:pPr>
            <w:bookmarkStart w:id="11" w:name="_Hlk107320877"/>
            <w:r w:rsidRPr="00903F9D">
              <w:rPr>
                <w:rFonts w:ascii="Arial Narrow" w:hAnsi="Arial Narrow"/>
                <w:color w:val="0070C0"/>
                <w:sz w:val="20"/>
                <w:szCs w:val="20"/>
              </w:rPr>
              <w:t xml:space="preserve">Group D1—Miscellaneous diagnostic procedures and investigations, </w:t>
            </w:r>
            <w:r w:rsidRPr="00903F9D">
              <w:rPr>
                <w:rFonts w:ascii="Arial Narrow" w:hAnsi="Arial Narrow"/>
                <w:i/>
                <w:iCs/>
                <w:color w:val="0070C0"/>
                <w:sz w:val="20"/>
                <w:szCs w:val="20"/>
              </w:rPr>
              <w:t>Health Insurance (General Medical Services Table) Regulations 2021</w:t>
            </w:r>
          </w:p>
        </w:tc>
      </w:tr>
      <w:tr w:rsidR="00522553" w:rsidRPr="00903F9D" w14:paraId="24DD1B46" w14:textId="77777777" w:rsidTr="00522553">
        <w:tc>
          <w:tcPr>
            <w:tcW w:w="9016" w:type="dxa"/>
          </w:tcPr>
          <w:p w14:paraId="665E5787" w14:textId="53A687A7" w:rsidR="00522553" w:rsidRPr="00903F9D" w:rsidRDefault="00522553" w:rsidP="00BB77A1">
            <w:pPr>
              <w:rPr>
                <w:rFonts w:ascii="Arial Narrow" w:hAnsi="Arial Narrow"/>
                <w:sz w:val="20"/>
                <w:szCs w:val="20"/>
              </w:rPr>
            </w:pPr>
            <w:r w:rsidRPr="00903F9D">
              <w:rPr>
                <w:rFonts w:ascii="Arial Narrow" w:hAnsi="Arial Narrow"/>
                <w:sz w:val="20"/>
                <w:szCs w:val="20"/>
              </w:rPr>
              <w:t xml:space="preserve">MBS </w:t>
            </w:r>
            <w:r w:rsidRPr="00903F9D">
              <w:rPr>
                <w:rFonts w:ascii="Arial Narrow" w:hAnsi="Arial Narrow"/>
                <w:color w:val="0070C0"/>
                <w:sz w:val="20"/>
                <w:szCs w:val="20"/>
              </w:rPr>
              <w:t xml:space="preserve">[Item Number XXXXA] </w:t>
            </w:r>
            <w:r w:rsidRPr="00903F9D">
              <w:rPr>
                <w:rFonts w:ascii="Arial Narrow" w:hAnsi="Arial Narrow"/>
                <w:color w:val="FF0000"/>
                <w:sz w:val="20"/>
                <w:szCs w:val="20"/>
              </w:rPr>
              <w:t>(analogous to DXA item 12306)</w:t>
            </w:r>
          </w:p>
          <w:p w14:paraId="4C50D306"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Bone densitometry, using radiofrequency echographic multi spectrometry, involving the measurement of 2 or more sites (including interpretation and reporting), for:</w:t>
            </w:r>
          </w:p>
          <w:p w14:paraId="53BC661E"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 xml:space="preserve">(a) confirmation of a presumptive diagnosis of low bone mineral density made </w:t>
            </w:r>
            <w:proofErr w:type="gramStart"/>
            <w:r w:rsidRPr="00903F9D">
              <w:rPr>
                <w:rFonts w:ascii="Arial Narrow" w:hAnsi="Arial Narrow"/>
                <w:sz w:val="20"/>
                <w:szCs w:val="20"/>
              </w:rPr>
              <w:t>on the basis of</w:t>
            </w:r>
            <w:proofErr w:type="gramEnd"/>
            <w:r w:rsidRPr="00903F9D">
              <w:rPr>
                <w:rFonts w:ascii="Arial Narrow" w:hAnsi="Arial Narrow"/>
                <w:sz w:val="20"/>
                <w:szCs w:val="20"/>
              </w:rPr>
              <w:t xml:space="preserve"> one or more fractures occurring after minimal trauma; or</w:t>
            </w:r>
          </w:p>
          <w:p w14:paraId="773E2A1C" w14:textId="36AEE6F0" w:rsidR="00522553" w:rsidRPr="00903F9D" w:rsidRDefault="00522553" w:rsidP="00BB77A1">
            <w:pPr>
              <w:rPr>
                <w:rFonts w:ascii="Arial Narrow" w:hAnsi="Arial Narrow"/>
                <w:sz w:val="20"/>
                <w:szCs w:val="20"/>
              </w:rPr>
            </w:pPr>
            <w:r w:rsidRPr="00903F9D">
              <w:rPr>
                <w:rFonts w:ascii="Arial Narrow" w:hAnsi="Arial Narrow"/>
                <w:sz w:val="20"/>
                <w:szCs w:val="20"/>
              </w:rPr>
              <w:t xml:space="preserve">(b) monitoring of low bone mineral density proven by bone densitometry at least 12 months previously by either dual energy x-ray absorptiometry or radiofrequency echographic multi </w:t>
            </w:r>
            <w:proofErr w:type="gramStart"/>
            <w:r w:rsidRPr="00903F9D">
              <w:rPr>
                <w:rFonts w:ascii="Arial Narrow" w:hAnsi="Arial Narrow"/>
                <w:sz w:val="20"/>
                <w:szCs w:val="20"/>
              </w:rPr>
              <w:t>spectrometry;</w:t>
            </w:r>
            <w:bookmarkStart w:id="12" w:name="_Hlk99616011"/>
            <w:proofErr w:type="gramEnd"/>
          </w:p>
          <w:p w14:paraId="5630344C" w14:textId="6EDE53C9" w:rsidR="00522553" w:rsidRPr="00903F9D" w:rsidRDefault="00522553" w:rsidP="00BB77A1">
            <w:pPr>
              <w:rPr>
                <w:rFonts w:ascii="Arial Narrow" w:hAnsi="Arial Narrow"/>
                <w:sz w:val="20"/>
                <w:szCs w:val="20"/>
              </w:rPr>
            </w:pPr>
            <w:r w:rsidRPr="00903F9D">
              <w:rPr>
                <w:rFonts w:ascii="Arial Narrow" w:hAnsi="Arial Narrow"/>
                <w:sz w:val="20"/>
                <w:szCs w:val="20"/>
              </w:rPr>
              <w:t xml:space="preserve">other than a service associated with a service to which item </w:t>
            </w:r>
            <w:hyperlink r:id="rId10" w:history="1">
              <w:r w:rsidRPr="00903F9D">
                <w:rPr>
                  <w:rStyle w:val="Hyperlink"/>
                  <w:rFonts w:ascii="Arial Narrow" w:hAnsi="Arial Narrow"/>
                  <w:sz w:val="20"/>
                  <w:szCs w:val="20"/>
                </w:rPr>
                <w:t>12306</w:t>
              </w:r>
            </w:hyperlink>
            <w:r w:rsidRPr="00903F9D">
              <w:rPr>
                <w:rFonts w:ascii="Arial Narrow" w:hAnsi="Arial Narrow"/>
                <w:sz w:val="20"/>
                <w:szCs w:val="20"/>
              </w:rPr>
              <w:t xml:space="preserve">, </w:t>
            </w:r>
            <w:hyperlink r:id="rId11" w:history="1">
              <w:r w:rsidRPr="00903F9D">
                <w:rPr>
                  <w:rStyle w:val="Hyperlink"/>
                  <w:rFonts w:ascii="Arial Narrow" w:hAnsi="Arial Narrow"/>
                  <w:color w:val="auto"/>
                  <w:sz w:val="20"/>
                  <w:szCs w:val="20"/>
                </w:rPr>
                <w:t>12312</w:t>
              </w:r>
            </w:hyperlink>
            <w:r w:rsidRPr="00903F9D">
              <w:rPr>
                <w:rFonts w:ascii="Arial Narrow" w:hAnsi="Arial Narrow"/>
                <w:sz w:val="20"/>
                <w:szCs w:val="20"/>
              </w:rPr>
              <w:t xml:space="preserve">, </w:t>
            </w:r>
            <w:hyperlink r:id="rId12" w:history="1">
              <w:r w:rsidRPr="00903F9D">
                <w:rPr>
                  <w:rStyle w:val="Hyperlink"/>
                  <w:rFonts w:ascii="Arial Narrow" w:hAnsi="Arial Narrow"/>
                  <w:color w:val="auto"/>
                  <w:sz w:val="20"/>
                  <w:szCs w:val="20"/>
                </w:rPr>
                <w:t>12315</w:t>
              </w:r>
            </w:hyperlink>
            <w:r w:rsidRPr="00903F9D">
              <w:rPr>
                <w:rFonts w:ascii="Arial Narrow" w:hAnsi="Arial Narrow"/>
                <w:sz w:val="20"/>
                <w:szCs w:val="20"/>
              </w:rPr>
              <w:t xml:space="preserve">, </w:t>
            </w:r>
            <w:hyperlink r:id="rId13" w:history="1">
              <w:r w:rsidRPr="00903F9D">
                <w:rPr>
                  <w:rStyle w:val="Hyperlink"/>
                  <w:rFonts w:ascii="Arial Narrow" w:hAnsi="Arial Narrow"/>
                  <w:sz w:val="20"/>
                  <w:szCs w:val="20"/>
                </w:rPr>
                <w:t>12320</w:t>
              </w:r>
            </w:hyperlink>
            <w:r w:rsidRPr="00903F9D">
              <w:rPr>
                <w:rFonts w:ascii="Arial Narrow" w:hAnsi="Arial Narrow"/>
                <w:sz w:val="20"/>
                <w:szCs w:val="20"/>
              </w:rPr>
              <w:t xml:space="preserve">, </w:t>
            </w:r>
            <w:hyperlink r:id="rId14" w:history="1">
              <w:r w:rsidRPr="00903F9D">
                <w:rPr>
                  <w:rStyle w:val="Hyperlink"/>
                  <w:rFonts w:ascii="Arial Narrow" w:hAnsi="Arial Narrow"/>
                  <w:color w:val="auto"/>
                  <w:sz w:val="20"/>
                  <w:szCs w:val="20"/>
                </w:rPr>
                <w:t>12321</w:t>
              </w:r>
            </w:hyperlink>
            <w:r w:rsidRPr="00903F9D">
              <w:rPr>
                <w:rFonts w:ascii="Arial Narrow" w:hAnsi="Arial Narrow"/>
                <w:sz w:val="20"/>
                <w:szCs w:val="20"/>
              </w:rPr>
              <w:t xml:space="preserve">, </w:t>
            </w:r>
            <w:hyperlink r:id="rId15" w:history="1">
              <w:r w:rsidRPr="00903F9D">
                <w:rPr>
                  <w:rStyle w:val="Hyperlink"/>
                  <w:rFonts w:ascii="Arial Narrow" w:hAnsi="Arial Narrow"/>
                  <w:sz w:val="20"/>
                  <w:szCs w:val="20"/>
                </w:rPr>
                <w:t>12322</w:t>
              </w:r>
            </w:hyperlink>
            <w:r w:rsidRPr="00903F9D">
              <w:rPr>
                <w:rFonts w:ascii="Arial Narrow" w:hAnsi="Arial Narrow"/>
                <w:sz w:val="20"/>
                <w:szCs w:val="20"/>
              </w:rPr>
              <w:t xml:space="preserve">, </w:t>
            </w:r>
            <w:r w:rsidRPr="00903F9D">
              <w:rPr>
                <w:rFonts w:ascii="Arial Narrow" w:hAnsi="Arial Narrow"/>
                <w:color w:val="0070C0"/>
                <w:sz w:val="20"/>
                <w:szCs w:val="20"/>
              </w:rPr>
              <w:t>XXXXB, XXXXC or XXXXE</w:t>
            </w:r>
            <w:r w:rsidRPr="00903F9D">
              <w:rPr>
                <w:rFonts w:ascii="Arial Narrow" w:hAnsi="Arial Narrow"/>
                <w:sz w:val="20"/>
                <w:szCs w:val="20"/>
              </w:rPr>
              <w:t xml:space="preserve"> applies. </w:t>
            </w:r>
            <w:bookmarkEnd w:id="12"/>
          </w:p>
          <w:p w14:paraId="1B1FDFFA" w14:textId="6241349D" w:rsidR="00522553" w:rsidRPr="00903F9D" w:rsidRDefault="00522553" w:rsidP="00BB77A1">
            <w:pPr>
              <w:rPr>
                <w:rFonts w:ascii="Arial Narrow" w:hAnsi="Arial Narrow"/>
                <w:sz w:val="20"/>
                <w:szCs w:val="20"/>
              </w:rPr>
            </w:pPr>
            <w:r w:rsidRPr="00903F9D">
              <w:rPr>
                <w:rFonts w:ascii="Arial Narrow" w:hAnsi="Arial Narrow"/>
                <w:sz w:val="20"/>
                <w:szCs w:val="20"/>
              </w:rPr>
              <w:t xml:space="preserve">For any particular patient, once only in a </w:t>
            </w:r>
            <w:proofErr w:type="gramStart"/>
            <w:r w:rsidRPr="00903F9D">
              <w:rPr>
                <w:rFonts w:ascii="Arial Narrow" w:hAnsi="Arial Narrow"/>
                <w:sz w:val="20"/>
                <w:szCs w:val="20"/>
              </w:rPr>
              <w:t>24 month</w:t>
            </w:r>
            <w:proofErr w:type="gramEnd"/>
            <w:r w:rsidRPr="00903F9D">
              <w:rPr>
                <w:rFonts w:ascii="Arial Narrow" w:hAnsi="Arial Narrow"/>
                <w:sz w:val="20"/>
                <w:szCs w:val="20"/>
              </w:rPr>
              <w:t xml:space="preserve"> period, </w:t>
            </w:r>
            <w:r w:rsidR="00B84E38" w:rsidRPr="00903F9D">
              <w:rPr>
                <w:rFonts w:ascii="Arial Narrow" w:hAnsi="Arial Narrow"/>
                <w:strike/>
                <w:color w:val="0070C0"/>
                <w:sz w:val="20"/>
                <w:szCs w:val="20"/>
              </w:rPr>
              <w:t>by</w:t>
            </w:r>
            <w:r w:rsidR="00B84E38" w:rsidRPr="00903F9D">
              <w:rPr>
                <w:rFonts w:ascii="Arial Narrow" w:hAnsi="Arial Narrow"/>
                <w:sz w:val="20"/>
                <w:szCs w:val="20"/>
              </w:rPr>
              <w:t xml:space="preserve"> </w:t>
            </w:r>
            <w:r w:rsidRPr="00903F9D">
              <w:rPr>
                <w:rFonts w:ascii="Arial Narrow" w:hAnsi="Arial Narrow"/>
                <w:color w:val="0070C0"/>
                <w:sz w:val="20"/>
                <w:szCs w:val="20"/>
              </w:rPr>
              <w:t>using</w:t>
            </w:r>
            <w:r w:rsidRPr="00903F9D">
              <w:rPr>
                <w:rFonts w:ascii="Arial Narrow" w:hAnsi="Arial Narrow"/>
                <w:sz w:val="20"/>
                <w:szCs w:val="20"/>
              </w:rPr>
              <w:t xml:space="preserve"> either dual energy x-ray absorptiometry or radiofrequency echographic multi spectrometry</w:t>
            </w:r>
          </w:p>
          <w:p w14:paraId="30E03850" w14:textId="77777777" w:rsidR="00522553" w:rsidRPr="00903F9D" w:rsidRDefault="00522553" w:rsidP="00BB77A1">
            <w:pPr>
              <w:rPr>
                <w:rFonts w:ascii="Arial Narrow" w:hAnsi="Arial Narrow"/>
                <w:sz w:val="20"/>
                <w:szCs w:val="20"/>
              </w:rPr>
            </w:pPr>
            <w:r w:rsidRPr="00903F9D">
              <w:rPr>
                <w:rFonts w:ascii="Arial Narrow" w:hAnsi="Arial Narrow"/>
                <w:b/>
                <w:bCs/>
                <w:sz w:val="20"/>
                <w:szCs w:val="20"/>
                <w:shd w:val="clear" w:color="auto" w:fill="FBFBFB"/>
              </w:rPr>
              <w:t>Fee:</w:t>
            </w:r>
            <w:r w:rsidRPr="00903F9D">
              <w:rPr>
                <w:rFonts w:ascii="Arial Narrow" w:hAnsi="Arial Narrow"/>
                <w:sz w:val="20"/>
                <w:szCs w:val="20"/>
                <w:shd w:val="clear" w:color="auto" w:fill="FBFBFB"/>
              </w:rPr>
              <w:t> $106.55 </w:t>
            </w:r>
            <w:r w:rsidRPr="00903F9D">
              <w:rPr>
                <w:rFonts w:ascii="Arial Narrow" w:hAnsi="Arial Narrow"/>
                <w:b/>
                <w:bCs/>
                <w:sz w:val="20"/>
                <w:szCs w:val="20"/>
                <w:shd w:val="clear" w:color="auto" w:fill="FBFBFB"/>
              </w:rPr>
              <w:t>Benefit:</w:t>
            </w:r>
            <w:r w:rsidRPr="00903F9D">
              <w:rPr>
                <w:rFonts w:ascii="Arial Narrow" w:hAnsi="Arial Narrow"/>
                <w:sz w:val="20"/>
                <w:szCs w:val="20"/>
                <w:shd w:val="clear" w:color="auto" w:fill="FBFBFB"/>
              </w:rPr>
              <w:t> </w:t>
            </w:r>
            <w:r w:rsidRPr="00903F9D">
              <w:rPr>
                <w:rFonts w:ascii="Arial Narrow" w:hAnsi="Arial Narrow"/>
                <w:color w:val="0070C0"/>
                <w:sz w:val="20"/>
                <w:szCs w:val="20"/>
                <w:shd w:val="clear" w:color="auto" w:fill="FBFBFB"/>
              </w:rPr>
              <w:t>75% &amp; 85% to be applied</w:t>
            </w:r>
          </w:p>
        </w:tc>
      </w:tr>
      <w:tr w:rsidR="00522553" w:rsidRPr="00903F9D" w14:paraId="28794B90" w14:textId="77777777" w:rsidTr="00522553">
        <w:tc>
          <w:tcPr>
            <w:tcW w:w="9016" w:type="dxa"/>
          </w:tcPr>
          <w:p w14:paraId="38678BE4" w14:textId="7A8C48C4" w:rsidR="00522553" w:rsidRPr="00903F9D" w:rsidRDefault="00522553" w:rsidP="00BB77A1">
            <w:pPr>
              <w:rPr>
                <w:rFonts w:ascii="Arial Narrow" w:hAnsi="Arial Narrow"/>
                <w:sz w:val="20"/>
                <w:szCs w:val="20"/>
              </w:rPr>
            </w:pPr>
            <w:r w:rsidRPr="00903F9D">
              <w:rPr>
                <w:rFonts w:ascii="Arial Narrow" w:hAnsi="Arial Narrow"/>
                <w:sz w:val="20"/>
                <w:szCs w:val="20"/>
              </w:rPr>
              <w:t xml:space="preserve">MBS </w:t>
            </w:r>
            <w:r w:rsidRPr="00903F9D">
              <w:rPr>
                <w:rFonts w:ascii="Arial Narrow" w:hAnsi="Arial Narrow"/>
                <w:color w:val="0070C0"/>
                <w:sz w:val="20"/>
                <w:szCs w:val="20"/>
              </w:rPr>
              <w:t xml:space="preserve">[Item Number XXXXB] </w:t>
            </w:r>
            <w:r w:rsidRPr="00903F9D">
              <w:rPr>
                <w:rFonts w:ascii="Arial Narrow" w:hAnsi="Arial Narrow"/>
                <w:color w:val="FF0000"/>
                <w:sz w:val="20"/>
                <w:szCs w:val="20"/>
              </w:rPr>
              <w:t>(analogous to DXA item 12312)</w:t>
            </w:r>
          </w:p>
          <w:p w14:paraId="776E88FC"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Bone densitometry, using radiofrequency echographic multi spectrometry, involving the measurement of 2 or more sites (including interpretation and reporting) for diagnosis</w:t>
            </w:r>
          </w:p>
          <w:p w14:paraId="668A1F9C"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and monitoring of bone loss associated with one or more of the following:</w:t>
            </w:r>
          </w:p>
          <w:p w14:paraId="5BEB8B72"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 xml:space="preserve">(a) prolonged glucocorticoid </w:t>
            </w:r>
            <w:proofErr w:type="gramStart"/>
            <w:r w:rsidRPr="00903F9D">
              <w:rPr>
                <w:rFonts w:ascii="Arial Narrow" w:hAnsi="Arial Narrow"/>
                <w:sz w:val="20"/>
                <w:szCs w:val="20"/>
              </w:rPr>
              <w:t>therapy;</w:t>
            </w:r>
            <w:proofErr w:type="gramEnd"/>
          </w:p>
          <w:p w14:paraId="76518434"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 xml:space="preserve">(b) any condition associated with excess glucocorticoid </w:t>
            </w:r>
            <w:proofErr w:type="gramStart"/>
            <w:r w:rsidRPr="00903F9D">
              <w:rPr>
                <w:rFonts w:ascii="Arial Narrow" w:hAnsi="Arial Narrow"/>
                <w:sz w:val="20"/>
                <w:szCs w:val="20"/>
              </w:rPr>
              <w:t>secretion;</w:t>
            </w:r>
            <w:proofErr w:type="gramEnd"/>
          </w:p>
          <w:p w14:paraId="3049BF65"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 xml:space="preserve">(c) male </w:t>
            </w:r>
            <w:proofErr w:type="gramStart"/>
            <w:r w:rsidRPr="00903F9D">
              <w:rPr>
                <w:rFonts w:ascii="Arial Narrow" w:hAnsi="Arial Narrow"/>
                <w:sz w:val="20"/>
                <w:szCs w:val="20"/>
              </w:rPr>
              <w:t>hypogonadism;</w:t>
            </w:r>
            <w:proofErr w:type="gramEnd"/>
          </w:p>
          <w:p w14:paraId="75D4D626" w14:textId="72D09052" w:rsidR="00522553" w:rsidRPr="00903F9D" w:rsidRDefault="00522553" w:rsidP="00BB77A1">
            <w:pPr>
              <w:rPr>
                <w:rFonts w:ascii="Arial Narrow" w:hAnsi="Arial Narrow"/>
                <w:sz w:val="20"/>
                <w:szCs w:val="20"/>
              </w:rPr>
            </w:pPr>
            <w:r w:rsidRPr="00903F9D">
              <w:rPr>
                <w:rFonts w:ascii="Arial Narrow" w:hAnsi="Arial Narrow"/>
                <w:sz w:val="20"/>
                <w:szCs w:val="20"/>
              </w:rPr>
              <w:t xml:space="preserve">(d) female hypogonadism lasting more than 6 months before the age of </w:t>
            </w:r>
            <w:proofErr w:type="gramStart"/>
            <w:r w:rsidRPr="00903F9D">
              <w:rPr>
                <w:rFonts w:ascii="Arial Narrow" w:hAnsi="Arial Narrow"/>
                <w:sz w:val="20"/>
                <w:szCs w:val="20"/>
              </w:rPr>
              <w:t>45;</w:t>
            </w:r>
            <w:proofErr w:type="gramEnd"/>
          </w:p>
          <w:p w14:paraId="053BA70D" w14:textId="463D8337" w:rsidR="00522553" w:rsidRPr="00903F9D" w:rsidRDefault="00522553" w:rsidP="00BB77A1">
            <w:pPr>
              <w:rPr>
                <w:rFonts w:ascii="Arial Narrow" w:hAnsi="Arial Narrow"/>
                <w:sz w:val="20"/>
                <w:szCs w:val="20"/>
              </w:rPr>
            </w:pPr>
            <w:r w:rsidRPr="00903F9D">
              <w:rPr>
                <w:rFonts w:ascii="Arial Narrow" w:hAnsi="Arial Narrow"/>
                <w:sz w:val="20"/>
                <w:szCs w:val="20"/>
              </w:rPr>
              <w:t xml:space="preserve">other than a service associated with a service to which item </w:t>
            </w:r>
            <w:hyperlink r:id="rId16" w:history="1">
              <w:r w:rsidRPr="00903F9D">
                <w:rPr>
                  <w:rStyle w:val="Hyperlink"/>
                  <w:rFonts w:ascii="Arial Narrow" w:hAnsi="Arial Narrow"/>
                  <w:color w:val="auto"/>
                  <w:sz w:val="20"/>
                  <w:szCs w:val="20"/>
                </w:rPr>
                <w:t>12306</w:t>
              </w:r>
            </w:hyperlink>
            <w:r w:rsidRPr="00903F9D">
              <w:rPr>
                <w:rFonts w:ascii="Arial Narrow" w:hAnsi="Arial Narrow"/>
                <w:sz w:val="20"/>
                <w:szCs w:val="20"/>
              </w:rPr>
              <w:t xml:space="preserve">, </w:t>
            </w:r>
            <w:hyperlink r:id="rId17" w:history="1">
              <w:r w:rsidRPr="00903F9D">
                <w:rPr>
                  <w:rStyle w:val="Hyperlink"/>
                  <w:rFonts w:ascii="Arial Narrow" w:hAnsi="Arial Narrow"/>
                  <w:sz w:val="20"/>
                  <w:szCs w:val="20"/>
                </w:rPr>
                <w:t>12312</w:t>
              </w:r>
            </w:hyperlink>
            <w:r w:rsidRPr="00903F9D">
              <w:rPr>
                <w:rFonts w:ascii="Arial Narrow" w:hAnsi="Arial Narrow"/>
                <w:sz w:val="20"/>
                <w:szCs w:val="20"/>
              </w:rPr>
              <w:t xml:space="preserve">, </w:t>
            </w:r>
            <w:hyperlink r:id="rId18" w:history="1">
              <w:r w:rsidRPr="00903F9D">
                <w:rPr>
                  <w:rStyle w:val="Hyperlink"/>
                  <w:rFonts w:ascii="Arial Narrow" w:hAnsi="Arial Narrow"/>
                  <w:color w:val="auto"/>
                  <w:sz w:val="20"/>
                  <w:szCs w:val="20"/>
                </w:rPr>
                <w:t>12315</w:t>
              </w:r>
            </w:hyperlink>
            <w:r w:rsidRPr="00903F9D">
              <w:rPr>
                <w:rFonts w:ascii="Arial Narrow" w:hAnsi="Arial Narrow"/>
                <w:sz w:val="20"/>
                <w:szCs w:val="20"/>
              </w:rPr>
              <w:t xml:space="preserve">, </w:t>
            </w:r>
            <w:hyperlink r:id="rId19" w:history="1">
              <w:r w:rsidRPr="00903F9D">
                <w:rPr>
                  <w:rStyle w:val="Hyperlink"/>
                  <w:rFonts w:ascii="Arial Narrow" w:hAnsi="Arial Narrow"/>
                  <w:sz w:val="20"/>
                  <w:szCs w:val="20"/>
                </w:rPr>
                <w:t>12320</w:t>
              </w:r>
            </w:hyperlink>
            <w:r w:rsidRPr="00903F9D">
              <w:rPr>
                <w:rFonts w:ascii="Arial Narrow" w:hAnsi="Arial Narrow"/>
                <w:sz w:val="20"/>
                <w:szCs w:val="20"/>
              </w:rPr>
              <w:t xml:space="preserve">, </w:t>
            </w:r>
            <w:hyperlink r:id="rId20" w:history="1">
              <w:r w:rsidRPr="00903F9D">
                <w:rPr>
                  <w:rStyle w:val="Hyperlink"/>
                  <w:rFonts w:ascii="Arial Narrow" w:hAnsi="Arial Narrow"/>
                  <w:color w:val="auto"/>
                  <w:sz w:val="20"/>
                  <w:szCs w:val="20"/>
                </w:rPr>
                <w:t>12321</w:t>
              </w:r>
            </w:hyperlink>
            <w:r w:rsidRPr="00903F9D">
              <w:rPr>
                <w:rFonts w:ascii="Arial Narrow" w:hAnsi="Arial Narrow"/>
                <w:sz w:val="20"/>
                <w:szCs w:val="20"/>
              </w:rPr>
              <w:t xml:space="preserve">, </w:t>
            </w:r>
            <w:hyperlink r:id="rId21" w:history="1">
              <w:r w:rsidRPr="00903F9D">
                <w:rPr>
                  <w:rStyle w:val="Hyperlink"/>
                  <w:rFonts w:ascii="Arial Narrow" w:hAnsi="Arial Narrow"/>
                  <w:sz w:val="20"/>
                  <w:szCs w:val="20"/>
                </w:rPr>
                <w:t>12322</w:t>
              </w:r>
            </w:hyperlink>
            <w:r w:rsidRPr="00903F9D">
              <w:rPr>
                <w:rFonts w:ascii="Arial Narrow" w:hAnsi="Arial Narrow"/>
                <w:sz w:val="20"/>
                <w:szCs w:val="20"/>
              </w:rPr>
              <w:t xml:space="preserve">, </w:t>
            </w:r>
            <w:r w:rsidRPr="00903F9D">
              <w:rPr>
                <w:rFonts w:ascii="Arial Narrow" w:hAnsi="Arial Narrow"/>
                <w:color w:val="0070C0"/>
                <w:sz w:val="20"/>
                <w:szCs w:val="20"/>
              </w:rPr>
              <w:t>XXXXA, XXXXC or XXXXE</w:t>
            </w:r>
            <w:r w:rsidRPr="00903F9D">
              <w:rPr>
                <w:rFonts w:ascii="Arial Narrow" w:hAnsi="Arial Narrow"/>
                <w:sz w:val="20"/>
                <w:szCs w:val="20"/>
              </w:rPr>
              <w:t xml:space="preserve"> applies</w:t>
            </w:r>
          </w:p>
          <w:p w14:paraId="58C1EA80" w14:textId="40DF9E56" w:rsidR="00522553" w:rsidRPr="00903F9D" w:rsidRDefault="00522553" w:rsidP="00BB77A1">
            <w:pPr>
              <w:rPr>
                <w:rFonts w:ascii="Arial Narrow" w:hAnsi="Arial Narrow"/>
                <w:sz w:val="20"/>
                <w:szCs w:val="20"/>
              </w:rPr>
            </w:pPr>
            <w:r w:rsidRPr="00903F9D">
              <w:rPr>
                <w:rFonts w:ascii="Arial Narrow" w:hAnsi="Arial Narrow"/>
                <w:sz w:val="20"/>
                <w:szCs w:val="20"/>
              </w:rPr>
              <w:t xml:space="preserve">For any particular patient, once only in a </w:t>
            </w:r>
            <w:proofErr w:type="gramStart"/>
            <w:r w:rsidRPr="00903F9D">
              <w:rPr>
                <w:rFonts w:ascii="Arial Narrow" w:hAnsi="Arial Narrow"/>
                <w:sz w:val="20"/>
                <w:szCs w:val="20"/>
              </w:rPr>
              <w:t>12 month</w:t>
            </w:r>
            <w:proofErr w:type="gramEnd"/>
            <w:r w:rsidRPr="00903F9D">
              <w:rPr>
                <w:rFonts w:ascii="Arial Narrow" w:hAnsi="Arial Narrow"/>
                <w:sz w:val="20"/>
                <w:szCs w:val="20"/>
              </w:rPr>
              <w:t xml:space="preserve"> period</w:t>
            </w:r>
            <w:r w:rsidR="00B84E38" w:rsidRPr="00903F9D">
              <w:rPr>
                <w:rFonts w:ascii="Arial Narrow" w:hAnsi="Arial Narrow"/>
                <w:strike/>
                <w:color w:val="0070C0"/>
                <w:sz w:val="20"/>
                <w:szCs w:val="20"/>
              </w:rPr>
              <w:t xml:space="preserve"> by</w:t>
            </w:r>
            <w:r w:rsidRPr="00903F9D">
              <w:rPr>
                <w:rFonts w:ascii="Arial Narrow" w:hAnsi="Arial Narrow"/>
                <w:color w:val="0070C0"/>
                <w:sz w:val="20"/>
                <w:szCs w:val="20"/>
              </w:rPr>
              <w:t xml:space="preserve"> using </w:t>
            </w:r>
            <w:r w:rsidRPr="00903F9D">
              <w:rPr>
                <w:rFonts w:ascii="Arial Narrow" w:hAnsi="Arial Narrow"/>
                <w:sz w:val="20"/>
                <w:szCs w:val="20"/>
              </w:rPr>
              <w:t xml:space="preserve">either dual energy x-ray absorptiometry or radiofrequency echographic multi spectrometry </w:t>
            </w:r>
          </w:p>
          <w:p w14:paraId="224E149B" w14:textId="77777777" w:rsidR="00522553" w:rsidRPr="00903F9D" w:rsidRDefault="00522553" w:rsidP="00BB77A1">
            <w:pPr>
              <w:rPr>
                <w:rFonts w:ascii="Arial Narrow" w:hAnsi="Arial Narrow"/>
                <w:sz w:val="20"/>
                <w:szCs w:val="20"/>
              </w:rPr>
            </w:pPr>
            <w:r w:rsidRPr="00903F9D">
              <w:rPr>
                <w:rFonts w:ascii="Arial Narrow" w:hAnsi="Arial Narrow"/>
                <w:b/>
                <w:bCs/>
                <w:sz w:val="20"/>
                <w:szCs w:val="20"/>
                <w:shd w:val="clear" w:color="auto" w:fill="FBFBFB"/>
              </w:rPr>
              <w:t>Fee:</w:t>
            </w:r>
            <w:r w:rsidRPr="00903F9D">
              <w:rPr>
                <w:rFonts w:ascii="Arial Narrow" w:hAnsi="Arial Narrow"/>
                <w:sz w:val="20"/>
                <w:szCs w:val="20"/>
                <w:shd w:val="clear" w:color="auto" w:fill="FBFBFB"/>
              </w:rPr>
              <w:t> $106.55 </w:t>
            </w:r>
            <w:r w:rsidRPr="00903F9D">
              <w:rPr>
                <w:rFonts w:ascii="Arial Narrow" w:hAnsi="Arial Narrow"/>
                <w:b/>
                <w:bCs/>
                <w:sz w:val="20"/>
                <w:szCs w:val="20"/>
                <w:shd w:val="clear" w:color="auto" w:fill="FBFBFB"/>
              </w:rPr>
              <w:t>Benefit:</w:t>
            </w:r>
            <w:r w:rsidRPr="00903F9D">
              <w:rPr>
                <w:rFonts w:ascii="Arial Narrow" w:hAnsi="Arial Narrow"/>
                <w:sz w:val="20"/>
                <w:szCs w:val="20"/>
                <w:shd w:val="clear" w:color="auto" w:fill="FBFBFB"/>
              </w:rPr>
              <w:t> </w:t>
            </w:r>
            <w:r w:rsidRPr="00903F9D">
              <w:rPr>
                <w:rFonts w:ascii="Arial Narrow" w:hAnsi="Arial Narrow"/>
                <w:color w:val="0070C0"/>
                <w:sz w:val="20"/>
                <w:szCs w:val="20"/>
                <w:shd w:val="clear" w:color="auto" w:fill="FBFBFB"/>
              </w:rPr>
              <w:t>75% &amp; 85% to be applied</w:t>
            </w:r>
          </w:p>
        </w:tc>
      </w:tr>
      <w:tr w:rsidR="00522553" w:rsidRPr="00903F9D" w14:paraId="29DDF5A7" w14:textId="77777777" w:rsidTr="00522553">
        <w:tc>
          <w:tcPr>
            <w:tcW w:w="9016" w:type="dxa"/>
          </w:tcPr>
          <w:p w14:paraId="57535314" w14:textId="5DCA1C69" w:rsidR="00522553" w:rsidRPr="00903F9D" w:rsidRDefault="00522553" w:rsidP="00BB77A1">
            <w:pPr>
              <w:rPr>
                <w:rFonts w:ascii="Arial Narrow" w:hAnsi="Arial Narrow"/>
                <w:sz w:val="20"/>
                <w:szCs w:val="20"/>
              </w:rPr>
            </w:pPr>
            <w:r w:rsidRPr="00903F9D">
              <w:rPr>
                <w:rFonts w:ascii="Arial Narrow" w:hAnsi="Arial Narrow"/>
                <w:sz w:val="20"/>
                <w:szCs w:val="20"/>
              </w:rPr>
              <w:br w:type="page"/>
              <w:t xml:space="preserve">MBS </w:t>
            </w:r>
            <w:r w:rsidRPr="00903F9D">
              <w:rPr>
                <w:rFonts w:ascii="Arial Narrow" w:hAnsi="Arial Narrow"/>
                <w:color w:val="0070C0"/>
                <w:sz w:val="20"/>
                <w:szCs w:val="20"/>
              </w:rPr>
              <w:t xml:space="preserve">[Item Number XXXXC] </w:t>
            </w:r>
            <w:r w:rsidRPr="00903F9D">
              <w:rPr>
                <w:rFonts w:ascii="Arial Narrow" w:hAnsi="Arial Narrow"/>
                <w:color w:val="FF0000"/>
                <w:sz w:val="20"/>
                <w:szCs w:val="20"/>
              </w:rPr>
              <w:t>(analogous to DXA item 12315)</w:t>
            </w:r>
          </w:p>
          <w:p w14:paraId="32A70247"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Bone densitometry, using radiofrequency echographic multi spectrometry, involving the measurement of 2 or more sites (including interpretation and reporting) for diagnosis and monitoring of bone loss associated with one or more of the following conditions:</w:t>
            </w:r>
          </w:p>
          <w:p w14:paraId="4C0F39BB"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 xml:space="preserve">(a) primary </w:t>
            </w:r>
            <w:proofErr w:type="gramStart"/>
            <w:r w:rsidRPr="00903F9D">
              <w:rPr>
                <w:rFonts w:ascii="Arial Narrow" w:hAnsi="Arial Narrow"/>
                <w:sz w:val="20"/>
                <w:szCs w:val="20"/>
              </w:rPr>
              <w:t>hyperparathyroidism;</w:t>
            </w:r>
            <w:proofErr w:type="gramEnd"/>
          </w:p>
          <w:p w14:paraId="7F268FE6"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 xml:space="preserve">(b) chronic liver </w:t>
            </w:r>
            <w:proofErr w:type="gramStart"/>
            <w:r w:rsidRPr="00903F9D">
              <w:rPr>
                <w:rFonts w:ascii="Arial Narrow" w:hAnsi="Arial Narrow"/>
                <w:sz w:val="20"/>
                <w:szCs w:val="20"/>
              </w:rPr>
              <w:t>disease;</w:t>
            </w:r>
            <w:proofErr w:type="gramEnd"/>
          </w:p>
          <w:p w14:paraId="056B6A03"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 xml:space="preserve">(c) chronic renal </w:t>
            </w:r>
            <w:proofErr w:type="gramStart"/>
            <w:r w:rsidRPr="00903F9D">
              <w:rPr>
                <w:rFonts w:ascii="Arial Narrow" w:hAnsi="Arial Narrow"/>
                <w:sz w:val="20"/>
                <w:szCs w:val="20"/>
              </w:rPr>
              <w:t>disease;</w:t>
            </w:r>
            <w:proofErr w:type="gramEnd"/>
          </w:p>
          <w:p w14:paraId="04CEA785"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 xml:space="preserve">(d) any proven malabsorptive </w:t>
            </w:r>
            <w:proofErr w:type="gramStart"/>
            <w:r w:rsidRPr="00903F9D">
              <w:rPr>
                <w:rFonts w:ascii="Arial Narrow" w:hAnsi="Arial Narrow"/>
                <w:sz w:val="20"/>
                <w:szCs w:val="20"/>
              </w:rPr>
              <w:t>disorder;</w:t>
            </w:r>
            <w:proofErr w:type="gramEnd"/>
          </w:p>
          <w:p w14:paraId="06FD5629"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 xml:space="preserve">(e) rheumatoid </w:t>
            </w:r>
            <w:proofErr w:type="gramStart"/>
            <w:r w:rsidRPr="00903F9D">
              <w:rPr>
                <w:rFonts w:ascii="Arial Narrow" w:hAnsi="Arial Narrow"/>
                <w:sz w:val="20"/>
                <w:szCs w:val="20"/>
              </w:rPr>
              <w:t>arthritis;</w:t>
            </w:r>
            <w:proofErr w:type="gramEnd"/>
          </w:p>
          <w:p w14:paraId="6F3E6B97" w14:textId="2DB0D9D0" w:rsidR="00522553" w:rsidRPr="00903F9D" w:rsidRDefault="00522553" w:rsidP="00BB77A1">
            <w:pPr>
              <w:rPr>
                <w:rFonts w:ascii="Arial Narrow" w:hAnsi="Arial Narrow"/>
                <w:sz w:val="20"/>
                <w:szCs w:val="20"/>
              </w:rPr>
            </w:pPr>
            <w:r w:rsidRPr="00903F9D">
              <w:rPr>
                <w:rFonts w:ascii="Arial Narrow" w:hAnsi="Arial Narrow"/>
                <w:sz w:val="20"/>
                <w:szCs w:val="20"/>
              </w:rPr>
              <w:t xml:space="preserve">(f) any condition associated with thyroxine </w:t>
            </w:r>
            <w:proofErr w:type="gramStart"/>
            <w:r w:rsidRPr="00903F9D">
              <w:rPr>
                <w:rFonts w:ascii="Arial Narrow" w:hAnsi="Arial Narrow"/>
                <w:sz w:val="20"/>
                <w:szCs w:val="20"/>
              </w:rPr>
              <w:t>excess;</w:t>
            </w:r>
            <w:proofErr w:type="gramEnd"/>
          </w:p>
          <w:p w14:paraId="48B27CE9" w14:textId="48E9ED2F" w:rsidR="00522553" w:rsidRPr="00903F9D" w:rsidRDefault="00522553" w:rsidP="00BB77A1">
            <w:pPr>
              <w:rPr>
                <w:rFonts w:ascii="Arial Narrow" w:hAnsi="Arial Narrow"/>
                <w:sz w:val="20"/>
                <w:szCs w:val="20"/>
              </w:rPr>
            </w:pPr>
            <w:r w:rsidRPr="00903F9D">
              <w:rPr>
                <w:rFonts w:ascii="Arial Narrow" w:hAnsi="Arial Narrow"/>
                <w:sz w:val="20"/>
                <w:szCs w:val="20"/>
              </w:rPr>
              <w:t xml:space="preserve">other than a service associated with a service to which item </w:t>
            </w:r>
            <w:hyperlink r:id="rId22" w:history="1">
              <w:r w:rsidRPr="00903F9D">
                <w:rPr>
                  <w:rStyle w:val="Hyperlink"/>
                  <w:rFonts w:ascii="Arial Narrow" w:hAnsi="Arial Narrow"/>
                  <w:color w:val="auto"/>
                  <w:sz w:val="20"/>
                  <w:szCs w:val="20"/>
                </w:rPr>
                <w:t>12306</w:t>
              </w:r>
            </w:hyperlink>
            <w:r w:rsidRPr="00903F9D">
              <w:rPr>
                <w:rFonts w:ascii="Arial Narrow" w:hAnsi="Arial Narrow"/>
                <w:sz w:val="20"/>
                <w:szCs w:val="20"/>
              </w:rPr>
              <w:t xml:space="preserve">, </w:t>
            </w:r>
            <w:hyperlink r:id="rId23" w:history="1">
              <w:r w:rsidRPr="00903F9D">
                <w:rPr>
                  <w:rStyle w:val="Hyperlink"/>
                  <w:rFonts w:ascii="Arial Narrow" w:hAnsi="Arial Narrow"/>
                  <w:color w:val="auto"/>
                  <w:sz w:val="20"/>
                  <w:szCs w:val="20"/>
                </w:rPr>
                <w:t>12312</w:t>
              </w:r>
            </w:hyperlink>
            <w:r w:rsidRPr="00903F9D">
              <w:rPr>
                <w:rFonts w:ascii="Arial Narrow" w:hAnsi="Arial Narrow"/>
                <w:sz w:val="20"/>
                <w:szCs w:val="20"/>
              </w:rPr>
              <w:t xml:space="preserve">, </w:t>
            </w:r>
            <w:hyperlink r:id="rId24" w:history="1">
              <w:r w:rsidRPr="00903F9D">
                <w:rPr>
                  <w:rStyle w:val="Hyperlink"/>
                  <w:rFonts w:ascii="Arial Narrow" w:hAnsi="Arial Narrow"/>
                  <w:sz w:val="20"/>
                  <w:szCs w:val="20"/>
                </w:rPr>
                <w:t>12315</w:t>
              </w:r>
            </w:hyperlink>
            <w:r w:rsidRPr="00903F9D">
              <w:rPr>
                <w:rFonts w:ascii="Arial Narrow" w:hAnsi="Arial Narrow"/>
                <w:color w:val="0070C0"/>
                <w:sz w:val="20"/>
                <w:szCs w:val="20"/>
              </w:rPr>
              <w:t xml:space="preserve">, </w:t>
            </w:r>
            <w:hyperlink r:id="rId25" w:history="1">
              <w:r w:rsidRPr="00903F9D">
                <w:rPr>
                  <w:rStyle w:val="Hyperlink"/>
                  <w:rFonts w:ascii="Arial Narrow" w:hAnsi="Arial Narrow"/>
                  <w:sz w:val="20"/>
                  <w:szCs w:val="20"/>
                </w:rPr>
                <w:t>12320</w:t>
              </w:r>
            </w:hyperlink>
            <w:r w:rsidRPr="00903F9D">
              <w:rPr>
                <w:rFonts w:ascii="Arial Narrow" w:hAnsi="Arial Narrow"/>
                <w:sz w:val="20"/>
                <w:szCs w:val="20"/>
              </w:rPr>
              <w:t xml:space="preserve">, </w:t>
            </w:r>
            <w:hyperlink r:id="rId26" w:history="1">
              <w:r w:rsidRPr="00903F9D">
                <w:rPr>
                  <w:rStyle w:val="Hyperlink"/>
                  <w:rFonts w:ascii="Arial Narrow" w:hAnsi="Arial Narrow"/>
                  <w:color w:val="auto"/>
                  <w:sz w:val="20"/>
                  <w:szCs w:val="20"/>
                </w:rPr>
                <w:t>12321</w:t>
              </w:r>
            </w:hyperlink>
            <w:r w:rsidRPr="00903F9D">
              <w:rPr>
                <w:rFonts w:ascii="Arial Narrow" w:hAnsi="Arial Narrow"/>
                <w:sz w:val="20"/>
                <w:szCs w:val="20"/>
              </w:rPr>
              <w:t xml:space="preserve">, </w:t>
            </w:r>
            <w:hyperlink r:id="rId27" w:history="1">
              <w:r w:rsidRPr="00903F9D">
                <w:rPr>
                  <w:rStyle w:val="Hyperlink"/>
                  <w:rFonts w:ascii="Arial Narrow" w:hAnsi="Arial Narrow"/>
                  <w:sz w:val="20"/>
                  <w:szCs w:val="20"/>
                </w:rPr>
                <w:t>12322</w:t>
              </w:r>
            </w:hyperlink>
            <w:r w:rsidRPr="00903F9D">
              <w:rPr>
                <w:rFonts w:ascii="Arial Narrow" w:hAnsi="Arial Narrow"/>
                <w:sz w:val="20"/>
                <w:szCs w:val="20"/>
              </w:rPr>
              <w:t xml:space="preserve">, </w:t>
            </w:r>
            <w:r w:rsidRPr="00903F9D">
              <w:rPr>
                <w:rFonts w:ascii="Arial Narrow" w:hAnsi="Arial Narrow"/>
                <w:color w:val="0070C0"/>
                <w:sz w:val="20"/>
                <w:szCs w:val="20"/>
              </w:rPr>
              <w:t>XXXXA, XXXXB or XXXXE</w:t>
            </w:r>
            <w:r w:rsidR="00BF2F61" w:rsidRPr="00903F9D">
              <w:rPr>
                <w:rFonts w:ascii="Arial Narrow" w:hAnsi="Arial Narrow"/>
                <w:color w:val="0070C0"/>
                <w:sz w:val="20"/>
                <w:szCs w:val="20"/>
              </w:rPr>
              <w:t xml:space="preserve"> </w:t>
            </w:r>
            <w:r w:rsidRPr="00903F9D">
              <w:rPr>
                <w:rFonts w:ascii="Arial Narrow" w:hAnsi="Arial Narrow"/>
                <w:sz w:val="20"/>
                <w:szCs w:val="20"/>
              </w:rPr>
              <w:t>applies</w:t>
            </w:r>
          </w:p>
          <w:p w14:paraId="712CAC1C" w14:textId="74A0C917" w:rsidR="00522553" w:rsidRPr="00903F9D" w:rsidRDefault="00522553" w:rsidP="00BB77A1">
            <w:pPr>
              <w:rPr>
                <w:rFonts w:ascii="Arial Narrow" w:hAnsi="Arial Narrow"/>
                <w:sz w:val="20"/>
                <w:szCs w:val="20"/>
              </w:rPr>
            </w:pPr>
            <w:r w:rsidRPr="00903F9D">
              <w:rPr>
                <w:rFonts w:ascii="Arial Narrow" w:hAnsi="Arial Narrow"/>
                <w:sz w:val="20"/>
                <w:szCs w:val="20"/>
              </w:rPr>
              <w:lastRenderedPageBreak/>
              <w:t xml:space="preserve">For any </w:t>
            </w:r>
            <w:proofErr w:type="gramStart"/>
            <w:r w:rsidRPr="00903F9D">
              <w:rPr>
                <w:rFonts w:ascii="Arial Narrow" w:hAnsi="Arial Narrow"/>
                <w:sz w:val="20"/>
                <w:szCs w:val="20"/>
              </w:rPr>
              <w:t>particular patient</w:t>
            </w:r>
            <w:proofErr w:type="gramEnd"/>
            <w:r w:rsidRPr="00903F9D">
              <w:rPr>
                <w:rFonts w:ascii="Arial Narrow" w:hAnsi="Arial Narrow"/>
                <w:sz w:val="20"/>
                <w:szCs w:val="20"/>
              </w:rPr>
              <w:t>, once only in a 24-month period</w:t>
            </w:r>
            <w:r w:rsidR="00C63253" w:rsidRPr="00903F9D">
              <w:rPr>
                <w:rFonts w:ascii="Arial Narrow" w:hAnsi="Arial Narrow"/>
                <w:strike/>
                <w:color w:val="0070C0"/>
                <w:sz w:val="20"/>
                <w:szCs w:val="20"/>
              </w:rPr>
              <w:t xml:space="preserve"> by</w:t>
            </w:r>
            <w:r w:rsidRPr="00903F9D">
              <w:rPr>
                <w:rFonts w:ascii="Arial Narrow" w:hAnsi="Arial Narrow"/>
                <w:sz w:val="20"/>
                <w:szCs w:val="20"/>
              </w:rPr>
              <w:t xml:space="preserve"> </w:t>
            </w:r>
            <w:r w:rsidRPr="00903F9D">
              <w:rPr>
                <w:rFonts w:ascii="Arial Narrow" w:hAnsi="Arial Narrow"/>
                <w:color w:val="0070C0"/>
                <w:sz w:val="20"/>
                <w:szCs w:val="20"/>
              </w:rPr>
              <w:t>using</w:t>
            </w:r>
            <w:r w:rsidRPr="00903F9D">
              <w:rPr>
                <w:rFonts w:ascii="Arial Narrow" w:hAnsi="Arial Narrow"/>
                <w:sz w:val="20"/>
                <w:szCs w:val="20"/>
              </w:rPr>
              <w:t xml:space="preserve"> either dual energy x-ray absorptiometry or radiofrequency echographic multi spectrometry</w:t>
            </w:r>
          </w:p>
          <w:p w14:paraId="59D3B545" w14:textId="77777777" w:rsidR="00522553" w:rsidRPr="00903F9D" w:rsidRDefault="00522553" w:rsidP="00BB77A1">
            <w:pPr>
              <w:rPr>
                <w:rFonts w:ascii="Arial Narrow" w:hAnsi="Arial Narrow"/>
                <w:sz w:val="20"/>
                <w:szCs w:val="20"/>
              </w:rPr>
            </w:pPr>
            <w:r w:rsidRPr="00903F9D">
              <w:rPr>
                <w:rFonts w:ascii="Arial Narrow" w:hAnsi="Arial Narrow"/>
                <w:b/>
                <w:bCs/>
                <w:sz w:val="20"/>
                <w:szCs w:val="20"/>
                <w:shd w:val="clear" w:color="auto" w:fill="FBFBFB"/>
              </w:rPr>
              <w:t>Fee:</w:t>
            </w:r>
            <w:r w:rsidRPr="00903F9D">
              <w:rPr>
                <w:rFonts w:ascii="Arial Narrow" w:hAnsi="Arial Narrow"/>
                <w:sz w:val="20"/>
                <w:szCs w:val="20"/>
                <w:shd w:val="clear" w:color="auto" w:fill="FBFBFB"/>
              </w:rPr>
              <w:t> $106.55 </w:t>
            </w:r>
            <w:r w:rsidRPr="00903F9D">
              <w:rPr>
                <w:rFonts w:ascii="Arial Narrow" w:hAnsi="Arial Narrow"/>
                <w:b/>
                <w:bCs/>
                <w:sz w:val="20"/>
                <w:szCs w:val="20"/>
                <w:shd w:val="clear" w:color="auto" w:fill="FBFBFB"/>
              </w:rPr>
              <w:t>Benefit:</w:t>
            </w:r>
            <w:r w:rsidRPr="00903F9D">
              <w:rPr>
                <w:rFonts w:ascii="Arial Narrow" w:hAnsi="Arial Narrow"/>
                <w:sz w:val="20"/>
                <w:szCs w:val="20"/>
                <w:shd w:val="clear" w:color="auto" w:fill="FBFBFB"/>
              </w:rPr>
              <w:t> </w:t>
            </w:r>
            <w:r w:rsidRPr="00903F9D">
              <w:rPr>
                <w:rFonts w:ascii="Arial Narrow" w:hAnsi="Arial Narrow"/>
                <w:color w:val="0070C0"/>
                <w:sz w:val="20"/>
                <w:szCs w:val="20"/>
                <w:shd w:val="clear" w:color="auto" w:fill="FBFBFB"/>
              </w:rPr>
              <w:t>75% &amp; 85% to be applied</w:t>
            </w:r>
          </w:p>
        </w:tc>
      </w:tr>
      <w:tr w:rsidR="00522553" w:rsidRPr="00903F9D" w14:paraId="1BBD9CCA" w14:textId="77777777" w:rsidTr="00522553">
        <w:tc>
          <w:tcPr>
            <w:tcW w:w="9016" w:type="dxa"/>
          </w:tcPr>
          <w:p w14:paraId="1E887291" w14:textId="574F70F7" w:rsidR="00522553" w:rsidRPr="00903F9D" w:rsidRDefault="00522553" w:rsidP="00BB77A1">
            <w:pPr>
              <w:rPr>
                <w:rFonts w:ascii="Arial Narrow" w:hAnsi="Arial Narrow"/>
                <w:sz w:val="20"/>
                <w:szCs w:val="20"/>
              </w:rPr>
            </w:pPr>
            <w:r w:rsidRPr="00903F9D">
              <w:rPr>
                <w:rFonts w:ascii="Arial Narrow" w:hAnsi="Arial Narrow"/>
                <w:sz w:val="20"/>
                <w:szCs w:val="20"/>
              </w:rPr>
              <w:lastRenderedPageBreak/>
              <w:t xml:space="preserve">MBS </w:t>
            </w:r>
            <w:r w:rsidRPr="00903F9D">
              <w:rPr>
                <w:rFonts w:ascii="Arial Narrow" w:hAnsi="Arial Narrow"/>
                <w:color w:val="0070C0"/>
                <w:sz w:val="20"/>
                <w:szCs w:val="20"/>
              </w:rPr>
              <w:t xml:space="preserve">[Item Number XXXXD] </w:t>
            </w:r>
            <w:r w:rsidRPr="00903F9D">
              <w:rPr>
                <w:rFonts w:ascii="Arial Narrow" w:hAnsi="Arial Narrow"/>
                <w:color w:val="FF0000"/>
                <w:sz w:val="20"/>
                <w:szCs w:val="20"/>
              </w:rPr>
              <w:t>(analogous to DXA item 12320)</w:t>
            </w:r>
          </w:p>
          <w:p w14:paraId="739FDF44" w14:textId="11F1A849" w:rsidR="00522553" w:rsidRPr="00903F9D" w:rsidRDefault="00522553" w:rsidP="00BB77A1">
            <w:pPr>
              <w:rPr>
                <w:rFonts w:ascii="Arial Narrow" w:hAnsi="Arial Narrow"/>
                <w:sz w:val="20"/>
                <w:szCs w:val="20"/>
              </w:rPr>
            </w:pPr>
            <w:r w:rsidRPr="00903F9D">
              <w:rPr>
                <w:rFonts w:ascii="Arial Narrow" w:hAnsi="Arial Narrow"/>
                <w:sz w:val="20"/>
                <w:szCs w:val="20"/>
              </w:rPr>
              <w:t>Bone densitometry, using radiofrequency echographic multi spectrometry</w:t>
            </w:r>
            <w:r w:rsidR="00BF2F61" w:rsidRPr="00903F9D">
              <w:rPr>
                <w:rFonts w:ascii="Arial Narrow" w:hAnsi="Arial Narrow"/>
                <w:sz w:val="20"/>
                <w:szCs w:val="20"/>
              </w:rPr>
              <w:t xml:space="preserve"> </w:t>
            </w:r>
            <w:r w:rsidR="00BF2F61" w:rsidRPr="00903F9D">
              <w:rPr>
                <w:rFonts w:ascii="Arial Narrow" w:hAnsi="Arial Narrow"/>
                <w:strike/>
                <w:color w:val="0070C0"/>
                <w:sz w:val="20"/>
                <w:szCs w:val="20"/>
              </w:rPr>
              <w:t>or quantitative compute</w:t>
            </w:r>
            <w:r w:rsidR="003502B6" w:rsidRPr="00903F9D">
              <w:rPr>
                <w:rFonts w:ascii="Arial Narrow" w:hAnsi="Arial Narrow"/>
                <w:strike/>
                <w:color w:val="0070C0"/>
                <w:sz w:val="20"/>
                <w:szCs w:val="20"/>
              </w:rPr>
              <w:t>d</w:t>
            </w:r>
            <w:r w:rsidR="00BF2F61" w:rsidRPr="00903F9D">
              <w:rPr>
                <w:rFonts w:ascii="Arial Narrow" w:hAnsi="Arial Narrow"/>
                <w:strike/>
                <w:color w:val="0070C0"/>
                <w:sz w:val="20"/>
                <w:szCs w:val="20"/>
              </w:rPr>
              <w:t xml:space="preserve"> tomography</w:t>
            </w:r>
            <w:r w:rsidRPr="00903F9D">
              <w:rPr>
                <w:rFonts w:ascii="Arial Narrow" w:hAnsi="Arial Narrow"/>
                <w:sz w:val="20"/>
                <w:szCs w:val="20"/>
              </w:rPr>
              <w:t>, involving the measurement of 2 or more sites (including interpretation and reporting) for measurement of bone mineral density, if:</w:t>
            </w:r>
          </w:p>
          <w:p w14:paraId="5745358E"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(a) the patient is 70 years of age or over, and</w:t>
            </w:r>
          </w:p>
          <w:p w14:paraId="15245A30"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(b) either:</w:t>
            </w:r>
          </w:p>
          <w:p w14:paraId="2EA48F7F"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w:t>
            </w:r>
            <w:proofErr w:type="spellStart"/>
            <w:r w:rsidRPr="00903F9D">
              <w:rPr>
                <w:rFonts w:ascii="Arial Narrow" w:hAnsi="Arial Narrow"/>
                <w:sz w:val="20"/>
                <w:szCs w:val="20"/>
              </w:rPr>
              <w:t>i</w:t>
            </w:r>
            <w:proofErr w:type="spellEnd"/>
            <w:r w:rsidRPr="00903F9D">
              <w:rPr>
                <w:rFonts w:ascii="Arial Narrow" w:hAnsi="Arial Narrow"/>
                <w:sz w:val="20"/>
                <w:szCs w:val="20"/>
              </w:rPr>
              <w:t>) the patient has not previously had bone densitometry; or</w:t>
            </w:r>
          </w:p>
          <w:p w14:paraId="7DD4D96C" w14:textId="1DAD8614" w:rsidR="00522553" w:rsidRPr="00903F9D" w:rsidRDefault="00522553" w:rsidP="00BB77A1">
            <w:pPr>
              <w:rPr>
                <w:rFonts w:ascii="Arial Narrow" w:hAnsi="Arial Narrow"/>
                <w:sz w:val="20"/>
                <w:szCs w:val="20"/>
              </w:rPr>
            </w:pPr>
            <w:r w:rsidRPr="00903F9D">
              <w:rPr>
                <w:rFonts w:ascii="Arial Narrow" w:hAnsi="Arial Narrow"/>
                <w:sz w:val="20"/>
                <w:szCs w:val="20"/>
              </w:rPr>
              <w:t xml:space="preserve">(ii) the T-score for the patient's bone mineral density is -1.5 or </w:t>
            </w:r>
            <w:proofErr w:type="gramStart"/>
            <w:r w:rsidRPr="00903F9D">
              <w:rPr>
                <w:rFonts w:ascii="Arial Narrow" w:hAnsi="Arial Narrow"/>
                <w:sz w:val="20"/>
                <w:szCs w:val="20"/>
              </w:rPr>
              <w:t>more;</w:t>
            </w:r>
            <w:proofErr w:type="gramEnd"/>
          </w:p>
          <w:p w14:paraId="1F7E2006" w14:textId="24FD78A5" w:rsidR="00522553" w:rsidRPr="00903F9D" w:rsidRDefault="00522553" w:rsidP="00BB77A1">
            <w:pPr>
              <w:rPr>
                <w:rFonts w:ascii="Arial Narrow" w:hAnsi="Arial Narrow"/>
                <w:sz w:val="20"/>
                <w:szCs w:val="20"/>
              </w:rPr>
            </w:pPr>
            <w:r w:rsidRPr="00903F9D">
              <w:rPr>
                <w:rFonts w:ascii="Arial Narrow" w:hAnsi="Arial Narrow"/>
                <w:sz w:val="20"/>
                <w:szCs w:val="20"/>
              </w:rPr>
              <w:t xml:space="preserve">other than a service associated with a service to which item </w:t>
            </w:r>
            <w:hyperlink r:id="rId28" w:history="1">
              <w:r w:rsidRPr="00903F9D">
                <w:rPr>
                  <w:rStyle w:val="Hyperlink"/>
                  <w:rFonts w:ascii="Arial Narrow" w:hAnsi="Arial Narrow"/>
                  <w:color w:val="auto"/>
                  <w:sz w:val="20"/>
                  <w:szCs w:val="20"/>
                </w:rPr>
                <w:t>12306</w:t>
              </w:r>
            </w:hyperlink>
            <w:r w:rsidRPr="00903F9D">
              <w:rPr>
                <w:rFonts w:ascii="Arial Narrow" w:hAnsi="Arial Narrow"/>
                <w:sz w:val="20"/>
                <w:szCs w:val="20"/>
              </w:rPr>
              <w:t xml:space="preserve">, </w:t>
            </w:r>
            <w:hyperlink r:id="rId29" w:history="1">
              <w:r w:rsidRPr="00903F9D">
                <w:rPr>
                  <w:rStyle w:val="Hyperlink"/>
                  <w:rFonts w:ascii="Arial Narrow" w:hAnsi="Arial Narrow"/>
                  <w:color w:val="auto"/>
                  <w:sz w:val="20"/>
                  <w:szCs w:val="20"/>
                </w:rPr>
                <w:t>12312</w:t>
              </w:r>
            </w:hyperlink>
            <w:r w:rsidRPr="00903F9D">
              <w:rPr>
                <w:rFonts w:ascii="Arial Narrow" w:hAnsi="Arial Narrow"/>
                <w:sz w:val="20"/>
                <w:szCs w:val="20"/>
              </w:rPr>
              <w:t xml:space="preserve">, </w:t>
            </w:r>
            <w:hyperlink r:id="rId30" w:history="1">
              <w:r w:rsidRPr="00903F9D">
                <w:rPr>
                  <w:rStyle w:val="Hyperlink"/>
                  <w:rFonts w:ascii="Arial Narrow" w:hAnsi="Arial Narrow"/>
                  <w:color w:val="auto"/>
                  <w:sz w:val="20"/>
                  <w:szCs w:val="20"/>
                </w:rPr>
                <w:t>12315</w:t>
              </w:r>
            </w:hyperlink>
            <w:r w:rsidRPr="00903F9D">
              <w:rPr>
                <w:rFonts w:ascii="Arial Narrow" w:hAnsi="Arial Narrow"/>
                <w:sz w:val="20"/>
                <w:szCs w:val="20"/>
              </w:rPr>
              <w:t xml:space="preserve">, </w:t>
            </w:r>
            <w:hyperlink r:id="rId31" w:history="1">
              <w:r w:rsidRPr="00903F9D">
                <w:rPr>
                  <w:rStyle w:val="Hyperlink"/>
                  <w:rFonts w:ascii="Arial Narrow" w:hAnsi="Arial Narrow"/>
                  <w:sz w:val="20"/>
                  <w:szCs w:val="20"/>
                </w:rPr>
                <w:t>12320</w:t>
              </w:r>
            </w:hyperlink>
            <w:r w:rsidRPr="00903F9D">
              <w:rPr>
                <w:rFonts w:ascii="Arial Narrow" w:hAnsi="Arial Narrow"/>
                <w:sz w:val="20"/>
                <w:szCs w:val="20"/>
              </w:rPr>
              <w:t xml:space="preserve">, </w:t>
            </w:r>
            <w:hyperlink r:id="rId32" w:history="1">
              <w:r w:rsidRPr="00903F9D">
                <w:rPr>
                  <w:rStyle w:val="Hyperlink"/>
                  <w:rFonts w:ascii="Arial Narrow" w:hAnsi="Arial Narrow"/>
                  <w:color w:val="auto"/>
                  <w:sz w:val="20"/>
                  <w:szCs w:val="20"/>
                </w:rPr>
                <w:t>12321</w:t>
              </w:r>
            </w:hyperlink>
            <w:r w:rsidRPr="00903F9D">
              <w:rPr>
                <w:rFonts w:ascii="Arial Narrow" w:hAnsi="Arial Narrow"/>
                <w:sz w:val="20"/>
                <w:szCs w:val="20"/>
              </w:rPr>
              <w:t xml:space="preserve">, </w:t>
            </w:r>
            <w:hyperlink r:id="rId33" w:history="1">
              <w:r w:rsidRPr="00903F9D">
                <w:rPr>
                  <w:rStyle w:val="Hyperlink"/>
                  <w:rFonts w:ascii="Arial Narrow" w:hAnsi="Arial Narrow"/>
                  <w:color w:val="auto"/>
                  <w:sz w:val="20"/>
                  <w:szCs w:val="20"/>
                </w:rPr>
                <w:t>12322</w:t>
              </w:r>
            </w:hyperlink>
            <w:r w:rsidRPr="00903F9D">
              <w:rPr>
                <w:rFonts w:ascii="Arial Narrow" w:hAnsi="Arial Narrow"/>
                <w:sz w:val="20"/>
                <w:szCs w:val="20"/>
              </w:rPr>
              <w:t xml:space="preserve">, </w:t>
            </w:r>
            <w:r w:rsidRPr="00903F9D">
              <w:rPr>
                <w:rFonts w:ascii="Arial Narrow" w:hAnsi="Arial Narrow"/>
                <w:color w:val="0070C0"/>
                <w:sz w:val="20"/>
                <w:szCs w:val="20"/>
              </w:rPr>
              <w:t xml:space="preserve">XXXXA, XXXXB, XXXXC, XXXXE or XXXXF </w:t>
            </w:r>
            <w:r w:rsidRPr="00903F9D">
              <w:rPr>
                <w:rFonts w:ascii="Arial Narrow" w:hAnsi="Arial Narrow"/>
                <w:sz w:val="20"/>
                <w:szCs w:val="20"/>
              </w:rPr>
              <w:t>applies</w:t>
            </w:r>
          </w:p>
          <w:p w14:paraId="2FEEA01A" w14:textId="2B0A2171" w:rsidR="00522553" w:rsidRPr="00903F9D" w:rsidRDefault="00522553" w:rsidP="00BB77A1">
            <w:pPr>
              <w:rPr>
                <w:rFonts w:ascii="Arial Narrow" w:hAnsi="Arial Narrow"/>
                <w:sz w:val="20"/>
                <w:szCs w:val="20"/>
              </w:rPr>
            </w:pPr>
            <w:r w:rsidRPr="00903F9D">
              <w:rPr>
                <w:rFonts w:ascii="Arial Narrow" w:hAnsi="Arial Narrow"/>
                <w:sz w:val="20"/>
                <w:szCs w:val="20"/>
              </w:rPr>
              <w:t xml:space="preserve">For any particular patient, once only in a </w:t>
            </w:r>
            <w:proofErr w:type="gramStart"/>
            <w:r w:rsidRPr="00903F9D">
              <w:rPr>
                <w:rFonts w:ascii="Arial Narrow" w:hAnsi="Arial Narrow"/>
                <w:sz w:val="20"/>
                <w:szCs w:val="20"/>
              </w:rPr>
              <w:t>5 year</w:t>
            </w:r>
            <w:proofErr w:type="gramEnd"/>
            <w:r w:rsidRPr="00903F9D">
              <w:rPr>
                <w:rFonts w:ascii="Arial Narrow" w:hAnsi="Arial Narrow"/>
                <w:sz w:val="20"/>
                <w:szCs w:val="20"/>
              </w:rPr>
              <w:t xml:space="preserve"> period</w:t>
            </w:r>
            <w:r w:rsidR="00C63253" w:rsidRPr="00903F9D">
              <w:rPr>
                <w:rFonts w:ascii="Arial Narrow" w:hAnsi="Arial Narrow"/>
                <w:strike/>
                <w:color w:val="0070C0"/>
                <w:sz w:val="20"/>
                <w:szCs w:val="20"/>
              </w:rPr>
              <w:t xml:space="preserve"> by</w:t>
            </w:r>
            <w:r w:rsidRPr="00903F9D">
              <w:rPr>
                <w:rFonts w:ascii="Arial Narrow" w:hAnsi="Arial Narrow"/>
                <w:sz w:val="20"/>
                <w:szCs w:val="20"/>
              </w:rPr>
              <w:t xml:space="preserve"> </w:t>
            </w:r>
            <w:r w:rsidRPr="00903F9D">
              <w:rPr>
                <w:rFonts w:ascii="Arial Narrow" w:hAnsi="Arial Narrow"/>
                <w:color w:val="0070C0"/>
                <w:sz w:val="20"/>
                <w:szCs w:val="20"/>
              </w:rPr>
              <w:t>using</w:t>
            </w:r>
            <w:r w:rsidRPr="00903F9D">
              <w:rPr>
                <w:rFonts w:ascii="Arial Narrow" w:hAnsi="Arial Narrow"/>
                <w:sz w:val="20"/>
                <w:szCs w:val="20"/>
              </w:rPr>
              <w:t xml:space="preserve"> either dual energy x-ray absorptiometry or radiofrequency echographic multi spectrometry or quantitative computed tomography</w:t>
            </w:r>
          </w:p>
          <w:p w14:paraId="7080E427" w14:textId="77777777" w:rsidR="00522553" w:rsidRPr="00903F9D" w:rsidRDefault="00522553" w:rsidP="00BB77A1">
            <w:pPr>
              <w:rPr>
                <w:rFonts w:ascii="Arial Narrow" w:hAnsi="Arial Narrow"/>
                <w:sz w:val="20"/>
                <w:szCs w:val="20"/>
              </w:rPr>
            </w:pPr>
            <w:r w:rsidRPr="00903F9D">
              <w:rPr>
                <w:rFonts w:ascii="Arial Narrow" w:hAnsi="Arial Narrow"/>
                <w:b/>
                <w:bCs/>
                <w:sz w:val="20"/>
                <w:szCs w:val="20"/>
                <w:shd w:val="clear" w:color="auto" w:fill="FBFBFB"/>
              </w:rPr>
              <w:t>Fee:</w:t>
            </w:r>
            <w:r w:rsidRPr="00903F9D">
              <w:rPr>
                <w:rFonts w:ascii="Arial Narrow" w:hAnsi="Arial Narrow"/>
                <w:sz w:val="20"/>
                <w:szCs w:val="20"/>
                <w:shd w:val="clear" w:color="auto" w:fill="FBFBFB"/>
              </w:rPr>
              <w:t> $106.55 </w:t>
            </w:r>
            <w:r w:rsidRPr="00903F9D">
              <w:rPr>
                <w:rFonts w:ascii="Arial Narrow" w:hAnsi="Arial Narrow"/>
                <w:b/>
                <w:bCs/>
                <w:sz w:val="20"/>
                <w:szCs w:val="20"/>
                <w:shd w:val="clear" w:color="auto" w:fill="FBFBFB"/>
              </w:rPr>
              <w:t>Benefit:</w:t>
            </w:r>
            <w:r w:rsidRPr="00903F9D">
              <w:rPr>
                <w:rFonts w:ascii="Arial Narrow" w:hAnsi="Arial Narrow"/>
                <w:sz w:val="20"/>
                <w:szCs w:val="20"/>
                <w:shd w:val="clear" w:color="auto" w:fill="FBFBFB"/>
              </w:rPr>
              <w:t> </w:t>
            </w:r>
            <w:r w:rsidRPr="00903F9D">
              <w:rPr>
                <w:rFonts w:ascii="Arial Narrow" w:hAnsi="Arial Narrow"/>
                <w:color w:val="0070C0"/>
                <w:sz w:val="20"/>
                <w:szCs w:val="20"/>
                <w:shd w:val="clear" w:color="auto" w:fill="FBFBFB"/>
              </w:rPr>
              <w:t>75% &amp; 85% to be applied</w:t>
            </w:r>
          </w:p>
        </w:tc>
      </w:tr>
      <w:tr w:rsidR="00522553" w:rsidRPr="00903F9D" w14:paraId="7279E974" w14:textId="77777777" w:rsidTr="00522553">
        <w:tc>
          <w:tcPr>
            <w:tcW w:w="9016" w:type="dxa"/>
          </w:tcPr>
          <w:p w14:paraId="02B0DD15" w14:textId="3EB1BB2D" w:rsidR="00522553" w:rsidRPr="00903F9D" w:rsidRDefault="00522553" w:rsidP="00BB77A1">
            <w:pPr>
              <w:rPr>
                <w:rFonts w:ascii="Arial Narrow" w:hAnsi="Arial Narrow"/>
                <w:sz w:val="20"/>
                <w:szCs w:val="20"/>
              </w:rPr>
            </w:pPr>
            <w:r w:rsidRPr="00903F9D">
              <w:rPr>
                <w:rFonts w:ascii="Arial Narrow" w:hAnsi="Arial Narrow"/>
                <w:sz w:val="20"/>
                <w:szCs w:val="20"/>
              </w:rPr>
              <w:t xml:space="preserve">MBS </w:t>
            </w:r>
            <w:r w:rsidRPr="00903F9D">
              <w:rPr>
                <w:rFonts w:ascii="Arial Narrow" w:hAnsi="Arial Narrow"/>
                <w:color w:val="0070C0"/>
                <w:sz w:val="20"/>
                <w:szCs w:val="20"/>
              </w:rPr>
              <w:t xml:space="preserve">[Item Number XXXXE] </w:t>
            </w:r>
            <w:r w:rsidRPr="00903F9D">
              <w:rPr>
                <w:rFonts w:ascii="Arial Narrow" w:hAnsi="Arial Narrow"/>
                <w:color w:val="FF0000"/>
                <w:sz w:val="20"/>
                <w:szCs w:val="20"/>
              </w:rPr>
              <w:t>(analogous to DXA item 12321)</w:t>
            </w:r>
          </w:p>
          <w:p w14:paraId="561E112B" w14:textId="331F4211" w:rsidR="00522553" w:rsidRPr="00903F9D" w:rsidRDefault="00522553" w:rsidP="00BB77A1">
            <w:pPr>
              <w:rPr>
                <w:rFonts w:ascii="Arial Narrow" w:hAnsi="Arial Narrow"/>
                <w:sz w:val="20"/>
                <w:szCs w:val="20"/>
              </w:rPr>
            </w:pPr>
            <w:r w:rsidRPr="00903F9D">
              <w:rPr>
                <w:rFonts w:ascii="Arial Narrow" w:hAnsi="Arial Narrow"/>
                <w:sz w:val="20"/>
                <w:szCs w:val="20"/>
              </w:rPr>
              <w:t xml:space="preserve">Bone densitometry, using </w:t>
            </w:r>
            <w:r w:rsidR="003502B6" w:rsidRPr="00903F9D">
              <w:rPr>
                <w:rFonts w:ascii="Arial Narrow" w:hAnsi="Arial Narrow"/>
                <w:strike/>
                <w:color w:val="0070C0"/>
                <w:sz w:val="20"/>
                <w:szCs w:val="20"/>
              </w:rPr>
              <w:t>dual energy x-ray absorptiometry or</w:t>
            </w:r>
            <w:r w:rsidR="003502B6" w:rsidRPr="00903F9D">
              <w:rPr>
                <w:rFonts w:ascii="Arial Narrow" w:hAnsi="Arial Narrow"/>
                <w:color w:val="0070C0"/>
                <w:sz w:val="20"/>
                <w:szCs w:val="20"/>
              </w:rPr>
              <w:t xml:space="preserve"> </w:t>
            </w:r>
            <w:r w:rsidRPr="00903F9D">
              <w:rPr>
                <w:rFonts w:ascii="Arial Narrow" w:hAnsi="Arial Narrow"/>
                <w:sz w:val="20"/>
                <w:szCs w:val="20"/>
              </w:rPr>
              <w:t>radiofrequency echographic multi spectrometry, involving the measurement of 2 or more sites at least 12 months after a significant change in therapy</w:t>
            </w:r>
          </w:p>
          <w:p w14:paraId="5A8594B6"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w:t>
            </w:r>
            <w:proofErr w:type="gramStart"/>
            <w:r w:rsidRPr="00903F9D">
              <w:rPr>
                <w:rFonts w:ascii="Arial Narrow" w:hAnsi="Arial Narrow"/>
                <w:sz w:val="20"/>
                <w:szCs w:val="20"/>
              </w:rPr>
              <w:t>including</w:t>
            </w:r>
            <w:proofErr w:type="gramEnd"/>
            <w:r w:rsidRPr="00903F9D">
              <w:rPr>
                <w:rFonts w:ascii="Arial Narrow" w:hAnsi="Arial Narrow"/>
                <w:sz w:val="20"/>
                <w:szCs w:val="20"/>
              </w:rPr>
              <w:t xml:space="preserve"> interpretation and reporting), for:</w:t>
            </w:r>
          </w:p>
          <w:p w14:paraId="51A6DEC9"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(a) established low bone mineral density; or</w:t>
            </w:r>
          </w:p>
          <w:p w14:paraId="4BF9DEC8" w14:textId="43667FFE" w:rsidR="00522553" w:rsidRPr="00903F9D" w:rsidRDefault="00522553" w:rsidP="00BB77A1">
            <w:pPr>
              <w:rPr>
                <w:rFonts w:ascii="Arial Narrow" w:hAnsi="Arial Narrow"/>
                <w:sz w:val="20"/>
                <w:szCs w:val="20"/>
              </w:rPr>
            </w:pPr>
            <w:r w:rsidRPr="00903F9D">
              <w:rPr>
                <w:rFonts w:ascii="Arial Narrow" w:hAnsi="Arial Narrow"/>
                <w:sz w:val="20"/>
                <w:szCs w:val="20"/>
              </w:rPr>
              <w:t xml:space="preserve">(b) confirming a presumptive diagnosis of low bone mineral density made on the basis of one or more fractures occurring after minimal </w:t>
            </w:r>
            <w:proofErr w:type="gramStart"/>
            <w:r w:rsidRPr="00903F9D">
              <w:rPr>
                <w:rFonts w:ascii="Arial Narrow" w:hAnsi="Arial Narrow"/>
                <w:sz w:val="20"/>
                <w:szCs w:val="20"/>
              </w:rPr>
              <w:t>trauma;</w:t>
            </w:r>
            <w:proofErr w:type="gramEnd"/>
          </w:p>
          <w:p w14:paraId="1711F042" w14:textId="4E491A86" w:rsidR="00522553" w:rsidRPr="00903F9D" w:rsidRDefault="00522553" w:rsidP="00BB77A1">
            <w:pPr>
              <w:rPr>
                <w:rFonts w:ascii="Arial Narrow" w:hAnsi="Arial Narrow"/>
                <w:sz w:val="20"/>
                <w:szCs w:val="20"/>
              </w:rPr>
            </w:pPr>
            <w:r w:rsidRPr="00903F9D">
              <w:rPr>
                <w:rFonts w:ascii="Arial Narrow" w:hAnsi="Arial Narrow"/>
                <w:sz w:val="20"/>
                <w:szCs w:val="20"/>
              </w:rPr>
              <w:t xml:space="preserve">other than a service associated with a service to which item </w:t>
            </w:r>
            <w:hyperlink r:id="rId34" w:history="1">
              <w:r w:rsidRPr="00903F9D">
                <w:rPr>
                  <w:rStyle w:val="Hyperlink"/>
                  <w:rFonts w:ascii="Arial Narrow" w:hAnsi="Arial Narrow"/>
                  <w:color w:val="auto"/>
                  <w:sz w:val="20"/>
                  <w:szCs w:val="20"/>
                </w:rPr>
                <w:t>12306</w:t>
              </w:r>
            </w:hyperlink>
            <w:r w:rsidRPr="00903F9D">
              <w:rPr>
                <w:rFonts w:ascii="Arial Narrow" w:hAnsi="Arial Narrow"/>
                <w:sz w:val="20"/>
                <w:szCs w:val="20"/>
              </w:rPr>
              <w:t xml:space="preserve">, </w:t>
            </w:r>
            <w:hyperlink r:id="rId35" w:history="1">
              <w:r w:rsidRPr="00903F9D">
                <w:rPr>
                  <w:rStyle w:val="Hyperlink"/>
                  <w:rFonts w:ascii="Arial Narrow" w:hAnsi="Arial Narrow"/>
                  <w:color w:val="auto"/>
                  <w:sz w:val="20"/>
                  <w:szCs w:val="20"/>
                </w:rPr>
                <w:t>12312</w:t>
              </w:r>
            </w:hyperlink>
            <w:r w:rsidRPr="00903F9D">
              <w:rPr>
                <w:rFonts w:ascii="Arial Narrow" w:hAnsi="Arial Narrow"/>
                <w:sz w:val="20"/>
                <w:szCs w:val="20"/>
              </w:rPr>
              <w:t>,</w:t>
            </w:r>
            <w:hyperlink r:id="rId36" w:history="1">
              <w:r w:rsidRPr="00903F9D">
                <w:rPr>
                  <w:rStyle w:val="Hyperlink"/>
                  <w:rFonts w:ascii="Arial Narrow" w:hAnsi="Arial Narrow"/>
                  <w:color w:val="auto"/>
                  <w:sz w:val="20"/>
                  <w:szCs w:val="20"/>
                </w:rPr>
                <w:t>12315</w:t>
              </w:r>
            </w:hyperlink>
            <w:r w:rsidRPr="00903F9D">
              <w:rPr>
                <w:rFonts w:ascii="Arial Narrow" w:hAnsi="Arial Narrow"/>
                <w:sz w:val="20"/>
                <w:szCs w:val="20"/>
              </w:rPr>
              <w:t xml:space="preserve">, </w:t>
            </w:r>
            <w:hyperlink r:id="rId37" w:history="1">
              <w:r w:rsidRPr="00903F9D">
                <w:rPr>
                  <w:rStyle w:val="Hyperlink"/>
                  <w:rFonts w:ascii="Arial Narrow" w:hAnsi="Arial Narrow"/>
                  <w:sz w:val="20"/>
                  <w:szCs w:val="20"/>
                </w:rPr>
                <w:t>12320</w:t>
              </w:r>
            </w:hyperlink>
            <w:r w:rsidRPr="00903F9D">
              <w:rPr>
                <w:rFonts w:ascii="Arial Narrow" w:hAnsi="Arial Narrow"/>
                <w:sz w:val="20"/>
                <w:szCs w:val="20"/>
              </w:rPr>
              <w:t xml:space="preserve">, </w:t>
            </w:r>
            <w:hyperlink r:id="rId38" w:history="1">
              <w:r w:rsidRPr="00903F9D">
                <w:rPr>
                  <w:rStyle w:val="Hyperlink"/>
                  <w:rFonts w:ascii="Arial Narrow" w:hAnsi="Arial Narrow"/>
                  <w:sz w:val="20"/>
                  <w:szCs w:val="20"/>
                </w:rPr>
                <w:t>12321</w:t>
              </w:r>
            </w:hyperlink>
            <w:r w:rsidRPr="00903F9D">
              <w:rPr>
                <w:rFonts w:ascii="Arial Narrow" w:hAnsi="Arial Narrow"/>
                <w:sz w:val="20"/>
                <w:szCs w:val="20"/>
              </w:rPr>
              <w:t xml:space="preserve">, </w:t>
            </w:r>
            <w:hyperlink r:id="rId39" w:history="1">
              <w:r w:rsidRPr="00903F9D">
                <w:rPr>
                  <w:rStyle w:val="Hyperlink"/>
                  <w:rFonts w:ascii="Arial Narrow" w:hAnsi="Arial Narrow"/>
                  <w:sz w:val="20"/>
                  <w:szCs w:val="20"/>
                </w:rPr>
                <w:t>12322</w:t>
              </w:r>
            </w:hyperlink>
            <w:r w:rsidRPr="00903F9D">
              <w:rPr>
                <w:rFonts w:ascii="Arial Narrow" w:hAnsi="Arial Narrow"/>
                <w:sz w:val="20"/>
                <w:szCs w:val="20"/>
              </w:rPr>
              <w:t xml:space="preserve">, </w:t>
            </w:r>
            <w:r w:rsidRPr="00903F9D">
              <w:rPr>
                <w:rFonts w:ascii="Arial Narrow" w:hAnsi="Arial Narrow"/>
                <w:color w:val="0070C0"/>
                <w:sz w:val="20"/>
                <w:szCs w:val="20"/>
              </w:rPr>
              <w:t>XXXXA, XXXXB or XXXXC</w:t>
            </w:r>
            <w:r w:rsidRPr="00903F9D">
              <w:rPr>
                <w:rFonts w:ascii="Arial Narrow" w:hAnsi="Arial Narrow"/>
                <w:sz w:val="20"/>
                <w:szCs w:val="20"/>
              </w:rPr>
              <w:t xml:space="preserve"> applies</w:t>
            </w:r>
          </w:p>
          <w:p w14:paraId="3C079084" w14:textId="658B6C0E" w:rsidR="00522553" w:rsidRPr="00903F9D" w:rsidRDefault="00522553" w:rsidP="00BB77A1">
            <w:pPr>
              <w:rPr>
                <w:rFonts w:ascii="Arial Narrow" w:hAnsi="Arial Narrow"/>
                <w:sz w:val="20"/>
                <w:szCs w:val="20"/>
              </w:rPr>
            </w:pPr>
            <w:r w:rsidRPr="00903F9D">
              <w:rPr>
                <w:rFonts w:ascii="Arial Narrow" w:hAnsi="Arial Narrow"/>
                <w:sz w:val="20"/>
                <w:szCs w:val="20"/>
              </w:rPr>
              <w:t xml:space="preserve">For any particular patient, once only in a </w:t>
            </w:r>
            <w:proofErr w:type="gramStart"/>
            <w:r w:rsidRPr="00903F9D">
              <w:rPr>
                <w:rFonts w:ascii="Arial Narrow" w:hAnsi="Arial Narrow"/>
                <w:sz w:val="20"/>
                <w:szCs w:val="20"/>
              </w:rPr>
              <w:t>12 month</w:t>
            </w:r>
            <w:proofErr w:type="gramEnd"/>
            <w:r w:rsidRPr="00903F9D">
              <w:rPr>
                <w:rFonts w:ascii="Arial Narrow" w:hAnsi="Arial Narrow"/>
                <w:sz w:val="20"/>
                <w:szCs w:val="20"/>
              </w:rPr>
              <w:t xml:space="preserve"> period</w:t>
            </w:r>
            <w:r w:rsidR="00C63253" w:rsidRPr="00903F9D">
              <w:rPr>
                <w:rFonts w:ascii="Arial Narrow" w:hAnsi="Arial Narrow"/>
                <w:strike/>
                <w:color w:val="0070C0"/>
                <w:sz w:val="20"/>
                <w:szCs w:val="20"/>
              </w:rPr>
              <w:t xml:space="preserve"> by</w:t>
            </w:r>
            <w:r w:rsidRPr="00903F9D">
              <w:rPr>
                <w:rFonts w:ascii="Arial Narrow" w:hAnsi="Arial Narrow"/>
                <w:sz w:val="20"/>
                <w:szCs w:val="20"/>
              </w:rPr>
              <w:t xml:space="preserve"> </w:t>
            </w:r>
            <w:r w:rsidRPr="00903F9D">
              <w:rPr>
                <w:rFonts w:ascii="Arial Narrow" w:hAnsi="Arial Narrow"/>
                <w:color w:val="0070C0"/>
                <w:sz w:val="20"/>
                <w:szCs w:val="20"/>
              </w:rPr>
              <w:t>using</w:t>
            </w:r>
            <w:r w:rsidRPr="00903F9D">
              <w:rPr>
                <w:rFonts w:ascii="Arial Narrow" w:hAnsi="Arial Narrow"/>
                <w:sz w:val="20"/>
                <w:szCs w:val="20"/>
              </w:rPr>
              <w:t xml:space="preserve"> either dual energy x-ray absorptiometry or radiofrequency echographic multi spectrometry</w:t>
            </w:r>
          </w:p>
          <w:p w14:paraId="093FDFD0" w14:textId="77777777" w:rsidR="00522553" w:rsidRPr="00903F9D" w:rsidRDefault="00522553" w:rsidP="00BB77A1">
            <w:pPr>
              <w:rPr>
                <w:rFonts w:ascii="Arial Narrow" w:hAnsi="Arial Narrow"/>
                <w:sz w:val="20"/>
                <w:szCs w:val="20"/>
              </w:rPr>
            </w:pPr>
            <w:r w:rsidRPr="00903F9D">
              <w:rPr>
                <w:rFonts w:ascii="Arial Narrow" w:hAnsi="Arial Narrow"/>
                <w:b/>
                <w:bCs/>
                <w:sz w:val="20"/>
                <w:szCs w:val="20"/>
                <w:shd w:val="clear" w:color="auto" w:fill="FBFBFB"/>
              </w:rPr>
              <w:t>Fee:</w:t>
            </w:r>
            <w:r w:rsidRPr="00903F9D">
              <w:rPr>
                <w:rFonts w:ascii="Arial Narrow" w:hAnsi="Arial Narrow"/>
                <w:sz w:val="20"/>
                <w:szCs w:val="20"/>
                <w:shd w:val="clear" w:color="auto" w:fill="FBFBFB"/>
              </w:rPr>
              <w:t> $106.55 </w:t>
            </w:r>
            <w:r w:rsidRPr="00903F9D">
              <w:rPr>
                <w:rFonts w:ascii="Arial Narrow" w:hAnsi="Arial Narrow"/>
                <w:b/>
                <w:bCs/>
                <w:sz w:val="20"/>
                <w:szCs w:val="20"/>
                <w:shd w:val="clear" w:color="auto" w:fill="FBFBFB"/>
              </w:rPr>
              <w:t>Benefit:</w:t>
            </w:r>
            <w:r w:rsidRPr="00903F9D">
              <w:rPr>
                <w:rFonts w:ascii="Arial Narrow" w:hAnsi="Arial Narrow"/>
                <w:sz w:val="20"/>
                <w:szCs w:val="20"/>
                <w:shd w:val="clear" w:color="auto" w:fill="FBFBFB"/>
              </w:rPr>
              <w:t> </w:t>
            </w:r>
            <w:r w:rsidRPr="00903F9D">
              <w:rPr>
                <w:rFonts w:ascii="Arial Narrow" w:hAnsi="Arial Narrow"/>
                <w:color w:val="0070C0"/>
                <w:sz w:val="20"/>
                <w:szCs w:val="20"/>
                <w:shd w:val="clear" w:color="auto" w:fill="FBFBFB"/>
              </w:rPr>
              <w:t>75% &amp; 85% to be applied</w:t>
            </w:r>
          </w:p>
        </w:tc>
      </w:tr>
      <w:tr w:rsidR="00522553" w:rsidRPr="00903F9D" w14:paraId="0C171C6C" w14:textId="77777777" w:rsidTr="00522553">
        <w:tc>
          <w:tcPr>
            <w:tcW w:w="9016" w:type="dxa"/>
          </w:tcPr>
          <w:p w14:paraId="30195BFA" w14:textId="30BD4C13" w:rsidR="00522553" w:rsidRPr="00903F9D" w:rsidRDefault="00522553" w:rsidP="00BB77A1">
            <w:pPr>
              <w:rPr>
                <w:rFonts w:ascii="Arial Narrow" w:hAnsi="Arial Narrow"/>
                <w:sz w:val="20"/>
                <w:szCs w:val="20"/>
              </w:rPr>
            </w:pPr>
            <w:r w:rsidRPr="00903F9D">
              <w:rPr>
                <w:rFonts w:ascii="Arial Narrow" w:hAnsi="Arial Narrow"/>
                <w:sz w:val="20"/>
                <w:szCs w:val="20"/>
              </w:rPr>
              <w:t xml:space="preserve">MBS </w:t>
            </w:r>
            <w:r w:rsidRPr="00903F9D">
              <w:rPr>
                <w:rFonts w:ascii="Arial Narrow" w:hAnsi="Arial Narrow"/>
                <w:color w:val="0070C0"/>
                <w:sz w:val="20"/>
                <w:szCs w:val="20"/>
              </w:rPr>
              <w:t xml:space="preserve">[Item Number XXXXF] </w:t>
            </w:r>
            <w:r w:rsidRPr="00903F9D">
              <w:rPr>
                <w:rFonts w:ascii="Arial Narrow" w:hAnsi="Arial Narrow"/>
                <w:color w:val="FF0000"/>
                <w:sz w:val="20"/>
                <w:szCs w:val="20"/>
              </w:rPr>
              <w:t>(analogous to DXA item 12322)</w:t>
            </w:r>
          </w:p>
          <w:p w14:paraId="57EA59BD" w14:textId="2B6229E8" w:rsidR="00522553" w:rsidRPr="00903F9D" w:rsidRDefault="00522553" w:rsidP="00BB77A1">
            <w:pPr>
              <w:rPr>
                <w:rFonts w:ascii="Arial Narrow" w:hAnsi="Arial Narrow"/>
                <w:sz w:val="20"/>
                <w:szCs w:val="20"/>
              </w:rPr>
            </w:pPr>
            <w:r w:rsidRPr="00903F9D">
              <w:rPr>
                <w:rFonts w:ascii="Arial Narrow" w:hAnsi="Arial Narrow"/>
                <w:sz w:val="20"/>
                <w:szCs w:val="20"/>
              </w:rPr>
              <w:t xml:space="preserve">Bone densitometry, using </w:t>
            </w:r>
            <w:r w:rsidR="003502B6" w:rsidRPr="00903F9D">
              <w:rPr>
                <w:rFonts w:ascii="Arial Narrow" w:hAnsi="Arial Narrow"/>
                <w:strike/>
                <w:color w:val="0070C0"/>
                <w:sz w:val="20"/>
                <w:szCs w:val="20"/>
              </w:rPr>
              <w:t>dual energy x-ray absorptiometry or</w:t>
            </w:r>
            <w:r w:rsidR="003502B6" w:rsidRPr="00903F9D">
              <w:rPr>
                <w:rFonts w:ascii="Arial Narrow" w:hAnsi="Arial Narrow"/>
                <w:color w:val="0070C0"/>
                <w:sz w:val="20"/>
                <w:szCs w:val="20"/>
              </w:rPr>
              <w:t xml:space="preserve"> </w:t>
            </w:r>
            <w:r w:rsidRPr="00903F9D">
              <w:rPr>
                <w:rFonts w:ascii="Arial Narrow" w:hAnsi="Arial Narrow"/>
                <w:sz w:val="20"/>
                <w:szCs w:val="20"/>
              </w:rPr>
              <w:t>radiofrequency echographic multi spectrometry</w:t>
            </w:r>
            <w:r w:rsidR="003502B6" w:rsidRPr="00903F9D">
              <w:rPr>
                <w:rFonts w:ascii="Arial Narrow" w:hAnsi="Arial Narrow"/>
                <w:strike/>
                <w:color w:val="0070C0"/>
                <w:sz w:val="20"/>
                <w:szCs w:val="20"/>
              </w:rPr>
              <w:t xml:space="preserve"> or quantitative computed tomography</w:t>
            </w:r>
            <w:r w:rsidRPr="00903F9D">
              <w:rPr>
                <w:rFonts w:ascii="Arial Narrow" w:hAnsi="Arial Narrow"/>
                <w:sz w:val="20"/>
                <w:szCs w:val="20"/>
              </w:rPr>
              <w:t>, involving the measurement of 2 or more sites (including interpretation and reporting) for measurement of bone mineral density, if:</w:t>
            </w:r>
          </w:p>
          <w:p w14:paraId="54819248" w14:textId="77777777" w:rsidR="00522553" w:rsidRPr="00903F9D" w:rsidRDefault="00522553" w:rsidP="00BB77A1">
            <w:pPr>
              <w:rPr>
                <w:rFonts w:ascii="Arial Narrow" w:hAnsi="Arial Narrow"/>
                <w:sz w:val="20"/>
                <w:szCs w:val="20"/>
              </w:rPr>
            </w:pPr>
            <w:r w:rsidRPr="00903F9D">
              <w:rPr>
                <w:rFonts w:ascii="Arial Narrow" w:hAnsi="Arial Narrow"/>
                <w:sz w:val="20"/>
                <w:szCs w:val="20"/>
              </w:rPr>
              <w:t>(a) the patient is 70 years of age or over; and</w:t>
            </w:r>
          </w:p>
          <w:p w14:paraId="683B61E1" w14:textId="691C3976" w:rsidR="00522553" w:rsidRPr="00903F9D" w:rsidRDefault="00522553" w:rsidP="00BB77A1">
            <w:pPr>
              <w:rPr>
                <w:rFonts w:ascii="Arial Narrow" w:hAnsi="Arial Narrow"/>
                <w:sz w:val="20"/>
                <w:szCs w:val="20"/>
              </w:rPr>
            </w:pPr>
            <w:r w:rsidRPr="00903F9D">
              <w:rPr>
                <w:rFonts w:ascii="Arial Narrow" w:hAnsi="Arial Narrow"/>
                <w:sz w:val="20"/>
                <w:szCs w:val="20"/>
              </w:rPr>
              <w:t xml:space="preserve">(b) the T-score for the patient's bone mineral density is less than -1.5 but more than </w:t>
            </w:r>
            <w:proofErr w:type="gramStart"/>
            <w:r w:rsidRPr="00903F9D">
              <w:rPr>
                <w:rFonts w:ascii="Arial Narrow" w:hAnsi="Arial Narrow"/>
                <w:sz w:val="20"/>
                <w:szCs w:val="20"/>
              </w:rPr>
              <w:t>-2.5;</w:t>
            </w:r>
            <w:proofErr w:type="gramEnd"/>
          </w:p>
          <w:p w14:paraId="75E5FADA" w14:textId="7AD5456C" w:rsidR="00522553" w:rsidRPr="00903F9D" w:rsidRDefault="00522553" w:rsidP="00BB77A1">
            <w:pPr>
              <w:rPr>
                <w:rFonts w:ascii="Arial Narrow" w:hAnsi="Arial Narrow"/>
                <w:sz w:val="20"/>
                <w:szCs w:val="20"/>
              </w:rPr>
            </w:pPr>
            <w:r w:rsidRPr="00903F9D">
              <w:rPr>
                <w:rFonts w:ascii="Arial Narrow" w:hAnsi="Arial Narrow"/>
                <w:sz w:val="20"/>
                <w:szCs w:val="20"/>
              </w:rPr>
              <w:t xml:space="preserve">other than a service associated with a service to which item </w:t>
            </w:r>
            <w:hyperlink r:id="rId40" w:history="1">
              <w:r w:rsidRPr="00903F9D">
                <w:rPr>
                  <w:rStyle w:val="Hyperlink"/>
                  <w:rFonts w:ascii="Arial Narrow" w:hAnsi="Arial Narrow"/>
                  <w:color w:val="auto"/>
                  <w:sz w:val="20"/>
                  <w:szCs w:val="20"/>
                </w:rPr>
                <w:t>12306</w:t>
              </w:r>
            </w:hyperlink>
            <w:r w:rsidRPr="00903F9D">
              <w:rPr>
                <w:rFonts w:ascii="Arial Narrow" w:hAnsi="Arial Narrow"/>
                <w:sz w:val="20"/>
                <w:szCs w:val="20"/>
              </w:rPr>
              <w:t xml:space="preserve">, </w:t>
            </w:r>
            <w:hyperlink r:id="rId41" w:history="1">
              <w:r w:rsidRPr="00903F9D">
                <w:rPr>
                  <w:rStyle w:val="Hyperlink"/>
                  <w:rFonts w:ascii="Arial Narrow" w:hAnsi="Arial Narrow"/>
                  <w:color w:val="auto"/>
                  <w:sz w:val="20"/>
                  <w:szCs w:val="20"/>
                </w:rPr>
                <w:t>12312</w:t>
              </w:r>
            </w:hyperlink>
            <w:r w:rsidRPr="00903F9D">
              <w:rPr>
                <w:rFonts w:ascii="Arial Narrow" w:hAnsi="Arial Narrow"/>
                <w:sz w:val="20"/>
                <w:szCs w:val="20"/>
              </w:rPr>
              <w:t xml:space="preserve">, </w:t>
            </w:r>
            <w:hyperlink r:id="rId42" w:history="1">
              <w:r w:rsidRPr="00903F9D">
                <w:rPr>
                  <w:rStyle w:val="Hyperlink"/>
                  <w:rFonts w:ascii="Arial Narrow" w:hAnsi="Arial Narrow"/>
                  <w:color w:val="auto"/>
                  <w:sz w:val="20"/>
                  <w:szCs w:val="20"/>
                </w:rPr>
                <w:t>12315</w:t>
              </w:r>
            </w:hyperlink>
            <w:r w:rsidRPr="00903F9D">
              <w:rPr>
                <w:rFonts w:ascii="Arial Narrow" w:hAnsi="Arial Narrow"/>
                <w:sz w:val="20"/>
                <w:szCs w:val="20"/>
              </w:rPr>
              <w:t xml:space="preserve">, </w:t>
            </w:r>
            <w:hyperlink r:id="rId43" w:history="1">
              <w:r w:rsidRPr="00903F9D">
                <w:rPr>
                  <w:rStyle w:val="Hyperlink"/>
                  <w:rFonts w:ascii="Arial Narrow" w:hAnsi="Arial Narrow"/>
                  <w:color w:val="auto"/>
                  <w:sz w:val="20"/>
                  <w:szCs w:val="20"/>
                </w:rPr>
                <w:t>12320</w:t>
              </w:r>
            </w:hyperlink>
            <w:r w:rsidRPr="00903F9D">
              <w:rPr>
                <w:rFonts w:ascii="Arial Narrow" w:hAnsi="Arial Narrow"/>
                <w:sz w:val="20"/>
                <w:szCs w:val="20"/>
              </w:rPr>
              <w:t xml:space="preserve">, </w:t>
            </w:r>
            <w:hyperlink r:id="rId44" w:history="1">
              <w:r w:rsidRPr="00903F9D">
                <w:rPr>
                  <w:rStyle w:val="Hyperlink"/>
                  <w:rFonts w:ascii="Arial Narrow" w:hAnsi="Arial Narrow"/>
                  <w:color w:val="auto"/>
                  <w:sz w:val="20"/>
                  <w:szCs w:val="20"/>
                </w:rPr>
                <w:t>12321</w:t>
              </w:r>
            </w:hyperlink>
            <w:r w:rsidRPr="00903F9D">
              <w:rPr>
                <w:rFonts w:ascii="Arial Narrow" w:hAnsi="Arial Narrow"/>
                <w:sz w:val="20"/>
                <w:szCs w:val="20"/>
              </w:rPr>
              <w:t xml:space="preserve">, </w:t>
            </w:r>
            <w:hyperlink r:id="rId45" w:history="1">
              <w:r w:rsidRPr="00903F9D">
                <w:rPr>
                  <w:rStyle w:val="Hyperlink"/>
                  <w:rFonts w:ascii="Arial Narrow" w:hAnsi="Arial Narrow"/>
                  <w:sz w:val="20"/>
                  <w:szCs w:val="20"/>
                </w:rPr>
                <w:t>12322</w:t>
              </w:r>
            </w:hyperlink>
            <w:r w:rsidRPr="00903F9D">
              <w:rPr>
                <w:rFonts w:ascii="Arial Narrow" w:hAnsi="Arial Narrow"/>
                <w:sz w:val="20"/>
                <w:szCs w:val="20"/>
              </w:rPr>
              <w:t xml:space="preserve">, </w:t>
            </w:r>
            <w:r w:rsidRPr="00903F9D">
              <w:rPr>
                <w:rFonts w:ascii="Arial Narrow" w:hAnsi="Arial Narrow"/>
                <w:color w:val="0070C0"/>
                <w:sz w:val="20"/>
                <w:szCs w:val="20"/>
              </w:rPr>
              <w:t>XXXXA, XXXXB, XXXXC, XXXXD or XXXXE</w:t>
            </w:r>
            <w:r w:rsidRPr="00903F9D">
              <w:rPr>
                <w:rFonts w:ascii="Arial Narrow" w:hAnsi="Arial Narrow"/>
                <w:sz w:val="20"/>
                <w:szCs w:val="20"/>
              </w:rPr>
              <w:t xml:space="preserve"> applies</w:t>
            </w:r>
          </w:p>
          <w:p w14:paraId="1F58D07F" w14:textId="62D52D1A" w:rsidR="00522553" w:rsidRPr="00903F9D" w:rsidRDefault="00522553" w:rsidP="00BB77A1">
            <w:pPr>
              <w:rPr>
                <w:rFonts w:ascii="Arial Narrow" w:hAnsi="Arial Narrow"/>
                <w:sz w:val="20"/>
                <w:szCs w:val="20"/>
              </w:rPr>
            </w:pPr>
            <w:r w:rsidRPr="00903F9D">
              <w:rPr>
                <w:rFonts w:ascii="Arial Narrow" w:hAnsi="Arial Narrow"/>
                <w:sz w:val="20"/>
                <w:szCs w:val="20"/>
              </w:rPr>
              <w:t xml:space="preserve">For any particular patient, once only in a </w:t>
            </w:r>
            <w:proofErr w:type="gramStart"/>
            <w:r w:rsidRPr="00903F9D">
              <w:rPr>
                <w:rFonts w:ascii="Arial Narrow" w:hAnsi="Arial Narrow"/>
                <w:sz w:val="20"/>
                <w:szCs w:val="20"/>
              </w:rPr>
              <w:t>2 year</w:t>
            </w:r>
            <w:proofErr w:type="gramEnd"/>
            <w:r w:rsidRPr="00903F9D">
              <w:rPr>
                <w:rFonts w:ascii="Arial Narrow" w:hAnsi="Arial Narrow"/>
                <w:sz w:val="20"/>
                <w:szCs w:val="20"/>
              </w:rPr>
              <w:t xml:space="preserve"> period</w:t>
            </w:r>
            <w:r w:rsidR="00C63253" w:rsidRPr="00903F9D">
              <w:rPr>
                <w:rFonts w:ascii="Arial Narrow" w:hAnsi="Arial Narrow"/>
                <w:strike/>
                <w:color w:val="0070C0"/>
                <w:sz w:val="20"/>
                <w:szCs w:val="20"/>
              </w:rPr>
              <w:t xml:space="preserve"> by</w:t>
            </w:r>
            <w:r w:rsidRPr="00903F9D">
              <w:rPr>
                <w:rFonts w:ascii="Arial Narrow" w:hAnsi="Arial Narrow"/>
                <w:sz w:val="20"/>
                <w:szCs w:val="20"/>
              </w:rPr>
              <w:t xml:space="preserve"> </w:t>
            </w:r>
            <w:r w:rsidRPr="00903F9D">
              <w:rPr>
                <w:rFonts w:ascii="Arial Narrow" w:hAnsi="Arial Narrow"/>
                <w:color w:val="0070C0"/>
                <w:sz w:val="20"/>
                <w:szCs w:val="20"/>
              </w:rPr>
              <w:t>using</w:t>
            </w:r>
            <w:r w:rsidRPr="00903F9D">
              <w:rPr>
                <w:rFonts w:ascii="Arial Narrow" w:hAnsi="Arial Narrow"/>
                <w:sz w:val="20"/>
                <w:szCs w:val="20"/>
              </w:rPr>
              <w:t xml:space="preserve"> either dual energy x-ray absorptiometry or radiofrequency echographic multi spectrometry or quantitative computed tomography</w:t>
            </w:r>
          </w:p>
          <w:p w14:paraId="2D435B6C" w14:textId="77777777" w:rsidR="00522553" w:rsidRPr="00903F9D" w:rsidRDefault="00522553" w:rsidP="00BB77A1">
            <w:pPr>
              <w:rPr>
                <w:rFonts w:ascii="Arial Narrow" w:hAnsi="Arial Narrow"/>
                <w:sz w:val="20"/>
                <w:szCs w:val="20"/>
              </w:rPr>
            </w:pPr>
            <w:r w:rsidRPr="00903F9D">
              <w:rPr>
                <w:rFonts w:ascii="Arial Narrow" w:hAnsi="Arial Narrow"/>
                <w:b/>
                <w:bCs/>
                <w:sz w:val="20"/>
                <w:szCs w:val="20"/>
                <w:shd w:val="clear" w:color="auto" w:fill="FBFBFB"/>
              </w:rPr>
              <w:t>Fee:</w:t>
            </w:r>
            <w:r w:rsidRPr="00903F9D">
              <w:rPr>
                <w:rFonts w:ascii="Arial Narrow" w:hAnsi="Arial Narrow"/>
                <w:sz w:val="20"/>
                <w:szCs w:val="20"/>
                <w:shd w:val="clear" w:color="auto" w:fill="FBFBFB"/>
              </w:rPr>
              <w:t> $106.55 </w:t>
            </w:r>
            <w:r w:rsidRPr="00903F9D">
              <w:rPr>
                <w:rFonts w:ascii="Arial Narrow" w:hAnsi="Arial Narrow"/>
                <w:b/>
                <w:bCs/>
                <w:sz w:val="20"/>
                <w:szCs w:val="20"/>
                <w:shd w:val="clear" w:color="auto" w:fill="FBFBFB"/>
              </w:rPr>
              <w:t>Benefit:</w:t>
            </w:r>
            <w:r w:rsidRPr="00903F9D">
              <w:rPr>
                <w:rFonts w:ascii="Arial Narrow" w:hAnsi="Arial Narrow"/>
                <w:sz w:val="20"/>
                <w:szCs w:val="20"/>
                <w:shd w:val="clear" w:color="auto" w:fill="FBFBFB"/>
              </w:rPr>
              <w:t> </w:t>
            </w:r>
            <w:r w:rsidRPr="00903F9D">
              <w:rPr>
                <w:rFonts w:ascii="Arial Narrow" w:hAnsi="Arial Narrow"/>
                <w:color w:val="0070C0"/>
                <w:sz w:val="20"/>
                <w:szCs w:val="20"/>
                <w:shd w:val="clear" w:color="auto" w:fill="FBFBFB"/>
              </w:rPr>
              <w:t>75% &amp; 85% to be applied</w:t>
            </w:r>
          </w:p>
        </w:tc>
      </w:tr>
    </w:tbl>
    <w:bookmarkEnd w:id="10"/>
    <w:bookmarkEnd w:id="11"/>
    <w:p w14:paraId="779FB63E" w14:textId="27C4E917" w:rsidR="00522553" w:rsidRPr="00903F9D" w:rsidRDefault="00522553" w:rsidP="00F96EFF">
      <w:pPr>
        <w:keepNext/>
        <w:spacing w:line="300" w:lineRule="atLeast"/>
        <w:rPr>
          <w:iCs/>
        </w:rPr>
      </w:pPr>
      <w:r w:rsidRPr="00903F9D">
        <w:rPr>
          <w:iCs/>
        </w:rPr>
        <w:t>Consistent with requirements included for the DXA items, the Department propose</w:t>
      </w:r>
      <w:r w:rsidR="0023671F" w:rsidRPr="00903F9D">
        <w:rPr>
          <w:iCs/>
        </w:rPr>
        <w:t>d</w:t>
      </w:r>
      <w:r w:rsidRPr="00903F9D">
        <w:rPr>
          <w:iCs/>
        </w:rPr>
        <w:t xml:space="preserve"> the following requirements to claim REMS MBS items XXXXA to XXXXF:</w:t>
      </w:r>
    </w:p>
    <w:p w14:paraId="451F52D8" w14:textId="77777777" w:rsidR="00522553" w:rsidRPr="00903F9D" w:rsidRDefault="00522553" w:rsidP="00522553">
      <w:pPr>
        <w:pStyle w:val="ListParagraph"/>
        <w:numPr>
          <w:ilvl w:val="0"/>
          <w:numId w:val="28"/>
        </w:numPr>
        <w:spacing w:before="0" w:after="0" w:line="300" w:lineRule="atLeast"/>
        <w:rPr>
          <w:sz w:val="20"/>
        </w:rPr>
      </w:pPr>
      <w:r w:rsidRPr="00903F9D">
        <w:t>It is intended that items XXXXA to XXXXF must be performed by a:</w:t>
      </w:r>
    </w:p>
    <w:p w14:paraId="5DB9F113" w14:textId="77777777" w:rsidR="00522553" w:rsidRPr="00903F9D" w:rsidRDefault="00522553" w:rsidP="00522553">
      <w:pPr>
        <w:pStyle w:val="ListParagraph"/>
        <w:numPr>
          <w:ilvl w:val="0"/>
          <w:numId w:val="29"/>
        </w:numPr>
        <w:spacing w:before="0" w:after="0" w:line="300" w:lineRule="atLeast"/>
        <w:rPr>
          <w:szCs w:val="24"/>
        </w:rPr>
      </w:pPr>
      <w:r w:rsidRPr="00903F9D">
        <w:t>specialist or consultant physician who is appropriately qualified to perform the service and to whom the patient has been referred by another medical practitioner; or</w:t>
      </w:r>
    </w:p>
    <w:p w14:paraId="4162401E" w14:textId="77777777" w:rsidR="00522553" w:rsidRPr="00903F9D" w:rsidRDefault="00522553" w:rsidP="00522553">
      <w:pPr>
        <w:pStyle w:val="ListParagraph"/>
        <w:numPr>
          <w:ilvl w:val="0"/>
          <w:numId w:val="29"/>
        </w:numPr>
        <w:spacing w:before="0" w:after="240" w:line="300" w:lineRule="atLeast"/>
      </w:pPr>
      <w:r w:rsidRPr="00903F9D">
        <w:lastRenderedPageBreak/>
        <w:t xml:space="preserve">another person: </w:t>
      </w:r>
    </w:p>
    <w:p w14:paraId="71428D0C" w14:textId="77777777" w:rsidR="00522553" w:rsidRPr="00903F9D" w:rsidRDefault="00522553" w:rsidP="00522553">
      <w:pPr>
        <w:pStyle w:val="ListParagraph"/>
        <w:numPr>
          <w:ilvl w:val="1"/>
          <w:numId w:val="29"/>
        </w:numPr>
        <w:spacing w:before="0" w:after="240" w:line="300" w:lineRule="atLeast"/>
      </w:pPr>
      <w:r w:rsidRPr="00903F9D">
        <w:t xml:space="preserve">who is not a medical practitioner, </w:t>
      </w:r>
      <w:proofErr w:type="gramStart"/>
      <w:r w:rsidRPr="00903F9D">
        <w:t>and</w:t>
      </w:r>
      <w:proofErr w:type="gramEnd"/>
      <w:r w:rsidRPr="00903F9D">
        <w:t xml:space="preserve"> </w:t>
      </w:r>
    </w:p>
    <w:p w14:paraId="2129F082" w14:textId="77777777" w:rsidR="00522553" w:rsidRPr="00903F9D" w:rsidRDefault="00522553" w:rsidP="00522553">
      <w:pPr>
        <w:pStyle w:val="ListParagraph"/>
        <w:numPr>
          <w:ilvl w:val="1"/>
          <w:numId w:val="29"/>
        </w:numPr>
        <w:spacing w:before="0" w:after="240" w:line="300" w:lineRule="atLeast"/>
      </w:pPr>
      <w:r w:rsidRPr="00903F9D">
        <w:t xml:space="preserve">who provides the service, in accordance with accepted medical practice, </w:t>
      </w:r>
      <w:proofErr w:type="gramStart"/>
      <w:r w:rsidRPr="00903F9D">
        <w:t>and</w:t>
      </w:r>
      <w:proofErr w:type="gramEnd"/>
    </w:p>
    <w:p w14:paraId="60FC7B79" w14:textId="77777777" w:rsidR="00522553" w:rsidRPr="00903F9D" w:rsidRDefault="00522553" w:rsidP="00522553">
      <w:pPr>
        <w:pStyle w:val="ListParagraph"/>
        <w:numPr>
          <w:ilvl w:val="1"/>
          <w:numId w:val="29"/>
        </w:numPr>
        <w:spacing w:before="0" w:after="240" w:line="300" w:lineRule="atLeast"/>
      </w:pPr>
      <w:r w:rsidRPr="00903F9D">
        <w:t xml:space="preserve">who is appropriately qualified to perform the service; </w:t>
      </w:r>
      <w:proofErr w:type="gramStart"/>
      <w:r w:rsidRPr="00903F9D">
        <w:t>and</w:t>
      </w:r>
      <w:proofErr w:type="gramEnd"/>
    </w:p>
    <w:p w14:paraId="5119BF67" w14:textId="77777777" w:rsidR="00522553" w:rsidRPr="00903F9D" w:rsidRDefault="00522553" w:rsidP="00522553">
      <w:pPr>
        <w:pStyle w:val="ListParagraph"/>
        <w:numPr>
          <w:ilvl w:val="1"/>
          <w:numId w:val="29"/>
        </w:numPr>
        <w:spacing w:before="0" w:after="240" w:line="300" w:lineRule="atLeast"/>
      </w:pPr>
      <w:r w:rsidRPr="00903F9D">
        <w:t xml:space="preserve">who is under the supervision of a specialist or consultant physician responsible for the </w:t>
      </w:r>
      <w:proofErr w:type="gramStart"/>
      <w:r w:rsidRPr="00903F9D">
        <w:t>service;</w:t>
      </w:r>
      <w:proofErr w:type="gramEnd"/>
    </w:p>
    <w:p w14:paraId="63D0A237" w14:textId="77777777" w:rsidR="00522553" w:rsidRPr="00903F9D" w:rsidRDefault="00522553" w:rsidP="00522553">
      <w:pPr>
        <w:pStyle w:val="ListParagraph"/>
        <w:numPr>
          <w:ilvl w:val="0"/>
          <w:numId w:val="29"/>
        </w:numPr>
        <w:spacing w:before="0" w:after="0" w:line="300" w:lineRule="atLeast"/>
      </w:pPr>
      <w:r w:rsidRPr="00903F9D">
        <w:t>the specialist or consultant physician who is responsible for the service is to perform the interpretation and reporting for the service; and</w:t>
      </w:r>
    </w:p>
    <w:p w14:paraId="644FF466" w14:textId="7C62734C" w:rsidR="00522553" w:rsidRPr="00903F9D" w:rsidRDefault="00522553" w:rsidP="002E0C0C">
      <w:pPr>
        <w:pStyle w:val="ListParagraph"/>
        <w:numPr>
          <w:ilvl w:val="0"/>
          <w:numId w:val="29"/>
        </w:numPr>
        <w:spacing w:before="0" w:after="0" w:line="300" w:lineRule="atLeast"/>
        <w:rPr>
          <w:iCs/>
        </w:rPr>
      </w:pPr>
      <w:r w:rsidRPr="00903F9D">
        <w:t>the specialist or consultant physician who is supervising the service is available to monitor and influence the conduct and diagnostic quality of the examination and, if necessary, to attend on the patient personally.</w:t>
      </w:r>
    </w:p>
    <w:p w14:paraId="3E8AC88D" w14:textId="655761CD" w:rsidR="00AD0E40" w:rsidRPr="00903F9D" w:rsidRDefault="007552CC" w:rsidP="005B73DA">
      <w:pPr>
        <w:pStyle w:val="Instructionaltext-afterfiguretable"/>
        <w:keepNext/>
        <w:rPr>
          <w:color w:val="auto"/>
        </w:rPr>
      </w:pPr>
      <w:r w:rsidRPr="00903F9D">
        <w:rPr>
          <w:iCs/>
          <w:color w:val="auto"/>
        </w:rPr>
        <w:t xml:space="preserve">The ADAR proposed the following amendments </w:t>
      </w:r>
      <w:r w:rsidR="00E05DF0" w:rsidRPr="00903F9D">
        <w:rPr>
          <w:iCs/>
          <w:color w:val="auto"/>
        </w:rPr>
        <w:t xml:space="preserve">to the </w:t>
      </w:r>
      <w:r w:rsidR="00D433AB" w:rsidRPr="00903F9D">
        <w:rPr>
          <w:iCs/>
          <w:color w:val="auto"/>
        </w:rPr>
        <w:t>MBS explanatory notes</w:t>
      </w:r>
      <w:r w:rsidR="00E05DF0" w:rsidRPr="00903F9D">
        <w:rPr>
          <w:iCs/>
          <w:color w:val="auto"/>
        </w:rPr>
        <w:t xml:space="preserve"> to account for specific REMS requirements</w:t>
      </w:r>
      <w:r w:rsidR="004F4972" w:rsidRPr="00903F9D">
        <w:rPr>
          <w:color w:val="auto"/>
        </w:rPr>
        <w:t>:</w:t>
      </w:r>
    </w:p>
    <w:p w14:paraId="6D3C920D" w14:textId="77777777" w:rsidR="00AD0E40" w:rsidRPr="00903F9D" w:rsidRDefault="00AD0E40" w:rsidP="00AD0E40">
      <w:pPr>
        <w:pStyle w:val="Instructionaltext-afterfiguretable"/>
        <w:numPr>
          <w:ilvl w:val="0"/>
          <w:numId w:val="10"/>
        </w:numPr>
        <w:spacing w:before="0" w:after="0" w:line="240" w:lineRule="auto"/>
        <w:ind w:left="714" w:hanging="357"/>
        <w:rPr>
          <w:color w:val="auto"/>
        </w:rPr>
      </w:pPr>
      <w:r w:rsidRPr="00903F9D">
        <w:rPr>
          <w:color w:val="auto"/>
        </w:rPr>
        <w:t>Operator training requirement modified.</w:t>
      </w:r>
    </w:p>
    <w:p w14:paraId="47BBEBD7" w14:textId="1962ACE2" w:rsidR="00AD0E40" w:rsidRPr="00903F9D" w:rsidRDefault="00AD0E40" w:rsidP="00AD0E40">
      <w:pPr>
        <w:pStyle w:val="Instructionaltext-afterfiguretable"/>
        <w:numPr>
          <w:ilvl w:val="0"/>
          <w:numId w:val="10"/>
        </w:numPr>
        <w:spacing w:before="0" w:after="0" w:line="240" w:lineRule="auto"/>
        <w:ind w:left="714" w:hanging="357"/>
        <w:rPr>
          <w:color w:val="auto"/>
        </w:rPr>
      </w:pPr>
      <w:r w:rsidRPr="00903F9D">
        <w:rPr>
          <w:color w:val="auto"/>
        </w:rPr>
        <w:t xml:space="preserve">Reference to Quantitative Computed </w:t>
      </w:r>
      <w:r w:rsidR="004F4972" w:rsidRPr="00903F9D">
        <w:rPr>
          <w:color w:val="auto"/>
        </w:rPr>
        <w:t>T</w:t>
      </w:r>
      <w:r w:rsidRPr="00903F9D">
        <w:rPr>
          <w:color w:val="auto"/>
        </w:rPr>
        <w:t>omography</w:t>
      </w:r>
      <w:r w:rsidR="004F4972" w:rsidRPr="00903F9D">
        <w:rPr>
          <w:color w:val="auto"/>
        </w:rPr>
        <w:t xml:space="preserve"> (</w:t>
      </w:r>
      <w:proofErr w:type="spellStart"/>
      <w:r w:rsidR="004F4972" w:rsidRPr="00903F9D">
        <w:rPr>
          <w:color w:val="auto"/>
        </w:rPr>
        <w:t>qCT</w:t>
      </w:r>
      <w:proofErr w:type="spellEnd"/>
      <w:r w:rsidR="004F4972" w:rsidRPr="00903F9D">
        <w:rPr>
          <w:color w:val="auto"/>
        </w:rPr>
        <w:t>)</w:t>
      </w:r>
      <w:r w:rsidRPr="00903F9D">
        <w:rPr>
          <w:color w:val="auto"/>
        </w:rPr>
        <w:t xml:space="preserve"> removed, as this is not referred to in analogous REMS items.</w:t>
      </w:r>
    </w:p>
    <w:p w14:paraId="0F537F56" w14:textId="77777777" w:rsidR="00AD0E40" w:rsidRPr="00903F9D" w:rsidRDefault="00AD0E40" w:rsidP="00AD0E40">
      <w:pPr>
        <w:pStyle w:val="Instructionaltext-afterfiguretable"/>
        <w:numPr>
          <w:ilvl w:val="0"/>
          <w:numId w:val="10"/>
        </w:numPr>
        <w:spacing w:before="0" w:after="0" w:line="240" w:lineRule="auto"/>
        <w:ind w:left="714" w:hanging="357"/>
        <w:rPr>
          <w:color w:val="auto"/>
        </w:rPr>
      </w:pPr>
      <w:r w:rsidRPr="00903F9D">
        <w:rPr>
          <w:color w:val="auto"/>
        </w:rPr>
        <w:t>Reference to REMS use at sites other than lumbar spine or proximal femur removed.</w:t>
      </w:r>
    </w:p>
    <w:p w14:paraId="1148ACC2" w14:textId="798F0E66" w:rsidR="006C041E" w:rsidRPr="00903F9D" w:rsidRDefault="006C041E" w:rsidP="006C041E">
      <w:pPr>
        <w:pStyle w:val="Instructionaltext-afterfiguretable"/>
        <w:rPr>
          <w:color w:val="auto"/>
        </w:rPr>
      </w:pPr>
      <w:r w:rsidRPr="00903F9D">
        <w:rPr>
          <w:iCs/>
          <w:color w:val="auto"/>
        </w:rPr>
        <w:t xml:space="preserve">The </w:t>
      </w:r>
      <w:r w:rsidR="00AD0E40" w:rsidRPr="00903F9D">
        <w:rPr>
          <w:color w:val="auto"/>
        </w:rPr>
        <w:t xml:space="preserve">proposed explanatory </w:t>
      </w:r>
      <w:r w:rsidRPr="00903F9D">
        <w:rPr>
          <w:color w:val="auto"/>
        </w:rPr>
        <w:t xml:space="preserve">notes </w:t>
      </w:r>
      <w:r w:rsidR="00AD0E40" w:rsidRPr="00903F9D">
        <w:rPr>
          <w:color w:val="auto"/>
        </w:rPr>
        <w:t>(</w:t>
      </w:r>
      <w:r w:rsidR="004947E7" w:rsidRPr="00903F9D">
        <w:rPr>
          <w:color w:val="auto"/>
        </w:rPr>
        <w:t>Table 3)</w:t>
      </w:r>
      <w:r w:rsidR="00AD0E40" w:rsidRPr="00903F9D">
        <w:rPr>
          <w:color w:val="auto"/>
        </w:rPr>
        <w:t xml:space="preserve"> </w:t>
      </w:r>
      <w:r w:rsidRPr="00903F9D">
        <w:rPr>
          <w:color w:val="auto"/>
        </w:rPr>
        <w:t>are analogous to those for DXA</w:t>
      </w:r>
      <w:r w:rsidRPr="00903F9D">
        <w:rPr>
          <w:color w:val="auto"/>
          <w:vertAlign w:val="superscript"/>
        </w:rPr>
        <w:footnoteReference w:id="10"/>
      </w:r>
      <w:r w:rsidRPr="00903F9D">
        <w:rPr>
          <w:color w:val="auto"/>
        </w:rPr>
        <w:t>, modified for REMS.</w:t>
      </w:r>
    </w:p>
    <w:p w14:paraId="702BEB85" w14:textId="0FB97962" w:rsidR="00994FD0" w:rsidRPr="00903F9D" w:rsidRDefault="00C82A4E" w:rsidP="00B833CE">
      <w:pPr>
        <w:pStyle w:val="Caption"/>
      </w:pPr>
      <w:r w:rsidRPr="00903F9D">
        <w:t xml:space="preserve">Table </w:t>
      </w:r>
      <w:r w:rsidR="008D0E73">
        <w:fldChar w:fldCharType="begin"/>
      </w:r>
      <w:r w:rsidR="008D0E73">
        <w:instrText xml:space="preserve"> SEQ Table \* ARABIC </w:instrText>
      </w:r>
      <w:r w:rsidR="008D0E73">
        <w:fldChar w:fldCharType="separate"/>
      </w:r>
      <w:r w:rsidR="00DF3307" w:rsidRPr="00903F9D">
        <w:rPr>
          <w:noProof/>
        </w:rPr>
        <w:t>3</w:t>
      </w:r>
      <w:r w:rsidR="008D0E73">
        <w:rPr>
          <w:noProof/>
        </w:rPr>
        <w:fldChar w:fldCharType="end"/>
      </w:r>
      <w:r w:rsidR="00E66281">
        <w:rPr>
          <w:noProof/>
        </w:rPr>
        <w:tab/>
      </w:r>
      <w:r w:rsidRPr="00903F9D">
        <w:t xml:space="preserve"> The</w:t>
      </w:r>
      <w:r w:rsidR="005A658C" w:rsidRPr="00903F9D">
        <w:t xml:space="preserve"> applicant</w:t>
      </w:r>
      <w:r w:rsidRPr="00903F9D">
        <w:t xml:space="preserve"> proposed explanatory notes for REMS MBS items</w:t>
      </w:r>
    </w:p>
    <w:tbl>
      <w:tblPr>
        <w:tblStyle w:val="TableGrid"/>
        <w:tblW w:w="5240" w:type="pct"/>
        <w:tblLayout w:type="fixed"/>
        <w:tblCellMar>
          <w:left w:w="0" w:type="dxa"/>
          <w:right w:w="0" w:type="dxa"/>
        </w:tblCellMar>
        <w:tblLook w:val="04A0" w:firstRow="1" w:lastRow="0" w:firstColumn="1" w:lastColumn="0" w:noHBand="0" w:noVBand="1"/>
      </w:tblPr>
      <w:tblGrid>
        <w:gridCol w:w="590"/>
        <w:gridCol w:w="2997"/>
        <w:gridCol w:w="2504"/>
        <w:gridCol w:w="3358"/>
      </w:tblGrid>
      <w:tr w:rsidR="00C82A4E" w:rsidRPr="00903F9D" w14:paraId="310D82ED" w14:textId="77777777" w:rsidTr="00E66281">
        <w:trPr>
          <w:trHeight w:val="113"/>
          <w:tblHeader/>
        </w:trPr>
        <w:tc>
          <w:tcPr>
            <w:tcW w:w="312" w:type="pct"/>
            <w:noWrap/>
            <w:vAlign w:val="center"/>
            <w:hideMark/>
          </w:tcPr>
          <w:p w14:paraId="5FF73B89" w14:textId="77777777" w:rsidR="00C82A4E" w:rsidRPr="00903F9D" w:rsidRDefault="00A9175D" w:rsidP="0092090E">
            <w:pPr>
              <w:pStyle w:val="Instructionaltext"/>
              <w:spacing w:before="0"/>
              <w:rPr>
                <w:rFonts w:ascii="Arial Narrow" w:hAnsi="Arial Narrow"/>
                <w:b/>
                <w:color w:val="auto"/>
                <w:sz w:val="20"/>
              </w:rPr>
            </w:pPr>
            <w:r w:rsidRPr="00903F9D">
              <w:rPr>
                <w:rFonts w:ascii="Arial Narrow" w:hAnsi="Arial Narrow"/>
                <w:b/>
                <w:color w:val="auto"/>
                <w:sz w:val="20"/>
              </w:rPr>
              <w:t>MBS code</w:t>
            </w:r>
            <w:r w:rsidR="00C82A4E" w:rsidRPr="00903F9D">
              <w:rPr>
                <w:rFonts w:ascii="Arial Narrow" w:hAnsi="Arial Narrow"/>
                <w:b/>
                <w:color w:val="auto"/>
                <w:sz w:val="20"/>
              </w:rPr>
              <w:t> </w:t>
            </w:r>
          </w:p>
        </w:tc>
        <w:tc>
          <w:tcPr>
            <w:tcW w:w="1586" w:type="pct"/>
            <w:noWrap/>
            <w:vAlign w:val="center"/>
            <w:hideMark/>
          </w:tcPr>
          <w:p w14:paraId="2AB3D81A" w14:textId="77777777" w:rsidR="00C82A4E" w:rsidRPr="00903F9D" w:rsidRDefault="00C82A4E" w:rsidP="0092090E">
            <w:pPr>
              <w:pStyle w:val="Instructionaltext"/>
              <w:spacing w:before="0"/>
              <w:rPr>
                <w:rFonts w:ascii="Arial Narrow" w:hAnsi="Arial Narrow"/>
                <w:b/>
                <w:color w:val="auto"/>
                <w:sz w:val="20"/>
              </w:rPr>
            </w:pPr>
            <w:r w:rsidRPr="00903F9D">
              <w:rPr>
                <w:rFonts w:ascii="Arial Narrow" w:hAnsi="Arial Narrow"/>
                <w:b/>
                <w:color w:val="auto"/>
                <w:sz w:val="20"/>
              </w:rPr>
              <w:t>Definitions</w:t>
            </w:r>
          </w:p>
        </w:tc>
        <w:tc>
          <w:tcPr>
            <w:tcW w:w="1325" w:type="pct"/>
            <w:noWrap/>
            <w:vAlign w:val="center"/>
            <w:hideMark/>
          </w:tcPr>
          <w:p w14:paraId="50763569" w14:textId="01665E13" w:rsidR="00C82A4E" w:rsidRPr="00903F9D" w:rsidRDefault="00C82A4E" w:rsidP="0092090E">
            <w:pPr>
              <w:pStyle w:val="Instructionaltext"/>
              <w:spacing w:before="0"/>
              <w:rPr>
                <w:rFonts w:ascii="Arial Narrow" w:hAnsi="Arial Narrow"/>
                <w:b/>
                <w:color w:val="auto"/>
                <w:sz w:val="20"/>
              </w:rPr>
            </w:pPr>
            <w:r w:rsidRPr="00903F9D">
              <w:rPr>
                <w:rFonts w:ascii="Arial Narrow" w:hAnsi="Arial Narrow"/>
                <w:b/>
                <w:color w:val="auto"/>
                <w:sz w:val="20"/>
              </w:rPr>
              <w:t xml:space="preserve">Professional </w:t>
            </w:r>
            <w:r w:rsidR="00316C71" w:rsidRPr="00903F9D">
              <w:rPr>
                <w:rFonts w:ascii="Arial Narrow" w:hAnsi="Arial Narrow"/>
                <w:b/>
                <w:color w:val="auto"/>
                <w:sz w:val="20"/>
              </w:rPr>
              <w:t>supervision and interpretation and r</w:t>
            </w:r>
            <w:r w:rsidRPr="00903F9D">
              <w:rPr>
                <w:rFonts w:ascii="Arial Narrow" w:hAnsi="Arial Narrow"/>
                <w:b/>
                <w:color w:val="auto"/>
                <w:sz w:val="20"/>
              </w:rPr>
              <w:t>eporting</w:t>
            </w:r>
          </w:p>
        </w:tc>
        <w:tc>
          <w:tcPr>
            <w:tcW w:w="1777" w:type="pct"/>
            <w:noWrap/>
            <w:vAlign w:val="center"/>
            <w:hideMark/>
          </w:tcPr>
          <w:p w14:paraId="61EBE06C" w14:textId="77777777" w:rsidR="00C82A4E" w:rsidRPr="00903F9D" w:rsidRDefault="00C82A4E" w:rsidP="0092090E">
            <w:pPr>
              <w:pStyle w:val="Instructionaltext"/>
              <w:spacing w:before="0"/>
              <w:rPr>
                <w:rFonts w:ascii="Arial Narrow" w:hAnsi="Arial Narrow"/>
                <w:b/>
                <w:color w:val="auto"/>
                <w:sz w:val="20"/>
              </w:rPr>
            </w:pPr>
            <w:r w:rsidRPr="00903F9D">
              <w:rPr>
                <w:rFonts w:ascii="Arial Narrow" w:hAnsi="Arial Narrow"/>
                <w:b/>
                <w:color w:val="auto"/>
                <w:sz w:val="20"/>
              </w:rPr>
              <w:t>Referrals</w:t>
            </w:r>
          </w:p>
        </w:tc>
      </w:tr>
      <w:tr w:rsidR="00C82A4E" w:rsidRPr="00903F9D" w14:paraId="4C372E19" w14:textId="77777777" w:rsidTr="0092090E">
        <w:trPr>
          <w:trHeight w:val="113"/>
        </w:trPr>
        <w:tc>
          <w:tcPr>
            <w:tcW w:w="312" w:type="pct"/>
            <w:noWrap/>
            <w:vAlign w:val="center"/>
            <w:hideMark/>
          </w:tcPr>
          <w:p w14:paraId="6E6482F4"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12306 to 12322</w:t>
            </w:r>
          </w:p>
        </w:tc>
        <w:tc>
          <w:tcPr>
            <w:tcW w:w="1586" w:type="pct"/>
            <w:noWrap/>
            <w:vAlign w:val="center"/>
            <w:hideMark/>
          </w:tcPr>
          <w:p w14:paraId="2100C813" w14:textId="529CA4F5"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 xml:space="preserve">An examination under any of these items covers the measurement of 2 or more sites, </w:t>
            </w:r>
            <w:proofErr w:type="gramStart"/>
            <w:r w:rsidRPr="00903F9D">
              <w:rPr>
                <w:rFonts w:ascii="Arial Narrow" w:hAnsi="Arial Narrow"/>
                <w:color w:val="auto"/>
                <w:sz w:val="20"/>
              </w:rPr>
              <w:t>interpretation</w:t>
            </w:r>
            <w:proofErr w:type="gramEnd"/>
            <w:r w:rsidRPr="00903F9D">
              <w:rPr>
                <w:rFonts w:ascii="Arial Narrow" w:hAnsi="Arial Narrow"/>
                <w:color w:val="auto"/>
                <w:sz w:val="20"/>
              </w:rPr>
              <w:t xml:space="preserve"> and provision of a report; all performed by a specialist or consultant physician in the practice of his or her specialty. Two or more sites must include the measurement of bone density of the lumbar spine and proximal femur.</w:t>
            </w:r>
          </w:p>
        </w:tc>
        <w:tc>
          <w:tcPr>
            <w:tcW w:w="1325" w:type="pct"/>
            <w:noWrap/>
            <w:vAlign w:val="center"/>
            <w:hideMark/>
          </w:tcPr>
          <w:p w14:paraId="36083714" w14:textId="2084C05B"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The interpretation and report for all bone densitometry services must be provided by a specialist or consultant physician.</w:t>
            </w:r>
            <w:r w:rsidR="009D439D" w:rsidRPr="00903F9D">
              <w:rPr>
                <w:rFonts w:ascii="Arial Narrow" w:hAnsi="Arial Narrow"/>
                <w:color w:val="auto"/>
                <w:sz w:val="20"/>
              </w:rPr>
              <w:t xml:space="preserve"> </w:t>
            </w:r>
            <w:r w:rsidRPr="00903F9D">
              <w:rPr>
                <w:rFonts w:ascii="Arial Narrow" w:hAnsi="Arial Narrow"/>
                <w:color w:val="auto"/>
                <w:sz w:val="20"/>
              </w:rPr>
              <w:t xml:space="preserve">Items 12306, 12312, 12315, 12321 and Items 12320 and 12322 (when performed using </w:t>
            </w:r>
            <w:r w:rsidR="00316C71" w:rsidRPr="00903F9D">
              <w:rPr>
                <w:rFonts w:ascii="Arial Narrow" w:hAnsi="Arial Narrow"/>
                <w:color w:val="auto"/>
                <w:sz w:val="20"/>
              </w:rPr>
              <w:t>dual energy x-ray a</w:t>
            </w:r>
            <w:r w:rsidRPr="00903F9D">
              <w:rPr>
                <w:rFonts w:ascii="Arial Narrow" w:hAnsi="Arial Narrow"/>
                <w:color w:val="auto"/>
                <w:sz w:val="20"/>
              </w:rPr>
              <w:t>bsorptiometry) must be performed by a:</w:t>
            </w:r>
            <w:r w:rsidRPr="00903F9D">
              <w:rPr>
                <w:rFonts w:ascii="Arial Narrow" w:hAnsi="Arial Narrow"/>
                <w:color w:val="auto"/>
                <w:sz w:val="20"/>
              </w:rPr>
              <w:br/>
              <w:t>(a) specialist or consultant physician; or</w:t>
            </w:r>
            <w:r w:rsidRPr="00903F9D">
              <w:rPr>
                <w:rFonts w:ascii="Arial Narrow" w:hAnsi="Arial Narrow"/>
                <w:color w:val="auto"/>
                <w:sz w:val="20"/>
              </w:rPr>
              <w:br/>
              <w:t>(b) person who has completed an accredited REMS training course, and who is under the supervision of a specialist or consultant physician.</w:t>
            </w:r>
          </w:p>
        </w:tc>
        <w:tc>
          <w:tcPr>
            <w:tcW w:w="1777" w:type="pct"/>
            <w:noWrap/>
            <w:vAlign w:val="center"/>
            <w:hideMark/>
          </w:tcPr>
          <w:p w14:paraId="7435BA40" w14:textId="6197EA43"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 xml:space="preserve">Bone densitometry services are available </w:t>
            </w:r>
            <w:proofErr w:type="gramStart"/>
            <w:r w:rsidRPr="00903F9D">
              <w:rPr>
                <w:rFonts w:ascii="Arial Narrow" w:hAnsi="Arial Narrow"/>
                <w:color w:val="auto"/>
                <w:sz w:val="20"/>
              </w:rPr>
              <w:t>on the basis of</w:t>
            </w:r>
            <w:proofErr w:type="gramEnd"/>
            <w:r w:rsidRPr="00903F9D">
              <w:rPr>
                <w:rFonts w:ascii="Arial Narrow" w:hAnsi="Arial Narrow"/>
                <w:color w:val="auto"/>
                <w:sz w:val="20"/>
              </w:rPr>
              <w:t xml:space="preserve"> referral by a medical practitioner to a specialist or consultant physician. However, providers of bone densitometry to whom a patient is referred for management may determine that a bone densitometry service is required in line with the provisions of Items 12306, 12312, 12315, 12320, 12321 and 12322.</w:t>
            </w:r>
          </w:p>
        </w:tc>
      </w:tr>
      <w:tr w:rsidR="00C82A4E" w:rsidRPr="00903F9D" w14:paraId="1F1B90F7" w14:textId="77777777" w:rsidTr="0092090E">
        <w:trPr>
          <w:trHeight w:val="113"/>
        </w:trPr>
        <w:tc>
          <w:tcPr>
            <w:tcW w:w="312" w:type="pct"/>
            <w:noWrap/>
            <w:vAlign w:val="center"/>
            <w:hideMark/>
          </w:tcPr>
          <w:p w14:paraId="7BF050DE"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12306</w:t>
            </w:r>
          </w:p>
        </w:tc>
        <w:tc>
          <w:tcPr>
            <w:tcW w:w="1586" w:type="pct"/>
            <w:noWrap/>
            <w:vAlign w:val="center"/>
            <w:hideMark/>
          </w:tcPr>
          <w:p w14:paraId="4D5B420B"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 </w:t>
            </w:r>
          </w:p>
        </w:tc>
        <w:tc>
          <w:tcPr>
            <w:tcW w:w="1325" w:type="pct"/>
            <w:noWrap/>
            <w:vAlign w:val="center"/>
            <w:hideMark/>
          </w:tcPr>
          <w:p w14:paraId="41018154"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 </w:t>
            </w:r>
          </w:p>
        </w:tc>
        <w:tc>
          <w:tcPr>
            <w:tcW w:w="1777" w:type="pct"/>
            <w:noWrap/>
            <w:vAlign w:val="center"/>
            <w:hideMark/>
          </w:tcPr>
          <w:p w14:paraId="2D3F9F26" w14:textId="77777777" w:rsidR="00C82A4E"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For Item 12306 the referral should specify the indication for the test, namely:</w:t>
            </w:r>
            <w:r w:rsidRPr="00903F9D">
              <w:rPr>
                <w:rFonts w:ascii="Arial Narrow" w:hAnsi="Arial Narrow"/>
                <w:color w:val="auto"/>
                <w:sz w:val="20"/>
              </w:rPr>
              <w:br/>
              <w:t>(a) 1 or more fractures occurring after minimal trauma; or</w:t>
            </w:r>
            <w:r w:rsidRPr="00903F9D">
              <w:rPr>
                <w:rFonts w:ascii="Arial Narrow" w:hAnsi="Arial Narrow"/>
                <w:color w:val="auto"/>
                <w:sz w:val="20"/>
              </w:rPr>
              <w:br/>
              <w:t xml:space="preserve">(b) monitoring of low bone mineral density proven by previous bone densitometry. </w:t>
            </w:r>
          </w:p>
          <w:p w14:paraId="71CB4B7B" w14:textId="79117197" w:rsidR="00E66281" w:rsidRPr="00903F9D" w:rsidRDefault="00E66281" w:rsidP="0092090E">
            <w:pPr>
              <w:pStyle w:val="Instructionaltext"/>
              <w:spacing w:before="0"/>
              <w:rPr>
                <w:rFonts w:ascii="Arial Narrow" w:hAnsi="Arial Narrow"/>
                <w:color w:val="auto"/>
                <w:sz w:val="20"/>
              </w:rPr>
            </w:pPr>
          </w:p>
        </w:tc>
      </w:tr>
      <w:tr w:rsidR="00C82A4E" w:rsidRPr="00903F9D" w14:paraId="20E0BA71" w14:textId="77777777" w:rsidTr="0092090E">
        <w:trPr>
          <w:trHeight w:val="113"/>
        </w:trPr>
        <w:tc>
          <w:tcPr>
            <w:tcW w:w="312" w:type="pct"/>
            <w:noWrap/>
            <w:vAlign w:val="center"/>
            <w:hideMark/>
          </w:tcPr>
          <w:p w14:paraId="7F952121"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lastRenderedPageBreak/>
              <w:t>12312</w:t>
            </w:r>
          </w:p>
        </w:tc>
        <w:tc>
          <w:tcPr>
            <w:tcW w:w="1586" w:type="pct"/>
            <w:noWrap/>
            <w:vAlign w:val="center"/>
            <w:hideMark/>
          </w:tcPr>
          <w:p w14:paraId="1724E12F"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 </w:t>
            </w:r>
          </w:p>
        </w:tc>
        <w:tc>
          <w:tcPr>
            <w:tcW w:w="1325" w:type="pct"/>
            <w:noWrap/>
            <w:vAlign w:val="center"/>
            <w:hideMark/>
          </w:tcPr>
          <w:p w14:paraId="7CDF74A7"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 </w:t>
            </w:r>
          </w:p>
        </w:tc>
        <w:tc>
          <w:tcPr>
            <w:tcW w:w="1777" w:type="pct"/>
            <w:noWrap/>
            <w:vAlign w:val="center"/>
            <w:hideMark/>
          </w:tcPr>
          <w:p w14:paraId="238B2DCB" w14:textId="77777777" w:rsidR="004947E7" w:rsidRPr="00903F9D" w:rsidRDefault="00C82A4E" w:rsidP="00A9175D">
            <w:pPr>
              <w:pStyle w:val="Instructionaltext"/>
              <w:spacing w:before="0"/>
              <w:rPr>
                <w:rFonts w:ascii="Arial Narrow" w:hAnsi="Arial Narrow"/>
                <w:color w:val="auto"/>
                <w:sz w:val="20"/>
              </w:rPr>
            </w:pPr>
            <w:r w:rsidRPr="00903F9D">
              <w:rPr>
                <w:rFonts w:ascii="Arial Narrow" w:hAnsi="Arial Narrow"/>
                <w:color w:val="auto"/>
                <w:sz w:val="20"/>
              </w:rPr>
              <w:t>(a)   'Prolonged glucocorticoid therapy' is defined as the commencement of a dosage of inhaled glucocorticoid equivalent to or greater than 800 micrograms beclomethasone dipropionate or budesonide per day; or</w:t>
            </w:r>
            <w:r w:rsidRPr="00903F9D">
              <w:rPr>
                <w:rFonts w:ascii="Arial Narrow" w:hAnsi="Arial Narrow"/>
                <w:color w:val="auto"/>
                <w:sz w:val="20"/>
              </w:rPr>
              <w:br/>
              <w:t>(</w:t>
            </w:r>
            <w:proofErr w:type="gramStart"/>
            <w:r w:rsidRPr="00903F9D">
              <w:rPr>
                <w:rFonts w:ascii="Arial Narrow" w:hAnsi="Arial Narrow"/>
                <w:color w:val="auto"/>
                <w:sz w:val="20"/>
              </w:rPr>
              <w:t xml:space="preserve">b)   </w:t>
            </w:r>
            <w:proofErr w:type="gramEnd"/>
            <w:r w:rsidRPr="00903F9D">
              <w:rPr>
                <w:rFonts w:ascii="Arial Narrow" w:hAnsi="Arial Narrow"/>
                <w:color w:val="auto"/>
                <w:sz w:val="20"/>
              </w:rPr>
              <w:t>a supraphysiological glucocorticoid dosage equivalent to or greater than 7.5 mg prednisolone in an adult taken orally per day; for a period anticipated to last for at least 4 months.</w:t>
            </w:r>
            <w:r w:rsidRPr="00903F9D">
              <w:rPr>
                <w:rFonts w:ascii="Arial Narrow" w:hAnsi="Arial Narrow"/>
                <w:color w:val="auto"/>
                <w:sz w:val="20"/>
              </w:rPr>
              <w:br/>
              <w:t>Glucocorticoid therapy must be contemporaneous with the current scan. Patients no longer on steroids would not qualify for benefits. A malabsorptive disorder is defined as one or more of the following:</w:t>
            </w:r>
          </w:p>
          <w:p w14:paraId="2D6899CB" w14:textId="112601B9" w:rsidR="00C82A4E" w:rsidRPr="00903F9D" w:rsidRDefault="00C82A4E" w:rsidP="009D439D">
            <w:pPr>
              <w:pStyle w:val="Instructionaltext"/>
              <w:spacing w:before="0"/>
              <w:ind w:left="289"/>
              <w:rPr>
                <w:rFonts w:ascii="Arial Narrow" w:hAnsi="Arial Narrow"/>
                <w:color w:val="auto"/>
                <w:sz w:val="20"/>
              </w:rPr>
            </w:pPr>
            <w:r w:rsidRPr="00903F9D">
              <w:rPr>
                <w:rFonts w:ascii="Arial Narrow" w:hAnsi="Arial Narrow"/>
                <w:color w:val="auto"/>
                <w:sz w:val="20"/>
              </w:rPr>
              <w:t>(a) Male hypogonadism is defined as serum testosterone levels below the age matched normal range.</w:t>
            </w:r>
            <w:r w:rsidRPr="00903F9D">
              <w:rPr>
                <w:rFonts w:ascii="Arial Narrow" w:hAnsi="Arial Narrow"/>
                <w:color w:val="auto"/>
                <w:sz w:val="20"/>
              </w:rPr>
              <w:br/>
              <w:t xml:space="preserve">(b) Female hypogonadism is defined as serum oestrogen levels below the age matched normal range. </w:t>
            </w:r>
          </w:p>
        </w:tc>
      </w:tr>
      <w:tr w:rsidR="00C82A4E" w:rsidRPr="00903F9D" w14:paraId="698A3EA2" w14:textId="77777777" w:rsidTr="0092090E">
        <w:trPr>
          <w:trHeight w:val="113"/>
        </w:trPr>
        <w:tc>
          <w:tcPr>
            <w:tcW w:w="312" w:type="pct"/>
            <w:noWrap/>
            <w:vAlign w:val="center"/>
            <w:hideMark/>
          </w:tcPr>
          <w:p w14:paraId="685D55A5"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12315</w:t>
            </w:r>
          </w:p>
        </w:tc>
        <w:tc>
          <w:tcPr>
            <w:tcW w:w="1586" w:type="pct"/>
            <w:noWrap/>
            <w:vAlign w:val="center"/>
            <w:hideMark/>
          </w:tcPr>
          <w:p w14:paraId="5FAB778D"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 </w:t>
            </w:r>
          </w:p>
        </w:tc>
        <w:tc>
          <w:tcPr>
            <w:tcW w:w="1325" w:type="pct"/>
            <w:noWrap/>
            <w:vAlign w:val="center"/>
            <w:hideMark/>
          </w:tcPr>
          <w:p w14:paraId="5016498B"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 </w:t>
            </w:r>
          </w:p>
        </w:tc>
        <w:tc>
          <w:tcPr>
            <w:tcW w:w="1777" w:type="pct"/>
            <w:noWrap/>
            <w:vAlign w:val="center"/>
            <w:hideMark/>
          </w:tcPr>
          <w:p w14:paraId="021033DD" w14:textId="210C4504" w:rsidR="00A9175D" w:rsidRPr="00903F9D" w:rsidRDefault="00C82A4E" w:rsidP="00A9175D">
            <w:pPr>
              <w:pStyle w:val="Instructionaltext"/>
              <w:spacing w:before="0"/>
              <w:rPr>
                <w:rFonts w:ascii="Arial Narrow" w:hAnsi="Arial Narrow"/>
                <w:color w:val="auto"/>
                <w:sz w:val="20"/>
              </w:rPr>
            </w:pPr>
            <w:r w:rsidRPr="00903F9D">
              <w:rPr>
                <w:rFonts w:ascii="Arial Narrow" w:hAnsi="Arial Narrow"/>
                <w:color w:val="auto"/>
                <w:sz w:val="20"/>
              </w:rPr>
              <w:t>For Item 12315 the referral should specify the indication for the test, namely:</w:t>
            </w:r>
            <w:r w:rsidRPr="00903F9D">
              <w:rPr>
                <w:rFonts w:ascii="Arial Narrow" w:hAnsi="Arial Narrow"/>
                <w:color w:val="auto"/>
                <w:sz w:val="20"/>
              </w:rPr>
              <w:br/>
              <w:t>(</w:t>
            </w:r>
            <w:proofErr w:type="gramStart"/>
            <w:r w:rsidRPr="00903F9D">
              <w:rPr>
                <w:rFonts w:ascii="Arial Narrow" w:hAnsi="Arial Narrow"/>
                <w:color w:val="auto"/>
                <w:sz w:val="20"/>
              </w:rPr>
              <w:t xml:space="preserve">a)   </w:t>
            </w:r>
            <w:proofErr w:type="gramEnd"/>
            <w:r w:rsidRPr="00903F9D">
              <w:rPr>
                <w:rFonts w:ascii="Arial Narrow" w:hAnsi="Arial Narrow"/>
                <w:color w:val="auto"/>
                <w:sz w:val="20"/>
              </w:rPr>
              <w:t>primary hyperparathyroidism;</w:t>
            </w:r>
            <w:r w:rsidRPr="00903F9D">
              <w:rPr>
                <w:rFonts w:ascii="Arial Narrow" w:hAnsi="Arial Narrow"/>
                <w:color w:val="auto"/>
                <w:sz w:val="20"/>
              </w:rPr>
              <w:br/>
              <w:t>(b)   chronic liver disease;</w:t>
            </w:r>
            <w:r w:rsidRPr="00903F9D">
              <w:rPr>
                <w:rFonts w:ascii="Arial Narrow" w:hAnsi="Arial Narrow"/>
                <w:color w:val="auto"/>
                <w:sz w:val="20"/>
              </w:rPr>
              <w:br/>
              <w:t>(c)   chronic renal disease;</w:t>
            </w:r>
            <w:r w:rsidRPr="00903F9D">
              <w:rPr>
                <w:rFonts w:ascii="Arial Narrow" w:hAnsi="Arial Narrow"/>
                <w:color w:val="auto"/>
                <w:sz w:val="20"/>
              </w:rPr>
              <w:br/>
              <w:t>(d)   proven malabsorptive disorders;</w:t>
            </w:r>
            <w:r w:rsidRPr="00903F9D">
              <w:rPr>
                <w:rFonts w:ascii="Arial Narrow" w:hAnsi="Arial Narrow"/>
                <w:color w:val="auto"/>
                <w:sz w:val="20"/>
              </w:rPr>
              <w:br/>
              <w:t>(e)   rheumatoid arthritis; or</w:t>
            </w:r>
            <w:r w:rsidRPr="00903F9D">
              <w:rPr>
                <w:rFonts w:ascii="Arial Narrow" w:hAnsi="Arial Narrow"/>
                <w:color w:val="auto"/>
                <w:sz w:val="20"/>
              </w:rPr>
              <w:br/>
              <w:t>(f)   conditions associated with thyroxine excess</w:t>
            </w:r>
            <w:r w:rsidR="00037D55" w:rsidRPr="00903F9D">
              <w:rPr>
                <w:rFonts w:ascii="Arial Narrow" w:hAnsi="Arial Narrow"/>
                <w:color w:val="auto"/>
                <w:sz w:val="20"/>
              </w:rPr>
              <w:t>:</w:t>
            </w:r>
          </w:p>
          <w:p w14:paraId="42A25B02" w14:textId="431E5B4A" w:rsidR="00C82A4E" w:rsidRPr="00903F9D" w:rsidRDefault="00C82A4E" w:rsidP="0092090E">
            <w:pPr>
              <w:pStyle w:val="Instructionaltext"/>
              <w:spacing w:before="0"/>
              <w:ind w:left="279"/>
              <w:rPr>
                <w:rFonts w:ascii="Arial Narrow" w:hAnsi="Arial Narrow"/>
                <w:color w:val="auto"/>
                <w:sz w:val="20"/>
              </w:rPr>
            </w:pPr>
            <w:r w:rsidRPr="00903F9D">
              <w:rPr>
                <w:rFonts w:ascii="Arial Narrow" w:hAnsi="Arial Narrow"/>
                <w:color w:val="auto"/>
                <w:sz w:val="20"/>
              </w:rPr>
              <w:t>(a) malabsorption of fat, defined as faecal fat estimated at greater than 18 gm per 72 hours on a normal fat diet; or</w:t>
            </w:r>
            <w:r w:rsidRPr="00903F9D">
              <w:rPr>
                <w:rFonts w:ascii="Arial Narrow" w:hAnsi="Arial Narrow"/>
                <w:color w:val="auto"/>
                <w:sz w:val="20"/>
              </w:rPr>
              <w:br/>
              <w:t>(b) bowel disease with presumptive vitamin D malabsorption as indicated by a sub-normal circulating 25-hydroxyvitamin D level; or</w:t>
            </w:r>
            <w:r w:rsidRPr="00903F9D">
              <w:rPr>
                <w:rFonts w:ascii="Arial Narrow" w:hAnsi="Arial Narrow"/>
                <w:color w:val="auto"/>
                <w:sz w:val="20"/>
              </w:rPr>
              <w:br/>
              <w:t>(c) histologically proven Coeliac disease.</w:t>
            </w:r>
          </w:p>
        </w:tc>
      </w:tr>
      <w:tr w:rsidR="00C82A4E" w:rsidRPr="00903F9D" w14:paraId="64B25818" w14:textId="77777777" w:rsidTr="0092090E">
        <w:trPr>
          <w:trHeight w:val="113"/>
        </w:trPr>
        <w:tc>
          <w:tcPr>
            <w:tcW w:w="312" w:type="pct"/>
            <w:noWrap/>
            <w:vAlign w:val="center"/>
            <w:hideMark/>
          </w:tcPr>
          <w:p w14:paraId="7791B4B3"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12320</w:t>
            </w:r>
          </w:p>
        </w:tc>
        <w:tc>
          <w:tcPr>
            <w:tcW w:w="1586" w:type="pct"/>
            <w:noWrap/>
            <w:vAlign w:val="center"/>
            <w:hideMark/>
          </w:tcPr>
          <w:p w14:paraId="2BCE2DCA" w14:textId="08C1F9D4"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Patients assessed as having a normal study or mild osteopenia as measured by a t-score down to -1.5 are eligible for one scan every 5 years (item 12320).</w:t>
            </w:r>
            <w:r w:rsidR="004947E7" w:rsidRPr="00903F9D">
              <w:rPr>
                <w:rFonts w:ascii="Arial Narrow" w:hAnsi="Arial Narrow"/>
                <w:color w:val="auto"/>
                <w:sz w:val="20"/>
              </w:rPr>
              <w:t xml:space="preserve"> </w:t>
            </w:r>
            <w:r w:rsidRPr="00903F9D">
              <w:rPr>
                <w:rFonts w:ascii="Arial Narrow" w:hAnsi="Arial Narrow"/>
                <w:color w:val="auto"/>
                <w:sz w:val="20"/>
              </w:rPr>
              <w:t>Items 12320 and 12322 enable the payment of a Medicare benefit for a bone densitometry service performed on a patient aged 70 years or over. Patients 70 years and over are eligible for an initial screening study.</w:t>
            </w:r>
          </w:p>
        </w:tc>
        <w:tc>
          <w:tcPr>
            <w:tcW w:w="1325" w:type="pct"/>
            <w:noWrap/>
            <w:vAlign w:val="center"/>
            <w:hideMark/>
          </w:tcPr>
          <w:p w14:paraId="1FBF747A"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 </w:t>
            </w:r>
          </w:p>
        </w:tc>
        <w:tc>
          <w:tcPr>
            <w:tcW w:w="1777" w:type="pct"/>
            <w:noWrap/>
            <w:vAlign w:val="center"/>
            <w:hideMark/>
          </w:tcPr>
          <w:p w14:paraId="0EE43AD9"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 </w:t>
            </w:r>
          </w:p>
        </w:tc>
      </w:tr>
      <w:tr w:rsidR="00C82A4E" w:rsidRPr="00903F9D" w14:paraId="1F2EDAEE" w14:textId="77777777" w:rsidTr="0092090E">
        <w:trPr>
          <w:trHeight w:val="113"/>
        </w:trPr>
        <w:tc>
          <w:tcPr>
            <w:tcW w:w="312" w:type="pct"/>
            <w:noWrap/>
            <w:vAlign w:val="center"/>
            <w:hideMark/>
          </w:tcPr>
          <w:p w14:paraId="28EA7294"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12321</w:t>
            </w:r>
          </w:p>
        </w:tc>
        <w:tc>
          <w:tcPr>
            <w:tcW w:w="1586" w:type="pct"/>
            <w:noWrap/>
            <w:vAlign w:val="center"/>
            <w:hideMark/>
          </w:tcPr>
          <w:p w14:paraId="453A53C8"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 xml:space="preserve">Item 12321 is intended to allow for bone mineral density measurement following a significant change in therapy - </w:t>
            </w:r>
            <w:proofErr w:type="gramStart"/>
            <w:r w:rsidRPr="00903F9D">
              <w:rPr>
                <w:rFonts w:ascii="Arial Narrow" w:hAnsi="Arial Narrow"/>
                <w:color w:val="auto"/>
                <w:sz w:val="20"/>
              </w:rPr>
              <w:t>e.g.</w:t>
            </w:r>
            <w:proofErr w:type="gramEnd"/>
            <w:r w:rsidRPr="00903F9D">
              <w:rPr>
                <w:rFonts w:ascii="Arial Narrow" w:hAnsi="Arial Narrow"/>
                <w:color w:val="auto"/>
                <w:sz w:val="20"/>
              </w:rPr>
              <w:t xml:space="preserve"> a change in the class of drugs - rather than for a change in the dosage regimen.</w:t>
            </w:r>
          </w:p>
        </w:tc>
        <w:tc>
          <w:tcPr>
            <w:tcW w:w="1325" w:type="pct"/>
            <w:noWrap/>
            <w:vAlign w:val="center"/>
            <w:hideMark/>
          </w:tcPr>
          <w:p w14:paraId="69AD0C73"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 </w:t>
            </w:r>
          </w:p>
        </w:tc>
        <w:tc>
          <w:tcPr>
            <w:tcW w:w="1777" w:type="pct"/>
            <w:noWrap/>
            <w:vAlign w:val="center"/>
            <w:hideMark/>
          </w:tcPr>
          <w:p w14:paraId="2EC38E17"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 </w:t>
            </w:r>
          </w:p>
        </w:tc>
      </w:tr>
      <w:tr w:rsidR="00C82A4E" w:rsidRPr="00903F9D" w14:paraId="2B1CBB5F" w14:textId="77777777" w:rsidTr="0092090E">
        <w:trPr>
          <w:trHeight w:val="113"/>
        </w:trPr>
        <w:tc>
          <w:tcPr>
            <w:tcW w:w="312" w:type="pct"/>
            <w:noWrap/>
            <w:vAlign w:val="center"/>
            <w:hideMark/>
          </w:tcPr>
          <w:p w14:paraId="63919661"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12322</w:t>
            </w:r>
          </w:p>
        </w:tc>
        <w:tc>
          <w:tcPr>
            <w:tcW w:w="1586" w:type="pct"/>
            <w:noWrap/>
            <w:vAlign w:val="center"/>
            <w:hideMark/>
          </w:tcPr>
          <w:p w14:paraId="6342F0BC"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Patients with moderate to marked osteopenia as measured by a T-score of -1.5 to -2.5 are eligible for one scan every two years (item 12322).</w:t>
            </w:r>
            <w:r w:rsidR="004947E7" w:rsidRPr="00903F9D">
              <w:rPr>
                <w:rFonts w:ascii="Arial Narrow" w:hAnsi="Arial Narrow"/>
                <w:color w:val="auto"/>
                <w:sz w:val="20"/>
              </w:rPr>
              <w:t xml:space="preserve"> </w:t>
            </w:r>
            <w:r w:rsidRPr="00903F9D">
              <w:rPr>
                <w:rFonts w:ascii="Arial Narrow" w:hAnsi="Arial Narrow"/>
                <w:color w:val="auto"/>
                <w:sz w:val="20"/>
              </w:rPr>
              <w:t xml:space="preserve">Items 12320 and 12322 enable the payment of </w:t>
            </w:r>
            <w:r w:rsidRPr="00903F9D">
              <w:rPr>
                <w:rFonts w:ascii="Arial Narrow" w:hAnsi="Arial Narrow"/>
                <w:color w:val="auto"/>
                <w:sz w:val="20"/>
              </w:rPr>
              <w:lastRenderedPageBreak/>
              <w:t xml:space="preserve">a Medicare benefit for a bone densitometry service performed on a patient aged 70 years or over. Patients 70 years and over are eligible for an initial screening study. </w:t>
            </w:r>
          </w:p>
        </w:tc>
        <w:tc>
          <w:tcPr>
            <w:tcW w:w="1325" w:type="pct"/>
            <w:noWrap/>
            <w:vAlign w:val="center"/>
            <w:hideMark/>
          </w:tcPr>
          <w:p w14:paraId="1A1A52E9"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lastRenderedPageBreak/>
              <w:t> </w:t>
            </w:r>
          </w:p>
        </w:tc>
        <w:tc>
          <w:tcPr>
            <w:tcW w:w="1777" w:type="pct"/>
            <w:noWrap/>
            <w:vAlign w:val="center"/>
            <w:hideMark/>
          </w:tcPr>
          <w:p w14:paraId="7EEB7CB9" w14:textId="77777777" w:rsidR="00C82A4E" w:rsidRPr="00903F9D" w:rsidRDefault="00C82A4E" w:rsidP="0092090E">
            <w:pPr>
              <w:pStyle w:val="Instructionaltext"/>
              <w:spacing w:before="0"/>
              <w:rPr>
                <w:rFonts w:ascii="Arial Narrow" w:hAnsi="Arial Narrow"/>
                <w:color w:val="auto"/>
                <w:sz w:val="20"/>
              </w:rPr>
            </w:pPr>
            <w:r w:rsidRPr="00903F9D">
              <w:rPr>
                <w:rFonts w:ascii="Arial Narrow" w:hAnsi="Arial Narrow"/>
                <w:color w:val="auto"/>
                <w:sz w:val="20"/>
              </w:rPr>
              <w:t> </w:t>
            </w:r>
          </w:p>
        </w:tc>
      </w:tr>
    </w:tbl>
    <w:p w14:paraId="0AA883D7" w14:textId="24D260A5" w:rsidR="00BC238B" w:rsidRPr="00903F9D" w:rsidRDefault="00BC238B" w:rsidP="0092090E">
      <w:pPr>
        <w:pStyle w:val="TableFigureFooter"/>
      </w:pPr>
      <w:r w:rsidRPr="00903F9D">
        <w:t xml:space="preserve">Source: </w:t>
      </w:r>
      <w:r w:rsidR="00D6713E" w:rsidRPr="00903F9D">
        <w:t xml:space="preserve">p.26-38 in the </w:t>
      </w:r>
      <w:r w:rsidR="004247E4" w:rsidRPr="00903F9D">
        <w:t xml:space="preserve">MSAC 1665 </w:t>
      </w:r>
      <w:r w:rsidR="00D6713E" w:rsidRPr="00903F9D">
        <w:t xml:space="preserve">ADAR </w:t>
      </w:r>
    </w:p>
    <w:p w14:paraId="2CE6EA60" w14:textId="370C1B17" w:rsidR="00BC238B" w:rsidRPr="00903F9D" w:rsidRDefault="00BC238B" w:rsidP="00316C71">
      <w:pPr>
        <w:pStyle w:val="TableFigureFooter"/>
        <w:keepNext w:val="0"/>
      </w:pPr>
      <w:r w:rsidRPr="00903F9D">
        <w:t>MBS= Medicare Benefit Schedule</w:t>
      </w:r>
      <w:r w:rsidR="00C27730" w:rsidRPr="00903F9D">
        <w:t>; REMS= radiofrequency echographic multi spectrometry.</w:t>
      </w:r>
    </w:p>
    <w:p w14:paraId="59240D73" w14:textId="3E4B63C7" w:rsidR="00994FD0" w:rsidRPr="00903F9D" w:rsidRDefault="00223E21" w:rsidP="00C412B1">
      <w:pPr>
        <w:pStyle w:val="Instructionaltext"/>
        <w:rPr>
          <w:color w:val="auto"/>
        </w:rPr>
      </w:pPr>
      <w:r w:rsidRPr="00903F9D">
        <w:rPr>
          <w:color w:val="auto"/>
        </w:rPr>
        <w:t xml:space="preserve">The </w:t>
      </w:r>
      <w:r w:rsidR="00AD0E40" w:rsidRPr="00903F9D">
        <w:rPr>
          <w:color w:val="auto"/>
        </w:rPr>
        <w:t xml:space="preserve">ADAR </w:t>
      </w:r>
      <w:r w:rsidRPr="00903F9D">
        <w:rPr>
          <w:color w:val="auto"/>
        </w:rPr>
        <w:t xml:space="preserve">proposed </w:t>
      </w:r>
      <w:r w:rsidR="00AD0E40" w:rsidRPr="00903F9D">
        <w:rPr>
          <w:color w:val="auto"/>
        </w:rPr>
        <w:t xml:space="preserve">an MBS </w:t>
      </w:r>
      <w:r w:rsidRPr="00903F9D">
        <w:rPr>
          <w:color w:val="auto"/>
        </w:rPr>
        <w:t>fee</w:t>
      </w:r>
      <w:r w:rsidR="00CD5A04" w:rsidRPr="00903F9D">
        <w:rPr>
          <w:color w:val="auto"/>
        </w:rPr>
        <w:t xml:space="preserve"> </w:t>
      </w:r>
      <w:r w:rsidR="00AD0E40" w:rsidRPr="00903F9D">
        <w:rPr>
          <w:color w:val="auto"/>
        </w:rPr>
        <w:t>of</w:t>
      </w:r>
      <w:r w:rsidR="00346220" w:rsidRPr="00903F9D">
        <w:rPr>
          <w:color w:val="auto"/>
        </w:rPr>
        <w:t xml:space="preserve"> </w:t>
      </w:r>
      <w:r w:rsidRPr="00903F9D">
        <w:rPr>
          <w:color w:val="auto"/>
        </w:rPr>
        <w:t>$106.55</w:t>
      </w:r>
      <w:r w:rsidR="00AD0E40" w:rsidRPr="00903F9D">
        <w:rPr>
          <w:color w:val="auto"/>
        </w:rPr>
        <w:t xml:space="preserve"> for REMS</w:t>
      </w:r>
      <w:r w:rsidR="00E6769E" w:rsidRPr="00903F9D">
        <w:rPr>
          <w:color w:val="auto"/>
        </w:rPr>
        <w:t xml:space="preserve">, equivalent to </w:t>
      </w:r>
      <w:r w:rsidR="00346220" w:rsidRPr="00903F9D">
        <w:rPr>
          <w:color w:val="auto"/>
        </w:rPr>
        <w:t xml:space="preserve">the </w:t>
      </w:r>
      <w:r w:rsidR="00AD0E40" w:rsidRPr="00903F9D">
        <w:rPr>
          <w:color w:val="auto"/>
        </w:rPr>
        <w:t>M</w:t>
      </w:r>
      <w:r w:rsidR="00EC10CD" w:rsidRPr="00903F9D">
        <w:rPr>
          <w:color w:val="auto"/>
        </w:rPr>
        <w:t>B</w:t>
      </w:r>
      <w:r w:rsidR="00AD0E40" w:rsidRPr="00903F9D">
        <w:rPr>
          <w:color w:val="auto"/>
        </w:rPr>
        <w:t>S fee</w:t>
      </w:r>
      <w:r w:rsidR="00C010CB" w:rsidRPr="00903F9D">
        <w:rPr>
          <w:color w:val="auto"/>
        </w:rPr>
        <w:t xml:space="preserve"> for</w:t>
      </w:r>
      <w:r w:rsidR="00E6769E" w:rsidRPr="00903F9D">
        <w:rPr>
          <w:color w:val="auto"/>
        </w:rPr>
        <w:t xml:space="preserve"> DXA</w:t>
      </w:r>
      <w:r w:rsidRPr="00903F9D">
        <w:rPr>
          <w:color w:val="auto"/>
        </w:rPr>
        <w:t>. The number of service</w:t>
      </w:r>
      <w:r w:rsidR="00E6769E" w:rsidRPr="00903F9D">
        <w:rPr>
          <w:color w:val="auto"/>
        </w:rPr>
        <w:t>s</w:t>
      </w:r>
      <w:r w:rsidRPr="00903F9D">
        <w:rPr>
          <w:color w:val="auto"/>
        </w:rPr>
        <w:t xml:space="preserve"> allowed per patient per year</w:t>
      </w:r>
      <w:r w:rsidR="00E6769E" w:rsidRPr="00903F9D">
        <w:rPr>
          <w:color w:val="auto"/>
        </w:rPr>
        <w:t xml:space="preserve"> </w:t>
      </w:r>
      <w:r w:rsidR="00346220" w:rsidRPr="00903F9D">
        <w:rPr>
          <w:color w:val="auto"/>
        </w:rPr>
        <w:t xml:space="preserve">was </w:t>
      </w:r>
      <w:r w:rsidR="00E6769E" w:rsidRPr="00903F9D">
        <w:rPr>
          <w:color w:val="auto"/>
        </w:rPr>
        <w:t xml:space="preserve">dependent on the population being studied and </w:t>
      </w:r>
      <w:r w:rsidR="00EC10CD" w:rsidRPr="00903F9D">
        <w:rPr>
          <w:color w:val="auto"/>
        </w:rPr>
        <w:t>was</w:t>
      </w:r>
      <w:r w:rsidR="00064326" w:rsidRPr="00903F9D">
        <w:rPr>
          <w:color w:val="auto"/>
        </w:rPr>
        <w:t xml:space="preserve"> </w:t>
      </w:r>
      <w:r w:rsidR="00E6769E" w:rsidRPr="00903F9D">
        <w:rPr>
          <w:color w:val="auto"/>
        </w:rPr>
        <w:t xml:space="preserve">consistent with the current </w:t>
      </w:r>
      <w:r w:rsidR="000547EC" w:rsidRPr="00903F9D">
        <w:rPr>
          <w:color w:val="auto"/>
        </w:rPr>
        <w:t>listing for DXA. The number of services allowed for each DXA MBS item</w:t>
      </w:r>
      <w:r w:rsidR="00E6769E" w:rsidRPr="00903F9D">
        <w:rPr>
          <w:color w:val="auto"/>
        </w:rPr>
        <w:t xml:space="preserve"> </w:t>
      </w:r>
      <w:r w:rsidRPr="00903F9D">
        <w:rPr>
          <w:color w:val="auto"/>
        </w:rPr>
        <w:t xml:space="preserve">is presented in </w:t>
      </w:r>
      <w:r w:rsidRPr="00903F9D">
        <w:fldChar w:fldCharType="begin"/>
      </w:r>
      <w:r w:rsidRPr="00903F9D">
        <w:rPr>
          <w:color w:val="auto"/>
        </w:rPr>
        <w:instrText xml:space="preserve"> REF _Ref61355363 \h  \* MERGEFORMAT </w:instrText>
      </w:r>
      <w:r w:rsidRPr="00903F9D">
        <w:fldChar w:fldCharType="separate"/>
      </w:r>
      <w:r w:rsidR="00DF3307" w:rsidRPr="00903F9D">
        <w:rPr>
          <w:color w:val="auto"/>
        </w:rPr>
        <w:t>Table 4</w:t>
      </w:r>
      <w:r w:rsidRPr="00903F9D">
        <w:fldChar w:fldCharType="end"/>
      </w:r>
      <w:r w:rsidRPr="00903F9D">
        <w:rPr>
          <w:color w:val="auto"/>
        </w:rPr>
        <w:t>.</w:t>
      </w:r>
    </w:p>
    <w:p w14:paraId="5724D642" w14:textId="5AA42046" w:rsidR="00462C25" w:rsidRPr="00903F9D" w:rsidRDefault="003643B1" w:rsidP="00316C71">
      <w:pPr>
        <w:pStyle w:val="Instructionaltext"/>
        <w:rPr>
          <w:color w:val="auto"/>
        </w:rPr>
      </w:pPr>
      <w:r w:rsidRPr="00903F9D">
        <w:rPr>
          <w:color w:val="auto"/>
        </w:rPr>
        <w:t>N</w:t>
      </w:r>
      <w:r w:rsidR="007741E6" w:rsidRPr="00903F9D">
        <w:rPr>
          <w:color w:val="auto"/>
        </w:rPr>
        <w:t xml:space="preserve">o robust evidence </w:t>
      </w:r>
      <w:r w:rsidRPr="00903F9D">
        <w:rPr>
          <w:color w:val="auto"/>
        </w:rPr>
        <w:t xml:space="preserve">was provided to </w:t>
      </w:r>
      <w:r w:rsidR="007741E6" w:rsidRPr="00903F9D">
        <w:rPr>
          <w:color w:val="auto"/>
        </w:rPr>
        <w:t xml:space="preserve">support the use </w:t>
      </w:r>
      <w:r w:rsidR="005978FF" w:rsidRPr="00903F9D">
        <w:rPr>
          <w:color w:val="auto"/>
        </w:rPr>
        <w:t xml:space="preserve">of REMS </w:t>
      </w:r>
      <w:r w:rsidR="007741E6" w:rsidRPr="00903F9D">
        <w:rPr>
          <w:color w:val="auto"/>
        </w:rPr>
        <w:t xml:space="preserve">in males, pre-menopausal women, and certain conditions including </w:t>
      </w:r>
      <w:r w:rsidR="005857DC" w:rsidRPr="00903F9D">
        <w:rPr>
          <w:color w:val="auto"/>
        </w:rPr>
        <w:t xml:space="preserve">male hypogonadism, chronic liver disease, </w:t>
      </w:r>
      <w:proofErr w:type="gramStart"/>
      <w:r w:rsidR="007741E6" w:rsidRPr="00903F9D">
        <w:rPr>
          <w:color w:val="auto"/>
        </w:rPr>
        <w:t>hyperparathyroidism</w:t>
      </w:r>
      <w:proofErr w:type="gramEnd"/>
      <w:r w:rsidR="005857DC" w:rsidRPr="00903F9D">
        <w:rPr>
          <w:color w:val="auto"/>
        </w:rPr>
        <w:t xml:space="preserve"> and</w:t>
      </w:r>
      <w:r w:rsidR="007741E6" w:rsidRPr="00903F9D">
        <w:rPr>
          <w:color w:val="auto"/>
        </w:rPr>
        <w:t xml:space="preserve"> secondary osteoporosis. The ADAR provided sup</w:t>
      </w:r>
      <w:r w:rsidR="00CD5A04" w:rsidRPr="00903F9D">
        <w:rPr>
          <w:color w:val="auto"/>
        </w:rPr>
        <w:t>pl</w:t>
      </w:r>
      <w:r w:rsidR="007741E6" w:rsidRPr="00903F9D">
        <w:rPr>
          <w:color w:val="auto"/>
        </w:rPr>
        <w:t>e</w:t>
      </w:r>
      <w:r w:rsidR="00CD5A04" w:rsidRPr="00903F9D">
        <w:rPr>
          <w:color w:val="auto"/>
        </w:rPr>
        <w:t>mentary</w:t>
      </w:r>
      <w:r w:rsidR="007741E6" w:rsidRPr="00903F9D">
        <w:rPr>
          <w:color w:val="auto"/>
        </w:rPr>
        <w:t xml:space="preserve"> evidence in </w:t>
      </w:r>
      <w:r w:rsidRPr="00903F9D">
        <w:rPr>
          <w:color w:val="auto"/>
        </w:rPr>
        <w:t xml:space="preserve">some of these </w:t>
      </w:r>
      <w:r w:rsidR="007741E6" w:rsidRPr="00903F9D">
        <w:rPr>
          <w:color w:val="auto"/>
        </w:rPr>
        <w:t>populations</w:t>
      </w:r>
      <w:r w:rsidR="00871234" w:rsidRPr="00903F9D">
        <w:rPr>
          <w:color w:val="auto"/>
        </w:rPr>
        <w:t xml:space="preserve"> that were</w:t>
      </w:r>
      <w:r w:rsidR="007741E6" w:rsidRPr="00903F9D">
        <w:rPr>
          <w:color w:val="auto"/>
        </w:rPr>
        <w:t xml:space="preserve"> not well represented in the key studies </w:t>
      </w:r>
      <w:r w:rsidR="00D433AB" w:rsidRPr="00903F9D">
        <w:rPr>
          <w:color w:val="auto"/>
        </w:rPr>
        <w:t xml:space="preserve">by </w:t>
      </w:r>
      <w:proofErr w:type="spellStart"/>
      <w:r w:rsidR="007741E6" w:rsidRPr="00903F9D">
        <w:rPr>
          <w:color w:val="auto"/>
        </w:rPr>
        <w:t>Cortet</w:t>
      </w:r>
      <w:proofErr w:type="spellEnd"/>
      <w:r w:rsidR="007741E6" w:rsidRPr="00903F9D">
        <w:rPr>
          <w:color w:val="auto"/>
        </w:rPr>
        <w:t xml:space="preserve"> 2021 and Di Paola 2019.</w:t>
      </w:r>
    </w:p>
    <w:p w14:paraId="3B3C87E1" w14:textId="3AB7C741" w:rsidR="00223E21" w:rsidRPr="00903F9D" w:rsidRDefault="00223E21" w:rsidP="005B73DA">
      <w:pPr>
        <w:pStyle w:val="Caption"/>
        <w:keepLines/>
      </w:pPr>
      <w:bookmarkStart w:id="13" w:name="_Ref61355363"/>
      <w:bookmarkStart w:id="14" w:name="_Ref100127396"/>
      <w:r w:rsidRPr="00903F9D">
        <w:t xml:space="preserve">Table </w:t>
      </w:r>
      <w:r w:rsidR="008D0E73">
        <w:fldChar w:fldCharType="begin"/>
      </w:r>
      <w:r w:rsidR="008D0E73">
        <w:instrText xml:space="preserve"> SEQ Table \* ARABIC </w:instrText>
      </w:r>
      <w:r w:rsidR="008D0E73">
        <w:fldChar w:fldCharType="separate"/>
      </w:r>
      <w:r w:rsidR="00DF3307" w:rsidRPr="00903F9D">
        <w:rPr>
          <w:noProof/>
        </w:rPr>
        <w:t>4</w:t>
      </w:r>
      <w:r w:rsidR="008D0E73">
        <w:rPr>
          <w:noProof/>
        </w:rPr>
        <w:fldChar w:fldCharType="end"/>
      </w:r>
      <w:bookmarkEnd w:id="13"/>
      <w:bookmarkEnd w:id="14"/>
      <w:r w:rsidR="00E66281">
        <w:tab/>
      </w:r>
      <w:r w:rsidRPr="00903F9D">
        <w:t xml:space="preserve"> Services allowed per year for existing DXA scan MBS items</w:t>
      </w:r>
    </w:p>
    <w:tbl>
      <w:tblPr>
        <w:tblStyle w:val="TableGrid"/>
        <w:tblW w:w="5000" w:type="pct"/>
        <w:tblCellMar>
          <w:left w:w="28" w:type="dxa"/>
          <w:right w:w="28" w:type="dxa"/>
        </w:tblCellMar>
        <w:tblLook w:val="04A0" w:firstRow="1" w:lastRow="0" w:firstColumn="1" w:lastColumn="0" w:noHBand="0" w:noVBand="1"/>
      </w:tblPr>
      <w:tblGrid>
        <w:gridCol w:w="1027"/>
        <w:gridCol w:w="1294"/>
        <w:gridCol w:w="1497"/>
        <w:gridCol w:w="1589"/>
        <w:gridCol w:w="1324"/>
        <w:gridCol w:w="1172"/>
        <w:gridCol w:w="1113"/>
      </w:tblGrid>
      <w:tr w:rsidR="00223E21" w:rsidRPr="00903F9D" w14:paraId="2B585F54" w14:textId="77777777" w:rsidTr="008A70AD">
        <w:trPr>
          <w:trHeight w:val="236"/>
        </w:trPr>
        <w:tc>
          <w:tcPr>
            <w:tcW w:w="570" w:type="pct"/>
            <w:vMerge w:val="restart"/>
            <w:shd w:val="clear" w:color="auto" w:fill="BFBFBF" w:themeFill="background1" w:themeFillShade="BF"/>
            <w:vAlign w:val="center"/>
            <w:hideMark/>
          </w:tcPr>
          <w:p w14:paraId="1C359DC7" w14:textId="77777777" w:rsidR="00223E21" w:rsidRPr="00903F9D" w:rsidRDefault="00223E21" w:rsidP="005B73DA">
            <w:pPr>
              <w:pStyle w:val="TableHeadingCA"/>
              <w:keepNext/>
              <w:keepLines/>
            </w:pPr>
            <w:r w:rsidRPr="00903F9D">
              <w:t> </w:t>
            </w:r>
          </w:p>
        </w:tc>
        <w:tc>
          <w:tcPr>
            <w:tcW w:w="4430" w:type="pct"/>
            <w:gridSpan w:val="6"/>
            <w:shd w:val="clear" w:color="auto" w:fill="BFBFBF" w:themeFill="background1" w:themeFillShade="BF"/>
            <w:vAlign w:val="center"/>
            <w:hideMark/>
          </w:tcPr>
          <w:p w14:paraId="4FF2A95E" w14:textId="77777777" w:rsidR="00223E21" w:rsidRPr="00903F9D" w:rsidRDefault="00223E21" w:rsidP="005B73DA">
            <w:pPr>
              <w:pStyle w:val="TableHeadingCA"/>
              <w:keepNext/>
              <w:keepLines/>
            </w:pPr>
            <w:r w:rsidRPr="00903F9D">
              <w:t>MBS item</w:t>
            </w:r>
          </w:p>
        </w:tc>
      </w:tr>
      <w:tr w:rsidR="00223E21" w:rsidRPr="00903F9D" w14:paraId="40033C6F" w14:textId="77777777" w:rsidTr="008A70AD">
        <w:trPr>
          <w:trHeight w:val="236"/>
        </w:trPr>
        <w:tc>
          <w:tcPr>
            <w:tcW w:w="570" w:type="pct"/>
            <w:vMerge/>
            <w:shd w:val="clear" w:color="auto" w:fill="BFBFBF" w:themeFill="background1" w:themeFillShade="BF"/>
            <w:vAlign w:val="center"/>
            <w:hideMark/>
          </w:tcPr>
          <w:p w14:paraId="784DEDBB" w14:textId="77777777" w:rsidR="00223E21" w:rsidRPr="00903F9D" w:rsidRDefault="00223E21" w:rsidP="005B73DA">
            <w:pPr>
              <w:pStyle w:val="TableHeadingCA"/>
              <w:keepNext/>
              <w:keepLines/>
            </w:pPr>
          </w:p>
        </w:tc>
        <w:tc>
          <w:tcPr>
            <w:tcW w:w="718" w:type="pct"/>
            <w:shd w:val="clear" w:color="auto" w:fill="BFBFBF" w:themeFill="background1" w:themeFillShade="BF"/>
            <w:vAlign w:val="center"/>
            <w:hideMark/>
          </w:tcPr>
          <w:p w14:paraId="60A6256E" w14:textId="77777777" w:rsidR="00223E21" w:rsidRPr="00903F9D" w:rsidRDefault="00223E21" w:rsidP="005B73DA">
            <w:pPr>
              <w:pStyle w:val="TableHeadingCA"/>
              <w:keepNext/>
              <w:keepLines/>
            </w:pPr>
            <w:r w:rsidRPr="00903F9D">
              <w:t>12306</w:t>
            </w:r>
          </w:p>
        </w:tc>
        <w:tc>
          <w:tcPr>
            <w:tcW w:w="830" w:type="pct"/>
            <w:shd w:val="clear" w:color="auto" w:fill="BFBFBF" w:themeFill="background1" w:themeFillShade="BF"/>
            <w:vAlign w:val="center"/>
            <w:hideMark/>
          </w:tcPr>
          <w:p w14:paraId="60F6C899" w14:textId="77777777" w:rsidR="00223E21" w:rsidRPr="00903F9D" w:rsidRDefault="00223E21" w:rsidP="005B73DA">
            <w:pPr>
              <w:pStyle w:val="TableHeadingCA"/>
              <w:keepNext/>
              <w:keepLines/>
            </w:pPr>
            <w:r w:rsidRPr="00903F9D">
              <w:t>12312</w:t>
            </w:r>
          </w:p>
        </w:tc>
        <w:tc>
          <w:tcPr>
            <w:tcW w:w="881" w:type="pct"/>
            <w:shd w:val="clear" w:color="auto" w:fill="BFBFBF" w:themeFill="background1" w:themeFillShade="BF"/>
            <w:vAlign w:val="center"/>
            <w:hideMark/>
          </w:tcPr>
          <w:p w14:paraId="767A750A" w14:textId="77777777" w:rsidR="00223E21" w:rsidRPr="00903F9D" w:rsidRDefault="00223E21" w:rsidP="005B73DA">
            <w:pPr>
              <w:pStyle w:val="TableHeadingCA"/>
              <w:keepNext/>
              <w:keepLines/>
            </w:pPr>
            <w:r w:rsidRPr="00903F9D">
              <w:t>12315</w:t>
            </w:r>
          </w:p>
        </w:tc>
        <w:tc>
          <w:tcPr>
            <w:tcW w:w="734" w:type="pct"/>
            <w:shd w:val="clear" w:color="auto" w:fill="BFBFBF" w:themeFill="background1" w:themeFillShade="BF"/>
            <w:vAlign w:val="center"/>
            <w:hideMark/>
          </w:tcPr>
          <w:p w14:paraId="52E8EA35" w14:textId="77777777" w:rsidR="00223E21" w:rsidRPr="00903F9D" w:rsidRDefault="00223E21" w:rsidP="005B73DA">
            <w:pPr>
              <w:pStyle w:val="TableHeadingCA"/>
              <w:keepNext/>
              <w:keepLines/>
            </w:pPr>
            <w:r w:rsidRPr="00903F9D">
              <w:t>12320</w:t>
            </w:r>
          </w:p>
        </w:tc>
        <w:tc>
          <w:tcPr>
            <w:tcW w:w="650" w:type="pct"/>
            <w:shd w:val="clear" w:color="auto" w:fill="BFBFBF" w:themeFill="background1" w:themeFillShade="BF"/>
            <w:vAlign w:val="center"/>
            <w:hideMark/>
          </w:tcPr>
          <w:p w14:paraId="4C6DCA8C" w14:textId="77777777" w:rsidR="00223E21" w:rsidRPr="00903F9D" w:rsidRDefault="00223E21" w:rsidP="005B73DA">
            <w:pPr>
              <w:pStyle w:val="TableHeadingCA"/>
              <w:keepNext/>
              <w:keepLines/>
            </w:pPr>
            <w:r w:rsidRPr="00903F9D">
              <w:t>12321</w:t>
            </w:r>
          </w:p>
        </w:tc>
        <w:tc>
          <w:tcPr>
            <w:tcW w:w="617" w:type="pct"/>
            <w:shd w:val="clear" w:color="auto" w:fill="BFBFBF" w:themeFill="background1" w:themeFillShade="BF"/>
            <w:vAlign w:val="center"/>
            <w:hideMark/>
          </w:tcPr>
          <w:p w14:paraId="2B0027CA" w14:textId="77777777" w:rsidR="00223E21" w:rsidRPr="00903F9D" w:rsidRDefault="00223E21" w:rsidP="005B73DA">
            <w:pPr>
              <w:pStyle w:val="TableHeadingCA"/>
              <w:keepNext/>
              <w:keepLines/>
            </w:pPr>
            <w:r w:rsidRPr="00903F9D">
              <w:t>12322</w:t>
            </w:r>
          </w:p>
        </w:tc>
      </w:tr>
      <w:tr w:rsidR="00223E21" w:rsidRPr="00903F9D" w14:paraId="28CB3F58" w14:textId="77777777" w:rsidTr="008A70AD">
        <w:trPr>
          <w:trHeight w:val="604"/>
        </w:trPr>
        <w:tc>
          <w:tcPr>
            <w:tcW w:w="570" w:type="pct"/>
            <w:vAlign w:val="center"/>
            <w:hideMark/>
          </w:tcPr>
          <w:p w14:paraId="5732562C" w14:textId="77777777" w:rsidR="00223E21" w:rsidRPr="00903F9D" w:rsidRDefault="00223E21" w:rsidP="005B73DA">
            <w:pPr>
              <w:pStyle w:val="TableText"/>
              <w:keepNext/>
              <w:keepLines/>
            </w:pPr>
            <w:r w:rsidRPr="00903F9D">
              <w:t>One service allowed per patient in:</w:t>
            </w:r>
          </w:p>
        </w:tc>
        <w:tc>
          <w:tcPr>
            <w:tcW w:w="718" w:type="pct"/>
            <w:vAlign w:val="center"/>
            <w:hideMark/>
          </w:tcPr>
          <w:p w14:paraId="4120CCBF" w14:textId="77777777" w:rsidR="00223E21" w:rsidRPr="00903F9D" w:rsidRDefault="00223E21" w:rsidP="005B73DA">
            <w:pPr>
              <w:pStyle w:val="TableText"/>
              <w:keepNext/>
              <w:keepLines/>
            </w:pPr>
            <w:r w:rsidRPr="00903F9D">
              <w:t>24 months</w:t>
            </w:r>
          </w:p>
        </w:tc>
        <w:tc>
          <w:tcPr>
            <w:tcW w:w="830" w:type="pct"/>
            <w:vAlign w:val="center"/>
            <w:hideMark/>
          </w:tcPr>
          <w:p w14:paraId="225B9168" w14:textId="77777777" w:rsidR="00223E21" w:rsidRPr="00903F9D" w:rsidRDefault="00223E21" w:rsidP="005B73DA">
            <w:pPr>
              <w:pStyle w:val="TableText"/>
              <w:keepNext/>
              <w:keepLines/>
            </w:pPr>
            <w:r w:rsidRPr="00903F9D">
              <w:t>12 months</w:t>
            </w:r>
          </w:p>
        </w:tc>
        <w:tc>
          <w:tcPr>
            <w:tcW w:w="881" w:type="pct"/>
            <w:vAlign w:val="center"/>
            <w:hideMark/>
          </w:tcPr>
          <w:p w14:paraId="2DE60A57" w14:textId="77777777" w:rsidR="00223E21" w:rsidRPr="00903F9D" w:rsidRDefault="00223E21" w:rsidP="005B73DA">
            <w:pPr>
              <w:pStyle w:val="TableText"/>
              <w:keepNext/>
              <w:keepLines/>
            </w:pPr>
            <w:r w:rsidRPr="00903F9D">
              <w:t>24 months</w:t>
            </w:r>
          </w:p>
        </w:tc>
        <w:tc>
          <w:tcPr>
            <w:tcW w:w="734" w:type="pct"/>
            <w:vAlign w:val="center"/>
            <w:hideMark/>
          </w:tcPr>
          <w:p w14:paraId="6D2770FD" w14:textId="77777777" w:rsidR="00223E21" w:rsidRPr="00903F9D" w:rsidRDefault="00223E21" w:rsidP="005B73DA">
            <w:pPr>
              <w:pStyle w:val="TableText"/>
              <w:keepNext/>
              <w:keepLines/>
            </w:pPr>
            <w:r w:rsidRPr="00903F9D">
              <w:t>5 years</w:t>
            </w:r>
          </w:p>
        </w:tc>
        <w:tc>
          <w:tcPr>
            <w:tcW w:w="650" w:type="pct"/>
            <w:vAlign w:val="center"/>
            <w:hideMark/>
          </w:tcPr>
          <w:p w14:paraId="1D267B65" w14:textId="77777777" w:rsidR="00223E21" w:rsidRPr="00903F9D" w:rsidRDefault="00223E21" w:rsidP="005B73DA">
            <w:pPr>
              <w:pStyle w:val="TableText"/>
              <w:keepNext/>
              <w:keepLines/>
            </w:pPr>
            <w:r w:rsidRPr="00903F9D">
              <w:t>12 months</w:t>
            </w:r>
          </w:p>
        </w:tc>
        <w:tc>
          <w:tcPr>
            <w:tcW w:w="617" w:type="pct"/>
            <w:vAlign w:val="center"/>
            <w:hideMark/>
          </w:tcPr>
          <w:p w14:paraId="6858914E" w14:textId="77777777" w:rsidR="00223E21" w:rsidRPr="00903F9D" w:rsidRDefault="00223E21" w:rsidP="005B73DA">
            <w:pPr>
              <w:pStyle w:val="TableText"/>
              <w:keepNext/>
              <w:keepLines/>
            </w:pPr>
            <w:r w:rsidRPr="00903F9D">
              <w:t>2 years</w:t>
            </w:r>
          </w:p>
        </w:tc>
      </w:tr>
      <w:tr w:rsidR="00C62196" w:rsidRPr="00903F9D" w14:paraId="0D9947B1" w14:textId="77777777" w:rsidTr="008A70AD">
        <w:trPr>
          <w:trHeight w:val="604"/>
        </w:trPr>
        <w:tc>
          <w:tcPr>
            <w:tcW w:w="570" w:type="pct"/>
            <w:vAlign w:val="center"/>
          </w:tcPr>
          <w:p w14:paraId="1849DCED" w14:textId="77777777" w:rsidR="00223E21" w:rsidRPr="00903F9D" w:rsidRDefault="00223E21" w:rsidP="005B73DA">
            <w:pPr>
              <w:pStyle w:val="TableText"/>
              <w:keepNext/>
              <w:keepLines/>
            </w:pPr>
            <w:r w:rsidRPr="00903F9D">
              <w:t>MBS approved populations</w:t>
            </w:r>
          </w:p>
        </w:tc>
        <w:tc>
          <w:tcPr>
            <w:tcW w:w="718" w:type="pct"/>
            <w:vAlign w:val="center"/>
          </w:tcPr>
          <w:p w14:paraId="64AD2E49" w14:textId="77777777" w:rsidR="00223E21" w:rsidRPr="00903F9D" w:rsidRDefault="00A24201" w:rsidP="005B73DA">
            <w:pPr>
              <w:pStyle w:val="TableText"/>
              <w:keepNext/>
              <w:keepLines/>
            </w:pPr>
            <w:r w:rsidRPr="00903F9D">
              <w:t>P</w:t>
            </w:r>
            <w:r w:rsidR="00223E21" w:rsidRPr="00903F9D">
              <w:t>reviously identified low BMD diagnosed based on fractures following minimal trauma or monitoring of low BMD proven by densitometry at least 12 months previously</w:t>
            </w:r>
            <w:r w:rsidRPr="00903F9D">
              <w:t>.</w:t>
            </w:r>
          </w:p>
        </w:tc>
        <w:tc>
          <w:tcPr>
            <w:tcW w:w="830" w:type="pct"/>
            <w:vAlign w:val="center"/>
          </w:tcPr>
          <w:p w14:paraId="62D59D94" w14:textId="77777777" w:rsidR="00223E21" w:rsidRPr="00903F9D" w:rsidRDefault="00A24201" w:rsidP="005B73DA">
            <w:pPr>
              <w:pStyle w:val="TableText"/>
              <w:keepNext/>
              <w:keepLines/>
            </w:pPr>
            <w:r w:rsidRPr="00903F9D">
              <w:t>B</w:t>
            </w:r>
            <w:r w:rsidR="00223E21" w:rsidRPr="00903F9D">
              <w:t xml:space="preserve">one loss associated with prolonged glucocorticoid therapy, any condition associated </w:t>
            </w:r>
            <w:r w:rsidR="00D433AB" w:rsidRPr="00903F9D">
              <w:t xml:space="preserve">with </w:t>
            </w:r>
            <w:r w:rsidR="00223E21" w:rsidRPr="00903F9D">
              <w:t>excess glucocorticoid secretion, male hypogonadism, female hypogonadism lasting more than 6 months before the age of 45</w:t>
            </w:r>
            <w:r w:rsidRPr="00903F9D">
              <w:t>.</w:t>
            </w:r>
          </w:p>
        </w:tc>
        <w:tc>
          <w:tcPr>
            <w:tcW w:w="881" w:type="pct"/>
            <w:vAlign w:val="center"/>
          </w:tcPr>
          <w:p w14:paraId="380B28A8" w14:textId="77777777" w:rsidR="00223E21" w:rsidRPr="00903F9D" w:rsidRDefault="00A24201" w:rsidP="005B73DA">
            <w:pPr>
              <w:pStyle w:val="TableText"/>
              <w:keepNext/>
              <w:keepLines/>
            </w:pPr>
            <w:r w:rsidRPr="00903F9D">
              <w:t>B</w:t>
            </w:r>
            <w:r w:rsidR="00223E21" w:rsidRPr="00903F9D">
              <w:t>one loss associated with primary hyperparathyroidism, chronic liver disease, chronic renal disease, any proven malabsorptive disorder, rheumatoid arthritis, any condition associated with thyroxine excess.</w:t>
            </w:r>
          </w:p>
        </w:tc>
        <w:tc>
          <w:tcPr>
            <w:tcW w:w="734" w:type="pct"/>
            <w:vAlign w:val="center"/>
          </w:tcPr>
          <w:p w14:paraId="1F239278" w14:textId="77777777" w:rsidR="00223E21" w:rsidRPr="00903F9D" w:rsidRDefault="00A24201" w:rsidP="005B73DA">
            <w:pPr>
              <w:pStyle w:val="TableText"/>
              <w:keepNext/>
              <w:keepLines/>
            </w:pPr>
            <w:r w:rsidRPr="00903F9D">
              <w:t>P</w:t>
            </w:r>
            <w:r w:rsidR="00223E21" w:rsidRPr="00903F9D">
              <w:t>atient aged 70 years of age or over who has not previously had bone densitometry or the t-score for the patient’s BMD is -1.5 or more</w:t>
            </w:r>
            <w:r w:rsidRPr="00903F9D">
              <w:t>.</w:t>
            </w:r>
          </w:p>
        </w:tc>
        <w:tc>
          <w:tcPr>
            <w:tcW w:w="650" w:type="pct"/>
            <w:vAlign w:val="center"/>
          </w:tcPr>
          <w:p w14:paraId="32B6CC7A" w14:textId="77777777" w:rsidR="00223E21" w:rsidRPr="00903F9D" w:rsidRDefault="00A24201" w:rsidP="005B73DA">
            <w:pPr>
              <w:pStyle w:val="TableText"/>
              <w:keepNext/>
              <w:keepLines/>
            </w:pPr>
            <w:r w:rsidRPr="00903F9D">
              <w:t>E</w:t>
            </w:r>
            <w:r w:rsidR="00223E21" w:rsidRPr="00903F9D">
              <w:t xml:space="preserve">stablished low BMD or confirming a presumptive diagnosis of BMD made </w:t>
            </w:r>
            <w:proofErr w:type="gramStart"/>
            <w:r w:rsidR="00223E21" w:rsidRPr="00903F9D">
              <w:t>on the basis of</w:t>
            </w:r>
            <w:proofErr w:type="gramEnd"/>
            <w:r w:rsidR="00223E21" w:rsidRPr="00903F9D">
              <w:t xml:space="preserve"> 1 or more fractures occurring after minimal trauma</w:t>
            </w:r>
            <w:r w:rsidR="00F3739C" w:rsidRPr="00903F9D">
              <w:t>.</w:t>
            </w:r>
          </w:p>
        </w:tc>
        <w:tc>
          <w:tcPr>
            <w:tcW w:w="617" w:type="pct"/>
            <w:vAlign w:val="center"/>
          </w:tcPr>
          <w:p w14:paraId="29CF37B8" w14:textId="77777777" w:rsidR="00223E21" w:rsidRPr="00903F9D" w:rsidRDefault="00A24201" w:rsidP="005B73DA">
            <w:pPr>
              <w:pStyle w:val="TableText"/>
              <w:keepNext/>
              <w:keepLines/>
            </w:pPr>
            <w:r w:rsidRPr="00903F9D">
              <w:t>P</w:t>
            </w:r>
            <w:r w:rsidR="00223E21" w:rsidRPr="00903F9D">
              <w:t xml:space="preserve">atient is over 70 years of </w:t>
            </w:r>
            <w:proofErr w:type="gramStart"/>
            <w:r w:rsidR="00223E21" w:rsidRPr="00903F9D">
              <w:t>age</w:t>
            </w:r>
            <w:proofErr w:type="gramEnd"/>
            <w:r w:rsidR="00223E21" w:rsidRPr="00903F9D">
              <w:t xml:space="preserve"> and the t-score is less than -1.5 but more than -2.5</w:t>
            </w:r>
          </w:p>
        </w:tc>
      </w:tr>
    </w:tbl>
    <w:p w14:paraId="4C600D78" w14:textId="4636A155" w:rsidR="00223E21" w:rsidRPr="00903F9D" w:rsidRDefault="00223E21" w:rsidP="005B73DA">
      <w:pPr>
        <w:pStyle w:val="TableFigureFooter"/>
      </w:pPr>
      <w:r w:rsidRPr="00903F9D">
        <w:t xml:space="preserve">BMD= </w:t>
      </w:r>
      <w:r w:rsidR="00316C71" w:rsidRPr="00903F9D">
        <w:t>b</w:t>
      </w:r>
      <w:r w:rsidRPr="00903F9D">
        <w:t>one mineral density, DXA=</w:t>
      </w:r>
      <w:r w:rsidR="00316C71" w:rsidRPr="00903F9D">
        <w:t xml:space="preserve"> dual energy x-r</w:t>
      </w:r>
      <w:r w:rsidRPr="00903F9D">
        <w:t>ay absorptiometry, MBS= Medicare Benefits Schedule</w:t>
      </w:r>
      <w:r w:rsidR="00C27730" w:rsidRPr="00903F9D">
        <w:t>.</w:t>
      </w:r>
    </w:p>
    <w:p w14:paraId="1A622303" w14:textId="277EB16C" w:rsidR="00F903D0" w:rsidRPr="00903F9D" w:rsidRDefault="00223E21" w:rsidP="00316C71">
      <w:pPr>
        <w:pStyle w:val="TableFigureFooter"/>
        <w:keepNext w:val="0"/>
      </w:pPr>
      <w:r w:rsidRPr="00903F9D">
        <w:t xml:space="preserve">Source: MBS </w:t>
      </w:r>
      <w:r w:rsidR="00A24201" w:rsidRPr="00903F9D">
        <w:t>o</w:t>
      </w:r>
      <w:r w:rsidRPr="00903F9D">
        <w:t>nline</w:t>
      </w:r>
      <w:r w:rsidR="00C95611" w:rsidRPr="00903F9D">
        <w:t xml:space="preserve"> (</w:t>
      </w:r>
      <w:hyperlink r:id="rId46" w:history="1">
        <w:r w:rsidR="00C95611" w:rsidRPr="00903F9D">
          <w:rPr>
            <w:rStyle w:val="Hyperlink"/>
          </w:rPr>
          <w:t>http://www.mbsonline.gov.au/internet/mbsonline/publishing.nsf/Content/Home</w:t>
        </w:r>
      </w:hyperlink>
      <w:r w:rsidR="00C95611" w:rsidRPr="00903F9D">
        <w:rPr>
          <w:rStyle w:val="Hyperlink"/>
        </w:rPr>
        <w:t>)</w:t>
      </w:r>
      <w:r w:rsidR="00A24201" w:rsidRPr="00903F9D">
        <w:t>.</w:t>
      </w:r>
    </w:p>
    <w:p w14:paraId="41E5DCF7" w14:textId="0072FCE5" w:rsidR="00772829" w:rsidRPr="00903F9D" w:rsidRDefault="00EB62FF" w:rsidP="002A18BE">
      <w:pPr>
        <w:pStyle w:val="Heading2"/>
        <w:numPr>
          <w:ilvl w:val="0"/>
          <w:numId w:val="0"/>
        </w:numPr>
      </w:pPr>
      <w:bookmarkStart w:id="15" w:name="_Toc69491419"/>
      <w:r w:rsidRPr="00903F9D">
        <w:t>7</w:t>
      </w:r>
      <w:r w:rsidR="00C36633" w:rsidRPr="00903F9D">
        <w:t>.</w:t>
      </w:r>
      <w:r w:rsidR="00C36633" w:rsidRPr="00903F9D">
        <w:tab/>
      </w:r>
      <w:r w:rsidR="00772829" w:rsidRPr="00903F9D">
        <w:t>Population</w:t>
      </w:r>
      <w:bookmarkEnd w:id="15"/>
    </w:p>
    <w:p w14:paraId="2A5AD662" w14:textId="7119A785" w:rsidR="00070773" w:rsidRPr="00903F9D" w:rsidRDefault="00905637" w:rsidP="005B73DA">
      <w:pPr>
        <w:pStyle w:val="Instructionaltext"/>
        <w:keepNext/>
        <w:rPr>
          <w:color w:val="auto"/>
        </w:rPr>
      </w:pPr>
      <w:r w:rsidRPr="00903F9D">
        <w:rPr>
          <w:color w:val="auto"/>
        </w:rPr>
        <w:t>T</w:t>
      </w:r>
      <w:r w:rsidR="00A22B23" w:rsidRPr="00903F9D">
        <w:rPr>
          <w:color w:val="auto"/>
        </w:rPr>
        <w:t xml:space="preserve">he proposed population </w:t>
      </w:r>
      <w:r w:rsidRPr="00903F9D">
        <w:rPr>
          <w:color w:val="auto"/>
        </w:rPr>
        <w:t xml:space="preserve">are </w:t>
      </w:r>
      <w:r w:rsidR="0081345F" w:rsidRPr="00903F9D">
        <w:rPr>
          <w:color w:val="auto"/>
        </w:rPr>
        <w:t>patient</w:t>
      </w:r>
      <w:r w:rsidRPr="00903F9D">
        <w:rPr>
          <w:color w:val="auto"/>
        </w:rPr>
        <w:t xml:space="preserve">s who </w:t>
      </w:r>
      <w:r w:rsidR="008039AD" w:rsidRPr="00903F9D">
        <w:rPr>
          <w:color w:val="auto"/>
        </w:rPr>
        <w:t xml:space="preserve">require a BMD measurement for the diagnosis </w:t>
      </w:r>
      <w:r w:rsidR="00A306BB" w:rsidRPr="00903F9D">
        <w:rPr>
          <w:color w:val="auto"/>
        </w:rPr>
        <w:t xml:space="preserve">or monitoring </w:t>
      </w:r>
      <w:r w:rsidR="008039AD" w:rsidRPr="00903F9D">
        <w:rPr>
          <w:color w:val="auto"/>
        </w:rPr>
        <w:t>of</w:t>
      </w:r>
      <w:r w:rsidR="001F1D34" w:rsidRPr="00903F9D">
        <w:rPr>
          <w:color w:val="auto"/>
        </w:rPr>
        <w:t xml:space="preserve"> </w:t>
      </w:r>
      <w:r w:rsidR="008039AD" w:rsidRPr="00903F9D">
        <w:rPr>
          <w:color w:val="auto"/>
        </w:rPr>
        <w:t xml:space="preserve">osteoporosis and who </w:t>
      </w:r>
      <w:r w:rsidRPr="00903F9D">
        <w:rPr>
          <w:color w:val="auto"/>
        </w:rPr>
        <w:t xml:space="preserve">are </w:t>
      </w:r>
      <w:r w:rsidR="00A22B23" w:rsidRPr="00903F9D">
        <w:rPr>
          <w:color w:val="auto"/>
        </w:rPr>
        <w:t xml:space="preserve">currently eligible for </w:t>
      </w:r>
      <w:r w:rsidR="008039AD" w:rsidRPr="00903F9D">
        <w:rPr>
          <w:color w:val="auto"/>
        </w:rPr>
        <w:t xml:space="preserve">an </w:t>
      </w:r>
      <w:r w:rsidR="00A22B23" w:rsidRPr="00903F9D">
        <w:rPr>
          <w:color w:val="auto"/>
        </w:rPr>
        <w:t>MBS funded DXA</w:t>
      </w:r>
      <w:r w:rsidR="003E41FB" w:rsidRPr="00903F9D">
        <w:rPr>
          <w:color w:val="auto"/>
        </w:rPr>
        <w:t>.</w:t>
      </w:r>
      <w:r w:rsidR="00A22B23" w:rsidRPr="00903F9D">
        <w:rPr>
          <w:color w:val="auto"/>
        </w:rPr>
        <w:t xml:space="preserve"> </w:t>
      </w:r>
      <w:r w:rsidR="003E41FB" w:rsidRPr="00903F9D">
        <w:rPr>
          <w:color w:val="auto"/>
        </w:rPr>
        <w:t xml:space="preserve">Prior to being considered eligible for REMS, patients would be investigated, </w:t>
      </w:r>
      <w:proofErr w:type="gramStart"/>
      <w:r w:rsidR="003E41FB" w:rsidRPr="00903F9D">
        <w:rPr>
          <w:color w:val="auto"/>
        </w:rPr>
        <w:t>managed</w:t>
      </w:r>
      <w:proofErr w:type="gramEnd"/>
      <w:r w:rsidR="003E41FB" w:rsidRPr="00903F9D">
        <w:rPr>
          <w:color w:val="auto"/>
        </w:rPr>
        <w:t xml:space="preserve"> and referred in the same way as they currently are for DXA scanning (see the clinical algorithm depicted in </w:t>
      </w:r>
      <w:r w:rsidR="005416F5" w:rsidRPr="00903F9D">
        <w:rPr>
          <w:color w:val="auto"/>
        </w:rPr>
        <w:fldChar w:fldCharType="begin"/>
      </w:r>
      <w:r w:rsidR="005416F5" w:rsidRPr="00903F9D">
        <w:rPr>
          <w:color w:val="auto"/>
        </w:rPr>
        <w:instrText xml:space="preserve"> REF _Ref94458740 \h  \* MERGEFORMAT </w:instrText>
      </w:r>
      <w:r w:rsidR="005416F5" w:rsidRPr="00903F9D">
        <w:rPr>
          <w:color w:val="auto"/>
        </w:rPr>
      </w:r>
      <w:r w:rsidR="005416F5" w:rsidRPr="00903F9D">
        <w:rPr>
          <w:color w:val="auto"/>
        </w:rPr>
        <w:fldChar w:fldCharType="separate"/>
      </w:r>
      <w:r w:rsidR="00DF3307" w:rsidRPr="00903F9D">
        <w:rPr>
          <w:color w:val="auto"/>
        </w:rPr>
        <w:t>Figure 1</w:t>
      </w:r>
      <w:r w:rsidR="005416F5" w:rsidRPr="00903F9D">
        <w:rPr>
          <w:color w:val="auto"/>
        </w:rPr>
        <w:fldChar w:fldCharType="end"/>
      </w:r>
      <w:r w:rsidR="003E41FB" w:rsidRPr="00903F9D">
        <w:rPr>
          <w:color w:val="auto"/>
        </w:rPr>
        <w:t xml:space="preserve">). </w:t>
      </w:r>
      <w:r w:rsidR="00070773" w:rsidRPr="00903F9D">
        <w:rPr>
          <w:color w:val="auto"/>
        </w:rPr>
        <w:t xml:space="preserve">It is </w:t>
      </w:r>
      <w:r w:rsidR="00070773" w:rsidRPr="00903F9D">
        <w:rPr>
          <w:color w:val="auto"/>
        </w:rPr>
        <w:lastRenderedPageBreak/>
        <w:t>expected that REMS would be an alternative to DXA for the diagnosis of osteoporosis</w:t>
      </w:r>
      <w:r w:rsidR="007E688A" w:rsidRPr="00903F9D">
        <w:rPr>
          <w:color w:val="auto"/>
        </w:rPr>
        <w:t xml:space="preserve"> in the following populations:</w:t>
      </w:r>
    </w:p>
    <w:p w14:paraId="79DF4198" w14:textId="77777777" w:rsidR="007E688A" w:rsidRPr="00903F9D" w:rsidRDefault="007E688A" w:rsidP="00807EC6">
      <w:pPr>
        <w:pStyle w:val="Instructionaltext"/>
        <w:numPr>
          <w:ilvl w:val="0"/>
          <w:numId w:val="11"/>
        </w:numPr>
        <w:rPr>
          <w:color w:val="auto"/>
        </w:rPr>
      </w:pPr>
      <w:r w:rsidRPr="00903F9D">
        <w:rPr>
          <w:color w:val="auto"/>
        </w:rPr>
        <w:t>previously identified low BMD diagnosed based on fractures following minimal trauma or monitoring of low BMD proven by densitometry at least 12 months previously (MBS item 12306)</w:t>
      </w:r>
    </w:p>
    <w:p w14:paraId="04E455D0" w14:textId="776DD837" w:rsidR="007E688A" w:rsidRPr="00903F9D" w:rsidRDefault="007E688A" w:rsidP="00807EC6">
      <w:pPr>
        <w:pStyle w:val="Instructionaltext"/>
        <w:numPr>
          <w:ilvl w:val="0"/>
          <w:numId w:val="11"/>
        </w:numPr>
        <w:rPr>
          <w:color w:val="auto"/>
        </w:rPr>
      </w:pPr>
      <w:r w:rsidRPr="00903F9D">
        <w:rPr>
          <w:color w:val="auto"/>
        </w:rPr>
        <w:t xml:space="preserve">bone loss associated with prolonged glucocorticoid therapy, any condition associated </w:t>
      </w:r>
      <w:r w:rsidR="0023671F" w:rsidRPr="00903F9D">
        <w:rPr>
          <w:color w:val="auto"/>
        </w:rPr>
        <w:t xml:space="preserve">with </w:t>
      </w:r>
      <w:r w:rsidRPr="00903F9D">
        <w:rPr>
          <w:color w:val="auto"/>
        </w:rPr>
        <w:t>excess glucocorticoid secretion, male hypogonadism, female hypogonadism lasting more than 6 months before the age of 45 (MBS item 12312)</w:t>
      </w:r>
    </w:p>
    <w:p w14:paraId="46BCCE20" w14:textId="77777777" w:rsidR="007E688A" w:rsidRPr="00903F9D" w:rsidRDefault="007E688A" w:rsidP="00807EC6">
      <w:pPr>
        <w:pStyle w:val="Instructionaltext"/>
        <w:numPr>
          <w:ilvl w:val="0"/>
          <w:numId w:val="11"/>
        </w:numPr>
        <w:rPr>
          <w:color w:val="auto"/>
        </w:rPr>
      </w:pPr>
      <w:r w:rsidRPr="00903F9D">
        <w:rPr>
          <w:color w:val="auto"/>
        </w:rPr>
        <w:t>bone loss associated with primary hyperparathyroidism, chronic liver disease, chronic renal disease, any proven malabsorptive disorder, rheumatoid arthritis, any condition associated with thyroxine excess (MBS item 12315)</w:t>
      </w:r>
    </w:p>
    <w:p w14:paraId="543C78FE" w14:textId="1FA70120" w:rsidR="007E688A" w:rsidRPr="00903F9D" w:rsidRDefault="007E688A" w:rsidP="00807EC6">
      <w:pPr>
        <w:pStyle w:val="Instructionaltext"/>
        <w:numPr>
          <w:ilvl w:val="0"/>
          <w:numId w:val="11"/>
        </w:numPr>
        <w:rPr>
          <w:color w:val="auto"/>
        </w:rPr>
      </w:pPr>
      <w:r w:rsidRPr="00903F9D">
        <w:rPr>
          <w:color w:val="auto"/>
        </w:rPr>
        <w:t xml:space="preserve">patient aged 70 years of age or over who has not previously had bone densitometry or the </w:t>
      </w:r>
      <w:r w:rsidR="00D433AB" w:rsidRPr="00903F9D">
        <w:rPr>
          <w:color w:val="auto"/>
        </w:rPr>
        <w:t>T</w:t>
      </w:r>
      <w:r w:rsidRPr="00903F9D">
        <w:rPr>
          <w:color w:val="auto"/>
        </w:rPr>
        <w:t>-score for the patient’s BMD is -1.5 or more (MBS item 12320)</w:t>
      </w:r>
    </w:p>
    <w:p w14:paraId="2EFA7A2C" w14:textId="77777777" w:rsidR="007E688A" w:rsidRPr="00903F9D" w:rsidRDefault="007E688A" w:rsidP="00807EC6">
      <w:pPr>
        <w:pStyle w:val="Instructionaltext"/>
        <w:numPr>
          <w:ilvl w:val="0"/>
          <w:numId w:val="11"/>
        </w:numPr>
        <w:rPr>
          <w:color w:val="auto"/>
        </w:rPr>
      </w:pPr>
      <w:r w:rsidRPr="00903F9D">
        <w:rPr>
          <w:color w:val="auto"/>
        </w:rPr>
        <w:t xml:space="preserve">established low BMD or confirming a presumptive diagnosis of BMD made </w:t>
      </w:r>
      <w:proofErr w:type="gramStart"/>
      <w:r w:rsidRPr="00903F9D">
        <w:rPr>
          <w:color w:val="auto"/>
        </w:rPr>
        <w:t>on the basis of</w:t>
      </w:r>
      <w:proofErr w:type="gramEnd"/>
      <w:r w:rsidRPr="00903F9D">
        <w:rPr>
          <w:color w:val="auto"/>
        </w:rPr>
        <w:t xml:space="preserve"> 1 or more fractures occurring after minimal trauma (MBS item 12321)</w:t>
      </w:r>
    </w:p>
    <w:p w14:paraId="5A2DB1EA" w14:textId="64E2F0DB" w:rsidR="007E688A" w:rsidRPr="00903F9D" w:rsidRDefault="007E688A" w:rsidP="00807EC6">
      <w:pPr>
        <w:pStyle w:val="Instructionaltext"/>
        <w:numPr>
          <w:ilvl w:val="0"/>
          <w:numId w:val="11"/>
        </w:numPr>
        <w:rPr>
          <w:color w:val="auto"/>
        </w:rPr>
      </w:pPr>
      <w:r w:rsidRPr="00903F9D">
        <w:rPr>
          <w:color w:val="auto"/>
        </w:rPr>
        <w:t xml:space="preserve">patient is over 70 years of </w:t>
      </w:r>
      <w:proofErr w:type="gramStart"/>
      <w:r w:rsidRPr="00903F9D">
        <w:rPr>
          <w:color w:val="auto"/>
        </w:rPr>
        <w:t>age</w:t>
      </w:r>
      <w:proofErr w:type="gramEnd"/>
      <w:r w:rsidRPr="00903F9D">
        <w:rPr>
          <w:color w:val="auto"/>
        </w:rPr>
        <w:t xml:space="preserve"> and the </w:t>
      </w:r>
      <w:r w:rsidR="00D433AB" w:rsidRPr="00903F9D">
        <w:rPr>
          <w:color w:val="auto"/>
        </w:rPr>
        <w:t>T</w:t>
      </w:r>
      <w:r w:rsidRPr="00903F9D">
        <w:rPr>
          <w:color w:val="auto"/>
        </w:rPr>
        <w:t>-score is less than -1.5 but more than -2.5 (MBS item 12322).</w:t>
      </w:r>
    </w:p>
    <w:p w14:paraId="330638AD" w14:textId="77777777" w:rsidR="005416F5" w:rsidRPr="00903F9D" w:rsidRDefault="005416F5" w:rsidP="005416F5">
      <w:r w:rsidRPr="00903F9D">
        <w:rPr>
          <w:noProof/>
        </w:rPr>
        <w:lastRenderedPageBreak/>
        <w:drawing>
          <wp:inline distT="0" distB="0" distL="0" distR="0" wp14:anchorId="79F80030" wp14:editId="74A6E8DA">
            <wp:extent cx="5564941" cy="8223250"/>
            <wp:effectExtent l="0" t="0" r="0" b="6350"/>
            <wp:docPr id="14" name="Picture 14" descr="Proposed clinical management algorithm for osteoporosis risk assessment, diagnosis and management: for DXA and for R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roposed clinical management algorithm for osteoporosis risk assessment, diagnosis and management: for DXA and for REMS"/>
                    <pic:cNvPicPr/>
                  </pic:nvPicPr>
                  <pic:blipFill rotWithShape="1">
                    <a:blip r:embed="rId47"/>
                    <a:srcRect t="3041"/>
                    <a:stretch/>
                  </pic:blipFill>
                  <pic:spPr bwMode="auto">
                    <a:xfrm>
                      <a:off x="0" y="0"/>
                      <a:ext cx="5609608" cy="8289255"/>
                    </a:xfrm>
                    <a:prstGeom prst="rect">
                      <a:avLst/>
                    </a:prstGeom>
                    <a:ln>
                      <a:noFill/>
                    </a:ln>
                    <a:extLst>
                      <a:ext uri="{53640926-AAD7-44D8-BBD7-CCE9431645EC}">
                        <a14:shadowObscured xmlns:a14="http://schemas.microsoft.com/office/drawing/2010/main"/>
                      </a:ext>
                    </a:extLst>
                  </pic:spPr>
                </pic:pic>
              </a:graphicData>
            </a:graphic>
          </wp:inline>
        </w:drawing>
      </w:r>
    </w:p>
    <w:p w14:paraId="10B90643" w14:textId="77777777" w:rsidR="005416F5" w:rsidRPr="00903F9D" w:rsidRDefault="005416F5" w:rsidP="005416F5">
      <w:r w:rsidRPr="00903F9D">
        <w:rPr>
          <w:noProof/>
        </w:rPr>
        <w:lastRenderedPageBreak/>
        <w:drawing>
          <wp:inline distT="0" distB="0" distL="0" distR="0" wp14:anchorId="4E2E1EAB" wp14:editId="28B47576">
            <wp:extent cx="5695950" cy="6449936"/>
            <wp:effectExtent l="0" t="0" r="0" b="8255"/>
            <wp:docPr id="15" name="Picture 15" descr="Proposed clinical management algorithm for osteoporosis risk assessment, diagnosis and management: for DXA and for R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roposed clinical management algorithm for osteoporosis risk assessment, diagnosis and management: for DXA and for REMS"/>
                    <pic:cNvPicPr/>
                  </pic:nvPicPr>
                  <pic:blipFill rotWithShape="1">
                    <a:blip r:embed="rId48"/>
                    <a:srcRect t="3129"/>
                    <a:stretch/>
                  </pic:blipFill>
                  <pic:spPr bwMode="auto">
                    <a:xfrm>
                      <a:off x="0" y="0"/>
                      <a:ext cx="5746483" cy="6507158"/>
                    </a:xfrm>
                    <a:prstGeom prst="rect">
                      <a:avLst/>
                    </a:prstGeom>
                    <a:ln>
                      <a:noFill/>
                    </a:ln>
                    <a:extLst>
                      <a:ext uri="{53640926-AAD7-44D8-BBD7-CCE9431645EC}">
                        <a14:shadowObscured xmlns:a14="http://schemas.microsoft.com/office/drawing/2010/main"/>
                      </a:ext>
                    </a:extLst>
                  </pic:spPr>
                </pic:pic>
              </a:graphicData>
            </a:graphic>
          </wp:inline>
        </w:drawing>
      </w:r>
    </w:p>
    <w:p w14:paraId="253201C6" w14:textId="3CF98B4B" w:rsidR="005416F5" w:rsidRPr="00903F9D" w:rsidRDefault="005416F5" w:rsidP="00316C71">
      <w:pPr>
        <w:pStyle w:val="Caption"/>
        <w:spacing w:before="120"/>
        <w:rPr>
          <w:sz w:val="18"/>
          <w:szCs w:val="18"/>
        </w:rPr>
      </w:pPr>
      <w:bookmarkStart w:id="16" w:name="_Ref94458740"/>
      <w:r w:rsidRPr="00903F9D">
        <w:t>Figure </w:t>
      </w:r>
      <w:r w:rsidR="008D0E73">
        <w:fldChar w:fldCharType="begin"/>
      </w:r>
      <w:r w:rsidR="008D0E73">
        <w:instrText xml:space="preserve"> SEQ Figure \* ARABIC </w:instrText>
      </w:r>
      <w:r w:rsidR="008D0E73">
        <w:fldChar w:fldCharType="separate"/>
      </w:r>
      <w:r w:rsidR="00DF3307" w:rsidRPr="00903F9D">
        <w:rPr>
          <w:noProof/>
        </w:rPr>
        <w:t>1</w:t>
      </w:r>
      <w:r w:rsidR="008D0E73">
        <w:rPr>
          <w:noProof/>
        </w:rPr>
        <w:fldChar w:fldCharType="end"/>
      </w:r>
      <w:bookmarkEnd w:id="16"/>
      <w:r w:rsidRPr="00903F9D">
        <w:tab/>
        <w:t xml:space="preserve">Proposed clinical management algorithm for osteoporosis risk assessment, </w:t>
      </w:r>
      <w:proofErr w:type="gramStart"/>
      <w:r w:rsidRPr="00903F9D">
        <w:t>diagnosis</w:t>
      </w:r>
      <w:proofErr w:type="gramEnd"/>
      <w:r w:rsidRPr="00903F9D">
        <w:t xml:space="preserve"> and management: for DXA and for REMS</w:t>
      </w:r>
    </w:p>
    <w:p w14:paraId="7FFCEA17" w14:textId="7A605194" w:rsidR="00265FA5" w:rsidRPr="00903F9D" w:rsidRDefault="005416F5" w:rsidP="0092090E">
      <w:r w:rsidRPr="00903F9D">
        <w:rPr>
          <w:rFonts w:ascii="Arial Narrow" w:hAnsi="Arial Narrow"/>
          <w:sz w:val="18"/>
          <w:szCs w:val="18"/>
        </w:rPr>
        <w:t xml:space="preserve">Source: </w:t>
      </w:r>
      <w:r w:rsidR="009042DB" w:rsidRPr="00903F9D">
        <w:rPr>
          <w:rFonts w:ascii="Arial Narrow" w:hAnsi="Arial Narrow"/>
          <w:sz w:val="18"/>
          <w:szCs w:val="18"/>
        </w:rPr>
        <w:t xml:space="preserve">MSAC 1665 </w:t>
      </w:r>
      <w:r w:rsidRPr="00903F9D">
        <w:rPr>
          <w:rFonts w:ascii="Arial Narrow" w:hAnsi="Arial Narrow"/>
          <w:sz w:val="18"/>
          <w:szCs w:val="18"/>
        </w:rPr>
        <w:t xml:space="preserve">PICO </w:t>
      </w:r>
      <w:r w:rsidR="009042DB" w:rsidRPr="00903F9D">
        <w:rPr>
          <w:rFonts w:ascii="Arial Narrow" w:hAnsi="Arial Narrow"/>
          <w:sz w:val="18"/>
          <w:szCs w:val="18"/>
        </w:rPr>
        <w:t xml:space="preserve">Confirmation </w:t>
      </w:r>
      <w:r w:rsidRPr="00903F9D">
        <w:rPr>
          <w:rFonts w:ascii="Arial Narrow" w:hAnsi="Arial Narrow"/>
          <w:sz w:val="18"/>
          <w:szCs w:val="18"/>
        </w:rPr>
        <w:t xml:space="preserve">Figure 4, sourced from </w:t>
      </w:r>
      <w:hyperlink r:id="rId49" w:history="1">
        <w:r w:rsidRPr="00903F9D">
          <w:rPr>
            <w:rStyle w:val="Hyperlink"/>
            <w:rFonts w:ascii="Arial Narrow" w:hAnsi="Arial Narrow"/>
            <w:sz w:val="18"/>
            <w:szCs w:val="18"/>
          </w:rPr>
          <w:t>February 2021 Healthy Bones Position Statement on the Management of Osteoporosis</w:t>
        </w:r>
      </w:hyperlink>
    </w:p>
    <w:p w14:paraId="24AD6A72" w14:textId="388E3D24" w:rsidR="00772829" w:rsidRPr="00903F9D" w:rsidRDefault="00EB62FF" w:rsidP="002A18BE">
      <w:pPr>
        <w:pStyle w:val="Heading2"/>
        <w:numPr>
          <w:ilvl w:val="0"/>
          <w:numId w:val="0"/>
        </w:numPr>
      </w:pPr>
      <w:bookmarkStart w:id="17" w:name="_Toc69491420"/>
      <w:r w:rsidRPr="00903F9D">
        <w:t>8</w:t>
      </w:r>
      <w:r w:rsidR="00C36633" w:rsidRPr="00903F9D">
        <w:t>.</w:t>
      </w:r>
      <w:r w:rsidR="00C36633" w:rsidRPr="00903F9D">
        <w:tab/>
      </w:r>
      <w:r w:rsidR="00772829" w:rsidRPr="00903F9D">
        <w:t>Comparator</w:t>
      </w:r>
      <w:bookmarkEnd w:id="17"/>
    </w:p>
    <w:p w14:paraId="2BD95515" w14:textId="6D7F13F1" w:rsidR="00D70F3B" w:rsidRPr="00903F9D" w:rsidRDefault="00D5089A" w:rsidP="00E76AE0">
      <w:pPr>
        <w:pStyle w:val="Instructionaltext"/>
        <w:rPr>
          <w:iCs/>
          <w:color w:val="auto"/>
        </w:rPr>
      </w:pPr>
      <w:r w:rsidRPr="00903F9D">
        <w:rPr>
          <w:color w:val="auto"/>
        </w:rPr>
        <w:t>The</w:t>
      </w:r>
      <w:r w:rsidR="004F596A" w:rsidRPr="00903F9D">
        <w:rPr>
          <w:color w:val="auto"/>
        </w:rPr>
        <w:t xml:space="preserve"> ADAR nominated</w:t>
      </w:r>
      <w:r w:rsidRPr="00903F9D">
        <w:rPr>
          <w:color w:val="auto"/>
        </w:rPr>
        <w:t xml:space="preserve"> DXA</w:t>
      </w:r>
      <w:r w:rsidR="004F596A" w:rsidRPr="00903F9D">
        <w:rPr>
          <w:color w:val="auto"/>
        </w:rPr>
        <w:t xml:space="preserve"> as the main and only comparator</w:t>
      </w:r>
      <w:r w:rsidRPr="00903F9D">
        <w:rPr>
          <w:color w:val="auto"/>
        </w:rPr>
        <w:t>.</w:t>
      </w:r>
      <w:r w:rsidR="00F56FFC" w:rsidRPr="00903F9D">
        <w:rPr>
          <w:color w:val="auto"/>
        </w:rPr>
        <w:t xml:space="preserve"> </w:t>
      </w:r>
      <w:r w:rsidR="00F56FFC" w:rsidRPr="00903F9D">
        <w:rPr>
          <w:iCs/>
          <w:color w:val="auto"/>
        </w:rPr>
        <w:t xml:space="preserve">This is consistent with the ratified </w:t>
      </w:r>
      <w:hyperlink r:id="rId50" w:history="1">
        <w:r w:rsidR="0057751D" w:rsidRPr="00903F9D">
          <w:rPr>
            <w:rStyle w:val="Hyperlink"/>
          </w:rPr>
          <w:t>PICO confirmation</w:t>
        </w:r>
      </w:hyperlink>
      <w:r w:rsidR="0057751D" w:rsidRPr="00903F9D" w:rsidDel="0057751D">
        <w:rPr>
          <w:iCs/>
          <w:color w:val="auto"/>
        </w:rPr>
        <w:t xml:space="preserve"> </w:t>
      </w:r>
      <w:bookmarkStart w:id="18" w:name="_Hlk97012316"/>
      <w:r w:rsidR="007F64E1" w:rsidRPr="00903F9D">
        <w:rPr>
          <w:color w:val="auto"/>
        </w:rPr>
        <w:t xml:space="preserve">(p.12, </w:t>
      </w:r>
      <w:r w:rsidR="00122623" w:rsidRPr="00903F9D">
        <w:rPr>
          <w:color w:val="auto"/>
        </w:rPr>
        <w:t>MSAC 1665</w:t>
      </w:r>
      <w:r w:rsidR="009042DB" w:rsidRPr="00903F9D">
        <w:rPr>
          <w:color w:val="auto"/>
        </w:rPr>
        <w:t xml:space="preserve"> </w:t>
      </w:r>
      <w:r w:rsidR="007F64E1" w:rsidRPr="00903F9D">
        <w:rPr>
          <w:color w:val="auto"/>
        </w:rPr>
        <w:t>PICO</w:t>
      </w:r>
      <w:r w:rsidR="00C62196" w:rsidRPr="00903F9D">
        <w:rPr>
          <w:color w:val="auto"/>
        </w:rPr>
        <w:t xml:space="preserve"> Confirmation</w:t>
      </w:r>
      <w:r w:rsidR="007F64E1" w:rsidRPr="00903F9D">
        <w:rPr>
          <w:color w:val="auto"/>
        </w:rPr>
        <w:t>).</w:t>
      </w:r>
    </w:p>
    <w:p w14:paraId="4BA1CCE9" w14:textId="77777777" w:rsidR="00D70F3B" w:rsidRPr="00903F9D" w:rsidRDefault="00D70F3B" w:rsidP="00E76AE0">
      <w:pPr>
        <w:pStyle w:val="Instructionaltext"/>
        <w:rPr>
          <w:color w:val="auto"/>
        </w:rPr>
      </w:pPr>
      <w:r w:rsidRPr="00903F9D">
        <w:rPr>
          <w:color w:val="auto"/>
        </w:rPr>
        <w:t xml:space="preserve">DXA is a way of measuring BMD using spectral imaging. In a DXA scan, two x-ray beams, with different energy levels are aimed at a patient’s bones (usually the lumbar spine and hip). When soft tissue absorption is subtracted out, the BMD can be determined from the absorption of each </w:t>
      </w:r>
      <w:r w:rsidRPr="00903F9D">
        <w:rPr>
          <w:color w:val="auto"/>
        </w:rPr>
        <w:lastRenderedPageBreak/>
        <w:t>beam by bone. DXA scans are subsidised under the MBS for eligible patients. The MBS items that can be claimed for DXA services are: 12306, 12312, 12315, 12320, 12321 and 12322.</w:t>
      </w:r>
    </w:p>
    <w:p w14:paraId="193EEF06" w14:textId="77777777" w:rsidR="00EF3404" w:rsidRPr="00903F9D" w:rsidRDefault="00EF3404" w:rsidP="005B73DA">
      <w:pPr>
        <w:pStyle w:val="Instructionaltext"/>
        <w:keepNext/>
        <w:rPr>
          <w:color w:val="auto"/>
        </w:rPr>
      </w:pPr>
      <w:r w:rsidRPr="00903F9D">
        <w:rPr>
          <w:color w:val="auto"/>
        </w:rPr>
        <w:t>The following arguments</w:t>
      </w:r>
      <w:r w:rsidR="00393193" w:rsidRPr="00903F9D">
        <w:rPr>
          <w:color w:val="auto"/>
        </w:rPr>
        <w:t xml:space="preserve"> were provided by the ADAR to</w:t>
      </w:r>
      <w:r w:rsidRPr="00903F9D">
        <w:rPr>
          <w:color w:val="auto"/>
        </w:rPr>
        <w:t xml:space="preserve"> justify DXA as the main comparator:</w:t>
      </w:r>
    </w:p>
    <w:p w14:paraId="1E646DA2" w14:textId="5C2681F1" w:rsidR="003F14C2" w:rsidRPr="00903F9D" w:rsidRDefault="005744CE" w:rsidP="00807EC6">
      <w:pPr>
        <w:pStyle w:val="Instructionaltext"/>
        <w:numPr>
          <w:ilvl w:val="0"/>
          <w:numId w:val="14"/>
        </w:numPr>
        <w:rPr>
          <w:color w:val="auto"/>
        </w:rPr>
      </w:pPr>
      <w:r w:rsidRPr="00903F9D">
        <w:rPr>
          <w:color w:val="auto"/>
        </w:rPr>
        <w:t>DXA is the most widely used and thoroughly studied bone density measurement technology used in Australia for the diagnosis of osteoporosis/</w:t>
      </w:r>
      <w:r w:rsidR="002B639F" w:rsidRPr="00903F9D">
        <w:rPr>
          <w:color w:val="auto"/>
        </w:rPr>
        <w:t>osteopenia</w:t>
      </w:r>
      <w:r w:rsidRPr="00903F9D">
        <w:rPr>
          <w:color w:val="auto"/>
        </w:rPr>
        <w:t xml:space="preserve">. </w:t>
      </w:r>
      <w:r w:rsidR="00393193" w:rsidRPr="00903F9D">
        <w:rPr>
          <w:color w:val="auto"/>
        </w:rPr>
        <w:t xml:space="preserve">Furthermore, </w:t>
      </w:r>
      <w:r w:rsidR="005E4BE1" w:rsidRPr="00903F9D">
        <w:rPr>
          <w:color w:val="auto"/>
        </w:rPr>
        <w:t>DXA is the only diagnostic tool recommended by the Royal Australian College of General Practitioners (RACGP) for the assessment</w:t>
      </w:r>
      <w:r w:rsidR="002B639F" w:rsidRPr="00903F9D">
        <w:rPr>
          <w:color w:val="auto"/>
        </w:rPr>
        <w:t xml:space="preserve">, </w:t>
      </w:r>
      <w:proofErr w:type="gramStart"/>
      <w:r w:rsidR="002B639F" w:rsidRPr="00903F9D">
        <w:rPr>
          <w:color w:val="auto"/>
        </w:rPr>
        <w:t>diagnosis</w:t>
      </w:r>
      <w:proofErr w:type="gramEnd"/>
      <w:r w:rsidR="002B639F" w:rsidRPr="00903F9D">
        <w:rPr>
          <w:color w:val="auto"/>
        </w:rPr>
        <w:t xml:space="preserve"> and management of osteoporosis.</w:t>
      </w:r>
    </w:p>
    <w:bookmarkEnd w:id="18"/>
    <w:p w14:paraId="0DCE9906" w14:textId="5C4370E6" w:rsidR="00C723C4" w:rsidRPr="00903F9D" w:rsidRDefault="00EF3404" w:rsidP="00807EC6">
      <w:pPr>
        <w:pStyle w:val="Instructionaltext"/>
        <w:numPr>
          <w:ilvl w:val="0"/>
          <w:numId w:val="14"/>
        </w:numPr>
        <w:rPr>
          <w:color w:val="auto"/>
        </w:rPr>
      </w:pPr>
      <w:r w:rsidRPr="00903F9D">
        <w:rPr>
          <w:color w:val="auto"/>
        </w:rPr>
        <w:t xml:space="preserve">DXA </w:t>
      </w:r>
      <w:r w:rsidR="00037D55" w:rsidRPr="00903F9D">
        <w:rPr>
          <w:color w:val="auto"/>
        </w:rPr>
        <w:t>is</w:t>
      </w:r>
      <w:r w:rsidRPr="00903F9D">
        <w:rPr>
          <w:color w:val="auto"/>
        </w:rPr>
        <w:t xml:space="preserve"> currently funded via the MBS.</w:t>
      </w:r>
    </w:p>
    <w:p w14:paraId="24E2408D" w14:textId="24591582" w:rsidR="00CB3468" w:rsidRPr="00903F9D" w:rsidRDefault="007F64E1" w:rsidP="00044738">
      <w:pPr>
        <w:pStyle w:val="Instructionaltext"/>
        <w:rPr>
          <w:color w:val="auto"/>
        </w:rPr>
      </w:pPr>
      <w:r w:rsidRPr="00903F9D">
        <w:rPr>
          <w:color w:val="auto"/>
        </w:rPr>
        <w:t xml:space="preserve">DXA </w:t>
      </w:r>
      <w:r w:rsidR="00D70F3B" w:rsidRPr="00903F9D">
        <w:rPr>
          <w:color w:val="auto"/>
        </w:rPr>
        <w:t>can be used to scan and measure BMD at other sites (</w:t>
      </w:r>
      <w:proofErr w:type="gramStart"/>
      <w:r w:rsidR="00D70F3B" w:rsidRPr="00903F9D">
        <w:rPr>
          <w:color w:val="auto"/>
        </w:rPr>
        <w:t>e.g.</w:t>
      </w:r>
      <w:proofErr w:type="gramEnd"/>
      <w:r w:rsidR="00D70F3B" w:rsidRPr="00903F9D">
        <w:rPr>
          <w:color w:val="auto"/>
        </w:rPr>
        <w:t xml:space="preserve"> wrist, forearm, heel) which cannot be assessed by REMS. Therefore, a comparison of DXA and REMS at these sites </w:t>
      </w:r>
      <w:r w:rsidR="00DD5985" w:rsidRPr="00903F9D">
        <w:rPr>
          <w:color w:val="auto"/>
        </w:rPr>
        <w:t>was</w:t>
      </w:r>
      <w:r w:rsidR="00D70F3B" w:rsidRPr="00903F9D">
        <w:rPr>
          <w:color w:val="auto"/>
        </w:rPr>
        <w:t xml:space="preserve"> not ab</w:t>
      </w:r>
      <w:r w:rsidR="00AD0E40" w:rsidRPr="00903F9D">
        <w:rPr>
          <w:color w:val="auto"/>
        </w:rPr>
        <w:t>le</w:t>
      </w:r>
      <w:r w:rsidR="00D70F3B" w:rsidRPr="00903F9D">
        <w:rPr>
          <w:color w:val="auto"/>
        </w:rPr>
        <w:t xml:space="preserve"> to be assessed. </w:t>
      </w:r>
      <w:r w:rsidR="00122623" w:rsidRPr="00903F9D">
        <w:rPr>
          <w:color w:val="auto"/>
        </w:rPr>
        <w:t>This has implications for certain populations including those with hyperparathyroidism</w:t>
      </w:r>
      <w:r w:rsidR="00122623" w:rsidRPr="00903F9D">
        <w:t xml:space="preserve"> </w:t>
      </w:r>
      <w:r w:rsidR="00122623" w:rsidRPr="00903F9D">
        <w:rPr>
          <w:color w:val="auto"/>
        </w:rPr>
        <w:t>where the effects of increased bone turnover leading to low BMD, and increased fracture are mainly seen in the distal forearm (rich in cortical bone)</w:t>
      </w:r>
      <w:r w:rsidRPr="00903F9D">
        <w:rPr>
          <w:color w:val="auto"/>
        </w:rPr>
        <w:t xml:space="preserve">. </w:t>
      </w:r>
      <w:r w:rsidR="00641CBE" w:rsidRPr="00903F9D">
        <w:rPr>
          <w:color w:val="auto"/>
        </w:rPr>
        <w:t>The pre-ESC response claimed that this was likely to be a rare request and noted that the most appropriate scan would be DXA for these patients.</w:t>
      </w:r>
    </w:p>
    <w:p w14:paraId="7C5EAD84" w14:textId="1065BA75" w:rsidR="00772829" w:rsidRPr="00903F9D" w:rsidRDefault="00EB62FF" w:rsidP="002A18BE">
      <w:pPr>
        <w:pStyle w:val="Heading2"/>
        <w:numPr>
          <w:ilvl w:val="0"/>
          <w:numId w:val="0"/>
        </w:numPr>
      </w:pPr>
      <w:bookmarkStart w:id="19" w:name="_Toc69491421"/>
      <w:r w:rsidRPr="00903F9D">
        <w:t>9</w:t>
      </w:r>
      <w:r w:rsidR="00C36633" w:rsidRPr="00903F9D">
        <w:t>.</w:t>
      </w:r>
      <w:r w:rsidR="00C36633" w:rsidRPr="00903F9D">
        <w:tab/>
      </w:r>
      <w:r w:rsidR="00772829" w:rsidRPr="00903F9D">
        <w:t xml:space="preserve">Summary of public consultation </w:t>
      </w:r>
      <w:r w:rsidR="0052575D" w:rsidRPr="00903F9D">
        <w:t>input</w:t>
      </w:r>
      <w:bookmarkEnd w:id="19"/>
    </w:p>
    <w:p w14:paraId="57338BA6" w14:textId="3915DBEC" w:rsidR="00AD19C0" w:rsidRPr="00903F9D" w:rsidRDefault="00E64C7A" w:rsidP="005B73DA">
      <w:pPr>
        <w:pStyle w:val="Instructionaltext"/>
        <w:keepNext/>
        <w:rPr>
          <w:color w:val="auto"/>
        </w:rPr>
      </w:pPr>
      <w:r w:rsidRPr="00903F9D">
        <w:rPr>
          <w:color w:val="auto"/>
        </w:rPr>
        <w:t>C</w:t>
      </w:r>
      <w:r w:rsidR="00AD19C0" w:rsidRPr="00903F9D">
        <w:rPr>
          <w:color w:val="auto"/>
        </w:rPr>
        <w:t xml:space="preserve">onsultation input was received from one (1) individual and </w:t>
      </w:r>
      <w:r w:rsidR="00DA71F9" w:rsidRPr="00903F9D">
        <w:rPr>
          <w:color w:val="auto"/>
        </w:rPr>
        <w:t>eight</w:t>
      </w:r>
      <w:r w:rsidR="00AD19C0" w:rsidRPr="00903F9D">
        <w:rPr>
          <w:color w:val="auto"/>
        </w:rPr>
        <w:t xml:space="preserve"> (</w:t>
      </w:r>
      <w:r w:rsidR="00DA71F9" w:rsidRPr="00903F9D">
        <w:rPr>
          <w:color w:val="auto"/>
        </w:rPr>
        <w:t>8</w:t>
      </w:r>
      <w:r w:rsidR="00AD19C0" w:rsidRPr="00903F9D">
        <w:rPr>
          <w:color w:val="auto"/>
        </w:rPr>
        <w:t>) organisations:</w:t>
      </w:r>
    </w:p>
    <w:p w14:paraId="6F815251" w14:textId="77777777" w:rsidR="00AD19C0" w:rsidRPr="00903F9D" w:rsidRDefault="00AD19C0" w:rsidP="00807EC6">
      <w:pPr>
        <w:pStyle w:val="Instructionaltext"/>
        <w:numPr>
          <w:ilvl w:val="0"/>
          <w:numId w:val="12"/>
        </w:numPr>
        <w:rPr>
          <w:color w:val="auto"/>
        </w:rPr>
      </w:pPr>
      <w:r w:rsidRPr="00903F9D">
        <w:rPr>
          <w:color w:val="auto"/>
        </w:rPr>
        <w:t>Australian and New Zealand Bone and Mineral Society (ANZBMS)</w:t>
      </w:r>
    </w:p>
    <w:p w14:paraId="4F3FE6A9" w14:textId="77777777" w:rsidR="00AD19C0" w:rsidRPr="00903F9D" w:rsidRDefault="00AD19C0" w:rsidP="00807EC6">
      <w:pPr>
        <w:pStyle w:val="Instructionaltext"/>
        <w:numPr>
          <w:ilvl w:val="0"/>
          <w:numId w:val="12"/>
        </w:numPr>
        <w:rPr>
          <w:color w:val="auto"/>
        </w:rPr>
      </w:pPr>
      <w:r w:rsidRPr="00903F9D">
        <w:rPr>
          <w:color w:val="auto"/>
        </w:rPr>
        <w:t>Australian Diagnostic Imaging Association (ADIA)</w:t>
      </w:r>
    </w:p>
    <w:p w14:paraId="6180B756" w14:textId="77777777" w:rsidR="00AD19C0" w:rsidRPr="00903F9D" w:rsidRDefault="00AD19C0" w:rsidP="00807EC6">
      <w:pPr>
        <w:pStyle w:val="Instructionaltext"/>
        <w:numPr>
          <w:ilvl w:val="0"/>
          <w:numId w:val="12"/>
        </w:numPr>
        <w:rPr>
          <w:color w:val="auto"/>
        </w:rPr>
      </w:pPr>
      <w:r w:rsidRPr="00903F9D">
        <w:rPr>
          <w:color w:val="auto"/>
        </w:rPr>
        <w:t>Australian Society of Medical Imaging and Radiation Therapy (ASMIRT)</w:t>
      </w:r>
    </w:p>
    <w:p w14:paraId="22064532" w14:textId="77777777" w:rsidR="00AD19C0" w:rsidRPr="00903F9D" w:rsidRDefault="00AD19C0" w:rsidP="00807EC6">
      <w:pPr>
        <w:pStyle w:val="Instructionaltext"/>
        <w:numPr>
          <w:ilvl w:val="0"/>
          <w:numId w:val="12"/>
        </w:numPr>
        <w:rPr>
          <w:color w:val="auto"/>
        </w:rPr>
      </w:pPr>
      <w:r w:rsidRPr="00903F9D">
        <w:rPr>
          <w:color w:val="auto"/>
        </w:rPr>
        <w:t>Australasian Association of Nuclear Medicine Specialists (AANMS)</w:t>
      </w:r>
    </w:p>
    <w:p w14:paraId="659958AB" w14:textId="6EDD5637" w:rsidR="00AD19C0" w:rsidRPr="00903F9D" w:rsidRDefault="00AD19C0" w:rsidP="00807EC6">
      <w:pPr>
        <w:pStyle w:val="Instructionaltext"/>
        <w:numPr>
          <w:ilvl w:val="0"/>
          <w:numId w:val="12"/>
        </w:numPr>
        <w:rPr>
          <w:color w:val="auto"/>
        </w:rPr>
      </w:pPr>
      <w:r w:rsidRPr="00903F9D">
        <w:rPr>
          <w:color w:val="auto"/>
        </w:rPr>
        <w:t>Australasian Sonographers Association</w:t>
      </w:r>
      <w:r w:rsidR="00734FB9" w:rsidRPr="00903F9D">
        <w:rPr>
          <w:color w:val="auto"/>
        </w:rPr>
        <w:t xml:space="preserve"> (ASA)</w:t>
      </w:r>
    </w:p>
    <w:p w14:paraId="46EB793A" w14:textId="77777777" w:rsidR="00AD19C0" w:rsidRPr="00903F9D" w:rsidRDefault="00AD19C0" w:rsidP="00807EC6">
      <w:pPr>
        <w:pStyle w:val="Instructionaltext"/>
        <w:numPr>
          <w:ilvl w:val="0"/>
          <w:numId w:val="12"/>
        </w:numPr>
        <w:rPr>
          <w:color w:val="auto"/>
        </w:rPr>
      </w:pPr>
      <w:r w:rsidRPr="00903F9D">
        <w:rPr>
          <w:color w:val="auto"/>
        </w:rPr>
        <w:t>Healthy Bones Australia (HBA)</w:t>
      </w:r>
    </w:p>
    <w:p w14:paraId="06F9689A" w14:textId="77777777" w:rsidR="00DA71F9" w:rsidRPr="00903F9D" w:rsidRDefault="00AD19C0" w:rsidP="00DA71F9">
      <w:pPr>
        <w:pStyle w:val="Instructionaltext"/>
        <w:numPr>
          <w:ilvl w:val="0"/>
          <w:numId w:val="12"/>
        </w:numPr>
        <w:rPr>
          <w:color w:val="auto"/>
        </w:rPr>
      </w:pPr>
      <w:r w:rsidRPr="00903F9D">
        <w:rPr>
          <w:color w:val="auto"/>
        </w:rPr>
        <w:t>Royal Australian and New Zealand College of Radiologists (RANZCR)</w:t>
      </w:r>
    </w:p>
    <w:p w14:paraId="75694D51" w14:textId="4DF4FA58" w:rsidR="00DA71F9" w:rsidRPr="00903F9D" w:rsidRDefault="00DA71F9" w:rsidP="00DA71F9">
      <w:pPr>
        <w:pStyle w:val="Instructionaltext"/>
        <w:numPr>
          <w:ilvl w:val="0"/>
          <w:numId w:val="12"/>
        </w:numPr>
        <w:rPr>
          <w:color w:val="auto"/>
        </w:rPr>
      </w:pPr>
      <w:r w:rsidRPr="00903F9D">
        <w:rPr>
          <w:color w:val="auto"/>
        </w:rPr>
        <w:t>Royal Australian College of General Practitioners (RACGP).</w:t>
      </w:r>
    </w:p>
    <w:p w14:paraId="750BC46A" w14:textId="77777777" w:rsidR="00C76EA4" w:rsidRPr="00903F9D" w:rsidRDefault="00C76EA4" w:rsidP="00C76EA4">
      <w:pPr>
        <w:spacing w:before="0" w:after="200" w:line="276" w:lineRule="auto"/>
      </w:pPr>
      <w:r w:rsidRPr="00903F9D">
        <w:t>Most organisations were not supportive of the application; however, the Australasian Sonographers Association and the individual supported the application. Organisations not supportive of the application however noted that REMS measurement of BMD may have potential use in settings where patients would not be able to easily access DXA.</w:t>
      </w:r>
    </w:p>
    <w:p w14:paraId="5F7B0912" w14:textId="6C8C6665" w:rsidR="00C76EA4" w:rsidRPr="00903F9D" w:rsidRDefault="00C76EA4" w:rsidP="005B73DA">
      <w:pPr>
        <w:keepNext/>
        <w:spacing w:before="0" w:after="0" w:line="276" w:lineRule="auto"/>
        <w:rPr>
          <w:iCs/>
          <w:u w:val="single"/>
        </w:rPr>
      </w:pPr>
      <w:r w:rsidRPr="00903F9D">
        <w:rPr>
          <w:iCs/>
          <w:u w:val="single"/>
        </w:rPr>
        <w:t>Benefits</w:t>
      </w:r>
      <w:r w:rsidR="005B73DA" w:rsidRPr="00903F9D">
        <w:rPr>
          <w:iCs/>
          <w:u w:val="single"/>
        </w:rPr>
        <w:t xml:space="preserve"> suggested by the consultation</w:t>
      </w:r>
    </w:p>
    <w:p w14:paraId="0E17ED68" w14:textId="14C8E9BA" w:rsidR="00C76EA4" w:rsidRPr="00903F9D" w:rsidRDefault="00C76EA4" w:rsidP="00C76EA4">
      <w:pPr>
        <w:spacing w:before="0" w:after="200" w:line="276" w:lineRule="auto"/>
      </w:pPr>
      <w:r w:rsidRPr="00903F9D">
        <w:t>Most responses noted that the portability of the REMS device would allow easier access to BMD scans, such as for patients in nursing home</w:t>
      </w:r>
      <w:r w:rsidR="009F34C8" w:rsidRPr="00903F9D">
        <w:t>s</w:t>
      </w:r>
      <w:r w:rsidRPr="00903F9D">
        <w:t xml:space="preserve"> or rural and remote communities. It was also noted that REMS is radiation free, but levels of radiation associated with a DXA scan are </w:t>
      </w:r>
      <w:r w:rsidR="00DA71F9" w:rsidRPr="00903F9D">
        <w:t xml:space="preserve">very </w:t>
      </w:r>
      <w:r w:rsidRPr="00903F9D">
        <w:t>low.</w:t>
      </w:r>
    </w:p>
    <w:p w14:paraId="46FB578B" w14:textId="482ED3D3" w:rsidR="00C76EA4" w:rsidRPr="00903F9D" w:rsidRDefault="00C76EA4" w:rsidP="00C76EA4">
      <w:pPr>
        <w:spacing w:before="0" w:after="200" w:line="276" w:lineRule="auto"/>
      </w:pPr>
      <w:r w:rsidRPr="00903F9D">
        <w:t xml:space="preserve">The individual, a nurse educator, noted that REMS could offer greater flexibility for patients who are unable to lie completely supine for DXA scans, and would also provide greater consumer choice. It was also noted that test accuracy is important for consumer confidence </w:t>
      </w:r>
      <w:r w:rsidR="009F34C8" w:rsidRPr="00903F9D">
        <w:t xml:space="preserve">because </w:t>
      </w:r>
      <w:r w:rsidRPr="00903F9D">
        <w:t>taking osteoporosis treatment is dictated by the BMD result</w:t>
      </w:r>
      <w:r w:rsidR="00E64C7A" w:rsidRPr="00903F9D">
        <w:t>, and the individual stated that</w:t>
      </w:r>
      <w:r w:rsidRPr="00903F9D">
        <w:t xml:space="preserve"> REMS would also have the potential for greater accuracy.</w:t>
      </w:r>
    </w:p>
    <w:p w14:paraId="335A4225" w14:textId="62615634" w:rsidR="00C76EA4" w:rsidRPr="00903F9D" w:rsidRDefault="00C76EA4" w:rsidP="005B73DA">
      <w:pPr>
        <w:keepNext/>
        <w:spacing w:before="0" w:after="0" w:line="276" w:lineRule="auto"/>
        <w:rPr>
          <w:u w:val="single"/>
        </w:rPr>
      </w:pPr>
      <w:r w:rsidRPr="00903F9D">
        <w:rPr>
          <w:u w:val="single"/>
        </w:rPr>
        <w:lastRenderedPageBreak/>
        <w:t>Disadvantages</w:t>
      </w:r>
      <w:r w:rsidR="005B73DA" w:rsidRPr="00903F9D">
        <w:rPr>
          <w:iCs/>
          <w:u w:val="single"/>
        </w:rPr>
        <w:t xml:space="preserve"> suggested by the consultation</w:t>
      </w:r>
    </w:p>
    <w:p w14:paraId="28A84655" w14:textId="77777777" w:rsidR="00C76EA4" w:rsidRPr="00903F9D" w:rsidRDefault="00C76EA4" w:rsidP="005B73DA">
      <w:pPr>
        <w:keepNext/>
        <w:spacing w:before="0" w:after="0" w:line="276" w:lineRule="auto"/>
      </w:pPr>
      <w:r w:rsidRPr="00903F9D">
        <w:t>Organisations considered DXA the gold standard for BMD assessment and did not consider that the REMS technology had the same functionality as DXA. They noted the following disadvantages for the REMS technology, including:</w:t>
      </w:r>
    </w:p>
    <w:p w14:paraId="5A9EE9E4" w14:textId="586B2005" w:rsidR="00C76EA4" w:rsidRPr="00903F9D" w:rsidRDefault="00C76EA4" w:rsidP="00807EC6">
      <w:pPr>
        <w:numPr>
          <w:ilvl w:val="0"/>
          <w:numId w:val="13"/>
        </w:numPr>
        <w:spacing w:before="0" w:after="200" w:line="276" w:lineRule="auto"/>
        <w:contextualSpacing/>
        <w:rPr>
          <w:rFonts w:eastAsia="Calibri" w:cstheme="minorHAnsi"/>
        </w:rPr>
      </w:pPr>
      <w:r w:rsidRPr="00903F9D">
        <w:rPr>
          <w:rFonts w:eastAsia="Calibri" w:cstheme="minorHAnsi"/>
        </w:rPr>
        <w:t>Discordant results between REMS and DXA scans in lumbar spine and femoral neck had been found in a significant percentage of patients.</w:t>
      </w:r>
      <w:r w:rsidR="00DA71F9" w:rsidRPr="00903F9D">
        <w:rPr>
          <w:rFonts w:eastAsia="Calibri" w:cstheme="minorHAnsi"/>
        </w:rPr>
        <w:t xml:space="preserve"> This may lead to diagnostic confusion, which will be particularly </w:t>
      </w:r>
      <w:r w:rsidR="00A27581" w:rsidRPr="00903F9D">
        <w:rPr>
          <w:rFonts w:eastAsia="Calibri" w:cstheme="minorHAnsi"/>
        </w:rPr>
        <w:t xml:space="preserve">difficult for patients </w:t>
      </w:r>
      <w:r w:rsidR="0028666C" w:rsidRPr="00903F9D">
        <w:rPr>
          <w:rFonts w:eastAsia="Calibri" w:cstheme="minorHAnsi"/>
        </w:rPr>
        <w:t xml:space="preserve">who have previously received a DXA and could </w:t>
      </w:r>
      <w:r w:rsidR="00A27581" w:rsidRPr="00903F9D">
        <w:rPr>
          <w:rFonts w:eastAsia="Calibri" w:cstheme="minorHAnsi"/>
        </w:rPr>
        <w:t>result in a requirement for additional scans (with an out-of-pocket cost to patients).</w:t>
      </w:r>
    </w:p>
    <w:p w14:paraId="1D7FC6D1" w14:textId="16A2B857" w:rsidR="00C76EA4" w:rsidRPr="00903F9D" w:rsidRDefault="00C76EA4" w:rsidP="00807EC6">
      <w:pPr>
        <w:numPr>
          <w:ilvl w:val="0"/>
          <w:numId w:val="13"/>
        </w:numPr>
        <w:spacing w:before="0" w:after="200" w:line="276" w:lineRule="auto"/>
        <w:contextualSpacing/>
        <w:rPr>
          <w:rFonts w:eastAsia="Calibri" w:cstheme="minorHAnsi"/>
        </w:rPr>
      </w:pPr>
      <w:r w:rsidRPr="00903F9D">
        <w:rPr>
          <w:rFonts w:eastAsia="Calibri" w:cstheme="minorHAnsi"/>
        </w:rPr>
        <w:t>REMS may not obtain an adequate scan at the spine or hip in a significant number of subjects, especially in overweight patients, and the rate of unsuccessful scans may exceed 15% based on published studies.</w:t>
      </w:r>
    </w:p>
    <w:p w14:paraId="49FB047C" w14:textId="49916DFE" w:rsidR="00C76EA4" w:rsidRPr="00903F9D" w:rsidRDefault="00C76EA4" w:rsidP="00807EC6">
      <w:pPr>
        <w:numPr>
          <w:ilvl w:val="0"/>
          <w:numId w:val="13"/>
        </w:numPr>
        <w:spacing w:before="0" w:after="200" w:line="276" w:lineRule="auto"/>
        <w:contextualSpacing/>
        <w:rPr>
          <w:rFonts w:eastAsia="Calibri" w:cstheme="minorHAnsi"/>
        </w:rPr>
      </w:pPr>
      <w:r w:rsidRPr="00903F9D">
        <w:rPr>
          <w:rFonts w:eastAsia="Calibri" w:cstheme="minorHAnsi"/>
        </w:rPr>
        <w:t xml:space="preserve">REMS scans are limited to two regions, being lumbar vertebrae L1-L4 and the femoral neck. </w:t>
      </w:r>
      <w:r w:rsidR="00DA71F9" w:rsidRPr="00903F9D">
        <w:rPr>
          <w:rFonts w:eastAsia="Calibri" w:cstheme="minorHAnsi"/>
        </w:rPr>
        <w:t>A</w:t>
      </w:r>
      <w:r w:rsidRPr="00903F9D">
        <w:rPr>
          <w:rFonts w:eastAsia="Calibri" w:cstheme="minorHAnsi"/>
        </w:rPr>
        <w:t xml:space="preserve"> major limitation of REMS is</w:t>
      </w:r>
      <w:r w:rsidR="00DA71F9" w:rsidRPr="00903F9D">
        <w:rPr>
          <w:rFonts w:eastAsia="Calibri" w:cstheme="minorHAnsi"/>
        </w:rPr>
        <w:t xml:space="preserve"> therefore</w:t>
      </w:r>
      <w:r w:rsidRPr="00903F9D">
        <w:rPr>
          <w:rFonts w:eastAsia="Calibri" w:cstheme="minorHAnsi"/>
        </w:rPr>
        <w:t xml:space="preserve"> the inability to estimate BMD for TPF region of interest, one of the main sites used in DXA, and the recommended ‘Gold standard’ site for monitoring the proximal femur. </w:t>
      </w:r>
      <w:r w:rsidR="00DA71F9" w:rsidRPr="00903F9D">
        <w:rPr>
          <w:rFonts w:eastAsia="Calibri" w:cstheme="minorHAnsi"/>
        </w:rPr>
        <w:t>T</w:t>
      </w:r>
      <w:r w:rsidRPr="00903F9D">
        <w:rPr>
          <w:rFonts w:eastAsia="Calibri" w:cstheme="minorHAnsi"/>
        </w:rPr>
        <w:t xml:space="preserve">he validity of the diagnostic claims for REMS </w:t>
      </w:r>
      <w:r w:rsidR="00DA71F9" w:rsidRPr="00903F9D">
        <w:rPr>
          <w:rFonts w:eastAsia="Calibri" w:cstheme="minorHAnsi"/>
        </w:rPr>
        <w:t xml:space="preserve">was queried </w:t>
      </w:r>
      <w:r w:rsidRPr="00903F9D">
        <w:rPr>
          <w:rFonts w:eastAsia="Calibri" w:cstheme="minorHAnsi"/>
        </w:rPr>
        <w:t>given the studies have excluded TPF.</w:t>
      </w:r>
    </w:p>
    <w:p w14:paraId="3DE7EA9B" w14:textId="77777777" w:rsidR="00C76EA4" w:rsidRPr="00903F9D" w:rsidRDefault="00C76EA4" w:rsidP="00807EC6">
      <w:pPr>
        <w:numPr>
          <w:ilvl w:val="0"/>
          <w:numId w:val="13"/>
        </w:numPr>
        <w:spacing w:before="0" w:after="200" w:line="276" w:lineRule="auto"/>
        <w:contextualSpacing/>
        <w:rPr>
          <w:rFonts w:eastAsia="Calibri" w:cstheme="minorHAnsi"/>
        </w:rPr>
      </w:pPr>
      <w:r w:rsidRPr="00903F9D">
        <w:rPr>
          <w:rFonts w:eastAsia="Calibri" w:cstheme="minorHAnsi"/>
        </w:rPr>
        <w:t>REMS is not currently able to estimate BMD for the forearm (</w:t>
      </w:r>
      <w:proofErr w:type="gramStart"/>
      <w:r w:rsidRPr="00903F9D">
        <w:rPr>
          <w:rFonts w:eastAsia="Calibri" w:cstheme="minorHAnsi"/>
        </w:rPr>
        <w:t>e.g.</w:t>
      </w:r>
      <w:proofErr w:type="gramEnd"/>
      <w:r w:rsidRPr="00903F9D">
        <w:rPr>
          <w:rFonts w:eastAsia="Calibri" w:cstheme="minorHAnsi"/>
        </w:rPr>
        <w:t xml:space="preserve"> distal radius), a site commonly scanned using DXA to estimate BMD in patients with hyperparathyroidism.</w:t>
      </w:r>
    </w:p>
    <w:p w14:paraId="052002D2" w14:textId="364D0AF8" w:rsidR="00C76EA4" w:rsidRPr="00903F9D" w:rsidRDefault="00C76EA4" w:rsidP="00807EC6">
      <w:pPr>
        <w:numPr>
          <w:ilvl w:val="0"/>
          <w:numId w:val="13"/>
        </w:numPr>
        <w:spacing w:before="0" w:after="200" w:line="276" w:lineRule="auto"/>
        <w:contextualSpacing/>
        <w:rPr>
          <w:rFonts w:eastAsia="Calibri" w:cstheme="minorHAnsi"/>
        </w:rPr>
      </w:pPr>
      <w:r w:rsidRPr="00903F9D">
        <w:rPr>
          <w:rFonts w:eastAsia="Calibri" w:cstheme="minorHAnsi"/>
        </w:rPr>
        <w:t>There is limited data on REMS to support its utility for men</w:t>
      </w:r>
      <w:r w:rsidR="00DA71F9" w:rsidRPr="00903F9D">
        <w:rPr>
          <w:rFonts w:eastAsia="Calibri" w:cstheme="minorHAnsi"/>
        </w:rPr>
        <w:t xml:space="preserve"> (noting the potential for more unsuccessful scans due to larger abdominal </w:t>
      </w:r>
      <w:r w:rsidR="00A27581" w:rsidRPr="00903F9D">
        <w:rPr>
          <w:rFonts w:eastAsia="Calibri" w:cstheme="minorHAnsi"/>
        </w:rPr>
        <w:t>thickness</w:t>
      </w:r>
      <w:r w:rsidR="00DA71F9" w:rsidRPr="00903F9D">
        <w:rPr>
          <w:rFonts w:eastAsia="Calibri" w:cstheme="minorHAnsi"/>
        </w:rPr>
        <w:t xml:space="preserve"> for many men)</w:t>
      </w:r>
      <w:r w:rsidRPr="00903F9D">
        <w:rPr>
          <w:rFonts w:eastAsia="Calibri" w:cstheme="minorHAnsi"/>
        </w:rPr>
        <w:t>, for monitoring response to therapy and fracture risk, and for many of the conditions indicated, such as glucocorticoid induced osteoporosis and male hypogonadism.</w:t>
      </w:r>
    </w:p>
    <w:p w14:paraId="3818E2D8" w14:textId="77777777" w:rsidR="00C76EA4" w:rsidRPr="00903F9D" w:rsidRDefault="00C76EA4" w:rsidP="00807EC6">
      <w:pPr>
        <w:numPr>
          <w:ilvl w:val="0"/>
          <w:numId w:val="13"/>
        </w:numPr>
        <w:spacing w:before="0" w:after="200" w:line="276" w:lineRule="auto"/>
        <w:contextualSpacing/>
        <w:rPr>
          <w:rFonts w:eastAsia="Calibri" w:cstheme="minorHAnsi"/>
        </w:rPr>
      </w:pPr>
      <w:r w:rsidRPr="00903F9D">
        <w:rPr>
          <w:rFonts w:eastAsia="Calibri" w:cstheme="minorHAnsi"/>
        </w:rPr>
        <w:t>There is limited data for the REMS method on reference ranges used to calculate T- and Z-scores with no ability to change reference ranges in different racial populations with potential limitations in a multiracial society.</w:t>
      </w:r>
    </w:p>
    <w:p w14:paraId="2DC346EC" w14:textId="77777777" w:rsidR="00C76EA4" w:rsidRPr="00903F9D" w:rsidRDefault="00C76EA4" w:rsidP="00807EC6">
      <w:pPr>
        <w:numPr>
          <w:ilvl w:val="0"/>
          <w:numId w:val="13"/>
        </w:numPr>
        <w:spacing w:before="0" w:after="200" w:line="276" w:lineRule="auto"/>
        <w:contextualSpacing/>
        <w:rPr>
          <w:rFonts w:eastAsia="Calibri" w:cstheme="minorHAnsi"/>
        </w:rPr>
      </w:pPr>
      <w:r w:rsidRPr="00903F9D">
        <w:rPr>
          <w:rFonts w:eastAsia="Calibri" w:cstheme="minorHAnsi"/>
        </w:rPr>
        <w:t>DXA scans can be reviewed and retrospectively reanalysed, while REMS scans have no mechanism for retrospective review and cannot assess the accuracy of the scan after its acquisition.</w:t>
      </w:r>
    </w:p>
    <w:p w14:paraId="37848608" w14:textId="77777777" w:rsidR="00C76EA4" w:rsidRPr="00903F9D" w:rsidRDefault="00C76EA4" w:rsidP="00807EC6">
      <w:pPr>
        <w:numPr>
          <w:ilvl w:val="0"/>
          <w:numId w:val="13"/>
        </w:numPr>
        <w:spacing w:before="0" w:after="200" w:line="276" w:lineRule="auto"/>
        <w:contextualSpacing/>
        <w:rPr>
          <w:rFonts w:eastAsia="Calibri" w:cstheme="minorHAnsi"/>
        </w:rPr>
      </w:pPr>
      <w:r w:rsidRPr="00903F9D">
        <w:rPr>
          <w:rFonts w:eastAsia="Calibri" w:cstheme="minorHAnsi"/>
        </w:rPr>
        <w:t>REMS scans may be less acceptable to patients, requiring the use of ultrasound gel on the abdomen and groin, with subsequent clean-up required at scan completion.</w:t>
      </w:r>
    </w:p>
    <w:p w14:paraId="7216A085" w14:textId="77777777" w:rsidR="00C76EA4" w:rsidRPr="00903F9D" w:rsidRDefault="00C76EA4" w:rsidP="00807EC6">
      <w:pPr>
        <w:numPr>
          <w:ilvl w:val="0"/>
          <w:numId w:val="13"/>
        </w:numPr>
        <w:spacing w:before="0" w:after="200" w:line="276" w:lineRule="auto"/>
        <w:contextualSpacing/>
        <w:rPr>
          <w:rFonts w:eastAsia="Calibri" w:cstheme="minorHAnsi"/>
        </w:rPr>
      </w:pPr>
      <w:r w:rsidRPr="00903F9D">
        <w:rPr>
          <w:rFonts w:eastAsia="Calibri" w:cstheme="minorHAnsi"/>
        </w:rPr>
        <w:t xml:space="preserve">In addition, concerns were raised that </w:t>
      </w:r>
      <w:r w:rsidR="005F0862" w:rsidRPr="00903F9D">
        <w:rPr>
          <w:rFonts w:eastAsia="Calibri" w:cstheme="minorHAnsi"/>
        </w:rPr>
        <w:t xml:space="preserve">it </w:t>
      </w:r>
      <w:r w:rsidRPr="00903F9D">
        <w:rPr>
          <w:rFonts w:eastAsia="Calibri" w:cstheme="minorHAnsi"/>
        </w:rPr>
        <w:t>may take longer to perform a REMS scan than a DXA scan, and there may be a higher operator cost for REMS scans due to proposed staff and reduced patient throughput.</w:t>
      </w:r>
    </w:p>
    <w:p w14:paraId="6918F052" w14:textId="73477CC2" w:rsidR="00C76EA4" w:rsidRPr="00903F9D" w:rsidRDefault="00C76EA4" w:rsidP="00807EC6">
      <w:pPr>
        <w:numPr>
          <w:ilvl w:val="0"/>
          <w:numId w:val="13"/>
        </w:numPr>
        <w:spacing w:before="0" w:after="200" w:line="276" w:lineRule="auto"/>
        <w:contextualSpacing/>
        <w:rPr>
          <w:rFonts w:eastAsia="Calibri" w:cstheme="minorHAnsi"/>
        </w:rPr>
      </w:pPr>
      <w:r w:rsidRPr="00903F9D">
        <w:rPr>
          <w:rFonts w:eastAsia="Calibri" w:cstheme="minorHAnsi"/>
        </w:rPr>
        <w:t xml:space="preserve">ADIA noted that REMS is not performed in a radiology clinic and therefore the multimodality follow-ups which are often required for these cases, such as thoracic spine </w:t>
      </w:r>
      <w:r w:rsidR="00316C71" w:rsidRPr="00903F9D">
        <w:rPr>
          <w:rFonts w:eastAsia="Calibri" w:cstheme="minorHAnsi"/>
        </w:rPr>
        <w:t>x</w:t>
      </w:r>
      <w:r w:rsidRPr="00903F9D">
        <w:rPr>
          <w:rFonts w:eastAsia="Calibri" w:cstheme="minorHAnsi"/>
        </w:rPr>
        <w:t>-</w:t>
      </w:r>
      <w:r w:rsidR="00316C71" w:rsidRPr="00903F9D">
        <w:rPr>
          <w:rFonts w:eastAsia="Calibri" w:cstheme="minorHAnsi"/>
        </w:rPr>
        <w:t>r</w:t>
      </w:r>
      <w:r w:rsidRPr="00903F9D">
        <w:rPr>
          <w:rFonts w:eastAsia="Calibri" w:cstheme="minorHAnsi"/>
        </w:rPr>
        <w:t>ays for vertebral height loss, are not immediately available.</w:t>
      </w:r>
    </w:p>
    <w:p w14:paraId="7CC86A1A" w14:textId="77777777" w:rsidR="00C76EA4" w:rsidRPr="00903F9D" w:rsidRDefault="00C76EA4" w:rsidP="00807EC6">
      <w:pPr>
        <w:numPr>
          <w:ilvl w:val="0"/>
          <w:numId w:val="13"/>
        </w:numPr>
        <w:spacing w:before="0" w:after="200" w:line="276" w:lineRule="auto"/>
        <w:contextualSpacing/>
        <w:rPr>
          <w:rFonts w:eastAsia="Calibri" w:cstheme="minorHAnsi"/>
        </w:rPr>
      </w:pPr>
      <w:r w:rsidRPr="00903F9D">
        <w:rPr>
          <w:rFonts w:eastAsia="Calibri" w:cstheme="minorHAnsi"/>
        </w:rPr>
        <w:t>RANZCR also considered that the model of service delivery (point of care) would lead to over-servicing of multiple patients at the same health care facility.</w:t>
      </w:r>
    </w:p>
    <w:p w14:paraId="2F9B725D" w14:textId="77777777" w:rsidR="00C76EA4" w:rsidRPr="00903F9D" w:rsidRDefault="00C76EA4" w:rsidP="00807EC6">
      <w:pPr>
        <w:numPr>
          <w:ilvl w:val="0"/>
          <w:numId w:val="13"/>
        </w:numPr>
        <w:spacing w:before="0" w:after="200" w:line="276" w:lineRule="auto"/>
        <w:contextualSpacing/>
        <w:rPr>
          <w:rFonts w:eastAsia="Calibri" w:cstheme="minorHAnsi"/>
        </w:rPr>
      </w:pPr>
      <w:r w:rsidRPr="00903F9D">
        <w:rPr>
          <w:rFonts w:eastAsia="Calibri" w:cstheme="minorHAnsi"/>
        </w:rPr>
        <w:t>The Australasian Sonographers Association noted that while DXA is undertaken by radiographers, sonographers may have a role in performing REMS.</w:t>
      </w:r>
    </w:p>
    <w:p w14:paraId="797F2AA1" w14:textId="57BD2AC2" w:rsidR="00C76EA4" w:rsidRPr="00903F9D" w:rsidRDefault="00DA71F9" w:rsidP="00807EC6">
      <w:pPr>
        <w:numPr>
          <w:ilvl w:val="0"/>
          <w:numId w:val="13"/>
        </w:numPr>
        <w:spacing w:before="0" w:after="200" w:line="276" w:lineRule="auto"/>
        <w:contextualSpacing/>
        <w:rPr>
          <w:rFonts w:eastAsia="Calibri" w:cstheme="minorHAnsi"/>
        </w:rPr>
      </w:pPr>
      <w:r w:rsidRPr="00903F9D">
        <w:rPr>
          <w:rFonts w:eastAsia="Calibri" w:cstheme="minorHAnsi"/>
        </w:rPr>
        <w:t>U</w:t>
      </w:r>
      <w:r w:rsidR="00C76EA4" w:rsidRPr="00903F9D">
        <w:rPr>
          <w:rFonts w:eastAsia="Calibri" w:cstheme="minorHAnsi"/>
        </w:rPr>
        <w:t>ltrasound investigations are very user dependent, noting challenges with repeatability and operator dependence, and</w:t>
      </w:r>
      <w:r w:rsidRPr="00903F9D">
        <w:rPr>
          <w:rFonts w:eastAsia="Calibri" w:cstheme="minorHAnsi"/>
        </w:rPr>
        <w:t xml:space="preserve"> consultation feedback</w:t>
      </w:r>
      <w:r w:rsidR="00C76EA4" w:rsidRPr="00903F9D">
        <w:rPr>
          <w:rFonts w:eastAsia="Calibri" w:cstheme="minorHAnsi"/>
        </w:rPr>
        <w:t xml:space="preserve"> expressed concern whether the training was sufficient.</w:t>
      </w:r>
      <w:r w:rsidR="00A27581" w:rsidRPr="00903F9D">
        <w:rPr>
          <w:rFonts w:eastAsia="Calibri" w:cstheme="minorHAnsi"/>
        </w:rPr>
        <w:t xml:space="preserve"> Additionally</w:t>
      </w:r>
      <w:r w:rsidR="000B330E" w:rsidRPr="00903F9D">
        <w:rPr>
          <w:rFonts w:eastAsia="Calibri" w:cstheme="minorHAnsi"/>
        </w:rPr>
        <w:t>,</w:t>
      </w:r>
      <w:r w:rsidR="00A27581" w:rsidRPr="00903F9D">
        <w:rPr>
          <w:rFonts w:eastAsia="Calibri" w:cstheme="minorHAnsi"/>
        </w:rPr>
        <w:t xml:space="preserve"> it was noted that</w:t>
      </w:r>
      <w:r w:rsidR="009339A0" w:rsidRPr="00903F9D">
        <w:rPr>
          <w:rFonts w:eastAsia="Calibri" w:cstheme="minorHAnsi"/>
        </w:rPr>
        <w:t xml:space="preserve"> there was a</w:t>
      </w:r>
      <w:r w:rsidR="00A27581" w:rsidRPr="00903F9D">
        <w:rPr>
          <w:rFonts w:eastAsia="Calibri" w:cstheme="minorHAnsi"/>
        </w:rPr>
        <w:t xml:space="preserve"> </w:t>
      </w:r>
      <w:r w:rsidR="009339A0" w:rsidRPr="00903F9D">
        <w:t xml:space="preserve">lack of clarity on who will accredit the REMS training program, who will be claiming the REMS MBS items and that </w:t>
      </w:r>
      <w:r w:rsidR="00A27581" w:rsidRPr="00903F9D">
        <w:rPr>
          <w:rFonts w:eastAsia="Calibri" w:cstheme="minorHAnsi"/>
        </w:rPr>
        <w:t>the item descriptors did not include sufficient detail on what constitutes “appropriately qualified” REMS technicians.</w:t>
      </w:r>
    </w:p>
    <w:p w14:paraId="60042065" w14:textId="77777777" w:rsidR="00B36C5F" w:rsidRPr="00903F9D" w:rsidRDefault="00C76EA4" w:rsidP="00B36C5F">
      <w:pPr>
        <w:numPr>
          <w:ilvl w:val="0"/>
          <w:numId w:val="13"/>
        </w:numPr>
        <w:spacing w:before="0" w:after="200" w:line="276" w:lineRule="auto"/>
        <w:contextualSpacing/>
        <w:rPr>
          <w:rFonts w:eastAsia="Calibri" w:cstheme="minorHAnsi"/>
        </w:rPr>
      </w:pPr>
      <w:r w:rsidRPr="00903F9D">
        <w:rPr>
          <w:rFonts w:eastAsia="Calibri" w:cstheme="minorHAnsi"/>
        </w:rPr>
        <w:lastRenderedPageBreak/>
        <w:t>ADIA raised that there is insufficient information on which practitioner takes responsibility for the service and which clinician will be able to bill the service.</w:t>
      </w:r>
    </w:p>
    <w:p w14:paraId="171E6523" w14:textId="2DC4552B" w:rsidR="0039488A" w:rsidRPr="00903F9D" w:rsidRDefault="00C76EA4" w:rsidP="00B36C5F">
      <w:pPr>
        <w:numPr>
          <w:ilvl w:val="0"/>
          <w:numId w:val="13"/>
        </w:numPr>
        <w:spacing w:before="0" w:after="200" w:line="276" w:lineRule="auto"/>
        <w:contextualSpacing/>
        <w:rPr>
          <w:rFonts w:eastAsia="Calibri" w:cstheme="minorHAnsi"/>
        </w:rPr>
      </w:pPr>
      <w:r w:rsidRPr="00903F9D">
        <w:rPr>
          <w:rFonts w:eastAsia="Calibri" w:cstheme="minorHAnsi"/>
        </w:rPr>
        <w:t xml:space="preserve">ADIA raised that DXA currently forms part of </w:t>
      </w:r>
      <w:r w:rsidR="005F0862" w:rsidRPr="00903F9D">
        <w:rPr>
          <w:rFonts w:eastAsia="Calibri" w:cstheme="minorHAnsi"/>
        </w:rPr>
        <w:t xml:space="preserve">a </w:t>
      </w:r>
      <w:r w:rsidRPr="00903F9D">
        <w:rPr>
          <w:rFonts w:eastAsia="Calibri" w:cstheme="minorHAnsi"/>
        </w:rPr>
        <w:t>comprehensive diagnostic imaging service with establish</w:t>
      </w:r>
      <w:r w:rsidR="005F0862" w:rsidRPr="00903F9D">
        <w:rPr>
          <w:rFonts w:eastAsia="Calibri" w:cstheme="minorHAnsi"/>
        </w:rPr>
        <w:t>ed</w:t>
      </w:r>
      <w:r w:rsidRPr="00903F9D">
        <w:rPr>
          <w:rFonts w:eastAsia="Calibri" w:cstheme="minorHAnsi"/>
        </w:rPr>
        <w:t xml:space="preserve"> follow-up pathways and was concerned that the same has not been described for REMS</w:t>
      </w:r>
      <w:r w:rsidR="005F0862" w:rsidRPr="00903F9D">
        <w:rPr>
          <w:rFonts w:eastAsia="Calibri" w:cstheme="minorHAnsi"/>
        </w:rPr>
        <w:t>,</w:t>
      </w:r>
      <w:r w:rsidRPr="00903F9D">
        <w:rPr>
          <w:rFonts w:eastAsia="Calibri" w:cstheme="minorHAnsi"/>
        </w:rPr>
        <w:t xml:space="preserve"> creating a risk that REMS will be done in isolation leading to patients being missed or not followed up.</w:t>
      </w:r>
      <w:bookmarkStart w:id="20" w:name="_Hlk100086334"/>
    </w:p>
    <w:p w14:paraId="0F7183C4" w14:textId="024AD5F7" w:rsidR="00772829" w:rsidRPr="00903F9D" w:rsidRDefault="00EB62FF" w:rsidP="002A18BE">
      <w:pPr>
        <w:pStyle w:val="Heading2"/>
        <w:numPr>
          <w:ilvl w:val="0"/>
          <w:numId w:val="0"/>
        </w:numPr>
      </w:pPr>
      <w:bookmarkStart w:id="21" w:name="_Toc69491422"/>
      <w:bookmarkEnd w:id="20"/>
      <w:r w:rsidRPr="00903F9D">
        <w:t>10</w:t>
      </w:r>
      <w:r w:rsidR="00C36633" w:rsidRPr="00903F9D">
        <w:t>.</w:t>
      </w:r>
      <w:r w:rsidR="00C36633" w:rsidRPr="00903F9D">
        <w:tab/>
      </w:r>
      <w:r w:rsidR="00772829" w:rsidRPr="00903F9D">
        <w:t>Characteristics of the evidence base</w:t>
      </w:r>
      <w:bookmarkEnd w:id="21"/>
    </w:p>
    <w:p w14:paraId="10D8AF14" w14:textId="6252C1DA" w:rsidR="00C801E5" w:rsidRPr="00903F9D" w:rsidRDefault="00A47445" w:rsidP="00E76AE0">
      <w:pPr>
        <w:pStyle w:val="Instructionaltext"/>
        <w:rPr>
          <w:color w:val="auto"/>
        </w:rPr>
      </w:pPr>
      <w:r w:rsidRPr="00903F9D">
        <w:rPr>
          <w:color w:val="auto"/>
        </w:rPr>
        <w:t xml:space="preserve">There is no </w:t>
      </w:r>
      <w:r w:rsidR="0052002D" w:rsidRPr="00903F9D">
        <w:rPr>
          <w:color w:val="auto"/>
        </w:rPr>
        <w:t>evidence</w:t>
      </w:r>
      <w:r w:rsidRPr="00903F9D">
        <w:rPr>
          <w:color w:val="auto"/>
        </w:rPr>
        <w:t xml:space="preserve"> </w:t>
      </w:r>
      <w:r w:rsidR="0052002D" w:rsidRPr="00903F9D">
        <w:rPr>
          <w:color w:val="auto"/>
        </w:rPr>
        <w:t>for direct</w:t>
      </w:r>
      <w:r w:rsidRPr="00903F9D">
        <w:rPr>
          <w:color w:val="auto"/>
        </w:rPr>
        <w:t xml:space="preserve"> </w:t>
      </w:r>
      <w:r w:rsidR="0052002D" w:rsidRPr="00903F9D">
        <w:rPr>
          <w:color w:val="auto"/>
        </w:rPr>
        <w:t>test</w:t>
      </w:r>
      <w:r w:rsidRPr="00903F9D">
        <w:rPr>
          <w:color w:val="auto"/>
        </w:rPr>
        <w:t xml:space="preserve"> to health outcomes</w:t>
      </w:r>
      <w:r w:rsidR="0052002D" w:rsidRPr="00903F9D">
        <w:rPr>
          <w:color w:val="auto"/>
        </w:rPr>
        <w:t xml:space="preserve"> for REMS. Instead,</w:t>
      </w:r>
      <w:r w:rsidRPr="00903F9D">
        <w:rPr>
          <w:color w:val="auto"/>
        </w:rPr>
        <w:t xml:space="preserve"> the ADAR used a linked evidence assessment framework truncated at test accuracy</w:t>
      </w:r>
      <w:r w:rsidR="0052002D" w:rsidRPr="00903F9D">
        <w:rPr>
          <w:color w:val="auto"/>
        </w:rPr>
        <w:t xml:space="preserve"> to compare REMS with DXA</w:t>
      </w:r>
      <w:r w:rsidRPr="00903F9D">
        <w:rPr>
          <w:color w:val="auto"/>
        </w:rPr>
        <w:t xml:space="preserve">. </w:t>
      </w:r>
      <w:r w:rsidR="002D30C2" w:rsidRPr="00903F9D">
        <w:rPr>
          <w:iCs/>
          <w:color w:val="auto"/>
        </w:rPr>
        <w:t xml:space="preserve">This </w:t>
      </w:r>
      <w:r w:rsidR="004D0431" w:rsidRPr="00903F9D">
        <w:rPr>
          <w:iCs/>
          <w:color w:val="auto"/>
        </w:rPr>
        <w:t xml:space="preserve">approach </w:t>
      </w:r>
      <w:r w:rsidR="002D30C2" w:rsidRPr="00903F9D">
        <w:rPr>
          <w:iCs/>
          <w:color w:val="auto"/>
        </w:rPr>
        <w:t>was appropriate as</w:t>
      </w:r>
      <w:r w:rsidR="00D564C5" w:rsidRPr="00903F9D">
        <w:rPr>
          <w:iCs/>
          <w:color w:val="auto"/>
        </w:rPr>
        <w:t xml:space="preserve"> </w:t>
      </w:r>
      <w:r w:rsidR="00D564C5" w:rsidRPr="00903F9D">
        <w:rPr>
          <w:color w:val="auto"/>
        </w:rPr>
        <w:t>the ADAR propose</w:t>
      </w:r>
      <w:r w:rsidR="00CA46F1" w:rsidRPr="00903F9D">
        <w:rPr>
          <w:color w:val="auto"/>
        </w:rPr>
        <w:t>d</w:t>
      </w:r>
      <w:r w:rsidR="00D564C5" w:rsidRPr="00903F9D">
        <w:rPr>
          <w:color w:val="auto"/>
        </w:rPr>
        <w:t xml:space="preserve"> that </w:t>
      </w:r>
      <w:r w:rsidR="002D30C2" w:rsidRPr="00903F9D">
        <w:rPr>
          <w:color w:val="auto"/>
        </w:rPr>
        <w:t xml:space="preserve">REMS </w:t>
      </w:r>
      <w:r w:rsidR="00D564C5" w:rsidRPr="00903F9D">
        <w:rPr>
          <w:color w:val="auto"/>
        </w:rPr>
        <w:t>will</w:t>
      </w:r>
      <w:r w:rsidR="002D30C2" w:rsidRPr="00903F9D">
        <w:rPr>
          <w:color w:val="auto"/>
        </w:rPr>
        <w:t xml:space="preserve"> </w:t>
      </w:r>
      <w:r w:rsidR="00D564C5" w:rsidRPr="00903F9D">
        <w:rPr>
          <w:color w:val="auto"/>
        </w:rPr>
        <w:t>replace</w:t>
      </w:r>
      <w:r w:rsidR="002D30C2" w:rsidRPr="00903F9D">
        <w:rPr>
          <w:color w:val="auto"/>
        </w:rPr>
        <w:t xml:space="preserve"> DXA scan</w:t>
      </w:r>
      <w:r w:rsidR="00D564C5" w:rsidRPr="00903F9D">
        <w:rPr>
          <w:color w:val="auto"/>
        </w:rPr>
        <w:t xml:space="preserve">s and result in noninferior </w:t>
      </w:r>
      <w:r w:rsidR="004D0431" w:rsidRPr="00903F9D">
        <w:rPr>
          <w:color w:val="auto"/>
        </w:rPr>
        <w:t xml:space="preserve">per patient </w:t>
      </w:r>
      <w:r w:rsidR="00D564C5" w:rsidRPr="00903F9D">
        <w:rPr>
          <w:color w:val="auto"/>
        </w:rPr>
        <w:t>health outcomes</w:t>
      </w:r>
      <w:r w:rsidR="002D30C2" w:rsidRPr="00903F9D">
        <w:rPr>
          <w:iCs/>
          <w:color w:val="auto"/>
        </w:rPr>
        <w:t xml:space="preserve">. </w:t>
      </w:r>
      <w:r w:rsidR="00D564C5" w:rsidRPr="00903F9D">
        <w:rPr>
          <w:color w:val="auto"/>
        </w:rPr>
        <w:t xml:space="preserve">The ADAR included </w:t>
      </w:r>
      <w:r w:rsidR="005613D0" w:rsidRPr="00903F9D">
        <w:rPr>
          <w:color w:val="auto"/>
        </w:rPr>
        <w:t>two key</w:t>
      </w:r>
      <w:r w:rsidR="00D564C5" w:rsidRPr="00903F9D">
        <w:rPr>
          <w:color w:val="auto"/>
        </w:rPr>
        <w:t xml:space="preserve"> comparative cohort studies</w:t>
      </w:r>
      <w:r w:rsidR="005613D0" w:rsidRPr="00903F9D">
        <w:rPr>
          <w:color w:val="auto"/>
        </w:rPr>
        <w:t xml:space="preserve"> (</w:t>
      </w:r>
      <w:proofErr w:type="spellStart"/>
      <w:r w:rsidR="00903F27" w:rsidRPr="00903F9D">
        <w:rPr>
          <w:color w:val="auto"/>
        </w:rPr>
        <w:t>Cortet</w:t>
      </w:r>
      <w:proofErr w:type="spellEnd"/>
      <w:r w:rsidR="00903F27" w:rsidRPr="00903F9D">
        <w:rPr>
          <w:color w:val="auto"/>
        </w:rPr>
        <w:t xml:space="preserve"> 2021 and Di Paola 2019</w:t>
      </w:r>
      <w:r w:rsidR="005613D0" w:rsidRPr="00903F9D">
        <w:rPr>
          <w:color w:val="auto"/>
        </w:rPr>
        <w:t>)</w:t>
      </w:r>
      <w:r w:rsidR="00D44A7F" w:rsidRPr="00903F9D">
        <w:rPr>
          <w:color w:val="auto"/>
        </w:rPr>
        <w:t xml:space="preserve"> along with </w:t>
      </w:r>
      <w:r w:rsidR="005D4813" w:rsidRPr="00903F9D">
        <w:rPr>
          <w:color w:val="auto"/>
        </w:rPr>
        <w:t xml:space="preserve">supplementary </w:t>
      </w:r>
      <w:r w:rsidR="00D44A7F" w:rsidRPr="00903F9D">
        <w:rPr>
          <w:color w:val="auto"/>
        </w:rPr>
        <w:t xml:space="preserve">evidence consisting of three </w:t>
      </w:r>
      <w:r w:rsidR="005613D0" w:rsidRPr="00903F9D">
        <w:rPr>
          <w:color w:val="auto"/>
        </w:rPr>
        <w:t>comparative studies</w:t>
      </w:r>
      <w:r w:rsidR="00F70055" w:rsidRPr="00903F9D">
        <w:rPr>
          <w:color w:val="auto"/>
        </w:rPr>
        <w:t xml:space="preserve"> </w:t>
      </w:r>
      <w:r w:rsidR="00475B3B" w:rsidRPr="00903F9D">
        <w:rPr>
          <w:color w:val="auto"/>
        </w:rPr>
        <w:t>(</w:t>
      </w:r>
      <w:r w:rsidR="00903F27" w:rsidRPr="00903F9D">
        <w:rPr>
          <w:color w:val="auto"/>
        </w:rPr>
        <w:t xml:space="preserve">Amorim 2021, </w:t>
      </w:r>
      <w:proofErr w:type="spellStart"/>
      <w:r w:rsidR="00903F27" w:rsidRPr="00903F9D">
        <w:rPr>
          <w:color w:val="auto"/>
        </w:rPr>
        <w:t>Nowakowska</w:t>
      </w:r>
      <w:proofErr w:type="spellEnd"/>
      <w:r w:rsidR="00903F27" w:rsidRPr="00903F9D">
        <w:rPr>
          <w:color w:val="auto"/>
        </w:rPr>
        <w:t>-Plaza 2021</w:t>
      </w:r>
      <w:r w:rsidR="0033705E" w:rsidRPr="00903F9D">
        <w:rPr>
          <w:rStyle w:val="FootnoteReference"/>
          <w:color w:val="auto"/>
        </w:rPr>
        <w:footnoteReference w:id="11"/>
      </w:r>
      <w:r w:rsidR="00903F27" w:rsidRPr="00903F9D">
        <w:rPr>
          <w:color w:val="auto"/>
        </w:rPr>
        <w:t xml:space="preserve"> and </w:t>
      </w:r>
      <w:proofErr w:type="spellStart"/>
      <w:r w:rsidR="00903F27" w:rsidRPr="00903F9D">
        <w:rPr>
          <w:color w:val="auto"/>
        </w:rPr>
        <w:t>Adami</w:t>
      </w:r>
      <w:proofErr w:type="spellEnd"/>
      <w:r w:rsidR="00903F27" w:rsidRPr="00903F9D">
        <w:rPr>
          <w:color w:val="auto"/>
        </w:rPr>
        <w:t xml:space="preserve"> 2020</w:t>
      </w:r>
      <w:r w:rsidR="0033705E" w:rsidRPr="00903F9D">
        <w:rPr>
          <w:rStyle w:val="FootnoteReference"/>
          <w:color w:val="auto"/>
        </w:rPr>
        <w:footnoteReference w:id="12"/>
      </w:r>
      <w:r w:rsidR="00475B3B" w:rsidRPr="00903F9D">
        <w:rPr>
          <w:color w:val="auto"/>
        </w:rPr>
        <w:t>)</w:t>
      </w:r>
      <w:r w:rsidR="00903F27" w:rsidRPr="00903F9D">
        <w:rPr>
          <w:color w:val="auto"/>
        </w:rPr>
        <w:t>.</w:t>
      </w:r>
      <w:r w:rsidR="00D35B66" w:rsidRPr="00903F9D">
        <w:rPr>
          <w:color w:val="auto"/>
        </w:rPr>
        <w:t xml:space="preserve"> </w:t>
      </w:r>
      <w:r w:rsidR="004A2750" w:rsidRPr="00903F9D">
        <w:rPr>
          <w:color w:val="auto"/>
        </w:rPr>
        <w:t>In addition, t</w:t>
      </w:r>
      <w:r w:rsidR="00D35B66" w:rsidRPr="00903F9D">
        <w:rPr>
          <w:color w:val="auto"/>
        </w:rPr>
        <w:t xml:space="preserve">he </w:t>
      </w:r>
      <w:r w:rsidR="007E6C45" w:rsidRPr="00903F9D">
        <w:rPr>
          <w:color w:val="auto"/>
        </w:rPr>
        <w:t>a</w:t>
      </w:r>
      <w:r w:rsidR="00D35B66" w:rsidRPr="00903F9D">
        <w:rPr>
          <w:color w:val="auto"/>
        </w:rPr>
        <w:t xml:space="preserve">pplicant provided </w:t>
      </w:r>
      <w:r w:rsidR="004A2750" w:rsidRPr="00903F9D">
        <w:rPr>
          <w:color w:val="auto"/>
        </w:rPr>
        <w:t xml:space="preserve">unpublished </w:t>
      </w:r>
      <w:r w:rsidR="00D35B66" w:rsidRPr="00903F9D">
        <w:rPr>
          <w:color w:val="auto"/>
        </w:rPr>
        <w:t xml:space="preserve">data for </w:t>
      </w:r>
      <w:r w:rsidR="004A2750" w:rsidRPr="00903F9D">
        <w:rPr>
          <w:color w:val="auto"/>
        </w:rPr>
        <w:t>‘</w:t>
      </w:r>
      <w:r w:rsidR="00D87B03" w:rsidRPr="00903F9D">
        <w:rPr>
          <w:color w:val="auto"/>
        </w:rPr>
        <w:t>t</w:t>
      </w:r>
      <w:r w:rsidR="00D35B66" w:rsidRPr="00903F9D">
        <w:rPr>
          <w:color w:val="auto"/>
        </w:rPr>
        <w:t>otal femur</w:t>
      </w:r>
      <w:r w:rsidR="00D87B03" w:rsidRPr="00903F9D">
        <w:rPr>
          <w:color w:val="auto"/>
        </w:rPr>
        <w:t xml:space="preserve"> score</w:t>
      </w:r>
      <w:r w:rsidR="004A2750" w:rsidRPr="00903F9D">
        <w:rPr>
          <w:color w:val="auto"/>
        </w:rPr>
        <w:t>’</w:t>
      </w:r>
      <w:r w:rsidR="00D35B66" w:rsidRPr="00903F9D">
        <w:rPr>
          <w:color w:val="auto"/>
        </w:rPr>
        <w:t xml:space="preserve"> results from </w:t>
      </w:r>
      <w:proofErr w:type="spellStart"/>
      <w:r w:rsidR="00D35B66" w:rsidRPr="00903F9D">
        <w:rPr>
          <w:color w:val="auto"/>
        </w:rPr>
        <w:t>EchoLight</w:t>
      </w:r>
      <w:proofErr w:type="spellEnd"/>
      <w:r w:rsidR="00D35B66" w:rsidRPr="00903F9D">
        <w:rPr>
          <w:color w:val="auto"/>
        </w:rPr>
        <w:t xml:space="preserve"> Italy November 2017 post-ADAR submission, these patients were a subgroup from the Di Paola 2019 key study.</w:t>
      </w:r>
      <w:r w:rsidR="00903F27" w:rsidRPr="00903F9D">
        <w:rPr>
          <w:color w:val="auto"/>
        </w:rPr>
        <w:t xml:space="preserve"> </w:t>
      </w:r>
      <w:r w:rsidR="00231C2D" w:rsidRPr="00903F9D">
        <w:rPr>
          <w:color w:val="auto"/>
        </w:rPr>
        <w:t>T</w:t>
      </w:r>
      <w:r w:rsidR="00903F27" w:rsidRPr="00903F9D">
        <w:rPr>
          <w:color w:val="auto"/>
        </w:rPr>
        <w:t xml:space="preserve">he ADAR </w:t>
      </w:r>
      <w:r w:rsidR="00231C2D" w:rsidRPr="00903F9D">
        <w:rPr>
          <w:color w:val="auto"/>
        </w:rPr>
        <w:t>also</w:t>
      </w:r>
      <w:r w:rsidR="00903F27" w:rsidRPr="00903F9D">
        <w:rPr>
          <w:color w:val="auto"/>
        </w:rPr>
        <w:t xml:space="preserve"> presented supplementary data for </w:t>
      </w:r>
      <w:r w:rsidR="00F97047" w:rsidRPr="00903F9D">
        <w:rPr>
          <w:color w:val="auto"/>
        </w:rPr>
        <w:t xml:space="preserve">other </w:t>
      </w:r>
      <w:r w:rsidR="00903F27" w:rsidRPr="00903F9D">
        <w:rPr>
          <w:color w:val="auto"/>
        </w:rPr>
        <w:t>populations based on six</w:t>
      </w:r>
      <w:r w:rsidR="00F70055" w:rsidRPr="00903F9D">
        <w:rPr>
          <w:color w:val="auto"/>
        </w:rPr>
        <w:t xml:space="preserve"> </w:t>
      </w:r>
      <w:r w:rsidR="00C16E9A" w:rsidRPr="00903F9D">
        <w:rPr>
          <w:color w:val="auto"/>
        </w:rPr>
        <w:t xml:space="preserve">conference </w:t>
      </w:r>
      <w:r w:rsidR="00F70055" w:rsidRPr="00903F9D">
        <w:rPr>
          <w:color w:val="auto"/>
        </w:rPr>
        <w:t>abstracts</w:t>
      </w:r>
      <w:r w:rsidR="00475B3B" w:rsidRPr="00903F9D">
        <w:rPr>
          <w:color w:val="auto"/>
        </w:rPr>
        <w:t xml:space="preserve"> (</w:t>
      </w:r>
      <w:r w:rsidR="00903F27" w:rsidRPr="00903F9D">
        <w:rPr>
          <w:color w:val="auto"/>
        </w:rPr>
        <w:t>Ciardo2021</w:t>
      </w:r>
      <w:r w:rsidR="0033705E" w:rsidRPr="00903F9D">
        <w:rPr>
          <w:rStyle w:val="FootnoteReference"/>
          <w:color w:val="auto"/>
        </w:rPr>
        <w:footnoteReference w:id="13"/>
      </w:r>
      <w:r w:rsidR="00903F27" w:rsidRPr="00903F9D">
        <w:rPr>
          <w:color w:val="auto"/>
        </w:rPr>
        <w:t xml:space="preserve">, </w:t>
      </w:r>
      <w:proofErr w:type="spellStart"/>
      <w:r w:rsidR="00903F27" w:rsidRPr="00903F9D">
        <w:rPr>
          <w:color w:val="auto"/>
        </w:rPr>
        <w:t>Cortet</w:t>
      </w:r>
      <w:proofErr w:type="spellEnd"/>
      <w:r w:rsidR="00903F27" w:rsidRPr="00903F9D">
        <w:rPr>
          <w:color w:val="auto"/>
        </w:rPr>
        <w:t xml:space="preserve"> 2021</w:t>
      </w:r>
      <w:r w:rsidR="00282F6F" w:rsidRPr="00903F9D">
        <w:rPr>
          <w:rStyle w:val="FootnoteReference"/>
          <w:color w:val="auto"/>
        </w:rPr>
        <w:footnoteReference w:id="14"/>
      </w:r>
      <w:r w:rsidR="00903F27" w:rsidRPr="00903F9D">
        <w:rPr>
          <w:color w:val="auto"/>
        </w:rPr>
        <w:t xml:space="preserve">, </w:t>
      </w:r>
      <w:proofErr w:type="spellStart"/>
      <w:r w:rsidR="00903F27" w:rsidRPr="00903F9D">
        <w:rPr>
          <w:color w:val="auto"/>
        </w:rPr>
        <w:t>Cortet</w:t>
      </w:r>
      <w:proofErr w:type="spellEnd"/>
      <w:r w:rsidR="00903F27" w:rsidRPr="00903F9D">
        <w:rPr>
          <w:color w:val="auto"/>
        </w:rPr>
        <w:t xml:space="preserve"> 2021</w:t>
      </w:r>
      <w:r w:rsidR="00282F6F" w:rsidRPr="00903F9D">
        <w:rPr>
          <w:rStyle w:val="FootnoteReference"/>
          <w:color w:val="auto"/>
        </w:rPr>
        <w:footnoteReference w:id="15"/>
      </w:r>
      <w:r w:rsidR="00903F27" w:rsidRPr="00903F9D">
        <w:rPr>
          <w:color w:val="auto"/>
        </w:rPr>
        <w:t>, Cavalli 201</w:t>
      </w:r>
      <w:r w:rsidR="00282F6F" w:rsidRPr="00903F9D">
        <w:rPr>
          <w:color w:val="auto"/>
        </w:rPr>
        <w:t>9</w:t>
      </w:r>
      <w:r w:rsidR="00282F6F" w:rsidRPr="00903F9D">
        <w:rPr>
          <w:rStyle w:val="FootnoteReference"/>
          <w:color w:val="auto"/>
        </w:rPr>
        <w:footnoteReference w:id="16"/>
      </w:r>
      <w:r w:rsidR="00903F27" w:rsidRPr="00903F9D">
        <w:rPr>
          <w:color w:val="auto"/>
        </w:rPr>
        <w:t xml:space="preserve">, </w:t>
      </w:r>
      <w:proofErr w:type="spellStart"/>
      <w:r w:rsidR="00903F27" w:rsidRPr="00903F9D">
        <w:rPr>
          <w:color w:val="auto"/>
        </w:rPr>
        <w:t>Tomai</w:t>
      </w:r>
      <w:proofErr w:type="spellEnd"/>
      <w:r w:rsidR="00903F27" w:rsidRPr="00903F9D">
        <w:rPr>
          <w:color w:val="auto"/>
        </w:rPr>
        <w:t xml:space="preserve"> 2019</w:t>
      </w:r>
      <w:r w:rsidR="00282F6F" w:rsidRPr="00903F9D">
        <w:rPr>
          <w:rStyle w:val="FootnoteReference"/>
          <w:color w:val="auto"/>
        </w:rPr>
        <w:footnoteReference w:id="17"/>
      </w:r>
      <w:r w:rsidR="00903F27" w:rsidRPr="00903F9D">
        <w:rPr>
          <w:color w:val="auto"/>
        </w:rPr>
        <w:t xml:space="preserve"> and </w:t>
      </w:r>
      <w:proofErr w:type="spellStart"/>
      <w:r w:rsidR="00903F27" w:rsidRPr="00903F9D">
        <w:rPr>
          <w:color w:val="auto"/>
        </w:rPr>
        <w:t>Decianu</w:t>
      </w:r>
      <w:proofErr w:type="spellEnd"/>
      <w:r w:rsidR="00903F27" w:rsidRPr="00903F9D">
        <w:rPr>
          <w:color w:val="auto"/>
        </w:rPr>
        <w:t xml:space="preserve"> 2018</w:t>
      </w:r>
      <w:r w:rsidR="00282F6F" w:rsidRPr="00903F9D">
        <w:rPr>
          <w:rStyle w:val="FootnoteReference"/>
          <w:color w:val="auto"/>
        </w:rPr>
        <w:footnoteReference w:id="18"/>
      </w:r>
      <w:r w:rsidR="00475B3B" w:rsidRPr="00903F9D">
        <w:rPr>
          <w:color w:val="auto"/>
        </w:rPr>
        <w:t>)</w:t>
      </w:r>
      <w:r w:rsidR="00903F27" w:rsidRPr="00903F9D">
        <w:rPr>
          <w:color w:val="auto"/>
        </w:rPr>
        <w:t xml:space="preserve"> and one cross-sectional non-comparative study (Conradie 2014</w:t>
      </w:r>
      <w:r w:rsidR="00282F6F" w:rsidRPr="00903F9D">
        <w:rPr>
          <w:rStyle w:val="FootnoteReference"/>
          <w:color w:val="auto"/>
        </w:rPr>
        <w:footnoteReference w:id="19"/>
      </w:r>
      <w:r w:rsidR="00903F27" w:rsidRPr="00903F9D">
        <w:rPr>
          <w:color w:val="auto"/>
        </w:rPr>
        <w:t>)</w:t>
      </w:r>
      <w:r w:rsidR="00D564C5" w:rsidRPr="00903F9D">
        <w:rPr>
          <w:color w:val="auto"/>
        </w:rPr>
        <w:t xml:space="preserve">. </w:t>
      </w:r>
      <w:r w:rsidR="00F959D0" w:rsidRPr="00903F9D">
        <w:rPr>
          <w:color w:val="auto"/>
        </w:rPr>
        <w:t>These supplementary data were not relied on for evidence of test accuracy. None of the studies reported safety results.</w:t>
      </w:r>
    </w:p>
    <w:p w14:paraId="63C14092" w14:textId="06A4C6B9" w:rsidR="00F70055" w:rsidRPr="00903F9D" w:rsidRDefault="00DE6EAE" w:rsidP="00E76AE0">
      <w:pPr>
        <w:pStyle w:val="Instructionaltext"/>
        <w:rPr>
          <w:color w:val="auto"/>
        </w:rPr>
      </w:pPr>
      <w:r w:rsidRPr="00903F9D">
        <w:rPr>
          <w:color w:val="auto"/>
        </w:rPr>
        <w:t>The ADAR</w:t>
      </w:r>
      <w:r w:rsidR="00C801E5" w:rsidRPr="00903F9D">
        <w:rPr>
          <w:color w:val="auto"/>
        </w:rPr>
        <w:t xml:space="preserve"> excluded </w:t>
      </w:r>
      <w:r w:rsidRPr="00903F9D">
        <w:rPr>
          <w:color w:val="auto"/>
        </w:rPr>
        <w:t xml:space="preserve">studies </w:t>
      </w:r>
      <w:r w:rsidR="00C801E5" w:rsidRPr="00903F9D">
        <w:rPr>
          <w:color w:val="auto"/>
        </w:rPr>
        <w:t>if they were non-comparative or if the outcomes were</w:t>
      </w:r>
      <w:r w:rsidR="00231C2D" w:rsidRPr="00903F9D">
        <w:rPr>
          <w:color w:val="auto"/>
        </w:rPr>
        <w:t xml:space="preserve"> reported for</w:t>
      </w:r>
      <w:r w:rsidR="00C801E5" w:rsidRPr="00903F9D">
        <w:rPr>
          <w:color w:val="auto"/>
        </w:rPr>
        <w:t xml:space="preserve"> one site </w:t>
      </w:r>
      <w:r w:rsidR="00F143C2" w:rsidRPr="00903F9D">
        <w:rPr>
          <w:color w:val="auto"/>
        </w:rPr>
        <w:t xml:space="preserve">only </w:t>
      </w:r>
      <w:r w:rsidR="00C801E5" w:rsidRPr="00903F9D">
        <w:rPr>
          <w:color w:val="auto"/>
        </w:rPr>
        <w:t>(</w:t>
      </w:r>
      <w:proofErr w:type="gramStart"/>
      <w:r w:rsidR="00C801E5" w:rsidRPr="00903F9D">
        <w:rPr>
          <w:color w:val="auto"/>
        </w:rPr>
        <w:t>e.g.</w:t>
      </w:r>
      <w:proofErr w:type="gramEnd"/>
      <w:r w:rsidR="00C801E5" w:rsidRPr="00903F9D">
        <w:rPr>
          <w:color w:val="auto"/>
        </w:rPr>
        <w:t xml:space="preserve"> lumbar site and not femoral) and if test accuracy (i.e. sensitivity/specificity) </w:t>
      </w:r>
      <w:r w:rsidR="00C801E5" w:rsidRPr="00903F9D">
        <w:rPr>
          <w:color w:val="auto"/>
        </w:rPr>
        <w:lastRenderedPageBreak/>
        <w:t>were not reported.</w:t>
      </w:r>
      <w:r w:rsidR="00F143C2" w:rsidRPr="00903F9D">
        <w:rPr>
          <w:color w:val="auto"/>
        </w:rPr>
        <w:t xml:space="preserve"> </w:t>
      </w:r>
      <w:r w:rsidR="00D7498F" w:rsidRPr="00903F9D">
        <w:rPr>
          <w:color w:val="auto"/>
        </w:rPr>
        <w:t xml:space="preserve">Given the paucity of the data </w:t>
      </w:r>
      <w:r w:rsidR="00C87E16" w:rsidRPr="00903F9D">
        <w:rPr>
          <w:color w:val="auto"/>
        </w:rPr>
        <w:t>in populations different from post-menopausal women</w:t>
      </w:r>
      <w:r w:rsidR="00D7498F" w:rsidRPr="00903F9D">
        <w:rPr>
          <w:color w:val="auto"/>
        </w:rPr>
        <w:t>, the exclusion criteria may not be appropriate. For example, Casciaro et al. (2016)</w:t>
      </w:r>
      <w:r w:rsidR="00282F6F" w:rsidRPr="00903F9D">
        <w:rPr>
          <w:rStyle w:val="FootnoteReference"/>
          <w:color w:val="auto"/>
        </w:rPr>
        <w:footnoteReference w:id="20"/>
      </w:r>
      <w:r w:rsidR="00D7498F" w:rsidRPr="00903F9D">
        <w:rPr>
          <w:color w:val="auto"/>
        </w:rPr>
        <w:t xml:space="preserve"> </w:t>
      </w:r>
      <w:r w:rsidR="00AD3ED8" w:rsidRPr="00903F9D">
        <w:rPr>
          <w:color w:val="auto"/>
        </w:rPr>
        <w:t xml:space="preserve">was excluded </w:t>
      </w:r>
      <w:proofErr w:type="gramStart"/>
      <w:r w:rsidR="00AD3ED8" w:rsidRPr="00903F9D">
        <w:rPr>
          <w:color w:val="auto"/>
        </w:rPr>
        <w:t>on the basis of</w:t>
      </w:r>
      <w:proofErr w:type="gramEnd"/>
      <w:r w:rsidR="00AD3ED8" w:rsidRPr="00903F9D">
        <w:rPr>
          <w:color w:val="auto"/>
        </w:rPr>
        <w:t xml:space="preserve"> only reporting lumbar spine and not reporting test accuracy such as sensitivity and specificity (diagnostic agreement for osteoporosis/osteopenia/healthy was reported</w:t>
      </w:r>
      <w:r w:rsidR="00F5381F" w:rsidRPr="00903F9D">
        <w:rPr>
          <w:color w:val="auto"/>
        </w:rPr>
        <w:t>)</w:t>
      </w:r>
      <w:r w:rsidR="00AD3ED8" w:rsidRPr="00903F9D">
        <w:rPr>
          <w:color w:val="auto"/>
        </w:rPr>
        <w:t>. However, this study included overweight individuals with a BMI</w:t>
      </w:r>
      <w:r w:rsidR="004D0431" w:rsidRPr="00903F9D">
        <w:rPr>
          <w:color w:val="auto"/>
        </w:rPr>
        <w:t> </w:t>
      </w:r>
      <w:r w:rsidR="00AD3ED8" w:rsidRPr="00903F9D">
        <w:rPr>
          <w:color w:val="auto"/>
        </w:rPr>
        <w:t>&gt;=25kg/m</w:t>
      </w:r>
      <w:r w:rsidR="00AD3ED8" w:rsidRPr="00903F9D">
        <w:rPr>
          <w:color w:val="auto"/>
          <w:vertAlign w:val="superscript"/>
        </w:rPr>
        <w:t>2</w:t>
      </w:r>
      <w:r w:rsidR="00AD3ED8" w:rsidRPr="00903F9D">
        <w:rPr>
          <w:color w:val="auto"/>
        </w:rPr>
        <w:t xml:space="preserve"> (and possibly obese patients) </w:t>
      </w:r>
      <w:r w:rsidR="00D7498F" w:rsidRPr="00903F9D">
        <w:rPr>
          <w:color w:val="auto"/>
        </w:rPr>
        <w:t xml:space="preserve">aged 45-80 years. </w:t>
      </w:r>
      <w:r w:rsidR="00F5381F" w:rsidRPr="00903F9D">
        <w:rPr>
          <w:color w:val="auto"/>
        </w:rPr>
        <w:t>In addition, it was noted that t</w:t>
      </w:r>
      <w:r w:rsidR="00C801E5" w:rsidRPr="00903F9D">
        <w:rPr>
          <w:color w:val="auto"/>
        </w:rPr>
        <w:t xml:space="preserve">he ADAR had initially excluded </w:t>
      </w:r>
      <w:r w:rsidR="00F5381F" w:rsidRPr="00903F9D">
        <w:rPr>
          <w:color w:val="auto"/>
        </w:rPr>
        <w:t>a</w:t>
      </w:r>
      <w:r w:rsidR="00C801E5" w:rsidRPr="00903F9D">
        <w:rPr>
          <w:color w:val="auto"/>
        </w:rPr>
        <w:t xml:space="preserve"> conference abstract (</w:t>
      </w:r>
      <w:proofErr w:type="spellStart"/>
      <w:r w:rsidR="00C801E5" w:rsidRPr="00903F9D">
        <w:rPr>
          <w:color w:val="auto"/>
        </w:rPr>
        <w:t>Ciardo</w:t>
      </w:r>
      <w:proofErr w:type="spellEnd"/>
      <w:r w:rsidR="00C801E5" w:rsidRPr="00903F9D">
        <w:rPr>
          <w:color w:val="auto"/>
        </w:rPr>
        <w:t xml:space="preserve"> 2021) </w:t>
      </w:r>
      <w:proofErr w:type="gramStart"/>
      <w:r w:rsidR="00C801E5" w:rsidRPr="00903F9D">
        <w:rPr>
          <w:color w:val="auto"/>
        </w:rPr>
        <w:t>on the basis of</w:t>
      </w:r>
      <w:proofErr w:type="gramEnd"/>
      <w:r w:rsidR="00C801E5" w:rsidRPr="00903F9D">
        <w:rPr>
          <w:color w:val="auto"/>
        </w:rPr>
        <w:t xml:space="preserve"> </w:t>
      </w:r>
      <w:r w:rsidR="00992B9F" w:rsidRPr="00903F9D">
        <w:rPr>
          <w:color w:val="auto"/>
        </w:rPr>
        <w:t>“</w:t>
      </w:r>
      <w:r w:rsidR="00C801E5" w:rsidRPr="00903F9D">
        <w:rPr>
          <w:color w:val="auto"/>
        </w:rPr>
        <w:t>Inappropriate indication or patient population or outcomes</w:t>
      </w:r>
      <w:r w:rsidR="00992B9F" w:rsidRPr="00903F9D">
        <w:rPr>
          <w:color w:val="auto"/>
        </w:rPr>
        <w:t>”</w:t>
      </w:r>
      <w:r w:rsidR="00C801E5" w:rsidRPr="00903F9D">
        <w:rPr>
          <w:color w:val="auto"/>
        </w:rPr>
        <w:t xml:space="preserve"> but </w:t>
      </w:r>
      <w:r w:rsidR="00F5381F" w:rsidRPr="00903F9D">
        <w:rPr>
          <w:color w:val="auto"/>
        </w:rPr>
        <w:t xml:space="preserve">then </w:t>
      </w:r>
      <w:r w:rsidR="00C801E5" w:rsidRPr="00903F9D">
        <w:rPr>
          <w:color w:val="auto"/>
        </w:rPr>
        <w:t xml:space="preserve">included </w:t>
      </w:r>
      <w:r w:rsidR="00F5381F" w:rsidRPr="00903F9D">
        <w:rPr>
          <w:color w:val="auto"/>
        </w:rPr>
        <w:t xml:space="preserve">it </w:t>
      </w:r>
      <w:r w:rsidR="00C801E5" w:rsidRPr="00903F9D">
        <w:rPr>
          <w:color w:val="auto"/>
        </w:rPr>
        <w:t xml:space="preserve">as supplementary data </w:t>
      </w:r>
      <w:r w:rsidR="00F5381F" w:rsidRPr="00903F9D">
        <w:rPr>
          <w:color w:val="auto"/>
        </w:rPr>
        <w:t xml:space="preserve">to support the </w:t>
      </w:r>
      <w:r w:rsidR="00C801E5" w:rsidRPr="00903F9D">
        <w:rPr>
          <w:color w:val="auto"/>
        </w:rPr>
        <w:t xml:space="preserve">use on REMS in </w:t>
      </w:r>
      <w:r w:rsidR="001F08BF" w:rsidRPr="00903F9D">
        <w:rPr>
          <w:color w:val="auto"/>
        </w:rPr>
        <w:t>males</w:t>
      </w:r>
      <w:r w:rsidR="00C801E5" w:rsidRPr="00903F9D">
        <w:rPr>
          <w:color w:val="auto"/>
        </w:rPr>
        <w:t>. It is possible that other studies initially excluded</w:t>
      </w:r>
      <w:r w:rsidR="00C87E16" w:rsidRPr="00903F9D">
        <w:rPr>
          <w:color w:val="auto"/>
        </w:rPr>
        <w:t xml:space="preserve"> by the ADAR</w:t>
      </w:r>
      <w:r w:rsidR="00C801E5" w:rsidRPr="00903F9D">
        <w:rPr>
          <w:color w:val="auto"/>
        </w:rPr>
        <w:t xml:space="preserve"> could have provided </w:t>
      </w:r>
      <w:r w:rsidR="00C87E16" w:rsidRPr="00903F9D">
        <w:rPr>
          <w:color w:val="auto"/>
        </w:rPr>
        <w:t xml:space="preserve">some </w:t>
      </w:r>
      <w:r w:rsidR="00C801E5" w:rsidRPr="00903F9D">
        <w:rPr>
          <w:color w:val="auto"/>
        </w:rPr>
        <w:t xml:space="preserve">useful data </w:t>
      </w:r>
      <w:r w:rsidR="00C87E16" w:rsidRPr="00903F9D">
        <w:rPr>
          <w:color w:val="auto"/>
        </w:rPr>
        <w:t xml:space="preserve">in certain </w:t>
      </w:r>
      <w:r w:rsidR="00B84E38" w:rsidRPr="00903F9D">
        <w:rPr>
          <w:rFonts w:eastAsia="Calibri" w:cs="Times New Roman"/>
          <w:color w:val="auto"/>
        </w:rPr>
        <w:t xml:space="preserve">patient groups within the proposed eligible population </w:t>
      </w:r>
      <w:r w:rsidR="00C87E16" w:rsidRPr="00903F9D">
        <w:rPr>
          <w:color w:val="auto"/>
        </w:rPr>
        <w:t xml:space="preserve">for which there </w:t>
      </w:r>
      <w:r w:rsidR="008679A5" w:rsidRPr="00903F9D">
        <w:rPr>
          <w:color w:val="auto"/>
        </w:rPr>
        <w:t xml:space="preserve">is </w:t>
      </w:r>
      <w:r w:rsidR="00C87E16" w:rsidRPr="00903F9D">
        <w:rPr>
          <w:color w:val="auto"/>
        </w:rPr>
        <w:t>no evidence.</w:t>
      </w:r>
    </w:p>
    <w:p w14:paraId="07D7049F" w14:textId="77777777" w:rsidR="00F70055" w:rsidRPr="00903F9D" w:rsidRDefault="00F70055" w:rsidP="00F54EEE">
      <w:pPr>
        <w:pStyle w:val="Heading4"/>
      </w:pPr>
      <w:r w:rsidRPr="00903F9D">
        <w:t>Key evidence for test accuracy</w:t>
      </w:r>
    </w:p>
    <w:p w14:paraId="5ED90A99" w14:textId="092323E8" w:rsidR="009405A5" w:rsidRPr="00903F9D" w:rsidRDefault="006D1224" w:rsidP="00E76AE0">
      <w:pPr>
        <w:pStyle w:val="Instructionaltext"/>
        <w:rPr>
          <w:color w:val="auto"/>
        </w:rPr>
      </w:pPr>
      <w:r w:rsidRPr="00903F9D">
        <w:rPr>
          <w:color w:val="auto"/>
        </w:rPr>
        <w:t>The primary outcome of diagnostic accuracy and diagnostic concordance relied on two key studies</w:t>
      </w:r>
      <w:r w:rsidR="000121AA" w:rsidRPr="00903F9D">
        <w:rPr>
          <w:color w:val="auto"/>
        </w:rPr>
        <w:t>,</w:t>
      </w:r>
      <w:r w:rsidRPr="00903F9D">
        <w:rPr>
          <w:color w:val="auto"/>
        </w:rPr>
        <w:t xml:space="preserve"> </w:t>
      </w:r>
      <w:proofErr w:type="spellStart"/>
      <w:r w:rsidRPr="00903F9D">
        <w:rPr>
          <w:color w:val="auto"/>
        </w:rPr>
        <w:t>Cortet</w:t>
      </w:r>
      <w:proofErr w:type="spellEnd"/>
      <w:r w:rsidRPr="00903F9D">
        <w:rPr>
          <w:color w:val="auto"/>
        </w:rPr>
        <w:t xml:space="preserve"> 2021 and Di Paola 2019</w:t>
      </w:r>
      <w:r w:rsidR="000121AA" w:rsidRPr="00903F9D">
        <w:rPr>
          <w:color w:val="auto"/>
        </w:rPr>
        <w:t>. These two studies were</w:t>
      </w:r>
      <w:r w:rsidRPr="00903F9D">
        <w:rPr>
          <w:color w:val="auto"/>
        </w:rPr>
        <w:t xml:space="preserve"> multi-centre, cross-sectional observational cohort, prospective stud</w:t>
      </w:r>
      <w:r w:rsidR="000121AA" w:rsidRPr="00903F9D">
        <w:rPr>
          <w:color w:val="auto"/>
        </w:rPr>
        <w:t>ies</w:t>
      </w:r>
      <w:r w:rsidR="00DD046B" w:rsidRPr="00903F9D">
        <w:rPr>
          <w:color w:val="auto"/>
        </w:rPr>
        <w:t xml:space="preserve"> (</w:t>
      </w:r>
      <w:r w:rsidR="00DD046B" w:rsidRPr="00903F9D">
        <w:rPr>
          <w:color w:val="auto"/>
        </w:rPr>
        <w:fldChar w:fldCharType="begin"/>
      </w:r>
      <w:r w:rsidR="00DD046B" w:rsidRPr="00903F9D">
        <w:rPr>
          <w:color w:val="auto"/>
        </w:rPr>
        <w:instrText xml:space="preserve"> REF _Ref69725659 \h  \* MERGEFORMAT </w:instrText>
      </w:r>
      <w:r w:rsidR="00DD046B" w:rsidRPr="00903F9D">
        <w:rPr>
          <w:color w:val="auto"/>
        </w:rPr>
      </w:r>
      <w:r w:rsidR="00DD046B" w:rsidRPr="00903F9D">
        <w:rPr>
          <w:color w:val="auto"/>
        </w:rPr>
        <w:fldChar w:fldCharType="separate"/>
      </w:r>
      <w:r w:rsidR="00DF3307" w:rsidRPr="00903F9D">
        <w:rPr>
          <w:color w:val="auto"/>
        </w:rPr>
        <w:t>Table 6</w:t>
      </w:r>
      <w:r w:rsidR="00DD046B" w:rsidRPr="00903F9D">
        <w:rPr>
          <w:color w:val="auto"/>
        </w:rPr>
        <w:fldChar w:fldCharType="end"/>
      </w:r>
      <w:r w:rsidR="00DD046B" w:rsidRPr="00903F9D">
        <w:rPr>
          <w:color w:val="auto"/>
        </w:rPr>
        <w:t>)</w:t>
      </w:r>
      <w:r w:rsidRPr="00903F9D">
        <w:rPr>
          <w:color w:val="auto"/>
        </w:rPr>
        <w:t>.</w:t>
      </w:r>
    </w:p>
    <w:p w14:paraId="47786A52" w14:textId="195BB15D" w:rsidR="009405A5" w:rsidRPr="00903F9D" w:rsidRDefault="003B5756" w:rsidP="0089704C">
      <w:r w:rsidRPr="00903F9D">
        <w:t xml:space="preserve">The patients in the studies </w:t>
      </w:r>
      <w:r w:rsidR="005328DB" w:rsidRPr="00903F9D">
        <w:t xml:space="preserve">were </w:t>
      </w:r>
      <w:r w:rsidRPr="00903F9D">
        <w:t xml:space="preserve">not restricted to the specific proposed MBS criteria. </w:t>
      </w:r>
      <w:r w:rsidR="009405A5" w:rsidRPr="00903F9D">
        <w:t xml:space="preserve">The studies included mainly </w:t>
      </w:r>
      <w:r w:rsidR="007E329F" w:rsidRPr="00903F9D">
        <w:t xml:space="preserve">post-menopausal </w:t>
      </w:r>
      <w:r w:rsidR="009405A5" w:rsidRPr="00903F9D">
        <w:t>female</w:t>
      </w:r>
      <w:r w:rsidR="00D564C5" w:rsidRPr="00903F9D">
        <w:t xml:space="preserve"> patients</w:t>
      </w:r>
      <w:r w:rsidR="005F0862" w:rsidRPr="00903F9D">
        <w:t>.</w:t>
      </w:r>
      <w:r w:rsidR="00695F23" w:rsidRPr="00903F9D">
        <w:t xml:space="preserve"> </w:t>
      </w:r>
      <w:r w:rsidR="00D43AE8" w:rsidRPr="00903F9D">
        <w:t xml:space="preserve">The ADAR claimed this </w:t>
      </w:r>
      <w:r w:rsidR="009405A5" w:rsidRPr="00903F9D">
        <w:t>provide</w:t>
      </w:r>
      <w:r w:rsidR="00C20FB6" w:rsidRPr="00903F9D">
        <w:t>d</w:t>
      </w:r>
      <w:r w:rsidR="009405A5" w:rsidRPr="00903F9D">
        <w:t xml:space="preserve"> a relatively homogenous population that could be readily recruited into these large studies, representing </w:t>
      </w:r>
      <w:proofErr w:type="gramStart"/>
      <w:r w:rsidR="009405A5" w:rsidRPr="00903F9D">
        <w:t>the majority of</w:t>
      </w:r>
      <w:proofErr w:type="gramEnd"/>
      <w:r w:rsidR="009405A5" w:rsidRPr="00903F9D">
        <w:t xml:space="preserve"> patients </w:t>
      </w:r>
      <w:r w:rsidR="00EE7058" w:rsidRPr="00903F9D">
        <w:t>that would be</w:t>
      </w:r>
      <w:r w:rsidR="009405A5" w:rsidRPr="00903F9D">
        <w:t xml:space="preserve"> routinely referred for DXA investigations</w:t>
      </w:r>
      <w:bookmarkStart w:id="22" w:name="_Hlk100096898"/>
      <w:r w:rsidR="009405A5" w:rsidRPr="00903F9D">
        <w:t xml:space="preserve">. </w:t>
      </w:r>
      <w:r w:rsidR="00E45768" w:rsidRPr="00903F9D">
        <w:t>The commentary noted t</w:t>
      </w:r>
      <w:r w:rsidR="009405A5" w:rsidRPr="00903F9D">
        <w:t>his seemed reasonable</w:t>
      </w:r>
      <w:r w:rsidR="009341D5" w:rsidRPr="00903F9D">
        <w:t xml:space="preserve"> and largely consistent with the Australian population who receive DXA</w:t>
      </w:r>
      <w:bookmarkEnd w:id="22"/>
      <w:r w:rsidR="009405A5" w:rsidRPr="00903F9D">
        <w:t xml:space="preserve">. </w:t>
      </w:r>
      <w:r w:rsidR="00884C7E" w:rsidRPr="00903F9D">
        <w:t xml:space="preserve">However, given the lack of data </w:t>
      </w:r>
      <w:r w:rsidR="00EE7058" w:rsidRPr="00903F9D">
        <w:t>to support the</w:t>
      </w:r>
      <w:r w:rsidR="00884C7E" w:rsidRPr="00903F9D">
        <w:t xml:space="preserve"> </w:t>
      </w:r>
      <w:r w:rsidR="00403F79" w:rsidRPr="00903F9D">
        <w:t>use of REMS</w:t>
      </w:r>
      <w:r w:rsidR="00EE7058" w:rsidRPr="00903F9D">
        <w:t xml:space="preserve"> </w:t>
      </w:r>
      <w:r w:rsidR="00403F79" w:rsidRPr="00903F9D">
        <w:t xml:space="preserve">for all the </w:t>
      </w:r>
      <w:r w:rsidR="00672442" w:rsidRPr="00903F9D">
        <w:t xml:space="preserve">MBS </w:t>
      </w:r>
      <w:r w:rsidR="00403F79" w:rsidRPr="00903F9D">
        <w:t>items for which listing is sought</w:t>
      </w:r>
      <w:r w:rsidR="008E2451" w:rsidRPr="00903F9D">
        <w:t>,</w:t>
      </w:r>
      <w:r w:rsidR="00884C7E" w:rsidRPr="00903F9D">
        <w:t xml:space="preserve"> it cannot be assumed that the noninferiority claim </w:t>
      </w:r>
      <w:r w:rsidR="00403F79" w:rsidRPr="00903F9D">
        <w:t xml:space="preserve">will </w:t>
      </w:r>
      <w:r w:rsidR="00884C7E" w:rsidRPr="00903F9D">
        <w:t xml:space="preserve">be met in </w:t>
      </w:r>
      <w:r w:rsidR="00403F79" w:rsidRPr="00903F9D">
        <w:t xml:space="preserve">all </w:t>
      </w:r>
      <w:r w:rsidR="00B84E38" w:rsidRPr="00903F9D">
        <w:rPr>
          <w:rFonts w:eastAsia="Calibri" w:cs="Times New Roman"/>
        </w:rPr>
        <w:t>patient groups within the proposed eligible population</w:t>
      </w:r>
      <w:r w:rsidR="00884C7E" w:rsidRPr="00903F9D">
        <w:t xml:space="preserve">. Therefore, </w:t>
      </w:r>
      <w:r w:rsidR="005F0862" w:rsidRPr="00903F9D">
        <w:t xml:space="preserve">the </w:t>
      </w:r>
      <w:r w:rsidR="00884C7E" w:rsidRPr="00903F9D">
        <w:t xml:space="preserve">issue of the clinical evidence not matching </w:t>
      </w:r>
      <w:r w:rsidR="005F0862" w:rsidRPr="00903F9D">
        <w:t xml:space="preserve">the current </w:t>
      </w:r>
      <w:r w:rsidR="00884C7E" w:rsidRPr="00903F9D">
        <w:t xml:space="preserve">MBS items remains an issue, </w:t>
      </w:r>
      <w:r w:rsidR="008E2451" w:rsidRPr="00903F9D">
        <w:t>for example patients with</w:t>
      </w:r>
      <w:r w:rsidR="00884C7E" w:rsidRPr="00903F9D">
        <w:t xml:space="preserve"> hyperparathyroidism.</w:t>
      </w:r>
    </w:p>
    <w:p w14:paraId="4815055C" w14:textId="4E8968D4" w:rsidR="00D10050" w:rsidRPr="00903F9D" w:rsidRDefault="00642376" w:rsidP="00F54EEE">
      <w:pPr>
        <w:pStyle w:val="Heading4"/>
      </w:pPr>
      <w:r w:rsidRPr="00903F9D">
        <w:t>Exclusion of REMS scans with quality errors</w:t>
      </w:r>
    </w:p>
    <w:p w14:paraId="06E5B5D4" w14:textId="49868E25" w:rsidR="00FD3D63" w:rsidRPr="00903F9D" w:rsidRDefault="00852BC1" w:rsidP="00D10050">
      <w:pPr>
        <w:pStyle w:val="Instructionaltext"/>
        <w:rPr>
          <w:color w:val="auto"/>
        </w:rPr>
      </w:pPr>
      <w:r w:rsidRPr="00903F9D">
        <w:rPr>
          <w:color w:val="auto"/>
        </w:rPr>
        <w:t xml:space="preserve">The key </w:t>
      </w:r>
      <w:r w:rsidR="00D10050" w:rsidRPr="00903F9D">
        <w:rPr>
          <w:color w:val="auto"/>
        </w:rPr>
        <w:t>studies</w:t>
      </w:r>
      <w:r w:rsidRPr="00903F9D">
        <w:rPr>
          <w:color w:val="auto"/>
        </w:rPr>
        <w:t xml:space="preserve"> (</w:t>
      </w:r>
      <w:proofErr w:type="spellStart"/>
      <w:r w:rsidRPr="00903F9D">
        <w:rPr>
          <w:color w:val="auto"/>
        </w:rPr>
        <w:t>Cortet</w:t>
      </w:r>
      <w:proofErr w:type="spellEnd"/>
      <w:r w:rsidRPr="00903F9D">
        <w:rPr>
          <w:color w:val="auto"/>
        </w:rPr>
        <w:t xml:space="preserve"> 2021 and Di Paola 2019)</w:t>
      </w:r>
      <w:r w:rsidR="00D10050" w:rsidRPr="00903F9D">
        <w:rPr>
          <w:color w:val="auto"/>
        </w:rPr>
        <w:t xml:space="preserve"> </w:t>
      </w:r>
      <w:r w:rsidR="00AE04E4" w:rsidRPr="00903F9D">
        <w:rPr>
          <w:color w:val="auto"/>
        </w:rPr>
        <w:t xml:space="preserve">and ADAR </w:t>
      </w:r>
      <w:r w:rsidR="00D10050" w:rsidRPr="00903F9D">
        <w:rPr>
          <w:color w:val="auto"/>
        </w:rPr>
        <w:t xml:space="preserve">presented the comparative diagnostic accuracy of REMS versus DXA using two scenarios: </w:t>
      </w:r>
      <w:r w:rsidR="00D93A49" w:rsidRPr="00903F9D">
        <w:rPr>
          <w:color w:val="auto"/>
        </w:rPr>
        <w:t>(1)</w:t>
      </w:r>
      <w:r w:rsidR="00992B9F" w:rsidRPr="00903F9D">
        <w:rPr>
          <w:color w:val="auto"/>
        </w:rPr>
        <w:t xml:space="preserve"> primary analysis</w:t>
      </w:r>
      <w:r w:rsidR="00D93A49" w:rsidRPr="00903F9D">
        <w:rPr>
          <w:color w:val="auto"/>
        </w:rPr>
        <w:t xml:space="preserve"> which represented a </w:t>
      </w:r>
      <w:r w:rsidR="00D10050" w:rsidRPr="00903F9D">
        <w:rPr>
          <w:color w:val="auto"/>
        </w:rPr>
        <w:t xml:space="preserve">‘quality-checked scenario’ </w:t>
      </w:r>
      <w:r w:rsidR="00D93A49" w:rsidRPr="00903F9D">
        <w:rPr>
          <w:color w:val="auto"/>
        </w:rPr>
        <w:t>w</w:t>
      </w:r>
      <w:r w:rsidR="008679A5" w:rsidRPr="00903F9D">
        <w:rPr>
          <w:color w:val="auto"/>
        </w:rPr>
        <w:t>h</w:t>
      </w:r>
      <w:r w:rsidR="00D93A49" w:rsidRPr="00903F9D">
        <w:rPr>
          <w:color w:val="auto"/>
        </w:rPr>
        <w:t xml:space="preserve">ere </w:t>
      </w:r>
      <w:r w:rsidR="00642376" w:rsidRPr="00903F9D">
        <w:rPr>
          <w:color w:val="auto"/>
        </w:rPr>
        <w:t xml:space="preserve">scans with quality errors (referred to as </w:t>
      </w:r>
      <w:r w:rsidR="008E6081" w:rsidRPr="00903F9D">
        <w:rPr>
          <w:color w:val="auto"/>
        </w:rPr>
        <w:t>‘</w:t>
      </w:r>
      <w:r w:rsidR="00D93A49" w:rsidRPr="00903F9D">
        <w:rPr>
          <w:color w:val="auto"/>
        </w:rPr>
        <w:t>erroneous’ scans</w:t>
      </w:r>
      <w:r w:rsidR="00642376" w:rsidRPr="00903F9D">
        <w:rPr>
          <w:color w:val="auto"/>
        </w:rPr>
        <w:t xml:space="preserve"> in the ADAR)</w:t>
      </w:r>
      <w:r w:rsidR="00D93A49" w:rsidRPr="00903F9D">
        <w:rPr>
          <w:color w:val="auto"/>
        </w:rPr>
        <w:t xml:space="preserve"> were excluded; </w:t>
      </w:r>
      <w:r w:rsidR="00D10050" w:rsidRPr="00903F9D">
        <w:rPr>
          <w:color w:val="auto"/>
        </w:rPr>
        <w:t xml:space="preserve">and </w:t>
      </w:r>
      <w:r w:rsidR="00D93A49" w:rsidRPr="00903F9D">
        <w:rPr>
          <w:color w:val="auto"/>
        </w:rPr>
        <w:t>(2)</w:t>
      </w:r>
      <w:r w:rsidR="00D10050" w:rsidRPr="00903F9D">
        <w:rPr>
          <w:color w:val="auto"/>
        </w:rPr>
        <w:t xml:space="preserve"> </w:t>
      </w:r>
      <w:r w:rsidR="00992B9F" w:rsidRPr="00903F9D">
        <w:rPr>
          <w:color w:val="auto"/>
        </w:rPr>
        <w:t xml:space="preserve">supplementary analysis </w:t>
      </w:r>
      <w:r w:rsidR="00B42D10" w:rsidRPr="00903F9D">
        <w:rPr>
          <w:color w:val="auto"/>
        </w:rPr>
        <w:t>referred to as the</w:t>
      </w:r>
      <w:r w:rsidR="00992B9F" w:rsidRPr="00903F9D">
        <w:rPr>
          <w:color w:val="auto"/>
        </w:rPr>
        <w:t xml:space="preserve"> </w:t>
      </w:r>
      <w:r w:rsidR="00D10050" w:rsidRPr="00903F9D">
        <w:rPr>
          <w:color w:val="auto"/>
        </w:rPr>
        <w:t>‘unchecked</w:t>
      </w:r>
      <w:r w:rsidR="00B42D10" w:rsidRPr="00903F9D">
        <w:rPr>
          <w:color w:val="auto"/>
        </w:rPr>
        <w:t>/</w:t>
      </w:r>
      <w:r w:rsidR="00D10050" w:rsidRPr="00903F9D">
        <w:rPr>
          <w:color w:val="auto"/>
        </w:rPr>
        <w:t>real life scenario’</w:t>
      </w:r>
      <w:r w:rsidR="00B42D10" w:rsidRPr="00903F9D">
        <w:rPr>
          <w:color w:val="auto"/>
        </w:rPr>
        <w:t xml:space="preserve"> where </w:t>
      </w:r>
      <w:r w:rsidR="00DE6EAE" w:rsidRPr="00903F9D">
        <w:rPr>
          <w:color w:val="auto"/>
        </w:rPr>
        <w:t>REMS</w:t>
      </w:r>
      <w:r w:rsidR="00B42D10" w:rsidRPr="00903F9D">
        <w:rPr>
          <w:color w:val="auto"/>
        </w:rPr>
        <w:t xml:space="preserve"> scans</w:t>
      </w:r>
      <w:r w:rsidR="00DE6EAE" w:rsidRPr="00903F9D">
        <w:rPr>
          <w:color w:val="auto"/>
        </w:rPr>
        <w:t xml:space="preserve"> with quality errors</w:t>
      </w:r>
      <w:r w:rsidR="00B42D10" w:rsidRPr="00903F9D">
        <w:rPr>
          <w:color w:val="auto"/>
        </w:rPr>
        <w:t xml:space="preserve"> were added back in</w:t>
      </w:r>
      <w:r w:rsidRPr="00903F9D">
        <w:rPr>
          <w:color w:val="auto"/>
        </w:rPr>
        <w:t xml:space="preserve"> (i.e. REMS scans with quality errors were not excluded while DXA scans with quality errors were excluded).</w:t>
      </w:r>
    </w:p>
    <w:p w14:paraId="3F19CC2B" w14:textId="65942460" w:rsidR="00D10050" w:rsidRPr="00903F9D" w:rsidRDefault="00D10050" w:rsidP="005B73DA">
      <w:pPr>
        <w:pStyle w:val="Instructionaltext"/>
        <w:keepNext/>
        <w:rPr>
          <w:color w:val="auto"/>
        </w:rPr>
      </w:pPr>
      <w:r w:rsidRPr="00903F9D">
        <w:rPr>
          <w:color w:val="auto"/>
        </w:rPr>
        <w:t xml:space="preserve">In both studies, two experienced operators checked all the medical reports along with the REMS datasets in an independent double-blind manner </w:t>
      </w:r>
      <w:proofErr w:type="gramStart"/>
      <w:r w:rsidRPr="00903F9D">
        <w:rPr>
          <w:color w:val="auto"/>
        </w:rPr>
        <w:t>in order to</w:t>
      </w:r>
      <w:proofErr w:type="gramEnd"/>
      <w:r w:rsidRPr="00903F9D">
        <w:rPr>
          <w:color w:val="auto"/>
        </w:rPr>
        <w:t xml:space="preserve"> identify possible acquisition errors that </w:t>
      </w:r>
      <w:r w:rsidR="00976F87" w:rsidRPr="00903F9D">
        <w:rPr>
          <w:color w:val="auto"/>
        </w:rPr>
        <w:t xml:space="preserve">could </w:t>
      </w:r>
      <w:r w:rsidRPr="00903F9D">
        <w:rPr>
          <w:color w:val="auto"/>
        </w:rPr>
        <w:t xml:space="preserve">result in inappropriate diagnostic classifications. Similarly, these operators identified DXA errors. The definition of </w:t>
      </w:r>
      <w:r w:rsidR="00DE6EAE" w:rsidRPr="00903F9D">
        <w:rPr>
          <w:color w:val="auto"/>
        </w:rPr>
        <w:t>a quality error</w:t>
      </w:r>
      <w:r w:rsidRPr="00903F9D">
        <w:rPr>
          <w:color w:val="auto"/>
        </w:rPr>
        <w:t xml:space="preserve"> was the same in </w:t>
      </w:r>
      <w:proofErr w:type="spellStart"/>
      <w:r w:rsidRPr="00903F9D">
        <w:rPr>
          <w:color w:val="auto"/>
        </w:rPr>
        <w:t>Cortet</w:t>
      </w:r>
      <w:proofErr w:type="spellEnd"/>
      <w:r w:rsidRPr="00903F9D">
        <w:rPr>
          <w:color w:val="auto"/>
        </w:rPr>
        <w:t xml:space="preserve"> 2021 and Di Paola 2019 as follows:</w:t>
      </w:r>
    </w:p>
    <w:p w14:paraId="5BBA6AC1" w14:textId="73E26910" w:rsidR="00D10050" w:rsidRPr="00903F9D" w:rsidRDefault="00D10050" w:rsidP="00DC4305">
      <w:pPr>
        <w:pStyle w:val="Instructionaltext"/>
        <w:numPr>
          <w:ilvl w:val="0"/>
          <w:numId w:val="16"/>
        </w:numPr>
        <w:rPr>
          <w:color w:val="auto"/>
        </w:rPr>
      </w:pPr>
      <w:r w:rsidRPr="00903F9D">
        <w:rPr>
          <w:color w:val="auto"/>
        </w:rPr>
        <w:t>DXA errors</w:t>
      </w:r>
      <w:r w:rsidR="00976F87" w:rsidRPr="00903F9D">
        <w:rPr>
          <w:color w:val="auto"/>
        </w:rPr>
        <w:t>:</w:t>
      </w:r>
      <w:r w:rsidRPr="00903F9D">
        <w:rPr>
          <w:color w:val="auto"/>
        </w:rPr>
        <w:t xml:space="preserve"> typically associated with inaccurate patient positioning, analysis pitfalls (</w:t>
      </w:r>
      <w:proofErr w:type="gramStart"/>
      <w:r w:rsidRPr="00903F9D">
        <w:rPr>
          <w:color w:val="auto"/>
        </w:rPr>
        <w:t>e.g.</w:t>
      </w:r>
      <w:proofErr w:type="gramEnd"/>
      <w:r w:rsidRPr="00903F9D">
        <w:rPr>
          <w:color w:val="auto"/>
        </w:rPr>
        <w:t xml:space="preserve"> incorrect placement of analysis boxes in the image), presence of artifacts or mistakes in the registration of demographic characteristics.</w:t>
      </w:r>
    </w:p>
    <w:p w14:paraId="199E65DA" w14:textId="174AC549" w:rsidR="00D10050" w:rsidRPr="00903F9D" w:rsidRDefault="00D10050" w:rsidP="00DC4305">
      <w:pPr>
        <w:pStyle w:val="Instructionaltext"/>
        <w:numPr>
          <w:ilvl w:val="0"/>
          <w:numId w:val="16"/>
        </w:numPr>
        <w:rPr>
          <w:color w:val="auto"/>
        </w:rPr>
      </w:pPr>
      <w:r w:rsidRPr="00903F9D">
        <w:rPr>
          <w:color w:val="auto"/>
        </w:rPr>
        <w:t>REMS errors</w:t>
      </w:r>
      <w:r w:rsidR="009371C6" w:rsidRPr="00903F9D">
        <w:rPr>
          <w:color w:val="auto"/>
        </w:rPr>
        <w:t>:</w:t>
      </w:r>
      <w:r w:rsidRPr="00903F9D">
        <w:rPr>
          <w:color w:val="auto"/>
        </w:rPr>
        <w:t xml:space="preserve"> typically associated with incorrect settings of acquisition parameters (</w:t>
      </w:r>
      <w:proofErr w:type="gramStart"/>
      <w:r w:rsidRPr="00903F9D">
        <w:rPr>
          <w:color w:val="auto"/>
        </w:rPr>
        <w:t>e.g.</w:t>
      </w:r>
      <w:proofErr w:type="gramEnd"/>
      <w:r w:rsidRPr="00903F9D">
        <w:rPr>
          <w:color w:val="auto"/>
        </w:rPr>
        <w:t xml:space="preserve"> suboptimal settings of transducer focus, and/or scan depth), or with incomplete </w:t>
      </w:r>
      <w:r w:rsidRPr="00903F9D">
        <w:rPr>
          <w:color w:val="auto"/>
        </w:rPr>
        <w:lastRenderedPageBreak/>
        <w:t>adherence to the indications provided by the software and/or user guide (e.g. missing or delayed movement from a given vertebra to the subsequent one).</w:t>
      </w:r>
    </w:p>
    <w:p w14:paraId="0F5F0CE2" w14:textId="0149A0F4" w:rsidR="00AE04E4" w:rsidRPr="00903F9D" w:rsidRDefault="00B77B14" w:rsidP="00AE04E4">
      <w:r w:rsidRPr="00903F9D">
        <w:t xml:space="preserve">The </w:t>
      </w:r>
      <w:r w:rsidR="009D439D" w:rsidRPr="00903F9D">
        <w:t>c</w:t>
      </w:r>
      <w:r w:rsidRPr="00903F9D">
        <w:t>ommentary</w:t>
      </w:r>
      <w:r w:rsidR="005D5F26" w:rsidRPr="00903F9D">
        <w:t xml:space="preserve"> noted that a proportion of DXA scans identified with a quality error could be re-analysed with some not requiring their exclusion. As such in Di Paola 2019, DXA scans with </w:t>
      </w:r>
      <w:r w:rsidR="00825344" w:rsidRPr="00903F9D">
        <w:t xml:space="preserve">quality </w:t>
      </w:r>
      <w:r w:rsidR="005D5F26" w:rsidRPr="00903F9D">
        <w:t xml:space="preserve">errors that could be corrected were included in the primary analysis (this was not correctly articulated in the ADAR), however this was not done in </w:t>
      </w:r>
      <w:proofErr w:type="spellStart"/>
      <w:r w:rsidR="005D5F26" w:rsidRPr="00903F9D">
        <w:t>Cortet</w:t>
      </w:r>
      <w:proofErr w:type="spellEnd"/>
      <w:r w:rsidR="005D5F26" w:rsidRPr="00903F9D">
        <w:t xml:space="preserve"> 2021 as presented in </w:t>
      </w:r>
      <w:r w:rsidR="008E2DD1" w:rsidRPr="00903F9D">
        <w:fldChar w:fldCharType="begin"/>
      </w:r>
      <w:r w:rsidR="008E2DD1" w:rsidRPr="00903F9D">
        <w:instrText xml:space="preserve"> REF _Ref103109349 \h </w:instrText>
      </w:r>
      <w:r w:rsidR="00903F9D">
        <w:instrText xml:space="preserve"> \* MERGEFORMAT </w:instrText>
      </w:r>
      <w:r w:rsidR="008E2DD1" w:rsidRPr="00903F9D">
        <w:fldChar w:fldCharType="separate"/>
      </w:r>
      <w:r w:rsidR="00DF3307" w:rsidRPr="00903F9D">
        <w:t xml:space="preserve">Table </w:t>
      </w:r>
      <w:r w:rsidR="00DF3307" w:rsidRPr="00903F9D">
        <w:rPr>
          <w:noProof/>
        </w:rPr>
        <w:t>5</w:t>
      </w:r>
      <w:r w:rsidR="008E2DD1" w:rsidRPr="00903F9D">
        <w:fldChar w:fldCharType="end"/>
      </w:r>
      <w:r w:rsidR="005D5F26" w:rsidRPr="00903F9D">
        <w:t xml:space="preserve">. </w:t>
      </w:r>
      <w:r w:rsidR="00642376" w:rsidRPr="00903F9D">
        <w:t xml:space="preserve">However, </w:t>
      </w:r>
      <w:r w:rsidR="008E6081" w:rsidRPr="00903F9D">
        <w:t xml:space="preserve">in the pre-MSAC response it was clarified that femoral </w:t>
      </w:r>
      <w:r w:rsidR="00642376" w:rsidRPr="00903F9D">
        <w:t>REMS scans with quality errors can</w:t>
      </w:r>
      <w:r w:rsidR="008E6081" w:rsidRPr="00903F9D">
        <w:t xml:space="preserve">not </w:t>
      </w:r>
      <w:r w:rsidR="00642376" w:rsidRPr="00903F9D">
        <w:t>be</w:t>
      </w:r>
      <w:r w:rsidR="009339A0" w:rsidRPr="00903F9D">
        <w:t xml:space="preserve"> </w:t>
      </w:r>
      <w:r w:rsidR="00642376" w:rsidRPr="00903F9D">
        <w:t>re-analysed in practice</w:t>
      </w:r>
      <w:r w:rsidR="008E6081" w:rsidRPr="00903F9D">
        <w:t>, though it is possible that vertebra can be excluded from analysis and the remaining vertebral REMS scans can then be re-analysed</w:t>
      </w:r>
      <w:r w:rsidR="00642376" w:rsidRPr="00903F9D">
        <w:t>.</w:t>
      </w:r>
      <w:r w:rsidR="001736A1" w:rsidRPr="00903F9D">
        <w:t xml:space="preserve"> </w:t>
      </w:r>
      <w:r w:rsidR="001736A1" w:rsidRPr="00903F9D" w:rsidDel="00463DEC">
        <w:rPr>
          <w:iCs/>
        </w:rPr>
        <w:t xml:space="preserve">The </w:t>
      </w:r>
      <w:r w:rsidR="009D439D" w:rsidRPr="00903F9D" w:rsidDel="00463DEC">
        <w:rPr>
          <w:iCs/>
        </w:rPr>
        <w:t>c</w:t>
      </w:r>
      <w:r w:rsidR="001736A1" w:rsidRPr="00903F9D" w:rsidDel="00463DEC">
        <w:rPr>
          <w:iCs/>
        </w:rPr>
        <w:t xml:space="preserve">ommentary noted that there is no information available to understand the impact of the unidentified REMS scans with quality errors, mainly whether it can lead to over/under-estimation of BMD, hence osteoporosis diagnoses. The differences in training and rate of quality check errors identified in REMS scans between </w:t>
      </w:r>
      <w:proofErr w:type="spellStart"/>
      <w:r w:rsidR="001736A1" w:rsidRPr="00903F9D" w:rsidDel="00463DEC">
        <w:rPr>
          <w:iCs/>
        </w:rPr>
        <w:t>Cortet</w:t>
      </w:r>
      <w:proofErr w:type="spellEnd"/>
      <w:r w:rsidR="001736A1" w:rsidRPr="00903F9D" w:rsidDel="00463DEC">
        <w:rPr>
          <w:iCs/>
        </w:rPr>
        <w:t xml:space="preserve"> 2021 and Di Paola 2019, highlight the fact that this may be operator dependent – training is therefore essential to reduce the rate of REMS scans with quality errors which will not be identified in practice.</w:t>
      </w:r>
      <w:r w:rsidR="001736A1" w:rsidRPr="00903F9D">
        <w:rPr>
          <w:iCs/>
        </w:rPr>
        <w:t xml:space="preserve"> </w:t>
      </w:r>
      <w:r w:rsidR="001736A1" w:rsidRPr="00903F9D" w:rsidDel="0061405D">
        <w:t xml:space="preserve">The </w:t>
      </w:r>
      <w:r w:rsidR="001736A1" w:rsidRPr="00903F9D">
        <w:t>pre-</w:t>
      </w:r>
      <w:r w:rsidR="008E6081" w:rsidRPr="00903F9D">
        <w:t>MSAC</w:t>
      </w:r>
      <w:r w:rsidR="001736A1" w:rsidRPr="00903F9D">
        <w:t xml:space="preserve"> response </w:t>
      </w:r>
      <w:r w:rsidR="00813E51" w:rsidRPr="00903F9D">
        <w:t>did not address this issue but reiterated t</w:t>
      </w:r>
      <w:r w:rsidR="001736A1" w:rsidRPr="00903F9D">
        <w:t xml:space="preserve">hat interpreting the </w:t>
      </w:r>
      <w:r w:rsidR="001736A1" w:rsidRPr="00903F9D" w:rsidDel="0061405D">
        <w:t>results of REMS are operator independent; there is no ambiguity or operator interpretation required and the software does all the calculations from the retrieved scans.</w:t>
      </w:r>
    </w:p>
    <w:p w14:paraId="6AAFD661" w14:textId="7F6D9AC0" w:rsidR="00FD3D63" w:rsidRPr="00903F9D" w:rsidRDefault="00825344" w:rsidP="00AE04E4">
      <w:r w:rsidRPr="00903F9D">
        <w:t>The ADAR noted that</w:t>
      </w:r>
      <w:r w:rsidR="009A0D33" w:rsidRPr="00903F9D">
        <w:t xml:space="preserve"> by excluding ‘</w:t>
      </w:r>
      <w:r w:rsidR="00AE04E4" w:rsidRPr="00903F9D">
        <w:t>scans with quality errors’</w:t>
      </w:r>
      <w:r w:rsidR="009A0D33" w:rsidRPr="00903F9D">
        <w:t xml:space="preserve"> from </w:t>
      </w:r>
      <w:r w:rsidR="00AE04E4" w:rsidRPr="00903F9D">
        <w:t xml:space="preserve">the primary analysis </w:t>
      </w:r>
      <w:r w:rsidR="009A0D33" w:rsidRPr="00903F9D">
        <w:t>there may be a risk of bias for patient flow and timing based on the QUADAS-2 checklist.</w:t>
      </w:r>
      <w:r w:rsidR="00AE04E4" w:rsidRPr="00903F9D">
        <w:t xml:space="preserve"> As the supplementary ‘real-world’ analysis re-included excluded REMS scans with quality errors but did not re-include excluded DXA scans with quality errors, the risk of bias was reduced rather than eliminated and, </w:t>
      </w:r>
      <w:proofErr w:type="gramStart"/>
      <w:r w:rsidR="00BF51FF" w:rsidRPr="00903F9D">
        <w:t>as a</w:t>
      </w:r>
      <w:r w:rsidR="00AE04E4" w:rsidRPr="00903F9D">
        <w:t xml:space="preserve"> consequence</w:t>
      </w:r>
      <w:proofErr w:type="gramEnd"/>
      <w:r w:rsidR="00AE04E4" w:rsidRPr="00903F9D">
        <w:t>, the risk of flow and timing was considered by the evaluation to be ‘unclear’ rather than ‘low’ as suggested by the ADAR.</w:t>
      </w:r>
    </w:p>
    <w:p w14:paraId="60884445" w14:textId="67F2E7F8" w:rsidR="00D10050" w:rsidRPr="00903F9D" w:rsidRDefault="00992B9F" w:rsidP="005D5F26">
      <w:r w:rsidRPr="00903F9D">
        <w:t xml:space="preserve">The reasons why REMS scans were </w:t>
      </w:r>
      <w:proofErr w:type="gramStart"/>
      <w:r w:rsidRPr="00903F9D">
        <w:t>excluded</w:t>
      </w:r>
      <w:proofErr w:type="gramEnd"/>
      <w:r w:rsidRPr="00903F9D">
        <w:t xml:space="preserve"> </w:t>
      </w:r>
      <w:r w:rsidR="00AE04E4" w:rsidRPr="00903F9D">
        <w:t xml:space="preserve">and the magnitude of excluded scans </w:t>
      </w:r>
      <w:r w:rsidRPr="00903F9D">
        <w:t xml:space="preserve">are </w:t>
      </w:r>
      <w:r w:rsidR="009A0D33" w:rsidRPr="00903F9D">
        <w:t>summarised</w:t>
      </w:r>
      <w:r w:rsidRPr="00903F9D">
        <w:t xml:space="preserve"> in </w:t>
      </w:r>
      <w:r w:rsidRPr="00903F9D">
        <w:fldChar w:fldCharType="begin"/>
      </w:r>
      <w:r w:rsidRPr="00903F9D">
        <w:instrText xml:space="preserve"> REF _Ref102502234 \h  \* MERGEFORMAT </w:instrText>
      </w:r>
      <w:r w:rsidRPr="00903F9D">
        <w:fldChar w:fldCharType="separate"/>
      </w:r>
      <w:r w:rsidR="00DF3307" w:rsidRPr="00903F9D">
        <w:t xml:space="preserve">Table </w:t>
      </w:r>
      <w:r w:rsidR="00DF3307" w:rsidRPr="00903F9D">
        <w:rPr>
          <w:noProof/>
        </w:rPr>
        <w:t>5</w:t>
      </w:r>
      <w:r w:rsidRPr="00903F9D">
        <w:fldChar w:fldCharType="end"/>
      </w:r>
      <w:r w:rsidRPr="00903F9D">
        <w:t>.</w:t>
      </w:r>
    </w:p>
    <w:p w14:paraId="6DD9CCB3" w14:textId="59B046C5" w:rsidR="00D10050" w:rsidRPr="00903F9D" w:rsidRDefault="005D5F26" w:rsidP="005B73DA">
      <w:pPr>
        <w:pStyle w:val="Caption"/>
        <w:keepLines/>
      </w:pPr>
      <w:bookmarkStart w:id="23" w:name="_Ref103109349"/>
      <w:bookmarkStart w:id="24" w:name="_Ref102502234"/>
      <w:r w:rsidRPr="00903F9D">
        <w:lastRenderedPageBreak/>
        <w:t xml:space="preserve">Table </w:t>
      </w:r>
      <w:r w:rsidR="008D0E73">
        <w:fldChar w:fldCharType="begin"/>
      </w:r>
      <w:r w:rsidR="008D0E73">
        <w:instrText xml:space="preserve"> SEQ Table \* ARABIC </w:instrText>
      </w:r>
      <w:r w:rsidR="008D0E73">
        <w:fldChar w:fldCharType="separate"/>
      </w:r>
      <w:r w:rsidR="00DF3307" w:rsidRPr="00903F9D">
        <w:rPr>
          <w:noProof/>
        </w:rPr>
        <w:t>5</w:t>
      </w:r>
      <w:r w:rsidR="008D0E73">
        <w:rPr>
          <w:noProof/>
        </w:rPr>
        <w:fldChar w:fldCharType="end"/>
      </w:r>
      <w:bookmarkEnd w:id="23"/>
      <w:bookmarkEnd w:id="24"/>
      <w:r w:rsidR="00C10D16">
        <w:tab/>
      </w:r>
      <w:r w:rsidRPr="00903F9D">
        <w:t xml:space="preserve"> </w:t>
      </w:r>
      <w:r w:rsidR="00D10050" w:rsidRPr="00903F9D">
        <w:t xml:space="preserve">Reasons for exclusion of </w:t>
      </w:r>
      <w:r w:rsidR="008E2DD1" w:rsidRPr="00903F9D">
        <w:t xml:space="preserve">REMS </w:t>
      </w:r>
      <w:r w:rsidR="00605981" w:rsidRPr="00903F9D">
        <w:t>a</w:t>
      </w:r>
      <w:r w:rsidR="008E2DD1" w:rsidRPr="00903F9D">
        <w:t xml:space="preserve">nd DXA scans in </w:t>
      </w:r>
      <w:r w:rsidR="00605981" w:rsidRPr="00903F9D">
        <w:t xml:space="preserve">the two </w:t>
      </w:r>
      <w:r w:rsidR="00D10050" w:rsidRPr="00903F9D">
        <w:t>key studies</w:t>
      </w:r>
    </w:p>
    <w:tbl>
      <w:tblPr>
        <w:tblW w:w="8929" w:type="dxa"/>
        <w:tblLayout w:type="fixed"/>
        <w:tblLook w:val="04A0" w:firstRow="1" w:lastRow="0" w:firstColumn="1" w:lastColumn="0" w:noHBand="0" w:noVBand="1"/>
      </w:tblPr>
      <w:tblGrid>
        <w:gridCol w:w="3114"/>
        <w:gridCol w:w="709"/>
        <w:gridCol w:w="708"/>
        <w:gridCol w:w="709"/>
        <w:gridCol w:w="567"/>
        <w:gridCol w:w="709"/>
        <w:gridCol w:w="853"/>
        <w:gridCol w:w="581"/>
        <w:gridCol w:w="979"/>
      </w:tblGrid>
      <w:tr w:rsidR="008B1E43" w:rsidRPr="00903F9D" w14:paraId="1089F72B" w14:textId="77777777" w:rsidTr="009F1C02">
        <w:trPr>
          <w:cantSplit/>
          <w:trHeight w:val="314"/>
          <w:tblHeader/>
        </w:trPr>
        <w:tc>
          <w:tcPr>
            <w:tcW w:w="3114" w:type="dxa"/>
            <w:vMerge w:val="restart"/>
            <w:tcBorders>
              <w:top w:val="single" w:sz="4" w:space="0" w:color="auto"/>
              <w:left w:val="single" w:sz="4" w:space="0" w:color="auto"/>
              <w:bottom w:val="single" w:sz="8" w:space="0" w:color="000000"/>
              <w:right w:val="single" w:sz="4" w:space="0" w:color="auto"/>
            </w:tcBorders>
            <w:noWrap/>
            <w:vAlign w:val="center"/>
            <w:hideMark/>
          </w:tcPr>
          <w:p w14:paraId="58D8A290" w14:textId="77777777" w:rsidR="008B1E43" w:rsidRPr="00903F9D" w:rsidRDefault="008B1E43" w:rsidP="005B73DA">
            <w:pPr>
              <w:pStyle w:val="Tabletext0"/>
              <w:keepNext/>
              <w:keepLines/>
            </w:pPr>
            <w:r w:rsidRPr="00903F9D">
              <w:t> </w:t>
            </w:r>
          </w:p>
        </w:tc>
        <w:tc>
          <w:tcPr>
            <w:tcW w:w="2693" w:type="dxa"/>
            <w:gridSpan w:val="4"/>
            <w:tcBorders>
              <w:top w:val="single" w:sz="4" w:space="0" w:color="auto"/>
              <w:left w:val="single" w:sz="4" w:space="0" w:color="auto"/>
              <w:bottom w:val="single" w:sz="4" w:space="0" w:color="auto"/>
              <w:right w:val="single" w:sz="4" w:space="0" w:color="auto"/>
            </w:tcBorders>
            <w:noWrap/>
            <w:vAlign w:val="center"/>
            <w:hideMark/>
          </w:tcPr>
          <w:p w14:paraId="09E15DE2" w14:textId="77777777" w:rsidR="008B1E43" w:rsidRPr="00903F9D" w:rsidRDefault="008B1E43" w:rsidP="005B73DA">
            <w:pPr>
              <w:pStyle w:val="Tabletext0"/>
              <w:keepNext/>
              <w:keepLines/>
              <w:jc w:val="center"/>
              <w:rPr>
                <w:b/>
                <w:bCs/>
              </w:rPr>
            </w:pPr>
            <w:r w:rsidRPr="00903F9D">
              <w:rPr>
                <w:b/>
                <w:bCs/>
              </w:rPr>
              <w:t>Di Paola 2019</w:t>
            </w:r>
          </w:p>
        </w:tc>
        <w:tc>
          <w:tcPr>
            <w:tcW w:w="3122" w:type="dxa"/>
            <w:gridSpan w:val="4"/>
            <w:tcBorders>
              <w:top w:val="single" w:sz="4" w:space="0" w:color="auto"/>
              <w:left w:val="single" w:sz="4" w:space="0" w:color="auto"/>
              <w:bottom w:val="single" w:sz="4" w:space="0" w:color="auto"/>
              <w:right w:val="single" w:sz="4" w:space="0" w:color="auto"/>
            </w:tcBorders>
            <w:vAlign w:val="center"/>
            <w:hideMark/>
          </w:tcPr>
          <w:p w14:paraId="25DB6C56" w14:textId="77777777" w:rsidR="008B1E43" w:rsidRPr="00903F9D" w:rsidRDefault="008B1E43" w:rsidP="005B73DA">
            <w:pPr>
              <w:pStyle w:val="Tabletext0"/>
              <w:keepNext/>
              <w:keepLines/>
              <w:jc w:val="center"/>
              <w:rPr>
                <w:b/>
                <w:bCs/>
              </w:rPr>
            </w:pPr>
            <w:proofErr w:type="spellStart"/>
            <w:r w:rsidRPr="00903F9D">
              <w:rPr>
                <w:b/>
                <w:bCs/>
              </w:rPr>
              <w:t>Cortet</w:t>
            </w:r>
            <w:proofErr w:type="spellEnd"/>
            <w:r w:rsidRPr="00903F9D">
              <w:rPr>
                <w:b/>
                <w:bCs/>
              </w:rPr>
              <w:t xml:space="preserve"> 2021</w:t>
            </w:r>
          </w:p>
        </w:tc>
      </w:tr>
      <w:tr w:rsidR="008B1E43" w:rsidRPr="00903F9D" w14:paraId="58033BEC" w14:textId="77777777" w:rsidTr="009F1C02">
        <w:trPr>
          <w:cantSplit/>
          <w:trHeight w:val="300"/>
          <w:tblHeader/>
        </w:trPr>
        <w:tc>
          <w:tcPr>
            <w:tcW w:w="3114" w:type="dxa"/>
            <w:vMerge/>
            <w:tcBorders>
              <w:top w:val="single" w:sz="4" w:space="0" w:color="auto"/>
              <w:left w:val="single" w:sz="4" w:space="0" w:color="auto"/>
              <w:bottom w:val="single" w:sz="8" w:space="0" w:color="000000"/>
              <w:right w:val="single" w:sz="4" w:space="0" w:color="auto"/>
            </w:tcBorders>
            <w:vAlign w:val="center"/>
            <w:hideMark/>
          </w:tcPr>
          <w:p w14:paraId="17DBE0B3" w14:textId="77777777" w:rsidR="008B1E43" w:rsidRPr="00903F9D" w:rsidRDefault="008B1E43" w:rsidP="005B73DA">
            <w:pPr>
              <w:pStyle w:val="Tabletext0"/>
              <w:keepNext/>
              <w:keepLines/>
            </w:pPr>
          </w:p>
        </w:tc>
        <w:tc>
          <w:tcPr>
            <w:tcW w:w="1417" w:type="dxa"/>
            <w:gridSpan w:val="2"/>
            <w:tcBorders>
              <w:top w:val="single" w:sz="4" w:space="0" w:color="auto"/>
              <w:left w:val="single" w:sz="4" w:space="0" w:color="auto"/>
              <w:bottom w:val="single" w:sz="4" w:space="0" w:color="auto"/>
              <w:right w:val="single" w:sz="4" w:space="0" w:color="auto"/>
            </w:tcBorders>
            <w:noWrap/>
            <w:vAlign w:val="center"/>
            <w:hideMark/>
          </w:tcPr>
          <w:p w14:paraId="6947EFB8" w14:textId="77777777" w:rsidR="008B1E43" w:rsidRPr="00903F9D" w:rsidRDefault="008B1E43" w:rsidP="005B73DA">
            <w:pPr>
              <w:pStyle w:val="Tabletext0"/>
              <w:keepNext/>
              <w:keepLines/>
              <w:jc w:val="center"/>
              <w:rPr>
                <w:b/>
                <w:bCs/>
              </w:rPr>
            </w:pPr>
            <w:r w:rsidRPr="00903F9D">
              <w:rPr>
                <w:b/>
                <w:bCs/>
              </w:rPr>
              <w:t>Lumbar spine</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14:paraId="07C444A2" w14:textId="77777777" w:rsidR="008B1E43" w:rsidRPr="00903F9D" w:rsidRDefault="008B1E43" w:rsidP="005B73DA">
            <w:pPr>
              <w:pStyle w:val="Tabletext0"/>
              <w:keepNext/>
              <w:keepLines/>
              <w:jc w:val="center"/>
              <w:rPr>
                <w:b/>
                <w:bCs/>
              </w:rPr>
            </w:pPr>
            <w:r w:rsidRPr="00903F9D">
              <w:rPr>
                <w:b/>
                <w:bCs/>
              </w:rPr>
              <w:t>Femoral neck</w:t>
            </w:r>
          </w:p>
        </w:tc>
        <w:tc>
          <w:tcPr>
            <w:tcW w:w="1562" w:type="dxa"/>
            <w:gridSpan w:val="2"/>
            <w:tcBorders>
              <w:top w:val="single" w:sz="4" w:space="0" w:color="auto"/>
              <w:left w:val="single" w:sz="4" w:space="0" w:color="auto"/>
              <w:bottom w:val="single" w:sz="4" w:space="0" w:color="auto"/>
              <w:right w:val="single" w:sz="4" w:space="0" w:color="auto"/>
            </w:tcBorders>
            <w:vAlign w:val="center"/>
            <w:hideMark/>
          </w:tcPr>
          <w:p w14:paraId="0F89A5B7" w14:textId="77777777" w:rsidR="008B1E43" w:rsidRPr="00903F9D" w:rsidRDefault="008B1E43" w:rsidP="005B73DA">
            <w:pPr>
              <w:pStyle w:val="Tabletext0"/>
              <w:keepNext/>
              <w:keepLines/>
              <w:jc w:val="center"/>
              <w:rPr>
                <w:b/>
                <w:bCs/>
              </w:rPr>
            </w:pPr>
            <w:r w:rsidRPr="00903F9D">
              <w:rPr>
                <w:b/>
                <w:bCs/>
              </w:rPr>
              <w:t>Lumbar spine</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EA70D10" w14:textId="77777777" w:rsidR="008B1E43" w:rsidRPr="00903F9D" w:rsidRDefault="008B1E43" w:rsidP="005B73DA">
            <w:pPr>
              <w:pStyle w:val="Tabletext0"/>
              <w:keepNext/>
              <w:keepLines/>
              <w:jc w:val="center"/>
              <w:rPr>
                <w:b/>
                <w:bCs/>
              </w:rPr>
            </w:pPr>
            <w:r w:rsidRPr="00903F9D">
              <w:rPr>
                <w:b/>
                <w:bCs/>
              </w:rPr>
              <w:t>Femoral neck</w:t>
            </w:r>
          </w:p>
        </w:tc>
      </w:tr>
      <w:tr w:rsidR="008B1E43" w:rsidRPr="00903F9D" w14:paraId="71AEAB63" w14:textId="77777777" w:rsidTr="009F1C02">
        <w:trPr>
          <w:cantSplit/>
          <w:trHeight w:val="300"/>
          <w:tblHead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F1EADD8" w14:textId="77777777" w:rsidR="008B1E43" w:rsidRPr="00903F9D" w:rsidRDefault="008B1E43" w:rsidP="005B73DA">
            <w:pPr>
              <w:pStyle w:val="Tabletext0"/>
              <w:keepNext/>
              <w:keepLines/>
            </w:pPr>
          </w:p>
        </w:tc>
        <w:tc>
          <w:tcPr>
            <w:tcW w:w="709" w:type="dxa"/>
            <w:tcBorders>
              <w:top w:val="single" w:sz="4" w:space="0" w:color="auto"/>
              <w:left w:val="single" w:sz="4" w:space="0" w:color="auto"/>
              <w:bottom w:val="single" w:sz="4" w:space="0" w:color="auto"/>
            </w:tcBorders>
            <w:noWrap/>
            <w:vAlign w:val="center"/>
            <w:hideMark/>
          </w:tcPr>
          <w:p w14:paraId="26FFFA88" w14:textId="50C70232" w:rsidR="008B1E43" w:rsidRPr="00903F9D" w:rsidRDefault="00180D3B" w:rsidP="005B73DA">
            <w:pPr>
              <w:pStyle w:val="Tabletext0"/>
              <w:keepNext/>
              <w:keepLines/>
              <w:jc w:val="center"/>
              <w:rPr>
                <w:b/>
                <w:bCs/>
              </w:rPr>
            </w:pPr>
            <w:r w:rsidRPr="00903F9D">
              <w:rPr>
                <w:b/>
                <w:bCs/>
              </w:rPr>
              <w:t>N</w:t>
            </w:r>
          </w:p>
        </w:tc>
        <w:tc>
          <w:tcPr>
            <w:tcW w:w="708" w:type="dxa"/>
            <w:tcBorders>
              <w:top w:val="single" w:sz="4" w:space="0" w:color="auto"/>
              <w:bottom w:val="single" w:sz="4" w:space="0" w:color="auto"/>
              <w:right w:val="single" w:sz="4" w:space="0" w:color="auto"/>
            </w:tcBorders>
            <w:noWrap/>
            <w:vAlign w:val="center"/>
            <w:hideMark/>
          </w:tcPr>
          <w:p w14:paraId="453AFCB0" w14:textId="7DAC142C" w:rsidR="008B1E43" w:rsidRPr="00903F9D" w:rsidRDefault="008B1E43" w:rsidP="005B73DA">
            <w:pPr>
              <w:pStyle w:val="Tabletext0"/>
              <w:keepNext/>
              <w:keepLines/>
              <w:jc w:val="center"/>
              <w:rPr>
                <w:b/>
                <w:bCs/>
              </w:rPr>
            </w:pPr>
            <w:r w:rsidRPr="00903F9D">
              <w:rPr>
                <w:b/>
                <w:bCs/>
              </w:rPr>
              <w:t>%</w:t>
            </w:r>
          </w:p>
        </w:tc>
        <w:tc>
          <w:tcPr>
            <w:tcW w:w="709" w:type="dxa"/>
            <w:tcBorders>
              <w:top w:val="single" w:sz="4" w:space="0" w:color="auto"/>
              <w:left w:val="single" w:sz="4" w:space="0" w:color="auto"/>
              <w:bottom w:val="single" w:sz="4" w:space="0" w:color="auto"/>
            </w:tcBorders>
            <w:noWrap/>
            <w:vAlign w:val="center"/>
            <w:hideMark/>
          </w:tcPr>
          <w:p w14:paraId="02FCB825" w14:textId="4D8EDE49" w:rsidR="008B1E43" w:rsidRPr="00903F9D" w:rsidRDefault="007A7CC3" w:rsidP="005B73DA">
            <w:pPr>
              <w:pStyle w:val="Tabletext0"/>
              <w:keepNext/>
              <w:keepLines/>
              <w:jc w:val="center"/>
              <w:rPr>
                <w:b/>
                <w:bCs/>
              </w:rPr>
            </w:pPr>
            <w:r w:rsidRPr="00903F9D">
              <w:rPr>
                <w:b/>
                <w:bCs/>
              </w:rPr>
              <w:t>N</w:t>
            </w:r>
          </w:p>
        </w:tc>
        <w:tc>
          <w:tcPr>
            <w:tcW w:w="567" w:type="dxa"/>
            <w:tcBorders>
              <w:top w:val="single" w:sz="4" w:space="0" w:color="auto"/>
              <w:bottom w:val="single" w:sz="4" w:space="0" w:color="auto"/>
              <w:right w:val="single" w:sz="4" w:space="0" w:color="auto"/>
            </w:tcBorders>
            <w:noWrap/>
            <w:vAlign w:val="center"/>
            <w:hideMark/>
          </w:tcPr>
          <w:p w14:paraId="34310C81" w14:textId="7CF26B8F" w:rsidR="008B1E43" w:rsidRPr="00903F9D" w:rsidRDefault="008B1E43" w:rsidP="005B73DA">
            <w:pPr>
              <w:pStyle w:val="Tabletext0"/>
              <w:keepNext/>
              <w:keepLines/>
              <w:jc w:val="center"/>
              <w:rPr>
                <w:b/>
                <w:bCs/>
              </w:rPr>
            </w:pPr>
            <w:r w:rsidRPr="00903F9D">
              <w:rPr>
                <w:b/>
                <w:bCs/>
              </w:rPr>
              <w:t>%</w:t>
            </w:r>
          </w:p>
        </w:tc>
        <w:tc>
          <w:tcPr>
            <w:tcW w:w="709" w:type="dxa"/>
            <w:tcBorders>
              <w:top w:val="single" w:sz="4" w:space="0" w:color="auto"/>
              <w:left w:val="single" w:sz="4" w:space="0" w:color="auto"/>
              <w:bottom w:val="single" w:sz="4" w:space="0" w:color="auto"/>
            </w:tcBorders>
            <w:vAlign w:val="center"/>
            <w:hideMark/>
          </w:tcPr>
          <w:p w14:paraId="58B97905" w14:textId="77777777" w:rsidR="008B1E43" w:rsidRPr="00903F9D" w:rsidRDefault="008B1E43" w:rsidP="005B73DA">
            <w:pPr>
              <w:pStyle w:val="Tabletext0"/>
              <w:keepNext/>
              <w:keepLines/>
              <w:jc w:val="center"/>
              <w:rPr>
                <w:b/>
                <w:bCs/>
              </w:rPr>
            </w:pPr>
            <w:r w:rsidRPr="00903F9D">
              <w:rPr>
                <w:b/>
                <w:bCs/>
              </w:rPr>
              <w:t>n</w:t>
            </w:r>
          </w:p>
        </w:tc>
        <w:tc>
          <w:tcPr>
            <w:tcW w:w="853" w:type="dxa"/>
            <w:tcBorders>
              <w:top w:val="single" w:sz="4" w:space="0" w:color="auto"/>
              <w:bottom w:val="single" w:sz="4" w:space="0" w:color="auto"/>
              <w:right w:val="single" w:sz="4" w:space="0" w:color="auto"/>
            </w:tcBorders>
            <w:vAlign w:val="center"/>
            <w:hideMark/>
          </w:tcPr>
          <w:p w14:paraId="5E64A296" w14:textId="77777777" w:rsidR="008B1E43" w:rsidRPr="00903F9D" w:rsidRDefault="008B1E43" w:rsidP="005B73DA">
            <w:pPr>
              <w:pStyle w:val="Tabletext0"/>
              <w:keepNext/>
              <w:keepLines/>
              <w:jc w:val="center"/>
              <w:rPr>
                <w:b/>
                <w:bCs/>
              </w:rPr>
            </w:pPr>
            <w:r w:rsidRPr="00903F9D">
              <w:rPr>
                <w:b/>
                <w:bCs/>
              </w:rPr>
              <w:t>%</w:t>
            </w:r>
          </w:p>
        </w:tc>
        <w:tc>
          <w:tcPr>
            <w:tcW w:w="581" w:type="dxa"/>
            <w:tcBorders>
              <w:top w:val="single" w:sz="4" w:space="0" w:color="auto"/>
              <w:left w:val="single" w:sz="4" w:space="0" w:color="auto"/>
              <w:bottom w:val="single" w:sz="4" w:space="0" w:color="auto"/>
            </w:tcBorders>
            <w:vAlign w:val="center"/>
            <w:hideMark/>
          </w:tcPr>
          <w:p w14:paraId="55BE324D" w14:textId="77777777" w:rsidR="008B1E43" w:rsidRPr="00903F9D" w:rsidRDefault="008B1E43" w:rsidP="005B73DA">
            <w:pPr>
              <w:pStyle w:val="Tabletext0"/>
              <w:keepNext/>
              <w:keepLines/>
              <w:jc w:val="center"/>
              <w:rPr>
                <w:b/>
                <w:bCs/>
              </w:rPr>
            </w:pPr>
            <w:r w:rsidRPr="00903F9D">
              <w:rPr>
                <w:b/>
                <w:bCs/>
              </w:rPr>
              <w:t>n</w:t>
            </w:r>
          </w:p>
        </w:tc>
        <w:tc>
          <w:tcPr>
            <w:tcW w:w="979" w:type="dxa"/>
            <w:tcBorders>
              <w:top w:val="single" w:sz="4" w:space="0" w:color="auto"/>
              <w:bottom w:val="single" w:sz="4" w:space="0" w:color="auto"/>
              <w:right w:val="single" w:sz="4" w:space="0" w:color="auto"/>
            </w:tcBorders>
            <w:vAlign w:val="center"/>
            <w:hideMark/>
          </w:tcPr>
          <w:p w14:paraId="7C9C9DB1" w14:textId="77777777" w:rsidR="008B1E43" w:rsidRPr="00903F9D" w:rsidRDefault="008B1E43" w:rsidP="005B73DA">
            <w:pPr>
              <w:pStyle w:val="Tabletext0"/>
              <w:keepNext/>
              <w:keepLines/>
              <w:jc w:val="center"/>
              <w:rPr>
                <w:b/>
                <w:bCs/>
              </w:rPr>
            </w:pPr>
            <w:r w:rsidRPr="00903F9D">
              <w:rPr>
                <w:b/>
                <w:bCs/>
              </w:rPr>
              <w:t>%</w:t>
            </w:r>
          </w:p>
        </w:tc>
      </w:tr>
      <w:tr w:rsidR="008B1E43" w:rsidRPr="00903F9D" w14:paraId="1C1CC23B" w14:textId="77777777" w:rsidTr="009F1C02">
        <w:trPr>
          <w:cantSplit/>
          <w:trHeight w:val="300"/>
          <w:tblHeader/>
        </w:trPr>
        <w:tc>
          <w:tcPr>
            <w:tcW w:w="3114" w:type="dxa"/>
            <w:tcBorders>
              <w:top w:val="single" w:sz="4" w:space="0" w:color="auto"/>
              <w:left w:val="single" w:sz="4" w:space="0" w:color="auto"/>
              <w:bottom w:val="single" w:sz="4" w:space="0" w:color="auto"/>
              <w:right w:val="single" w:sz="4" w:space="0" w:color="auto"/>
            </w:tcBorders>
            <w:noWrap/>
            <w:vAlign w:val="center"/>
            <w:hideMark/>
          </w:tcPr>
          <w:p w14:paraId="54F1F3AB" w14:textId="3F5EB879" w:rsidR="008B1E43" w:rsidRPr="00903F9D" w:rsidRDefault="008B1E43" w:rsidP="005B73DA">
            <w:pPr>
              <w:pStyle w:val="Tabletext0"/>
              <w:keepNext/>
              <w:keepLines/>
              <w:rPr>
                <w:b/>
                <w:bCs/>
              </w:rPr>
            </w:pPr>
            <w:r w:rsidRPr="00903F9D">
              <w:rPr>
                <w:b/>
                <w:bCs/>
              </w:rPr>
              <w:t>Scans conducted</w:t>
            </w:r>
          </w:p>
        </w:tc>
        <w:tc>
          <w:tcPr>
            <w:tcW w:w="709" w:type="dxa"/>
            <w:tcBorders>
              <w:top w:val="single" w:sz="4" w:space="0" w:color="auto"/>
              <w:left w:val="single" w:sz="4" w:space="0" w:color="auto"/>
              <w:bottom w:val="single" w:sz="4" w:space="0" w:color="auto"/>
            </w:tcBorders>
            <w:noWrap/>
            <w:vAlign w:val="center"/>
            <w:hideMark/>
          </w:tcPr>
          <w:p w14:paraId="611DC6F4" w14:textId="77777777" w:rsidR="008B1E43" w:rsidRPr="00903F9D" w:rsidRDefault="008B1E43" w:rsidP="005B73DA">
            <w:pPr>
              <w:pStyle w:val="Tabletext0"/>
              <w:keepNext/>
              <w:keepLines/>
              <w:jc w:val="center"/>
              <w:rPr>
                <w:b/>
                <w:bCs/>
              </w:rPr>
            </w:pPr>
            <w:r w:rsidRPr="00903F9D">
              <w:rPr>
                <w:b/>
                <w:bCs/>
              </w:rPr>
              <w:t>1553</w:t>
            </w:r>
          </w:p>
        </w:tc>
        <w:tc>
          <w:tcPr>
            <w:tcW w:w="708" w:type="dxa"/>
            <w:tcBorders>
              <w:top w:val="single" w:sz="4" w:space="0" w:color="auto"/>
              <w:bottom w:val="single" w:sz="4" w:space="0" w:color="auto"/>
              <w:right w:val="single" w:sz="4" w:space="0" w:color="auto"/>
            </w:tcBorders>
            <w:noWrap/>
            <w:vAlign w:val="center"/>
            <w:hideMark/>
          </w:tcPr>
          <w:p w14:paraId="4E6664B1" w14:textId="7B15535E" w:rsidR="008B1E43" w:rsidRPr="00903F9D" w:rsidRDefault="008B1E43" w:rsidP="005B73DA">
            <w:pPr>
              <w:pStyle w:val="Tabletext0"/>
              <w:keepNext/>
              <w:keepLines/>
              <w:jc w:val="center"/>
              <w:rPr>
                <w:b/>
                <w:bCs/>
              </w:rPr>
            </w:pPr>
          </w:p>
        </w:tc>
        <w:tc>
          <w:tcPr>
            <w:tcW w:w="709" w:type="dxa"/>
            <w:tcBorders>
              <w:top w:val="single" w:sz="4" w:space="0" w:color="auto"/>
              <w:left w:val="single" w:sz="4" w:space="0" w:color="auto"/>
              <w:bottom w:val="single" w:sz="4" w:space="0" w:color="auto"/>
            </w:tcBorders>
            <w:noWrap/>
            <w:vAlign w:val="center"/>
            <w:hideMark/>
          </w:tcPr>
          <w:p w14:paraId="4931C346" w14:textId="77777777" w:rsidR="008B1E43" w:rsidRPr="00903F9D" w:rsidRDefault="008B1E43" w:rsidP="005B73DA">
            <w:pPr>
              <w:pStyle w:val="Tabletext0"/>
              <w:keepNext/>
              <w:keepLines/>
              <w:jc w:val="center"/>
              <w:rPr>
                <w:b/>
                <w:bCs/>
              </w:rPr>
            </w:pPr>
            <w:r w:rsidRPr="00903F9D">
              <w:rPr>
                <w:b/>
                <w:bCs/>
              </w:rPr>
              <w:t>1637</w:t>
            </w:r>
          </w:p>
        </w:tc>
        <w:tc>
          <w:tcPr>
            <w:tcW w:w="567" w:type="dxa"/>
            <w:tcBorders>
              <w:top w:val="single" w:sz="4" w:space="0" w:color="auto"/>
              <w:bottom w:val="single" w:sz="4" w:space="0" w:color="auto"/>
              <w:right w:val="single" w:sz="4" w:space="0" w:color="auto"/>
            </w:tcBorders>
            <w:noWrap/>
            <w:vAlign w:val="center"/>
            <w:hideMark/>
          </w:tcPr>
          <w:p w14:paraId="151D40A1" w14:textId="7C2C3841" w:rsidR="008B1E43" w:rsidRPr="00903F9D" w:rsidRDefault="008B1E43" w:rsidP="005B73DA">
            <w:pPr>
              <w:pStyle w:val="Tabletext0"/>
              <w:keepNext/>
              <w:keepLines/>
              <w:jc w:val="center"/>
              <w:rPr>
                <w:b/>
                <w:bCs/>
              </w:rPr>
            </w:pPr>
          </w:p>
        </w:tc>
        <w:tc>
          <w:tcPr>
            <w:tcW w:w="709" w:type="dxa"/>
            <w:tcBorders>
              <w:top w:val="single" w:sz="4" w:space="0" w:color="auto"/>
              <w:left w:val="single" w:sz="4" w:space="0" w:color="auto"/>
              <w:bottom w:val="single" w:sz="4" w:space="0" w:color="auto"/>
            </w:tcBorders>
            <w:vAlign w:val="center"/>
            <w:hideMark/>
          </w:tcPr>
          <w:p w14:paraId="1E451F0E" w14:textId="77777777" w:rsidR="008B1E43" w:rsidRPr="00903F9D" w:rsidRDefault="008B1E43" w:rsidP="005B73DA">
            <w:pPr>
              <w:pStyle w:val="Tabletext0"/>
              <w:keepNext/>
              <w:keepLines/>
              <w:jc w:val="center"/>
              <w:rPr>
                <w:b/>
                <w:bCs/>
              </w:rPr>
            </w:pPr>
            <w:r w:rsidRPr="00903F9D">
              <w:rPr>
                <w:b/>
                <w:bCs/>
              </w:rPr>
              <w:t>4245</w:t>
            </w:r>
          </w:p>
        </w:tc>
        <w:tc>
          <w:tcPr>
            <w:tcW w:w="853" w:type="dxa"/>
            <w:tcBorders>
              <w:top w:val="single" w:sz="4" w:space="0" w:color="auto"/>
              <w:bottom w:val="single" w:sz="4" w:space="0" w:color="auto"/>
              <w:right w:val="single" w:sz="4" w:space="0" w:color="auto"/>
            </w:tcBorders>
            <w:vAlign w:val="center"/>
            <w:hideMark/>
          </w:tcPr>
          <w:p w14:paraId="5CC52943" w14:textId="4777003C" w:rsidR="008B1E43" w:rsidRPr="00903F9D" w:rsidRDefault="008B1E43" w:rsidP="005B73DA">
            <w:pPr>
              <w:pStyle w:val="Tabletext0"/>
              <w:keepNext/>
              <w:keepLines/>
              <w:jc w:val="center"/>
              <w:rPr>
                <w:b/>
                <w:bCs/>
              </w:rPr>
            </w:pPr>
          </w:p>
        </w:tc>
        <w:tc>
          <w:tcPr>
            <w:tcW w:w="581" w:type="dxa"/>
            <w:tcBorders>
              <w:top w:val="single" w:sz="4" w:space="0" w:color="auto"/>
              <w:left w:val="single" w:sz="4" w:space="0" w:color="auto"/>
              <w:bottom w:val="single" w:sz="4" w:space="0" w:color="auto"/>
            </w:tcBorders>
            <w:vAlign w:val="center"/>
            <w:hideMark/>
          </w:tcPr>
          <w:p w14:paraId="12CCCCA1" w14:textId="77777777" w:rsidR="008B1E43" w:rsidRPr="00903F9D" w:rsidRDefault="008B1E43" w:rsidP="005B73DA">
            <w:pPr>
              <w:pStyle w:val="Tabletext0"/>
              <w:keepNext/>
              <w:keepLines/>
              <w:jc w:val="center"/>
              <w:rPr>
                <w:b/>
                <w:bCs/>
              </w:rPr>
            </w:pPr>
            <w:r w:rsidRPr="00903F9D">
              <w:rPr>
                <w:b/>
                <w:bCs/>
              </w:rPr>
              <w:t>4271</w:t>
            </w:r>
          </w:p>
        </w:tc>
        <w:tc>
          <w:tcPr>
            <w:tcW w:w="979" w:type="dxa"/>
            <w:tcBorders>
              <w:top w:val="single" w:sz="4" w:space="0" w:color="auto"/>
              <w:bottom w:val="single" w:sz="4" w:space="0" w:color="auto"/>
              <w:right w:val="single" w:sz="4" w:space="0" w:color="auto"/>
            </w:tcBorders>
            <w:vAlign w:val="center"/>
            <w:hideMark/>
          </w:tcPr>
          <w:p w14:paraId="55D2F56F" w14:textId="3B50E9EB" w:rsidR="008B1E43" w:rsidRPr="00903F9D" w:rsidRDefault="008B1E43" w:rsidP="005B73DA">
            <w:pPr>
              <w:pStyle w:val="Tabletext0"/>
              <w:keepNext/>
              <w:keepLines/>
              <w:jc w:val="center"/>
              <w:rPr>
                <w:b/>
                <w:bCs/>
              </w:rPr>
            </w:pPr>
          </w:p>
        </w:tc>
      </w:tr>
      <w:tr w:rsidR="008B1E43" w:rsidRPr="00903F9D" w14:paraId="01DC221A" w14:textId="77777777" w:rsidTr="009F1C02">
        <w:trPr>
          <w:cantSplit/>
          <w:trHeight w:val="290"/>
          <w:tblHeader/>
        </w:trPr>
        <w:tc>
          <w:tcPr>
            <w:tcW w:w="3114" w:type="dxa"/>
            <w:tcBorders>
              <w:top w:val="single" w:sz="4" w:space="0" w:color="auto"/>
              <w:left w:val="single" w:sz="4" w:space="0" w:color="auto"/>
              <w:bottom w:val="nil"/>
              <w:right w:val="single" w:sz="4" w:space="0" w:color="auto"/>
            </w:tcBorders>
            <w:noWrap/>
            <w:vAlign w:val="center"/>
            <w:hideMark/>
          </w:tcPr>
          <w:p w14:paraId="1654024A" w14:textId="77777777" w:rsidR="008B1E43" w:rsidRPr="00903F9D" w:rsidRDefault="008B1E43" w:rsidP="005B73DA">
            <w:pPr>
              <w:pStyle w:val="Tabletext0"/>
              <w:keepNext/>
              <w:keepLines/>
              <w:rPr>
                <w:u w:val="single"/>
              </w:rPr>
            </w:pPr>
            <w:r w:rsidRPr="00903F9D">
              <w:rPr>
                <w:u w:val="single"/>
              </w:rPr>
              <w:t>Quality check of DXA scans</w:t>
            </w:r>
          </w:p>
        </w:tc>
        <w:tc>
          <w:tcPr>
            <w:tcW w:w="709" w:type="dxa"/>
            <w:tcBorders>
              <w:top w:val="single" w:sz="4" w:space="0" w:color="auto"/>
              <w:left w:val="single" w:sz="4" w:space="0" w:color="auto"/>
              <w:bottom w:val="nil"/>
              <w:right w:val="nil"/>
            </w:tcBorders>
            <w:noWrap/>
            <w:vAlign w:val="center"/>
            <w:hideMark/>
          </w:tcPr>
          <w:p w14:paraId="2FE894D8" w14:textId="2A2ABA55" w:rsidR="008B1E43" w:rsidRPr="00903F9D" w:rsidRDefault="008B1E43" w:rsidP="005B73DA">
            <w:pPr>
              <w:pStyle w:val="Tabletext0"/>
              <w:keepNext/>
              <w:keepLines/>
              <w:jc w:val="center"/>
            </w:pPr>
          </w:p>
        </w:tc>
        <w:tc>
          <w:tcPr>
            <w:tcW w:w="708" w:type="dxa"/>
            <w:tcBorders>
              <w:top w:val="single" w:sz="4" w:space="0" w:color="auto"/>
              <w:left w:val="nil"/>
              <w:bottom w:val="nil"/>
              <w:right w:val="single" w:sz="4" w:space="0" w:color="auto"/>
            </w:tcBorders>
            <w:noWrap/>
            <w:vAlign w:val="center"/>
            <w:hideMark/>
          </w:tcPr>
          <w:p w14:paraId="08A2F2A5" w14:textId="443B202D" w:rsidR="008B1E43" w:rsidRPr="00903F9D" w:rsidRDefault="008B1E43" w:rsidP="005B73DA">
            <w:pPr>
              <w:pStyle w:val="Tabletext0"/>
              <w:keepNext/>
              <w:keepLines/>
              <w:jc w:val="center"/>
            </w:pPr>
          </w:p>
        </w:tc>
        <w:tc>
          <w:tcPr>
            <w:tcW w:w="709" w:type="dxa"/>
            <w:tcBorders>
              <w:top w:val="single" w:sz="4" w:space="0" w:color="auto"/>
              <w:left w:val="single" w:sz="4" w:space="0" w:color="auto"/>
            </w:tcBorders>
            <w:noWrap/>
            <w:vAlign w:val="center"/>
            <w:hideMark/>
          </w:tcPr>
          <w:p w14:paraId="6E43650D" w14:textId="2B4E3B43" w:rsidR="008B1E43" w:rsidRPr="00903F9D" w:rsidRDefault="008B1E43" w:rsidP="005B73DA">
            <w:pPr>
              <w:pStyle w:val="Tabletext0"/>
              <w:keepNext/>
              <w:keepLines/>
              <w:jc w:val="center"/>
            </w:pPr>
          </w:p>
        </w:tc>
        <w:tc>
          <w:tcPr>
            <w:tcW w:w="567" w:type="dxa"/>
            <w:tcBorders>
              <w:top w:val="single" w:sz="4" w:space="0" w:color="auto"/>
              <w:left w:val="nil"/>
              <w:bottom w:val="nil"/>
              <w:right w:val="single" w:sz="4" w:space="0" w:color="auto"/>
            </w:tcBorders>
            <w:noWrap/>
            <w:vAlign w:val="center"/>
            <w:hideMark/>
          </w:tcPr>
          <w:p w14:paraId="2A889E02" w14:textId="734435CE" w:rsidR="008B1E43" w:rsidRPr="00903F9D" w:rsidRDefault="008B1E43" w:rsidP="005B73DA">
            <w:pPr>
              <w:pStyle w:val="Tabletext0"/>
              <w:keepNext/>
              <w:keepLines/>
              <w:jc w:val="center"/>
            </w:pPr>
          </w:p>
        </w:tc>
        <w:tc>
          <w:tcPr>
            <w:tcW w:w="709" w:type="dxa"/>
            <w:tcBorders>
              <w:top w:val="single" w:sz="4" w:space="0" w:color="auto"/>
              <w:left w:val="single" w:sz="4" w:space="0" w:color="auto"/>
            </w:tcBorders>
            <w:vAlign w:val="center"/>
            <w:hideMark/>
          </w:tcPr>
          <w:p w14:paraId="562276FC" w14:textId="1AD11015" w:rsidR="008B1E43" w:rsidRPr="00903F9D" w:rsidRDefault="008B1E43" w:rsidP="005B73DA">
            <w:pPr>
              <w:pStyle w:val="Tabletext0"/>
              <w:keepNext/>
              <w:keepLines/>
              <w:jc w:val="center"/>
            </w:pPr>
          </w:p>
        </w:tc>
        <w:tc>
          <w:tcPr>
            <w:tcW w:w="853" w:type="dxa"/>
            <w:tcBorders>
              <w:top w:val="single" w:sz="4" w:space="0" w:color="auto"/>
              <w:left w:val="nil"/>
              <w:bottom w:val="nil"/>
              <w:right w:val="single" w:sz="4" w:space="0" w:color="auto"/>
            </w:tcBorders>
            <w:vAlign w:val="center"/>
            <w:hideMark/>
          </w:tcPr>
          <w:p w14:paraId="033B8D99" w14:textId="6162AD00" w:rsidR="008B1E43" w:rsidRPr="00903F9D" w:rsidRDefault="008B1E43" w:rsidP="005B73DA">
            <w:pPr>
              <w:pStyle w:val="Tabletext0"/>
              <w:keepNext/>
              <w:keepLines/>
              <w:jc w:val="center"/>
            </w:pPr>
          </w:p>
        </w:tc>
        <w:tc>
          <w:tcPr>
            <w:tcW w:w="581" w:type="dxa"/>
            <w:tcBorders>
              <w:top w:val="single" w:sz="4" w:space="0" w:color="auto"/>
              <w:left w:val="single" w:sz="4" w:space="0" w:color="auto"/>
            </w:tcBorders>
            <w:vAlign w:val="center"/>
            <w:hideMark/>
          </w:tcPr>
          <w:p w14:paraId="1EB3D736" w14:textId="2193BBC2" w:rsidR="008B1E43" w:rsidRPr="00903F9D" w:rsidRDefault="008B1E43" w:rsidP="005B73DA">
            <w:pPr>
              <w:pStyle w:val="Tabletext0"/>
              <w:keepNext/>
              <w:keepLines/>
              <w:jc w:val="center"/>
            </w:pPr>
          </w:p>
        </w:tc>
        <w:tc>
          <w:tcPr>
            <w:tcW w:w="979" w:type="dxa"/>
            <w:tcBorders>
              <w:top w:val="single" w:sz="4" w:space="0" w:color="auto"/>
              <w:left w:val="nil"/>
              <w:bottom w:val="nil"/>
              <w:right w:val="single" w:sz="4" w:space="0" w:color="auto"/>
            </w:tcBorders>
            <w:vAlign w:val="center"/>
            <w:hideMark/>
          </w:tcPr>
          <w:p w14:paraId="74540809" w14:textId="3B96C463" w:rsidR="008B1E43" w:rsidRPr="00903F9D" w:rsidRDefault="008B1E43" w:rsidP="005B73DA">
            <w:pPr>
              <w:pStyle w:val="Tabletext0"/>
              <w:keepNext/>
              <w:keepLines/>
              <w:jc w:val="center"/>
            </w:pPr>
          </w:p>
        </w:tc>
      </w:tr>
      <w:tr w:rsidR="008B1E43" w:rsidRPr="00903F9D" w14:paraId="0C75E49B" w14:textId="77777777" w:rsidTr="009F1C02">
        <w:trPr>
          <w:cantSplit/>
          <w:trHeight w:val="290"/>
          <w:tblHeader/>
        </w:trPr>
        <w:tc>
          <w:tcPr>
            <w:tcW w:w="3114" w:type="dxa"/>
            <w:tcBorders>
              <w:top w:val="nil"/>
              <w:left w:val="single" w:sz="4" w:space="0" w:color="auto"/>
              <w:bottom w:val="nil"/>
              <w:right w:val="single" w:sz="4" w:space="0" w:color="auto"/>
            </w:tcBorders>
            <w:noWrap/>
            <w:vAlign w:val="center"/>
            <w:hideMark/>
          </w:tcPr>
          <w:p w14:paraId="7514EC79" w14:textId="77777777" w:rsidR="008B1E43" w:rsidRPr="00903F9D" w:rsidRDefault="008B1E43" w:rsidP="005B73DA">
            <w:pPr>
              <w:pStyle w:val="Tabletext0"/>
              <w:keepNext/>
              <w:keepLines/>
            </w:pPr>
            <w:r w:rsidRPr="00903F9D">
              <w:t>Initial DXA scans identified with errors</w:t>
            </w:r>
          </w:p>
        </w:tc>
        <w:tc>
          <w:tcPr>
            <w:tcW w:w="709" w:type="dxa"/>
            <w:tcBorders>
              <w:top w:val="nil"/>
              <w:left w:val="single" w:sz="4" w:space="0" w:color="auto"/>
              <w:bottom w:val="nil"/>
              <w:right w:val="nil"/>
            </w:tcBorders>
            <w:noWrap/>
            <w:vAlign w:val="center"/>
            <w:hideMark/>
          </w:tcPr>
          <w:p w14:paraId="3EC0E488" w14:textId="77777777" w:rsidR="008B1E43" w:rsidRPr="00903F9D" w:rsidRDefault="008B1E43" w:rsidP="005B73DA">
            <w:pPr>
              <w:pStyle w:val="Tabletext0"/>
              <w:keepNext/>
              <w:keepLines/>
              <w:jc w:val="center"/>
            </w:pPr>
            <w:r w:rsidRPr="00903F9D">
              <w:t>374</w:t>
            </w:r>
          </w:p>
        </w:tc>
        <w:tc>
          <w:tcPr>
            <w:tcW w:w="708" w:type="dxa"/>
            <w:tcBorders>
              <w:top w:val="nil"/>
              <w:left w:val="nil"/>
              <w:bottom w:val="nil"/>
              <w:right w:val="single" w:sz="4" w:space="0" w:color="auto"/>
            </w:tcBorders>
            <w:noWrap/>
            <w:vAlign w:val="center"/>
            <w:hideMark/>
          </w:tcPr>
          <w:p w14:paraId="090C08A8" w14:textId="77777777" w:rsidR="008B1E43" w:rsidRPr="00903F9D" w:rsidRDefault="008B1E43" w:rsidP="005B73DA">
            <w:pPr>
              <w:pStyle w:val="Tabletext0"/>
              <w:keepNext/>
              <w:keepLines/>
              <w:jc w:val="center"/>
            </w:pPr>
            <w:r w:rsidRPr="00903F9D">
              <w:t>24%</w:t>
            </w:r>
          </w:p>
        </w:tc>
        <w:tc>
          <w:tcPr>
            <w:tcW w:w="709" w:type="dxa"/>
            <w:tcBorders>
              <w:left w:val="single" w:sz="4" w:space="0" w:color="auto"/>
            </w:tcBorders>
            <w:noWrap/>
            <w:vAlign w:val="center"/>
            <w:hideMark/>
          </w:tcPr>
          <w:p w14:paraId="2DB4C0F1" w14:textId="77777777" w:rsidR="008B1E43" w:rsidRPr="00903F9D" w:rsidRDefault="008B1E43" w:rsidP="005B73DA">
            <w:pPr>
              <w:pStyle w:val="Tabletext0"/>
              <w:keepNext/>
              <w:keepLines/>
              <w:jc w:val="center"/>
            </w:pPr>
            <w:r w:rsidRPr="00903F9D">
              <w:t>276</w:t>
            </w:r>
          </w:p>
        </w:tc>
        <w:tc>
          <w:tcPr>
            <w:tcW w:w="567" w:type="dxa"/>
            <w:tcBorders>
              <w:top w:val="nil"/>
              <w:left w:val="nil"/>
              <w:bottom w:val="nil"/>
              <w:right w:val="single" w:sz="4" w:space="0" w:color="auto"/>
            </w:tcBorders>
            <w:noWrap/>
            <w:vAlign w:val="center"/>
            <w:hideMark/>
          </w:tcPr>
          <w:p w14:paraId="0A5AA1F7" w14:textId="77777777" w:rsidR="008B1E43" w:rsidRPr="00903F9D" w:rsidRDefault="008B1E43" w:rsidP="005B73DA">
            <w:pPr>
              <w:pStyle w:val="Tabletext0"/>
              <w:keepNext/>
              <w:keepLines/>
              <w:jc w:val="center"/>
            </w:pPr>
            <w:r w:rsidRPr="00903F9D">
              <w:t>17%</w:t>
            </w:r>
          </w:p>
        </w:tc>
        <w:tc>
          <w:tcPr>
            <w:tcW w:w="709" w:type="dxa"/>
            <w:tcBorders>
              <w:left w:val="single" w:sz="4" w:space="0" w:color="auto"/>
            </w:tcBorders>
            <w:vAlign w:val="center"/>
            <w:hideMark/>
          </w:tcPr>
          <w:p w14:paraId="52042DFD" w14:textId="77777777" w:rsidR="008B1E43" w:rsidRPr="00903F9D" w:rsidRDefault="008B1E43" w:rsidP="005B73DA">
            <w:pPr>
              <w:pStyle w:val="Tabletext0"/>
              <w:keepNext/>
              <w:keepLines/>
              <w:jc w:val="center"/>
            </w:pPr>
            <w:r w:rsidRPr="00903F9D">
              <w:t>408</w:t>
            </w:r>
          </w:p>
        </w:tc>
        <w:tc>
          <w:tcPr>
            <w:tcW w:w="853" w:type="dxa"/>
            <w:tcBorders>
              <w:top w:val="nil"/>
              <w:left w:val="nil"/>
              <w:bottom w:val="nil"/>
              <w:right w:val="single" w:sz="4" w:space="0" w:color="auto"/>
            </w:tcBorders>
            <w:vAlign w:val="center"/>
            <w:hideMark/>
          </w:tcPr>
          <w:p w14:paraId="056511AA" w14:textId="13B9A747" w:rsidR="008B1E43" w:rsidRPr="00903F9D" w:rsidRDefault="005B765E" w:rsidP="005B73DA">
            <w:pPr>
              <w:pStyle w:val="Tabletext0"/>
              <w:keepNext/>
              <w:keepLines/>
              <w:jc w:val="center"/>
            </w:pPr>
            <w:r w:rsidRPr="00903F9D">
              <w:t>10%</w:t>
            </w:r>
          </w:p>
        </w:tc>
        <w:tc>
          <w:tcPr>
            <w:tcW w:w="581" w:type="dxa"/>
            <w:tcBorders>
              <w:left w:val="single" w:sz="4" w:space="0" w:color="auto"/>
            </w:tcBorders>
            <w:vAlign w:val="center"/>
            <w:hideMark/>
          </w:tcPr>
          <w:p w14:paraId="11635691" w14:textId="77777777" w:rsidR="008B1E43" w:rsidRPr="00903F9D" w:rsidRDefault="008B1E43" w:rsidP="005B73DA">
            <w:pPr>
              <w:pStyle w:val="Tabletext0"/>
              <w:keepNext/>
              <w:keepLines/>
              <w:jc w:val="center"/>
            </w:pPr>
            <w:r w:rsidRPr="00903F9D">
              <w:t>340</w:t>
            </w:r>
          </w:p>
        </w:tc>
        <w:tc>
          <w:tcPr>
            <w:tcW w:w="979" w:type="dxa"/>
            <w:tcBorders>
              <w:top w:val="nil"/>
              <w:left w:val="nil"/>
              <w:bottom w:val="nil"/>
              <w:right w:val="single" w:sz="4" w:space="0" w:color="auto"/>
            </w:tcBorders>
            <w:vAlign w:val="center"/>
            <w:hideMark/>
          </w:tcPr>
          <w:p w14:paraId="2AFCA7CF" w14:textId="545300D8" w:rsidR="008B1E43" w:rsidRPr="00903F9D" w:rsidRDefault="005B765E" w:rsidP="005B73DA">
            <w:pPr>
              <w:pStyle w:val="Tabletext0"/>
              <w:keepNext/>
              <w:keepLines/>
              <w:jc w:val="center"/>
            </w:pPr>
            <w:r w:rsidRPr="00903F9D">
              <w:t>8%</w:t>
            </w:r>
          </w:p>
        </w:tc>
      </w:tr>
      <w:tr w:rsidR="008B1E43" w:rsidRPr="00903F9D" w14:paraId="2A7EB36C" w14:textId="77777777" w:rsidTr="009F1C02">
        <w:trPr>
          <w:cantSplit/>
          <w:trHeight w:val="290"/>
          <w:tblHeader/>
        </w:trPr>
        <w:tc>
          <w:tcPr>
            <w:tcW w:w="3114" w:type="dxa"/>
            <w:tcBorders>
              <w:top w:val="nil"/>
              <w:left w:val="single" w:sz="4" w:space="0" w:color="auto"/>
              <w:bottom w:val="nil"/>
              <w:right w:val="single" w:sz="4" w:space="0" w:color="auto"/>
            </w:tcBorders>
            <w:noWrap/>
            <w:vAlign w:val="center"/>
            <w:hideMark/>
          </w:tcPr>
          <w:p w14:paraId="21CFC023" w14:textId="77777777" w:rsidR="008B1E43" w:rsidRPr="00903F9D" w:rsidRDefault="008B1E43" w:rsidP="005B73DA">
            <w:pPr>
              <w:pStyle w:val="Tabletext0"/>
              <w:keepNext/>
              <w:keepLines/>
            </w:pPr>
            <w:r w:rsidRPr="00903F9D">
              <w:t>Re-analysed DXA scans</w:t>
            </w:r>
          </w:p>
        </w:tc>
        <w:tc>
          <w:tcPr>
            <w:tcW w:w="709" w:type="dxa"/>
            <w:tcBorders>
              <w:top w:val="nil"/>
              <w:left w:val="single" w:sz="4" w:space="0" w:color="auto"/>
              <w:bottom w:val="nil"/>
              <w:right w:val="nil"/>
            </w:tcBorders>
            <w:noWrap/>
            <w:vAlign w:val="center"/>
            <w:hideMark/>
          </w:tcPr>
          <w:p w14:paraId="3A0AD08A" w14:textId="77777777" w:rsidR="008B1E43" w:rsidRPr="00903F9D" w:rsidRDefault="008B1E43" w:rsidP="005B73DA">
            <w:pPr>
              <w:pStyle w:val="Tabletext0"/>
              <w:keepNext/>
              <w:keepLines/>
              <w:jc w:val="center"/>
            </w:pPr>
            <w:r w:rsidRPr="00903F9D">
              <w:t>296</w:t>
            </w:r>
          </w:p>
        </w:tc>
        <w:tc>
          <w:tcPr>
            <w:tcW w:w="708" w:type="dxa"/>
            <w:tcBorders>
              <w:top w:val="nil"/>
              <w:left w:val="nil"/>
              <w:bottom w:val="nil"/>
              <w:right w:val="single" w:sz="4" w:space="0" w:color="auto"/>
            </w:tcBorders>
            <w:noWrap/>
            <w:vAlign w:val="center"/>
            <w:hideMark/>
          </w:tcPr>
          <w:p w14:paraId="4BEEFF18" w14:textId="77777777" w:rsidR="008B1E43" w:rsidRPr="00903F9D" w:rsidRDefault="008B1E43" w:rsidP="005B73DA">
            <w:pPr>
              <w:pStyle w:val="Tabletext0"/>
              <w:keepNext/>
              <w:keepLines/>
              <w:jc w:val="center"/>
            </w:pPr>
            <w:r w:rsidRPr="00903F9D">
              <w:t>19%</w:t>
            </w:r>
          </w:p>
        </w:tc>
        <w:tc>
          <w:tcPr>
            <w:tcW w:w="709" w:type="dxa"/>
            <w:tcBorders>
              <w:left w:val="single" w:sz="4" w:space="0" w:color="auto"/>
            </w:tcBorders>
            <w:noWrap/>
            <w:vAlign w:val="center"/>
            <w:hideMark/>
          </w:tcPr>
          <w:p w14:paraId="2ABD2811" w14:textId="77777777" w:rsidR="008B1E43" w:rsidRPr="00903F9D" w:rsidRDefault="008B1E43" w:rsidP="005B73DA">
            <w:pPr>
              <w:pStyle w:val="Tabletext0"/>
              <w:keepNext/>
              <w:keepLines/>
              <w:jc w:val="center"/>
            </w:pPr>
            <w:r w:rsidRPr="00903F9D">
              <w:t>217</w:t>
            </w:r>
          </w:p>
        </w:tc>
        <w:tc>
          <w:tcPr>
            <w:tcW w:w="567" w:type="dxa"/>
            <w:tcBorders>
              <w:top w:val="nil"/>
              <w:left w:val="nil"/>
              <w:bottom w:val="nil"/>
              <w:right w:val="single" w:sz="4" w:space="0" w:color="auto"/>
            </w:tcBorders>
            <w:noWrap/>
            <w:vAlign w:val="center"/>
            <w:hideMark/>
          </w:tcPr>
          <w:p w14:paraId="35B6E0AE" w14:textId="77777777" w:rsidR="008B1E43" w:rsidRPr="00903F9D" w:rsidRDefault="008B1E43" w:rsidP="005B73DA">
            <w:pPr>
              <w:pStyle w:val="Tabletext0"/>
              <w:keepNext/>
              <w:keepLines/>
              <w:jc w:val="center"/>
            </w:pPr>
            <w:r w:rsidRPr="00903F9D">
              <w:t>13%</w:t>
            </w:r>
          </w:p>
        </w:tc>
        <w:tc>
          <w:tcPr>
            <w:tcW w:w="709" w:type="dxa"/>
            <w:tcBorders>
              <w:left w:val="single" w:sz="4" w:space="0" w:color="auto"/>
            </w:tcBorders>
            <w:vAlign w:val="center"/>
            <w:hideMark/>
          </w:tcPr>
          <w:p w14:paraId="43D63825" w14:textId="77777777" w:rsidR="008B1E43" w:rsidRPr="00903F9D" w:rsidRDefault="008B1E43" w:rsidP="005B73DA">
            <w:pPr>
              <w:pStyle w:val="Tabletext0"/>
              <w:keepNext/>
              <w:keepLines/>
              <w:jc w:val="center"/>
            </w:pPr>
            <w:r w:rsidRPr="00903F9D">
              <w:t>0</w:t>
            </w:r>
          </w:p>
        </w:tc>
        <w:tc>
          <w:tcPr>
            <w:tcW w:w="853" w:type="dxa"/>
            <w:tcBorders>
              <w:top w:val="nil"/>
              <w:left w:val="nil"/>
              <w:bottom w:val="nil"/>
              <w:right w:val="single" w:sz="4" w:space="0" w:color="auto"/>
            </w:tcBorders>
            <w:vAlign w:val="center"/>
            <w:hideMark/>
          </w:tcPr>
          <w:p w14:paraId="0C34C17B" w14:textId="77777777" w:rsidR="008B1E43" w:rsidRPr="00903F9D" w:rsidRDefault="008B1E43" w:rsidP="005B73DA">
            <w:pPr>
              <w:pStyle w:val="Tabletext0"/>
              <w:keepNext/>
              <w:keepLines/>
              <w:jc w:val="center"/>
            </w:pPr>
            <w:r w:rsidRPr="00903F9D">
              <w:t>0%</w:t>
            </w:r>
          </w:p>
        </w:tc>
        <w:tc>
          <w:tcPr>
            <w:tcW w:w="581" w:type="dxa"/>
            <w:tcBorders>
              <w:left w:val="single" w:sz="4" w:space="0" w:color="auto"/>
            </w:tcBorders>
            <w:vAlign w:val="center"/>
            <w:hideMark/>
          </w:tcPr>
          <w:p w14:paraId="5EEF3D96" w14:textId="77777777" w:rsidR="008B1E43" w:rsidRPr="00903F9D" w:rsidRDefault="008B1E43" w:rsidP="005B73DA">
            <w:pPr>
              <w:pStyle w:val="Tabletext0"/>
              <w:keepNext/>
              <w:keepLines/>
              <w:jc w:val="center"/>
            </w:pPr>
            <w:r w:rsidRPr="00903F9D">
              <w:t>0</w:t>
            </w:r>
          </w:p>
        </w:tc>
        <w:tc>
          <w:tcPr>
            <w:tcW w:w="979" w:type="dxa"/>
            <w:tcBorders>
              <w:top w:val="nil"/>
              <w:left w:val="nil"/>
              <w:bottom w:val="nil"/>
              <w:right w:val="single" w:sz="4" w:space="0" w:color="auto"/>
            </w:tcBorders>
            <w:vAlign w:val="center"/>
            <w:hideMark/>
          </w:tcPr>
          <w:p w14:paraId="1B1A7C49" w14:textId="77777777" w:rsidR="008B1E43" w:rsidRPr="00903F9D" w:rsidRDefault="008B1E43" w:rsidP="005B73DA">
            <w:pPr>
              <w:pStyle w:val="Tabletext0"/>
              <w:keepNext/>
              <w:keepLines/>
              <w:jc w:val="center"/>
            </w:pPr>
            <w:r w:rsidRPr="00903F9D">
              <w:t>0%</w:t>
            </w:r>
          </w:p>
        </w:tc>
      </w:tr>
      <w:tr w:rsidR="008B1E43" w:rsidRPr="00903F9D" w14:paraId="3A503062" w14:textId="77777777" w:rsidTr="009F1C02">
        <w:trPr>
          <w:cantSplit/>
          <w:trHeight w:val="290"/>
          <w:tblHeader/>
        </w:trPr>
        <w:tc>
          <w:tcPr>
            <w:tcW w:w="3114" w:type="dxa"/>
            <w:tcBorders>
              <w:top w:val="nil"/>
              <w:left w:val="single" w:sz="4" w:space="0" w:color="auto"/>
              <w:bottom w:val="nil"/>
              <w:right w:val="single" w:sz="4" w:space="0" w:color="auto"/>
            </w:tcBorders>
            <w:noWrap/>
            <w:vAlign w:val="center"/>
            <w:hideMark/>
          </w:tcPr>
          <w:p w14:paraId="59B60CED" w14:textId="77777777" w:rsidR="008B1E43" w:rsidRPr="00903F9D" w:rsidRDefault="008B1E43" w:rsidP="005B73DA">
            <w:pPr>
              <w:pStyle w:val="Tabletext0"/>
              <w:keepNext/>
              <w:keepLines/>
              <w:ind w:left="174"/>
            </w:pPr>
            <w:r w:rsidRPr="00903F9D">
              <w:t>- Wrong data analysis</w:t>
            </w:r>
          </w:p>
        </w:tc>
        <w:tc>
          <w:tcPr>
            <w:tcW w:w="709" w:type="dxa"/>
            <w:tcBorders>
              <w:top w:val="nil"/>
              <w:left w:val="single" w:sz="4" w:space="0" w:color="auto"/>
              <w:bottom w:val="nil"/>
              <w:right w:val="nil"/>
            </w:tcBorders>
            <w:noWrap/>
            <w:vAlign w:val="center"/>
            <w:hideMark/>
          </w:tcPr>
          <w:p w14:paraId="381AC002" w14:textId="77777777" w:rsidR="008B1E43" w:rsidRPr="00903F9D" w:rsidRDefault="008B1E43" w:rsidP="005B73DA">
            <w:pPr>
              <w:pStyle w:val="Tabletext0"/>
              <w:keepNext/>
              <w:keepLines/>
              <w:jc w:val="center"/>
            </w:pPr>
            <w:r w:rsidRPr="00903F9D">
              <w:t>210</w:t>
            </w:r>
          </w:p>
        </w:tc>
        <w:tc>
          <w:tcPr>
            <w:tcW w:w="708" w:type="dxa"/>
            <w:tcBorders>
              <w:top w:val="nil"/>
              <w:left w:val="nil"/>
              <w:bottom w:val="nil"/>
              <w:right w:val="single" w:sz="4" w:space="0" w:color="auto"/>
            </w:tcBorders>
            <w:noWrap/>
            <w:vAlign w:val="center"/>
            <w:hideMark/>
          </w:tcPr>
          <w:p w14:paraId="7544D362" w14:textId="77777777" w:rsidR="008B1E43" w:rsidRPr="00903F9D" w:rsidRDefault="008B1E43" w:rsidP="005B73DA">
            <w:pPr>
              <w:pStyle w:val="Tabletext0"/>
              <w:keepNext/>
              <w:keepLines/>
              <w:jc w:val="center"/>
            </w:pPr>
            <w:r w:rsidRPr="00903F9D">
              <w:t>14%</w:t>
            </w:r>
          </w:p>
        </w:tc>
        <w:tc>
          <w:tcPr>
            <w:tcW w:w="709" w:type="dxa"/>
            <w:tcBorders>
              <w:left w:val="single" w:sz="4" w:space="0" w:color="auto"/>
            </w:tcBorders>
            <w:noWrap/>
            <w:vAlign w:val="center"/>
            <w:hideMark/>
          </w:tcPr>
          <w:p w14:paraId="6C6E3B74" w14:textId="77777777" w:rsidR="008B1E43" w:rsidRPr="00903F9D" w:rsidRDefault="008B1E43" w:rsidP="005B73DA">
            <w:pPr>
              <w:pStyle w:val="Tabletext0"/>
              <w:keepNext/>
              <w:keepLines/>
              <w:jc w:val="center"/>
            </w:pPr>
            <w:r w:rsidRPr="00903F9D">
              <w:t>215</w:t>
            </w:r>
          </w:p>
        </w:tc>
        <w:tc>
          <w:tcPr>
            <w:tcW w:w="567" w:type="dxa"/>
            <w:tcBorders>
              <w:top w:val="nil"/>
              <w:left w:val="nil"/>
              <w:bottom w:val="nil"/>
              <w:right w:val="single" w:sz="4" w:space="0" w:color="auto"/>
            </w:tcBorders>
            <w:noWrap/>
            <w:vAlign w:val="center"/>
            <w:hideMark/>
          </w:tcPr>
          <w:p w14:paraId="5BEBBDDC" w14:textId="77777777" w:rsidR="008B1E43" w:rsidRPr="00903F9D" w:rsidRDefault="008B1E43" w:rsidP="005B73DA">
            <w:pPr>
              <w:pStyle w:val="Tabletext0"/>
              <w:keepNext/>
              <w:keepLines/>
              <w:jc w:val="center"/>
            </w:pPr>
            <w:r w:rsidRPr="00903F9D">
              <w:t>13%</w:t>
            </w:r>
          </w:p>
        </w:tc>
        <w:tc>
          <w:tcPr>
            <w:tcW w:w="709" w:type="dxa"/>
            <w:tcBorders>
              <w:left w:val="single" w:sz="4" w:space="0" w:color="auto"/>
            </w:tcBorders>
            <w:vAlign w:val="center"/>
            <w:hideMark/>
          </w:tcPr>
          <w:p w14:paraId="7DDF9056" w14:textId="21F8EBAC" w:rsidR="008B1E43" w:rsidRPr="00903F9D" w:rsidRDefault="008B1E43" w:rsidP="005B73DA">
            <w:pPr>
              <w:pStyle w:val="Tabletext0"/>
              <w:keepNext/>
              <w:keepLines/>
              <w:jc w:val="center"/>
            </w:pPr>
          </w:p>
        </w:tc>
        <w:tc>
          <w:tcPr>
            <w:tcW w:w="853" w:type="dxa"/>
            <w:tcBorders>
              <w:top w:val="nil"/>
              <w:left w:val="nil"/>
              <w:bottom w:val="nil"/>
              <w:right w:val="single" w:sz="4" w:space="0" w:color="auto"/>
            </w:tcBorders>
            <w:vAlign w:val="center"/>
            <w:hideMark/>
          </w:tcPr>
          <w:p w14:paraId="04B13745" w14:textId="6575F9ED" w:rsidR="008B1E43" w:rsidRPr="00903F9D" w:rsidRDefault="008B1E43" w:rsidP="005B73DA">
            <w:pPr>
              <w:pStyle w:val="Tabletext0"/>
              <w:keepNext/>
              <w:keepLines/>
              <w:jc w:val="center"/>
            </w:pPr>
          </w:p>
        </w:tc>
        <w:tc>
          <w:tcPr>
            <w:tcW w:w="581" w:type="dxa"/>
            <w:tcBorders>
              <w:left w:val="single" w:sz="4" w:space="0" w:color="auto"/>
            </w:tcBorders>
            <w:vAlign w:val="center"/>
            <w:hideMark/>
          </w:tcPr>
          <w:p w14:paraId="1DA207A4" w14:textId="77777777" w:rsidR="008B1E43" w:rsidRPr="00903F9D" w:rsidRDefault="008B1E43" w:rsidP="005B73DA">
            <w:pPr>
              <w:pStyle w:val="Tabletext0"/>
              <w:keepNext/>
              <w:keepLines/>
              <w:jc w:val="center"/>
            </w:pPr>
          </w:p>
        </w:tc>
        <w:tc>
          <w:tcPr>
            <w:tcW w:w="979" w:type="dxa"/>
            <w:tcBorders>
              <w:top w:val="nil"/>
              <w:left w:val="nil"/>
              <w:bottom w:val="nil"/>
              <w:right w:val="single" w:sz="4" w:space="0" w:color="auto"/>
            </w:tcBorders>
            <w:vAlign w:val="center"/>
            <w:hideMark/>
          </w:tcPr>
          <w:p w14:paraId="6C0BF38B" w14:textId="7A01EE22" w:rsidR="008B1E43" w:rsidRPr="00903F9D" w:rsidRDefault="008B1E43" w:rsidP="005B73DA">
            <w:pPr>
              <w:pStyle w:val="Tabletext0"/>
              <w:keepNext/>
              <w:keepLines/>
              <w:jc w:val="center"/>
            </w:pPr>
          </w:p>
        </w:tc>
      </w:tr>
      <w:tr w:rsidR="008B1E43" w:rsidRPr="00903F9D" w14:paraId="59765D59" w14:textId="77777777" w:rsidTr="009F1C02">
        <w:trPr>
          <w:cantSplit/>
          <w:trHeight w:val="290"/>
          <w:tblHeader/>
        </w:trPr>
        <w:tc>
          <w:tcPr>
            <w:tcW w:w="3114" w:type="dxa"/>
            <w:tcBorders>
              <w:top w:val="nil"/>
              <w:left w:val="single" w:sz="4" w:space="0" w:color="auto"/>
              <w:bottom w:val="nil"/>
              <w:right w:val="single" w:sz="4" w:space="0" w:color="auto"/>
            </w:tcBorders>
            <w:noWrap/>
            <w:vAlign w:val="center"/>
            <w:hideMark/>
          </w:tcPr>
          <w:p w14:paraId="315CE5F6" w14:textId="62F7AE4D" w:rsidR="008B1E43" w:rsidRPr="00903F9D" w:rsidRDefault="008B1E43" w:rsidP="005B73DA">
            <w:pPr>
              <w:pStyle w:val="Tabletext0"/>
              <w:keepNext/>
              <w:keepLines/>
              <w:ind w:left="174"/>
            </w:pPr>
            <w:r w:rsidRPr="00903F9D">
              <w:t>-</w:t>
            </w:r>
            <w:r w:rsidR="00605981" w:rsidRPr="00903F9D">
              <w:t xml:space="preserve"> </w:t>
            </w:r>
            <w:r w:rsidRPr="00903F9D">
              <w:t>Correctable artifacts</w:t>
            </w:r>
          </w:p>
        </w:tc>
        <w:tc>
          <w:tcPr>
            <w:tcW w:w="709" w:type="dxa"/>
            <w:tcBorders>
              <w:top w:val="nil"/>
              <w:left w:val="single" w:sz="4" w:space="0" w:color="auto"/>
              <w:bottom w:val="nil"/>
              <w:right w:val="nil"/>
            </w:tcBorders>
            <w:noWrap/>
            <w:vAlign w:val="center"/>
            <w:hideMark/>
          </w:tcPr>
          <w:p w14:paraId="53EED759" w14:textId="77777777" w:rsidR="008B1E43" w:rsidRPr="00903F9D" w:rsidRDefault="008B1E43" w:rsidP="005B73DA">
            <w:pPr>
              <w:pStyle w:val="Tabletext0"/>
              <w:keepNext/>
              <w:keepLines/>
              <w:jc w:val="center"/>
            </w:pPr>
            <w:r w:rsidRPr="00903F9D">
              <w:t>84</w:t>
            </w:r>
          </w:p>
        </w:tc>
        <w:tc>
          <w:tcPr>
            <w:tcW w:w="708" w:type="dxa"/>
            <w:tcBorders>
              <w:top w:val="nil"/>
              <w:left w:val="nil"/>
              <w:bottom w:val="nil"/>
              <w:right w:val="single" w:sz="4" w:space="0" w:color="auto"/>
            </w:tcBorders>
            <w:noWrap/>
            <w:vAlign w:val="center"/>
            <w:hideMark/>
          </w:tcPr>
          <w:p w14:paraId="0CC84807" w14:textId="77777777" w:rsidR="008B1E43" w:rsidRPr="00903F9D" w:rsidRDefault="008B1E43" w:rsidP="005B73DA">
            <w:pPr>
              <w:pStyle w:val="Tabletext0"/>
              <w:keepNext/>
              <w:keepLines/>
              <w:jc w:val="center"/>
            </w:pPr>
            <w:r w:rsidRPr="00903F9D">
              <w:t>5%</w:t>
            </w:r>
          </w:p>
        </w:tc>
        <w:tc>
          <w:tcPr>
            <w:tcW w:w="709" w:type="dxa"/>
            <w:tcBorders>
              <w:left w:val="single" w:sz="4" w:space="0" w:color="auto"/>
            </w:tcBorders>
            <w:noWrap/>
            <w:vAlign w:val="center"/>
            <w:hideMark/>
          </w:tcPr>
          <w:p w14:paraId="7A7FEE16" w14:textId="77777777" w:rsidR="008B1E43" w:rsidRPr="00903F9D" w:rsidRDefault="008B1E43" w:rsidP="005B73DA">
            <w:pPr>
              <w:pStyle w:val="Tabletext0"/>
              <w:keepNext/>
              <w:keepLines/>
              <w:jc w:val="center"/>
            </w:pPr>
            <w:r w:rsidRPr="00903F9D">
              <w:t>0</w:t>
            </w:r>
          </w:p>
        </w:tc>
        <w:tc>
          <w:tcPr>
            <w:tcW w:w="567" w:type="dxa"/>
            <w:tcBorders>
              <w:top w:val="nil"/>
              <w:left w:val="nil"/>
              <w:bottom w:val="nil"/>
              <w:right w:val="single" w:sz="4" w:space="0" w:color="auto"/>
            </w:tcBorders>
            <w:noWrap/>
            <w:vAlign w:val="center"/>
            <w:hideMark/>
          </w:tcPr>
          <w:p w14:paraId="18DDAF04" w14:textId="77777777" w:rsidR="008B1E43" w:rsidRPr="00903F9D" w:rsidRDefault="008B1E43" w:rsidP="005B73DA">
            <w:pPr>
              <w:pStyle w:val="Tabletext0"/>
              <w:keepNext/>
              <w:keepLines/>
              <w:jc w:val="center"/>
            </w:pPr>
            <w:r w:rsidRPr="00903F9D">
              <w:t>0%</w:t>
            </w:r>
          </w:p>
        </w:tc>
        <w:tc>
          <w:tcPr>
            <w:tcW w:w="709" w:type="dxa"/>
            <w:tcBorders>
              <w:left w:val="single" w:sz="4" w:space="0" w:color="auto"/>
            </w:tcBorders>
            <w:vAlign w:val="center"/>
            <w:hideMark/>
          </w:tcPr>
          <w:p w14:paraId="0B8FEB06" w14:textId="371983EA" w:rsidR="008B1E43" w:rsidRPr="00903F9D" w:rsidRDefault="008B1E43" w:rsidP="005B73DA">
            <w:pPr>
              <w:pStyle w:val="Tabletext0"/>
              <w:keepNext/>
              <w:keepLines/>
              <w:jc w:val="center"/>
            </w:pPr>
          </w:p>
        </w:tc>
        <w:tc>
          <w:tcPr>
            <w:tcW w:w="853" w:type="dxa"/>
            <w:tcBorders>
              <w:top w:val="nil"/>
              <w:left w:val="nil"/>
              <w:bottom w:val="nil"/>
              <w:right w:val="single" w:sz="4" w:space="0" w:color="auto"/>
            </w:tcBorders>
            <w:vAlign w:val="center"/>
            <w:hideMark/>
          </w:tcPr>
          <w:p w14:paraId="2B37EBFF" w14:textId="68E681B2" w:rsidR="008B1E43" w:rsidRPr="00903F9D" w:rsidRDefault="008B1E43" w:rsidP="005B73DA">
            <w:pPr>
              <w:pStyle w:val="Tabletext0"/>
              <w:keepNext/>
              <w:keepLines/>
              <w:jc w:val="center"/>
            </w:pPr>
          </w:p>
        </w:tc>
        <w:tc>
          <w:tcPr>
            <w:tcW w:w="581" w:type="dxa"/>
            <w:tcBorders>
              <w:left w:val="single" w:sz="4" w:space="0" w:color="auto"/>
            </w:tcBorders>
            <w:vAlign w:val="center"/>
            <w:hideMark/>
          </w:tcPr>
          <w:p w14:paraId="1B654C90" w14:textId="77777777" w:rsidR="008B1E43" w:rsidRPr="00903F9D" w:rsidRDefault="008B1E43" w:rsidP="005B73DA">
            <w:pPr>
              <w:pStyle w:val="Tabletext0"/>
              <w:keepNext/>
              <w:keepLines/>
              <w:jc w:val="center"/>
            </w:pPr>
          </w:p>
        </w:tc>
        <w:tc>
          <w:tcPr>
            <w:tcW w:w="979" w:type="dxa"/>
            <w:tcBorders>
              <w:top w:val="nil"/>
              <w:left w:val="nil"/>
              <w:bottom w:val="nil"/>
              <w:right w:val="single" w:sz="4" w:space="0" w:color="auto"/>
            </w:tcBorders>
            <w:vAlign w:val="center"/>
            <w:hideMark/>
          </w:tcPr>
          <w:p w14:paraId="1836E943" w14:textId="6E0A73C3" w:rsidR="008B1E43" w:rsidRPr="00903F9D" w:rsidRDefault="008B1E43" w:rsidP="005B73DA">
            <w:pPr>
              <w:pStyle w:val="Tabletext0"/>
              <w:keepNext/>
              <w:keepLines/>
              <w:jc w:val="center"/>
            </w:pPr>
          </w:p>
        </w:tc>
      </w:tr>
      <w:tr w:rsidR="008B1E43" w:rsidRPr="00903F9D" w14:paraId="3508FF20" w14:textId="77777777" w:rsidTr="009F1C02">
        <w:trPr>
          <w:cantSplit/>
          <w:trHeight w:val="290"/>
          <w:tblHeader/>
        </w:trPr>
        <w:tc>
          <w:tcPr>
            <w:tcW w:w="3114" w:type="dxa"/>
            <w:tcBorders>
              <w:top w:val="nil"/>
              <w:left w:val="single" w:sz="4" w:space="0" w:color="auto"/>
              <w:bottom w:val="nil"/>
              <w:right w:val="single" w:sz="4" w:space="0" w:color="auto"/>
            </w:tcBorders>
            <w:noWrap/>
            <w:vAlign w:val="center"/>
            <w:hideMark/>
          </w:tcPr>
          <w:p w14:paraId="2CE7F68D" w14:textId="77777777" w:rsidR="008B1E43" w:rsidRPr="00903F9D" w:rsidRDefault="008B1E43" w:rsidP="005B73DA">
            <w:pPr>
              <w:pStyle w:val="Tabletext0"/>
              <w:keepNext/>
              <w:keepLines/>
              <w:ind w:left="174"/>
            </w:pPr>
            <w:r w:rsidRPr="00903F9D">
              <w:t>- Data input mistakes</w:t>
            </w:r>
          </w:p>
        </w:tc>
        <w:tc>
          <w:tcPr>
            <w:tcW w:w="709" w:type="dxa"/>
            <w:tcBorders>
              <w:top w:val="nil"/>
              <w:left w:val="single" w:sz="4" w:space="0" w:color="auto"/>
              <w:bottom w:val="nil"/>
              <w:right w:val="nil"/>
            </w:tcBorders>
            <w:noWrap/>
            <w:vAlign w:val="center"/>
            <w:hideMark/>
          </w:tcPr>
          <w:p w14:paraId="59EA432E" w14:textId="77777777" w:rsidR="008B1E43" w:rsidRPr="00903F9D" w:rsidRDefault="008B1E43" w:rsidP="005B73DA">
            <w:pPr>
              <w:pStyle w:val="Tabletext0"/>
              <w:keepNext/>
              <w:keepLines/>
              <w:jc w:val="center"/>
            </w:pPr>
            <w:r w:rsidRPr="00903F9D">
              <w:t>2</w:t>
            </w:r>
          </w:p>
        </w:tc>
        <w:tc>
          <w:tcPr>
            <w:tcW w:w="708" w:type="dxa"/>
            <w:tcBorders>
              <w:top w:val="nil"/>
              <w:left w:val="nil"/>
              <w:bottom w:val="nil"/>
              <w:right w:val="single" w:sz="4" w:space="0" w:color="auto"/>
            </w:tcBorders>
            <w:noWrap/>
            <w:vAlign w:val="center"/>
            <w:hideMark/>
          </w:tcPr>
          <w:p w14:paraId="0B203240" w14:textId="77777777" w:rsidR="008B1E43" w:rsidRPr="00903F9D" w:rsidRDefault="008B1E43" w:rsidP="005B73DA">
            <w:pPr>
              <w:pStyle w:val="Tabletext0"/>
              <w:keepNext/>
              <w:keepLines/>
              <w:jc w:val="center"/>
            </w:pPr>
            <w:r w:rsidRPr="00903F9D">
              <w:t>0%</w:t>
            </w:r>
          </w:p>
        </w:tc>
        <w:tc>
          <w:tcPr>
            <w:tcW w:w="709" w:type="dxa"/>
            <w:tcBorders>
              <w:left w:val="single" w:sz="4" w:space="0" w:color="auto"/>
            </w:tcBorders>
            <w:noWrap/>
            <w:vAlign w:val="center"/>
            <w:hideMark/>
          </w:tcPr>
          <w:p w14:paraId="6D34825C" w14:textId="77777777" w:rsidR="008B1E43" w:rsidRPr="00903F9D" w:rsidRDefault="008B1E43" w:rsidP="005B73DA">
            <w:pPr>
              <w:pStyle w:val="Tabletext0"/>
              <w:keepNext/>
              <w:keepLines/>
              <w:jc w:val="center"/>
            </w:pPr>
            <w:r w:rsidRPr="00903F9D">
              <w:t>2</w:t>
            </w:r>
          </w:p>
        </w:tc>
        <w:tc>
          <w:tcPr>
            <w:tcW w:w="567" w:type="dxa"/>
            <w:tcBorders>
              <w:top w:val="nil"/>
              <w:left w:val="nil"/>
              <w:bottom w:val="nil"/>
              <w:right w:val="single" w:sz="4" w:space="0" w:color="auto"/>
            </w:tcBorders>
            <w:noWrap/>
            <w:vAlign w:val="center"/>
            <w:hideMark/>
          </w:tcPr>
          <w:p w14:paraId="1279FDB5" w14:textId="77777777" w:rsidR="008B1E43" w:rsidRPr="00903F9D" w:rsidRDefault="008B1E43" w:rsidP="005B73DA">
            <w:pPr>
              <w:pStyle w:val="Tabletext0"/>
              <w:keepNext/>
              <w:keepLines/>
              <w:jc w:val="center"/>
            </w:pPr>
            <w:r w:rsidRPr="00903F9D">
              <w:t>0%</w:t>
            </w:r>
          </w:p>
        </w:tc>
        <w:tc>
          <w:tcPr>
            <w:tcW w:w="709" w:type="dxa"/>
            <w:tcBorders>
              <w:left w:val="single" w:sz="4" w:space="0" w:color="auto"/>
            </w:tcBorders>
            <w:vAlign w:val="center"/>
            <w:hideMark/>
          </w:tcPr>
          <w:p w14:paraId="6D06CD03" w14:textId="2207E179" w:rsidR="008B1E43" w:rsidRPr="00903F9D" w:rsidRDefault="008B1E43" w:rsidP="005B73DA">
            <w:pPr>
              <w:pStyle w:val="Tabletext0"/>
              <w:keepNext/>
              <w:keepLines/>
              <w:jc w:val="center"/>
            </w:pPr>
          </w:p>
        </w:tc>
        <w:tc>
          <w:tcPr>
            <w:tcW w:w="853" w:type="dxa"/>
            <w:tcBorders>
              <w:top w:val="nil"/>
              <w:left w:val="nil"/>
              <w:bottom w:val="nil"/>
              <w:right w:val="single" w:sz="4" w:space="0" w:color="auto"/>
            </w:tcBorders>
            <w:vAlign w:val="center"/>
            <w:hideMark/>
          </w:tcPr>
          <w:p w14:paraId="38F3D823" w14:textId="2361AC83" w:rsidR="008B1E43" w:rsidRPr="00903F9D" w:rsidRDefault="008B1E43" w:rsidP="005B73DA">
            <w:pPr>
              <w:pStyle w:val="Tabletext0"/>
              <w:keepNext/>
              <w:keepLines/>
              <w:jc w:val="center"/>
            </w:pPr>
          </w:p>
        </w:tc>
        <w:tc>
          <w:tcPr>
            <w:tcW w:w="581" w:type="dxa"/>
            <w:tcBorders>
              <w:left w:val="single" w:sz="4" w:space="0" w:color="auto"/>
            </w:tcBorders>
            <w:vAlign w:val="center"/>
            <w:hideMark/>
          </w:tcPr>
          <w:p w14:paraId="7DB78DDA" w14:textId="77777777" w:rsidR="008B1E43" w:rsidRPr="00903F9D" w:rsidRDefault="008B1E43" w:rsidP="005B73DA">
            <w:pPr>
              <w:pStyle w:val="Tabletext0"/>
              <w:keepNext/>
              <w:keepLines/>
              <w:jc w:val="center"/>
            </w:pPr>
          </w:p>
        </w:tc>
        <w:tc>
          <w:tcPr>
            <w:tcW w:w="979" w:type="dxa"/>
            <w:tcBorders>
              <w:top w:val="nil"/>
              <w:left w:val="nil"/>
              <w:bottom w:val="nil"/>
              <w:right w:val="single" w:sz="4" w:space="0" w:color="auto"/>
            </w:tcBorders>
            <w:vAlign w:val="center"/>
            <w:hideMark/>
          </w:tcPr>
          <w:p w14:paraId="05C9EDEB" w14:textId="7523D0FD" w:rsidR="008B1E43" w:rsidRPr="00903F9D" w:rsidRDefault="008B1E43" w:rsidP="005B73DA">
            <w:pPr>
              <w:pStyle w:val="Tabletext0"/>
              <w:keepNext/>
              <w:keepLines/>
              <w:jc w:val="center"/>
            </w:pPr>
          </w:p>
        </w:tc>
      </w:tr>
      <w:tr w:rsidR="008B1E43" w:rsidRPr="00903F9D" w14:paraId="7676DD77" w14:textId="77777777" w:rsidTr="009F1C02">
        <w:trPr>
          <w:cantSplit/>
          <w:trHeight w:val="290"/>
          <w:tblHeader/>
        </w:trPr>
        <w:tc>
          <w:tcPr>
            <w:tcW w:w="3114" w:type="dxa"/>
            <w:tcBorders>
              <w:top w:val="nil"/>
              <w:left w:val="single" w:sz="4" w:space="0" w:color="auto"/>
              <w:bottom w:val="nil"/>
              <w:right w:val="single" w:sz="4" w:space="0" w:color="auto"/>
            </w:tcBorders>
            <w:noWrap/>
            <w:vAlign w:val="center"/>
            <w:hideMark/>
          </w:tcPr>
          <w:p w14:paraId="3530483D" w14:textId="77777777" w:rsidR="008B1E43" w:rsidRPr="00903F9D" w:rsidRDefault="008B1E43" w:rsidP="005B73DA">
            <w:pPr>
              <w:pStyle w:val="Tabletext0"/>
              <w:keepNext/>
              <w:keepLines/>
              <w:rPr>
                <w:b/>
                <w:bCs/>
              </w:rPr>
            </w:pPr>
            <w:r w:rsidRPr="00903F9D">
              <w:rPr>
                <w:b/>
                <w:bCs/>
              </w:rPr>
              <w:t>Excluded DXA scans with errors</w:t>
            </w:r>
          </w:p>
        </w:tc>
        <w:tc>
          <w:tcPr>
            <w:tcW w:w="709" w:type="dxa"/>
            <w:tcBorders>
              <w:top w:val="nil"/>
              <w:left w:val="single" w:sz="4" w:space="0" w:color="auto"/>
              <w:bottom w:val="nil"/>
              <w:right w:val="nil"/>
            </w:tcBorders>
            <w:noWrap/>
            <w:vAlign w:val="center"/>
            <w:hideMark/>
          </w:tcPr>
          <w:p w14:paraId="18502F4B" w14:textId="77777777" w:rsidR="008B1E43" w:rsidRPr="00903F9D" w:rsidRDefault="008B1E43" w:rsidP="005B73DA">
            <w:pPr>
              <w:pStyle w:val="Tabletext0"/>
              <w:keepNext/>
              <w:keepLines/>
              <w:jc w:val="center"/>
              <w:rPr>
                <w:b/>
                <w:bCs/>
              </w:rPr>
            </w:pPr>
            <w:r w:rsidRPr="00903F9D">
              <w:rPr>
                <w:b/>
                <w:bCs/>
              </w:rPr>
              <w:t>78</w:t>
            </w:r>
          </w:p>
        </w:tc>
        <w:tc>
          <w:tcPr>
            <w:tcW w:w="708" w:type="dxa"/>
            <w:tcBorders>
              <w:top w:val="nil"/>
              <w:left w:val="nil"/>
              <w:bottom w:val="nil"/>
              <w:right w:val="single" w:sz="4" w:space="0" w:color="auto"/>
            </w:tcBorders>
            <w:noWrap/>
            <w:vAlign w:val="center"/>
            <w:hideMark/>
          </w:tcPr>
          <w:p w14:paraId="57330FA2" w14:textId="77777777" w:rsidR="008B1E43" w:rsidRPr="00903F9D" w:rsidRDefault="008B1E43" w:rsidP="005B73DA">
            <w:pPr>
              <w:pStyle w:val="Tabletext0"/>
              <w:keepNext/>
              <w:keepLines/>
              <w:jc w:val="center"/>
              <w:rPr>
                <w:b/>
                <w:bCs/>
              </w:rPr>
            </w:pPr>
            <w:r w:rsidRPr="00903F9D">
              <w:rPr>
                <w:b/>
                <w:bCs/>
              </w:rPr>
              <w:t>5%</w:t>
            </w:r>
          </w:p>
        </w:tc>
        <w:tc>
          <w:tcPr>
            <w:tcW w:w="709" w:type="dxa"/>
            <w:tcBorders>
              <w:left w:val="single" w:sz="4" w:space="0" w:color="auto"/>
            </w:tcBorders>
            <w:noWrap/>
            <w:vAlign w:val="center"/>
            <w:hideMark/>
          </w:tcPr>
          <w:p w14:paraId="5CEBAD51" w14:textId="77777777" w:rsidR="008B1E43" w:rsidRPr="00903F9D" w:rsidRDefault="008B1E43" w:rsidP="005B73DA">
            <w:pPr>
              <w:pStyle w:val="Tabletext0"/>
              <w:keepNext/>
              <w:keepLines/>
              <w:jc w:val="center"/>
              <w:rPr>
                <w:b/>
                <w:bCs/>
              </w:rPr>
            </w:pPr>
            <w:r w:rsidRPr="00903F9D">
              <w:rPr>
                <w:b/>
                <w:bCs/>
              </w:rPr>
              <w:t>59</w:t>
            </w:r>
          </w:p>
        </w:tc>
        <w:tc>
          <w:tcPr>
            <w:tcW w:w="567" w:type="dxa"/>
            <w:tcBorders>
              <w:top w:val="nil"/>
              <w:left w:val="nil"/>
              <w:bottom w:val="nil"/>
              <w:right w:val="single" w:sz="4" w:space="0" w:color="auto"/>
            </w:tcBorders>
            <w:noWrap/>
            <w:vAlign w:val="center"/>
            <w:hideMark/>
          </w:tcPr>
          <w:p w14:paraId="5864D2BE" w14:textId="77777777" w:rsidR="008B1E43" w:rsidRPr="00903F9D" w:rsidRDefault="008B1E43" w:rsidP="005B73DA">
            <w:pPr>
              <w:pStyle w:val="Tabletext0"/>
              <w:keepNext/>
              <w:keepLines/>
              <w:jc w:val="center"/>
              <w:rPr>
                <w:b/>
                <w:bCs/>
              </w:rPr>
            </w:pPr>
            <w:r w:rsidRPr="00903F9D">
              <w:rPr>
                <w:b/>
                <w:bCs/>
              </w:rPr>
              <w:t>4%</w:t>
            </w:r>
          </w:p>
        </w:tc>
        <w:tc>
          <w:tcPr>
            <w:tcW w:w="709" w:type="dxa"/>
            <w:tcBorders>
              <w:left w:val="single" w:sz="4" w:space="0" w:color="auto"/>
            </w:tcBorders>
            <w:vAlign w:val="center"/>
            <w:hideMark/>
          </w:tcPr>
          <w:p w14:paraId="2EF5A674" w14:textId="77777777" w:rsidR="008B1E43" w:rsidRPr="00903F9D" w:rsidRDefault="008B1E43" w:rsidP="005B73DA">
            <w:pPr>
              <w:pStyle w:val="Tabletext0"/>
              <w:keepNext/>
              <w:keepLines/>
              <w:jc w:val="center"/>
              <w:rPr>
                <w:b/>
                <w:bCs/>
              </w:rPr>
            </w:pPr>
            <w:r w:rsidRPr="00903F9D">
              <w:rPr>
                <w:b/>
                <w:bCs/>
              </w:rPr>
              <w:t>408</w:t>
            </w:r>
          </w:p>
        </w:tc>
        <w:tc>
          <w:tcPr>
            <w:tcW w:w="853" w:type="dxa"/>
            <w:tcBorders>
              <w:top w:val="nil"/>
              <w:left w:val="nil"/>
              <w:bottom w:val="nil"/>
              <w:right w:val="single" w:sz="4" w:space="0" w:color="auto"/>
            </w:tcBorders>
            <w:vAlign w:val="center"/>
            <w:hideMark/>
          </w:tcPr>
          <w:p w14:paraId="20FF8B68" w14:textId="77777777" w:rsidR="008B1E43" w:rsidRPr="00903F9D" w:rsidRDefault="008B1E43" w:rsidP="005B73DA">
            <w:pPr>
              <w:pStyle w:val="Tabletext0"/>
              <w:keepNext/>
              <w:keepLines/>
              <w:jc w:val="center"/>
              <w:rPr>
                <w:b/>
                <w:bCs/>
              </w:rPr>
            </w:pPr>
            <w:r w:rsidRPr="00903F9D">
              <w:rPr>
                <w:b/>
                <w:bCs/>
              </w:rPr>
              <w:t>10%</w:t>
            </w:r>
          </w:p>
        </w:tc>
        <w:tc>
          <w:tcPr>
            <w:tcW w:w="581" w:type="dxa"/>
            <w:tcBorders>
              <w:left w:val="single" w:sz="4" w:space="0" w:color="auto"/>
            </w:tcBorders>
            <w:vAlign w:val="center"/>
            <w:hideMark/>
          </w:tcPr>
          <w:p w14:paraId="0693D167" w14:textId="77777777" w:rsidR="008B1E43" w:rsidRPr="00903F9D" w:rsidRDefault="008B1E43" w:rsidP="005B73DA">
            <w:pPr>
              <w:pStyle w:val="Tabletext0"/>
              <w:keepNext/>
              <w:keepLines/>
              <w:jc w:val="center"/>
              <w:rPr>
                <w:b/>
                <w:bCs/>
              </w:rPr>
            </w:pPr>
            <w:r w:rsidRPr="00903F9D">
              <w:rPr>
                <w:b/>
                <w:bCs/>
              </w:rPr>
              <w:t>340</w:t>
            </w:r>
          </w:p>
        </w:tc>
        <w:tc>
          <w:tcPr>
            <w:tcW w:w="979" w:type="dxa"/>
            <w:tcBorders>
              <w:top w:val="nil"/>
              <w:left w:val="nil"/>
              <w:bottom w:val="nil"/>
              <w:right w:val="single" w:sz="4" w:space="0" w:color="auto"/>
            </w:tcBorders>
            <w:vAlign w:val="center"/>
            <w:hideMark/>
          </w:tcPr>
          <w:p w14:paraId="6FD50DDE" w14:textId="77777777" w:rsidR="008B1E43" w:rsidRPr="00903F9D" w:rsidRDefault="008B1E43" w:rsidP="005B73DA">
            <w:pPr>
              <w:pStyle w:val="Tabletext0"/>
              <w:keepNext/>
              <w:keepLines/>
              <w:jc w:val="center"/>
              <w:rPr>
                <w:b/>
                <w:bCs/>
              </w:rPr>
            </w:pPr>
            <w:r w:rsidRPr="00903F9D">
              <w:rPr>
                <w:b/>
                <w:bCs/>
              </w:rPr>
              <w:t>8%</w:t>
            </w:r>
          </w:p>
        </w:tc>
      </w:tr>
      <w:tr w:rsidR="008B1E43" w:rsidRPr="00903F9D" w14:paraId="778E8653" w14:textId="77777777" w:rsidTr="009F1C02">
        <w:trPr>
          <w:cantSplit/>
          <w:trHeight w:val="290"/>
          <w:tblHeader/>
        </w:trPr>
        <w:tc>
          <w:tcPr>
            <w:tcW w:w="3114" w:type="dxa"/>
            <w:tcBorders>
              <w:top w:val="nil"/>
              <w:left w:val="single" w:sz="4" w:space="0" w:color="auto"/>
              <w:bottom w:val="nil"/>
              <w:right w:val="single" w:sz="4" w:space="0" w:color="auto"/>
            </w:tcBorders>
            <w:noWrap/>
            <w:vAlign w:val="center"/>
            <w:hideMark/>
          </w:tcPr>
          <w:p w14:paraId="491B1E95" w14:textId="77777777" w:rsidR="008B1E43" w:rsidRPr="00903F9D" w:rsidRDefault="008B1E43" w:rsidP="005B73DA">
            <w:pPr>
              <w:pStyle w:val="Tabletext0"/>
              <w:keepNext/>
              <w:keepLines/>
              <w:ind w:left="174"/>
            </w:pPr>
            <w:r w:rsidRPr="00903F9D">
              <w:t>- Inaccurate patient positioning</w:t>
            </w:r>
          </w:p>
        </w:tc>
        <w:tc>
          <w:tcPr>
            <w:tcW w:w="709" w:type="dxa"/>
            <w:tcBorders>
              <w:top w:val="nil"/>
              <w:left w:val="single" w:sz="4" w:space="0" w:color="auto"/>
              <w:bottom w:val="nil"/>
              <w:right w:val="nil"/>
            </w:tcBorders>
            <w:noWrap/>
            <w:vAlign w:val="center"/>
            <w:hideMark/>
          </w:tcPr>
          <w:p w14:paraId="307119D0" w14:textId="77777777" w:rsidR="008B1E43" w:rsidRPr="00903F9D" w:rsidRDefault="008B1E43" w:rsidP="005B73DA">
            <w:pPr>
              <w:pStyle w:val="Tabletext0"/>
              <w:keepNext/>
              <w:keepLines/>
              <w:jc w:val="center"/>
            </w:pPr>
            <w:r w:rsidRPr="00903F9D">
              <w:t>78</w:t>
            </w:r>
          </w:p>
        </w:tc>
        <w:tc>
          <w:tcPr>
            <w:tcW w:w="708" w:type="dxa"/>
            <w:tcBorders>
              <w:top w:val="nil"/>
              <w:left w:val="nil"/>
              <w:bottom w:val="nil"/>
              <w:right w:val="single" w:sz="4" w:space="0" w:color="auto"/>
            </w:tcBorders>
            <w:noWrap/>
            <w:vAlign w:val="center"/>
            <w:hideMark/>
          </w:tcPr>
          <w:p w14:paraId="7DF818AD" w14:textId="77777777" w:rsidR="008B1E43" w:rsidRPr="00903F9D" w:rsidRDefault="008B1E43" w:rsidP="005B73DA">
            <w:pPr>
              <w:pStyle w:val="Tabletext0"/>
              <w:keepNext/>
              <w:keepLines/>
              <w:jc w:val="center"/>
            </w:pPr>
            <w:r w:rsidRPr="00903F9D">
              <w:t>5%</w:t>
            </w:r>
          </w:p>
        </w:tc>
        <w:tc>
          <w:tcPr>
            <w:tcW w:w="709" w:type="dxa"/>
            <w:tcBorders>
              <w:left w:val="single" w:sz="4" w:space="0" w:color="auto"/>
            </w:tcBorders>
            <w:noWrap/>
            <w:vAlign w:val="center"/>
            <w:hideMark/>
          </w:tcPr>
          <w:p w14:paraId="31D79611" w14:textId="77777777" w:rsidR="008B1E43" w:rsidRPr="00903F9D" w:rsidRDefault="008B1E43" w:rsidP="005B73DA">
            <w:pPr>
              <w:pStyle w:val="Tabletext0"/>
              <w:keepNext/>
              <w:keepLines/>
              <w:jc w:val="center"/>
            </w:pPr>
            <w:r w:rsidRPr="00903F9D">
              <w:t>51</w:t>
            </w:r>
          </w:p>
        </w:tc>
        <w:tc>
          <w:tcPr>
            <w:tcW w:w="567" w:type="dxa"/>
            <w:tcBorders>
              <w:top w:val="nil"/>
              <w:left w:val="nil"/>
              <w:bottom w:val="nil"/>
              <w:right w:val="single" w:sz="4" w:space="0" w:color="auto"/>
            </w:tcBorders>
            <w:noWrap/>
            <w:vAlign w:val="center"/>
            <w:hideMark/>
          </w:tcPr>
          <w:p w14:paraId="36A4CF56" w14:textId="77777777" w:rsidR="008B1E43" w:rsidRPr="00903F9D" w:rsidRDefault="008B1E43" w:rsidP="005B73DA">
            <w:pPr>
              <w:pStyle w:val="Tabletext0"/>
              <w:keepNext/>
              <w:keepLines/>
              <w:jc w:val="center"/>
            </w:pPr>
            <w:r w:rsidRPr="00903F9D">
              <w:t>3%</w:t>
            </w:r>
          </w:p>
        </w:tc>
        <w:tc>
          <w:tcPr>
            <w:tcW w:w="709" w:type="dxa"/>
            <w:tcBorders>
              <w:left w:val="single" w:sz="4" w:space="0" w:color="auto"/>
            </w:tcBorders>
            <w:vAlign w:val="center"/>
            <w:hideMark/>
          </w:tcPr>
          <w:p w14:paraId="6BB2E2D1" w14:textId="7A156AF9" w:rsidR="008B1E43" w:rsidRPr="00903F9D" w:rsidRDefault="008B1E43" w:rsidP="005B73DA">
            <w:pPr>
              <w:pStyle w:val="Tabletext0"/>
              <w:keepNext/>
              <w:keepLines/>
              <w:jc w:val="center"/>
            </w:pPr>
          </w:p>
        </w:tc>
        <w:tc>
          <w:tcPr>
            <w:tcW w:w="853" w:type="dxa"/>
            <w:tcBorders>
              <w:top w:val="nil"/>
              <w:left w:val="nil"/>
              <w:bottom w:val="nil"/>
              <w:right w:val="single" w:sz="4" w:space="0" w:color="auto"/>
            </w:tcBorders>
            <w:vAlign w:val="center"/>
            <w:hideMark/>
          </w:tcPr>
          <w:p w14:paraId="48B45E31" w14:textId="22B5D668" w:rsidR="008B1E43" w:rsidRPr="00903F9D" w:rsidRDefault="008B1E43" w:rsidP="005B73DA">
            <w:pPr>
              <w:pStyle w:val="Tabletext0"/>
              <w:keepNext/>
              <w:keepLines/>
              <w:jc w:val="center"/>
            </w:pPr>
          </w:p>
        </w:tc>
        <w:tc>
          <w:tcPr>
            <w:tcW w:w="581" w:type="dxa"/>
            <w:tcBorders>
              <w:left w:val="single" w:sz="4" w:space="0" w:color="auto"/>
            </w:tcBorders>
            <w:vAlign w:val="center"/>
            <w:hideMark/>
          </w:tcPr>
          <w:p w14:paraId="4A8E57CA" w14:textId="77777777" w:rsidR="008B1E43" w:rsidRPr="00903F9D" w:rsidRDefault="008B1E43" w:rsidP="005B73DA">
            <w:pPr>
              <w:pStyle w:val="Tabletext0"/>
              <w:keepNext/>
              <w:keepLines/>
              <w:jc w:val="center"/>
            </w:pPr>
          </w:p>
        </w:tc>
        <w:tc>
          <w:tcPr>
            <w:tcW w:w="979" w:type="dxa"/>
            <w:tcBorders>
              <w:top w:val="nil"/>
              <w:left w:val="nil"/>
              <w:bottom w:val="nil"/>
              <w:right w:val="single" w:sz="4" w:space="0" w:color="auto"/>
            </w:tcBorders>
            <w:vAlign w:val="center"/>
            <w:hideMark/>
          </w:tcPr>
          <w:p w14:paraId="51CABFFE" w14:textId="34EF28AD" w:rsidR="008B1E43" w:rsidRPr="00903F9D" w:rsidRDefault="008B1E43" w:rsidP="005B73DA">
            <w:pPr>
              <w:pStyle w:val="Tabletext0"/>
              <w:keepNext/>
              <w:keepLines/>
              <w:jc w:val="center"/>
            </w:pPr>
          </w:p>
        </w:tc>
      </w:tr>
      <w:tr w:rsidR="008B1E43" w:rsidRPr="00903F9D" w14:paraId="5C00A62E" w14:textId="77777777" w:rsidTr="009F1C02">
        <w:trPr>
          <w:cantSplit/>
          <w:trHeight w:val="300"/>
          <w:tblHeader/>
        </w:trPr>
        <w:tc>
          <w:tcPr>
            <w:tcW w:w="3114" w:type="dxa"/>
            <w:tcBorders>
              <w:top w:val="nil"/>
              <w:left w:val="single" w:sz="4" w:space="0" w:color="auto"/>
              <w:bottom w:val="single" w:sz="4" w:space="0" w:color="auto"/>
              <w:right w:val="single" w:sz="4" w:space="0" w:color="auto"/>
            </w:tcBorders>
            <w:noWrap/>
            <w:vAlign w:val="center"/>
            <w:hideMark/>
          </w:tcPr>
          <w:p w14:paraId="31C40DB9" w14:textId="77777777" w:rsidR="008B1E43" w:rsidRPr="00903F9D" w:rsidRDefault="008B1E43" w:rsidP="005B73DA">
            <w:pPr>
              <w:pStyle w:val="Tabletext0"/>
              <w:keepNext/>
              <w:keepLines/>
              <w:ind w:left="174"/>
            </w:pPr>
            <w:r w:rsidRPr="00903F9D">
              <w:t xml:space="preserve">- </w:t>
            </w:r>
            <w:proofErr w:type="spellStart"/>
            <w:r w:rsidRPr="00903F9D">
              <w:t>Uncorrectable</w:t>
            </w:r>
            <w:proofErr w:type="spellEnd"/>
            <w:r w:rsidRPr="00903F9D">
              <w:t xml:space="preserve"> artifacts</w:t>
            </w:r>
          </w:p>
        </w:tc>
        <w:tc>
          <w:tcPr>
            <w:tcW w:w="709" w:type="dxa"/>
            <w:tcBorders>
              <w:top w:val="nil"/>
              <w:left w:val="single" w:sz="4" w:space="0" w:color="auto"/>
              <w:bottom w:val="single" w:sz="4" w:space="0" w:color="auto"/>
              <w:right w:val="nil"/>
            </w:tcBorders>
            <w:noWrap/>
            <w:vAlign w:val="center"/>
            <w:hideMark/>
          </w:tcPr>
          <w:p w14:paraId="494F3784" w14:textId="77777777" w:rsidR="008B1E43" w:rsidRPr="00903F9D" w:rsidRDefault="008B1E43" w:rsidP="005B73DA">
            <w:pPr>
              <w:pStyle w:val="Tabletext0"/>
              <w:keepNext/>
              <w:keepLines/>
              <w:jc w:val="center"/>
            </w:pPr>
            <w:r w:rsidRPr="00903F9D">
              <w:t>0</w:t>
            </w:r>
          </w:p>
        </w:tc>
        <w:tc>
          <w:tcPr>
            <w:tcW w:w="708" w:type="dxa"/>
            <w:tcBorders>
              <w:top w:val="nil"/>
              <w:left w:val="nil"/>
              <w:bottom w:val="single" w:sz="4" w:space="0" w:color="auto"/>
              <w:right w:val="single" w:sz="4" w:space="0" w:color="auto"/>
            </w:tcBorders>
            <w:noWrap/>
            <w:vAlign w:val="center"/>
            <w:hideMark/>
          </w:tcPr>
          <w:p w14:paraId="7F119D77" w14:textId="77777777" w:rsidR="008B1E43" w:rsidRPr="00903F9D" w:rsidRDefault="008B1E43" w:rsidP="005B73DA">
            <w:pPr>
              <w:pStyle w:val="Tabletext0"/>
              <w:keepNext/>
              <w:keepLines/>
              <w:jc w:val="center"/>
            </w:pPr>
            <w:r w:rsidRPr="00903F9D">
              <w:t>0%</w:t>
            </w:r>
          </w:p>
        </w:tc>
        <w:tc>
          <w:tcPr>
            <w:tcW w:w="709" w:type="dxa"/>
            <w:tcBorders>
              <w:top w:val="nil"/>
              <w:left w:val="single" w:sz="4" w:space="0" w:color="auto"/>
              <w:bottom w:val="single" w:sz="4" w:space="0" w:color="auto"/>
              <w:right w:val="nil"/>
            </w:tcBorders>
            <w:noWrap/>
            <w:vAlign w:val="center"/>
            <w:hideMark/>
          </w:tcPr>
          <w:p w14:paraId="61D2C841" w14:textId="77777777" w:rsidR="008B1E43" w:rsidRPr="00903F9D" w:rsidRDefault="008B1E43" w:rsidP="005B73DA">
            <w:pPr>
              <w:pStyle w:val="Tabletext0"/>
              <w:keepNext/>
              <w:keepLines/>
              <w:jc w:val="center"/>
            </w:pPr>
            <w:r w:rsidRPr="00903F9D">
              <w:t>8</w:t>
            </w:r>
          </w:p>
        </w:tc>
        <w:tc>
          <w:tcPr>
            <w:tcW w:w="567" w:type="dxa"/>
            <w:tcBorders>
              <w:top w:val="nil"/>
              <w:left w:val="nil"/>
              <w:bottom w:val="single" w:sz="4" w:space="0" w:color="auto"/>
              <w:right w:val="single" w:sz="4" w:space="0" w:color="auto"/>
            </w:tcBorders>
            <w:noWrap/>
            <w:vAlign w:val="center"/>
            <w:hideMark/>
          </w:tcPr>
          <w:p w14:paraId="6E594059" w14:textId="77777777" w:rsidR="008B1E43" w:rsidRPr="00903F9D" w:rsidRDefault="008B1E43" w:rsidP="005B73DA">
            <w:pPr>
              <w:pStyle w:val="Tabletext0"/>
              <w:keepNext/>
              <w:keepLines/>
              <w:jc w:val="center"/>
            </w:pPr>
            <w:r w:rsidRPr="00903F9D">
              <w:t>0%</w:t>
            </w:r>
          </w:p>
        </w:tc>
        <w:tc>
          <w:tcPr>
            <w:tcW w:w="709" w:type="dxa"/>
            <w:tcBorders>
              <w:top w:val="nil"/>
              <w:left w:val="single" w:sz="4" w:space="0" w:color="auto"/>
              <w:bottom w:val="single" w:sz="4" w:space="0" w:color="auto"/>
              <w:right w:val="nil"/>
            </w:tcBorders>
            <w:vAlign w:val="center"/>
            <w:hideMark/>
          </w:tcPr>
          <w:p w14:paraId="71069542" w14:textId="55F846F8" w:rsidR="008B1E43" w:rsidRPr="00903F9D" w:rsidRDefault="008B1E43" w:rsidP="005B73DA">
            <w:pPr>
              <w:pStyle w:val="Tabletext0"/>
              <w:keepNext/>
              <w:keepLines/>
              <w:jc w:val="center"/>
            </w:pPr>
          </w:p>
        </w:tc>
        <w:tc>
          <w:tcPr>
            <w:tcW w:w="853" w:type="dxa"/>
            <w:tcBorders>
              <w:top w:val="nil"/>
              <w:left w:val="nil"/>
              <w:bottom w:val="single" w:sz="4" w:space="0" w:color="auto"/>
              <w:right w:val="single" w:sz="4" w:space="0" w:color="auto"/>
            </w:tcBorders>
            <w:vAlign w:val="center"/>
            <w:hideMark/>
          </w:tcPr>
          <w:p w14:paraId="2498F9CB" w14:textId="30C774EE" w:rsidR="008B1E43" w:rsidRPr="00903F9D" w:rsidRDefault="008B1E43" w:rsidP="005B73DA">
            <w:pPr>
              <w:pStyle w:val="Tabletext0"/>
              <w:keepNext/>
              <w:keepLines/>
              <w:jc w:val="center"/>
            </w:pPr>
          </w:p>
        </w:tc>
        <w:tc>
          <w:tcPr>
            <w:tcW w:w="581" w:type="dxa"/>
            <w:tcBorders>
              <w:top w:val="nil"/>
              <w:left w:val="single" w:sz="4" w:space="0" w:color="auto"/>
              <w:bottom w:val="single" w:sz="4" w:space="0" w:color="auto"/>
              <w:right w:val="nil"/>
            </w:tcBorders>
            <w:vAlign w:val="center"/>
            <w:hideMark/>
          </w:tcPr>
          <w:p w14:paraId="1BB39B1E" w14:textId="6EDDAA52" w:rsidR="008B1E43" w:rsidRPr="00903F9D" w:rsidRDefault="008B1E43" w:rsidP="005B73DA">
            <w:pPr>
              <w:pStyle w:val="Tabletext0"/>
              <w:keepNext/>
              <w:keepLines/>
              <w:jc w:val="center"/>
            </w:pPr>
          </w:p>
        </w:tc>
        <w:tc>
          <w:tcPr>
            <w:tcW w:w="979" w:type="dxa"/>
            <w:tcBorders>
              <w:top w:val="nil"/>
              <w:left w:val="nil"/>
              <w:bottom w:val="single" w:sz="4" w:space="0" w:color="auto"/>
              <w:right w:val="single" w:sz="4" w:space="0" w:color="auto"/>
            </w:tcBorders>
            <w:vAlign w:val="center"/>
            <w:hideMark/>
          </w:tcPr>
          <w:p w14:paraId="5452947B" w14:textId="48DC0027" w:rsidR="008B1E43" w:rsidRPr="00903F9D" w:rsidRDefault="008B1E43" w:rsidP="005B73DA">
            <w:pPr>
              <w:pStyle w:val="Tabletext0"/>
              <w:keepNext/>
              <w:keepLines/>
              <w:jc w:val="center"/>
            </w:pPr>
          </w:p>
        </w:tc>
      </w:tr>
      <w:tr w:rsidR="008B1E43" w:rsidRPr="00903F9D" w14:paraId="61DED51F" w14:textId="77777777" w:rsidTr="009F1C02">
        <w:trPr>
          <w:cantSplit/>
          <w:trHeight w:val="290"/>
          <w:tblHeader/>
        </w:trPr>
        <w:tc>
          <w:tcPr>
            <w:tcW w:w="3114" w:type="dxa"/>
            <w:tcBorders>
              <w:top w:val="single" w:sz="4" w:space="0" w:color="auto"/>
              <w:left w:val="single" w:sz="4" w:space="0" w:color="auto"/>
              <w:bottom w:val="nil"/>
              <w:right w:val="single" w:sz="4" w:space="0" w:color="auto"/>
            </w:tcBorders>
            <w:noWrap/>
            <w:vAlign w:val="center"/>
            <w:hideMark/>
          </w:tcPr>
          <w:p w14:paraId="1FF4152B" w14:textId="77777777" w:rsidR="008B1E43" w:rsidRPr="00903F9D" w:rsidRDefault="008B1E43" w:rsidP="005B73DA">
            <w:pPr>
              <w:pStyle w:val="Tabletext0"/>
              <w:keepNext/>
              <w:keepLines/>
              <w:rPr>
                <w:u w:val="single"/>
              </w:rPr>
            </w:pPr>
            <w:r w:rsidRPr="00903F9D">
              <w:rPr>
                <w:u w:val="single"/>
              </w:rPr>
              <w:t>Quality check of REMS scans</w:t>
            </w:r>
          </w:p>
        </w:tc>
        <w:tc>
          <w:tcPr>
            <w:tcW w:w="709" w:type="dxa"/>
            <w:tcBorders>
              <w:top w:val="single" w:sz="4" w:space="0" w:color="auto"/>
              <w:left w:val="single" w:sz="4" w:space="0" w:color="auto"/>
              <w:bottom w:val="nil"/>
              <w:right w:val="nil"/>
            </w:tcBorders>
            <w:noWrap/>
            <w:vAlign w:val="center"/>
            <w:hideMark/>
          </w:tcPr>
          <w:p w14:paraId="71DCE005" w14:textId="3AFEB574" w:rsidR="008B1E43" w:rsidRPr="00903F9D" w:rsidRDefault="008B1E43" w:rsidP="005B73DA">
            <w:pPr>
              <w:pStyle w:val="Tabletext0"/>
              <w:keepNext/>
              <w:keepLines/>
              <w:jc w:val="center"/>
            </w:pPr>
          </w:p>
        </w:tc>
        <w:tc>
          <w:tcPr>
            <w:tcW w:w="708" w:type="dxa"/>
            <w:tcBorders>
              <w:top w:val="single" w:sz="4" w:space="0" w:color="auto"/>
              <w:left w:val="nil"/>
              <w:bottom w:val="nil"/>
              <w:right w:val="single" w:sz="4" w:space="0" w:color="auto"/>
            </w:tcBorders>
            <w:noWrap/>
            <w:vAlign w:val="center"/>
            <w:hideMark/>
          </w:tcPr>
          <w:p w14:paraId="418B1202" w14:textId="58840273" w:rsidR="008B1E43" w:rsidRPr="00903F9D" w:rsidRDefault="008B1E43" w:rsidP="005B73DA">
            <w:pPr>
              <w:pStyle w:val="Tabletext0"/>
              <w:keepNext/>
              <w:keepLines/>
              <w:jc w:val="center"/>
            </w:pPr>
          </w:p>
        </w:tc>
        <w:tc>
          <w:tcPr>
            <w:tcW w:w="709" w:type="dxa"/>
            <w:tcBorders>
              <w:top w:val="single" w:sz="4" w:space="0" w:color="auto"/>
              <w:left w:val="single" w:sz="4" w:space="0" w:color="auto"/>
            </w:tcBorders>
            <w:noWrap/>
            <w:vAlign w:val="center"/>
            <w:hideMark/>
          </w:tcPr>
          <w:p w14:paraId="0F3EA9AD" w14:textId="5B5ED16A" w:rsidR="008B1E43" w:rsidRPr="00903F9D" w:rsidRDefault="008B1E43" w:rsidP="005B73DA">
            <w:pPr>
              <w:pStyle w:val="Tabletext0"/>
              <w:keepNext/>
              <w:keepLines/>
              <w:jc w:val="center"/>
            </w:pPr>
          </w:p>
        </w:tc>
        <w:tc>
          <w:tcPr>
            <w:tcW w:w="567" w:type="dxa"/>
            <w:tcBorders>
              <w:top w:val="single" w:sz="4" w:space="0" w:color="auto"/>
              <w:left w:val="nil"/>
              <w:bottom w:val="nil"/>
              <w:right w:val="single" w:sz="4" w:space="0" w:color="auto"/>
            </w:tcBorders>
            <w:noWrap/>
            <w:vAlign w:val="center"/>
            <w:hideMark/>
          </w:tcPr>
          <w:p w14:paraId="7200083E" w14:textId="5F94AEF7" w:rsidR="008B1E43" w:rsidRPr="00903F9D" w:rsidRDefault="008B1E43" w:rsidP="005B73DA">
            <w:pPr>
              <w:pStyle w:val="Tabletext0"/>
              <w:keepNext/>
              <w:keepLines/>
              <w:jc w:val="center"/>
            </w:pPr>
          </w:p>
        </w:tc>
        <w:tc>
          <w:tcPr>
            <w:tcW w:w="709" w:type="dxa"/>
            <w:tcBorders>
              <w:top w:val="single" w:sz="4" w:space="0" w:color="auto"/>
              <w:left w:val="single" w:sz="4" w:space="0" w:color="auto"/>
            </w:tcBorders>
            <w:vAlign w:val="center"/>
            <w:hideMark/>
          </w:tcPr>
          <w:p w14:paraId="06492DC9" w14:textId="6609234D" w:rsidR="008B1E43" w:rsidRPr="00903F9D" w:rsidRDefault="008B1E43" w:rsidP="005B73DA">
            <w:pPr>
              <w:pStyle w:val="Tabletext0"/>
              <w:keepNext/>
              <w:keepLines/>
              <w:jc w:val="center"/>
            </w:pPr>
          </w:p>
        </w:tc>
        <w:tc>
          <w:tcPr>
            <w:tcW w:w="853" w:type="dxa"/>
            <w:tcBorders>
              <w:top w:val="single" w:sz="4" w:space="0" w:color="auto"/>
              <w:left w:val="nil"/>
              <w:bottom w:val="nil"/>
              <w:right w:val="single" w:sz="4" w:space="0" w:color="auto"/>
            </w:tcBorders>
            <w:vAlign w:val="center"/>
            <w:hideMark/>
          </w:tcPr>
          <w:p w14:paraId="406E23DA" w14:textId="079C3E8E" w:rsidR="008B1E43" w:rsidRPr="00903F9D" w:rsidRDefault="008B1E43" w:rsidP="005B73DA">
            <w:pPr>
              <w:pStyle w:val="Tabletext0"/>
              <w:keepNext/>
              <w:keepLines/>
              <w:jc w:val="center"/>
            </w:pPr>
          </w:p>
        </w:tc>
        <w:tc>
          <w:tcPr>
            <w:tcW w:w="581" w:type="dxa"/>
            <w:tcBorders>
              <w:top w:val="single" w:sz="4" w:space="0" w:color="auto"/>
              <w:left w:val="single" w:sz="4" w:space="0" w:color="auto"/>
            </w:tcBorders>
            <w:vAlign w:val="center"/>
            <w:hideMark/>
          </w:tcPr>
          <w:p w14:paraId="5C624600" w14:textId="1018918D" w:rsidR="008B1E43" w:rsidRPr="00903F9D" w:rsidRDefault="008B1E43" w:rsidP="005B73DA">
            <w:pPr>
              <w:pStyle w:val="Tabletext0"/>
              <w:keepNext/>
              <w:keepLines/>
              <w:jc w:val="center"/>
            </w:pPr>
          </w:p>
        </w:tc>
        <w:tc>
          <w:tcPr>
            <w:tcW w:w="979" w:type="dxa"/>
            <w:tcBorders>
              <w:top w:val="single" w:sz="4" w:space="0" w:color="auto"/>
              <w:left w:val="nil"/>
              <w:bottom w:val="nil"/>
              <w:right w:val="single" w:sz="4" w:space="0" w:color="auto"/>
            </w:tcBorders>
            <w:vAlign w:val="center"/>
            <w:hideMark/>
          </w:tcPr>
          <w:p w14:paraId="412445BE" w14:textId="19947809" w:rsidR="008B1E43" w:rsidRPr="00903F9D" w:rsidRDefault="008B1E43" w:rsidP="005B73DA">
            <w:pPr>
              <w:pStyle w:val="Tabletext0"/>
              <w:keepNext/>
              <w:keepLines/>
              <w:jc w:val="center"/>
            </w:pPr>
          </w:p>
        </w:tc>
      </w:tr>
      <w:tr w:rsidR="008B1E43" w:rsidRPr="00903F9D" w14:paraId="016CC00C" w14:textId="77777777" w:rsidTr="009F1C02">
        <w:trPr>
          <w:cantSplit/>
          <w:trHeight w:val="290"/>
          <w:tblHeader/>
        </w:trPr>
        <w:tc>
          <w:tcPr>
            <w:tcW w:w="3114" w:type="dxa"/>
            <w:tcBorders>
              <w:top w:val="nil"/>
              <w:left w:val="single" w:sz="4" w:space="0" w:color="auto"/>
              <w:bottom w:val="nil"/>
              <w:right w:val="single" w:sz="4" w:space="0" w:color="auto"/>
            </w:tcBorders>
            <w:noWrap/>
            <w:vAlign w:val="center"/>
            <w:hideMark/>
          </w:tcPr>
          <w:p w14:paraId="3CA2E7E5" w14:textId="77777777" w:rsidR="008B1E43" w:rsidRPr="00903F9D" w:rsidRDefault="008B1E43" w:rsidP="005B73DA">
            <w:pPr>
              <w:pStyle w:val="Tabletext0"/>
              <w:keepNext/>
              <w:keepLines/>
            </w:pPr>
            <w:r w:rsidRPr="00903F9D">
              <w:t>Initial REMS scans identified with errors</w:t>
            </w:r>
          </w:p>
        </w:tc>
        <w:tc>
          <w:tcPr>
            <w:tcW w:w="709" w:type="dxa"/>
            <w:tcBorders>
              <w:top w:val="nil"/>
              <w:left w:val="single" w:sz="4" w:space="0" w:color="auto"/>
              <w:bottom w:val="nil"/>
              <w:right w:val="nil"/>
            </w:tcBorders>
            <w:noWrap/>
            <w:vAlign w:val="center"/>
            <w:hideMark/>
          </w:tcPr>
          <w:p w14:paraId="50A71521" w14:textId="77777777" w:rsidR="008B1E43" w:rsidRPr="00903F9D" w:rsidRDefault="008B1E43" w:rsidP="005B73DA">
            <w:pPr>
              <w:pStyle w:val="Tabletext0"/>
              <w:keepNext/>
              <w:keepLines/>
              <w:jc w:val="center"/>
            </w:pPr>
            <w:r w:rsidRPr="00903F9D">
              <w:t>340</w:t>
            </w:r>
          </w:p>
        </w:tc>
        <w:tc>
          <w:tcPr>
            <w:tcW w:w="708" w:type="dxa"/>
            <w:tcBorders>
              <w:top w:val="nil"/>
              <w:left w:val="nil"/>
              <w:bottom w:val="nil"/>
              <w:right w:val="single" w:sz="4" w:space="0" w:color="auto"/>
            </w:tcBorders>
            <w:noWrap/>
            <w:vAlign w:val="center"/>
            <w:hideMark/>
          </w:tcPr>
          <w:p w14:paraId="34E28422" w14:textId="77777777" w:rsidR="008B1E43" w:rsidRPr="00903F9D" w:rsidRDefault="008B1E43" w:rsidP="005B73DA">
            <w:pPr>
              <w:pStyle w:val="Tabletext0"/>
              <w:keepNext/>
              <w:keepLines/>
              <w:jc w:val="center"/>
            </w:pPr>
            <w:r w:rsidRPr="00903F9D">
              <w:t>22%</w:t>
            </w:r>
          </w:p>
        </w:tc>
        <w:tc>
          <w:tcPr>
            <w:tcW w:w="709" w:type="dxa"/>
            <w:tcBorders>
              <w:left w:val="single" w:sz="4" w:space="0" w:color="auto"/>
            </w:tcBorders>
            <w:noWrap/>
            <w:vAlign w:val="center"/>
            <w:hideMark/>
          </w:tcPr>
          <w:p w14:paraId="70F3CA77" w14:textId="77777777" w:rsidR="008B1E43" w:rsidRPr="00903F9D" w:rsidRDefault="008B1E43" w:rsidP="005B73DA">
            <w:pPr>
              <w:pStyle w:val="Tabletext0"/>
              <w:keepNext/>
              <w:keepLines/>
              <w:jc w:val="center"/>
            </w:pPr>
            <w:r w:rsidRPr="00903F9D">
              <w:t>239</w:t>
            </w:r>
          </w:p>
        </w:tc>
        <w:tc>
          <w:tcPr>
            <w:tcW w:w="567" w:type="dxa"/>
            <w:tcBorders>
              <w:top w:val="nil"/>
              <w:left w:val="nil"/>
              <w:bottom w:val="nil"/>
              <w:right w:val="single" w:sz="4" w:space="0" w:color="auto"/>
            </w:tcBorders>
            <w:noWrap/>
            <w:vAlign w:val="center"/>
            <w:hideMark/>
          </w:tcPr>
          <w:p w14:paraId="53AB2753" w14:textId="77777777" w:rsidR="008B1E43" w:rsidRPr="00903F9D" w:rsidRDefault="008B1E43" w:rsidP="005B73DA">
            <w:pPr>
              <w:pStyle w:val="Tabletext0"/>
              <w:keepNext/>
              <w:keepLines/>
              <w:jc w:val="center"/>
            </w:pPr>
            <w:r w:rsidRPr="00903F9D">
              <w:t>15%</w:t>
            </w:r>
          </w:p>
        </w:tc>
        <w:tc>
          <w:tcPr>
            <w:tcW w:w="709" w:type="dxa"/>
            <w:tcBorders>
              <w:left w:val="single" w:sz="4" w:space="0" w:color="auto"/>
            </w:tcBorders>
            <w:vAlign w:val="center"/>
            <w:hideMark/>
          </w:tcPr>
          <w:p w14:paraId="68106ACD" w14:textId="77777777" w:rsidR="008B1E43" w:rsidRPr="00903F9D" w:rsidRDefault="008B1E43" w:rsidP="005B73DA">
            <w:pPr>
              <w:pStyle w:val="Tabletext0"/>
              <w:keepNext/>
              <w:keepLines/>
              <w:jc w:val="center"/>
            </w:pPr>
            <w:r w:rsidRPr="00903F9D">
              <w:t>373</w:t>
            </w:r>
          </w:p>
        </w:tc>
        <w:tc>
          <w:tcPr>
            <w:tcW w:w="853" w:type="dxa"/>
            <w:tcBorders>
              <w:top w:val="nil"/>
              <w:left w:val="nil"/>
              <w:bottom w:val="nil"/>
              <w:right w:val="single" w:sz="4" w:space="0" w:color="auto"/>
            </w:tcBorders>
            <w:vAlign w:val="center"/>
            <w:hideMark/>
          </w:tcPr>
          <w:p w14:paraId="58DE1788" w14:textId="0F544533" w:rsidR="008B1E43" w:rsidRPr="00903F9D" w:rsidRDefault="005B765E" w:rsidP="005B73DA">
            <w:pPr>
              <w:pStyle w:val="Tabletext0"/>
              <w:keepNext/>
              <w:keepLines/>
              <w:jc w:val="center"/>
            </w:pPr>
            <w:r w:rsidRPr="00903F9D">
              <w:t>9%</w:t>
            </w:r>
          </w:p>
        </w:tc>
        <w:tc>
          <w:tcPr>
            <w:tcW w:w="581" w:type="dxa"/>
            <w:tcBorders>
              <w:left w:val="single" w:sz="4" w:space="0" w:color="auto"/>
            </w:tcBorders>
            <w:vAlign w:val="center"/>
            <w:hideMark/>
          </w:tcPr>
          <w:p w14:paraId="5B39AD2C" w14:textId="77777777" w:rsidR="008B1E43" w:rsidRPr="00903F9D" w:rsidRDefault="008B1E43" w:rsidP="005B73DA">
            <w:pPr>
              <w:pStyle w:val="Tabletext0"/>
              <w:keepNext/>
              <w:keepLines/>
              <w:jc w:val="center"/>
            </w:pPr>
            <w:r w:rsidRPr="00903F9D">
              <w:t>323</w:t>
            </w:r>
          </w:p>
        </w:tc>
        <w:tc>
          <w:tcPr>
            <w:tcW w:w="979" w:type="dxa"/>
            <w:tcBorders>
              <w:top w:val="nil"/>
              <w:left w:val="nil"/>
              <w:bottom w:val="nil"/>
              <w:right w:val="single" w:sz="4" w:space="0" w:color="auto"/>
            </w:tcBorders>
            <w:vAlign w:val="center"/>
            <w:hideMark/>
          </w:tcPr>
          <w:p w14:paraId="4EB558FC" w14:textId="0494B9EB" w:rsidR="008B1E43" w:rsidRPr="00903F9D" w:rsidRDefault="008B1E43" w:rsidP="005B73DA">
            <w:pPr>
              <w:pStyle w:val="Tabletext0"/>
              <w:keepNext/>
              <w:keepLines/>
              <w:jc w:val="center"/>
            </w:pPr>
            <w:r w:rsidRPr="00903F9D">
              <w:t>8%</w:t>
            </w:r>
          </w:p>
        </w:tc>
      </w:tr>
      <w:tr w:rsidR="008B1E43" w:rsidRPr="00903F9D" w14:paraId="29C04146" w14:textId="77777777" w:rsidTr="009F1C02">
        <w:trPr>
          <w:cantSplit/>
          <w:trHeight w:val="290"/>
          <w:tblHeader/>
        </w:trPr>
        <w:tc>
          <w:tcPr>
            <w:tcW w:w="3114" w:type="dxa"/>
            <w:tcBorders>
              <w:top w:val="nil"/>
              <w:left w:val="single" w:sz="4" w:space="0" w:color="auto"/>
              <w:bottom w:val="nil"/>
              <w:right w:val="single" w:sz="4" w:space="0" w:color="auto"/>
            </w:tcBorders>
            <w:noWrap/>
            <w:vAlign w:val="center"/>
            <w:hideMark/>
          </w:tcPr>
          <w:p w14:paraId="44104AB3" w14:textId="77777777" w:rsidR="008B1E43" w:rsidRPr="00903F9D" w:rsidRDefault="008B1E43" w:rsidP="005B73DA">
            <w:pPr>
              <w:pStyle w:val="Tabletext0"/>
              <w:keepNext/>
              <w:keepLines/>
            </w:pPr>
            <w:r w:rsidRPr="00903F9D">
              <w:t>Recovered REMS scans</w:t>
            </w:r>
          </w:p>
        </w:tc>
        <w:tc>
          <w:tcPr>
            <w:tcW w:w="709" w:type="dxa"/>
            <w:tcBorders>
              <w:top w:val="nil"/>
              <w:left w:val="single" w:sz="4" w:space="0" w:color="auto"/>
              <w:bottom w:val="nil"/>
              <w:right w:val="nil"/>
            </w:tcBorders>
            <w:noWrap/>
            <w:vAlign w:val="center"/>
            <w:hideMark/>
          </w:tcPr>
          <w:p w14:paraId="400E93AA" w14:textId="77777777" w:rsidR="008B1E43" w:rsidRPr="00903F9D" w:rsidRDefault="008B1E43" w:rsidP="005B73DA">
            <w:pPr>
              <w:pStyle w:val="Tabletext0"/>
              <w:keepNext/>
              <w:keepLines/>
              <w:jc w:val="center"/>
            </w:pPr>
            <w:r w:rsidRPr="00903F9D">
              <w:t>60</w:t>
            </w:r>
          </w:p>
        </w:tc>
        <w:tc>
          <w:tcPr>
            <w:tcW w:w="708" w:type="dxa"/>
            <w:tcBorders>
              <w:top w:val="nil"/>
              <w:left w:val="nil"/>
              <w:bottom w:val="nil"/>
              <w:right w:val="single" w:sz="4" w:space="0" w:color="auto"/>
            </w:tcBorders>
            <w:noWrap/>
            <w:vAlign w:val="center"/>
            <w:hideMark/>
          </w:tcPr>
          <w:p w14:paraId="0A43AF83" w14:textId="77777777" w:rsidR="008B1E43" w:rsidRPr="00903F9D" w:rsidRDefault="008B1E43" w:rsidP="005B73DA">
            <w:pPr>
              <w:pStyle w:val="Tabletext0"/>
              <w:keepNext/>
              <w:keepLines/>
              <w:jc w:val="center"/>
            </w:pPr>
            <w:r w:rsidRPr="00903F9D">
              <w:t>4%</w:t>
            </w:r>
          </w:p>
        </w:tc>
        <w:tc>
          <w:tcPr>
            <w:tcW w:w="709" w:type="dxa"/>
            <w:tcBorders>
              <w:left w:val="single" w:sz="4" w:space="0" w:color="auto"/>
            </w:tcBorders>
            <w:noWrap/>
            <w:vAlign w:val="center"/>
            <w:hideMark/>
          </w:tcPr>
          <w:p w14:paraId="61B0E464" w14:textId="77777777" w:rsidR="008B1E43" w:rsidRPr="00903F9D" w:rsidRDefault="008B1E43" w:rsidP="005B73DA">
            <w:pPr>
              <w:pStyle w:val="Tabletext0"/>
              <w:keepNext/>
              <w:keepLines/>
              <w:jc w:val="center"/>
            </w:pPr>
            <w:r w:rsidRPr="00903F9D">
              <w:t>34</w:t>
            </w:r>
          </w:p>
        </w:tc>
        <w:tc>
          <w:tcPr>
            <w:tcW w:w="567" w:type="dxa"/>
            <w:tcBorders>
              <w:top w:val="nil"/>
              <w:left w:val="nil"/>
              <w:bottom w:val="nil"/>
              <w:right w:val="single" w:sz="4" w:space="0" w:color="auto"/>
            </w:tcBorders>
            <w:noWrap/>
            <w:vAlign w:val="center"/>
            <w:hideMark/>
          </w:tcPr>
          <w:p w14:paraId="5A36CC2F" w14:textId="77777777" w:rsidR="008B1E43" w:rsidRPr="00903F9D" w:rsidRDefault="008B1E43" w:rsidP="005B73DA">
            <w:pPr>
              <w:pStyle w:val="Tabletext0"/>
              <w:keepNext/>
              <w:keepLines/>
              <w:jc w:val="center"/>
            </w:pPr>
            <w:r w:rsidRPr="00903F9D">
              <w:t>2%</w:t>
            </w:r>
          </w:p>
        </w:tc>
        <w:tc>
          <w:tcPr>
            <w:tcW w:w="709" w:type="dxa"/>
            <w:tcBorders>
              <w:left w:val="single" w:sz="4" w:space="0" w:color="auto"/>
            </w:tcBorders>
            <w:vAlign w:val="center"/>
            <w:hideMark/>
          </w:tcPr>
          <w:p w14:paraId="03440A95" w14:textId="77777777" w:rsidR="008B1E43" w:rsidRPr="00903F9D" w:rsidRDefault="008B1E43" w:rsidP="005B73DA">
            <w:pPr>
              <w:pStyle w:val="Tabletext0"/>
              <w:keepNext/>
              <w:keepLines/>
              <w:jc w:val="center"/>
            </w:pPr>
            <w:r w:rsidRPr="00903F9D">
              <w:t>0</w:t>
            </w:r>
          </w:p>
        </w:tc>
        <w:tc>
          <w:tcPr>
            <w:tcW w:w="853" w:type="dxa"/>
            <w:tcBorders>
              <w:top w:val="nil"/>
              <w:left w:val="nil"/>
              <w:bottom w:val="nil"/>
              <w:right w:val="single" w:sz="4" w:space="0" w:color="auto"/>
            </w:tcBorders>
            <w:vAlign w:val="center"/>
            <w:hideMark/>
          </w:tcPr>
          <w:p w14:paraId="6456B1FF" w14:textId="77777777" w:rsidR="008B1E43" w:rsidRPr="00903F9D" w:rsidRDefault="008B1E43" w:rsidP="005B73DA">
            <w:pPr>
              <w:pStyle w:val="Tabletext0"/>
              <w:keepNext/>
              <w:keepLines/>
              <w:jc w:val="center"/>
            </w:pPr>
            <w:r w:rsidRPr="00903F9D">
              <w:t>0%</w:t>
            </w:r>
          </w:p>
        </w:tc>
        <w:tc>
          <w:tcPr>
            <w:tcW w:w="581" w:type="dxa"/>
            <w:tcBorders>
              <w:left w:val="single" w:sz="4" w:space="0" w:color="auto"/>
            </w:tcBorders>
            <w:vAlign w:val="center"/>
            <w:hideMark/>
          </w:tcPr>
          <w:p w14:paraId="6CF7627F" w14:textId="77777777" w:rsidR="008B1E43" w:rsidRPr="00903F9D" w:rsidRDefault="008B1E43" w:rsidP="005B73DA">
            <w:pPr>
              <w:pStyle w:val="Tabletext0"/>
              <w:keepNext/>
              <w:keepLines/>
              <w:jc w:val="center"/>
            </w:pPr>
            <w:r w:rsidRPr="00903F9D">
              <w:t>0</w:t>
            </w:r>
          </w:p>
        </w:tc>
        <w:tc>
          <w:tcPr>
            <w:tcW w:w="979" w:type="dxa"/>
            <w:tcBorders>
              <w:top w:val="nil"/>
              <w:left w:val="nil"/>
              <w:bottom w:val="nil"/>
              <w:right w:val="single" w:sz="4" w:space="0" w:color="auto"/>
            </w:tcBorders>
            <w:vAlign w:val="center"/>
            <w:hideMark/>
          </w:tcPr>
          <w:p w14:paraId="698A9154" w14:textId="77777777" w:rsidR="008B1E43" w:rsidRPr="00903F9D" w:rsidRDefault="008B1E43" w:rsidP="005B73DA">
            <w:pPr>
              <w:pStyle w:val="Tabletext0"/>
              <w:keepNext/>
              <w:keepLines/>
              <w:jc w:val="center"/>
            </w:pPr>
            <w:r w:rsidRPr="00903F9D">
              <w:t>0%</w:t>
            </w:r>
          </w:p>
        </w:tc>
      </w:tr>
      <w:tr w:rsidR="008B1E43" w:rsidRPr="00903F9D" w14:paraId="464C1B58" w14:textId="77777777" w:rsidTr="009F1C02">
        <w:trPr>
          <w:cantSplit/>
          <w:trHeight w:val="290"/>
          <w:tblHeader/>
        </w:trPr>
        <w:tc>
          <w:tcPr>
            <w:tcW w:w="3114" w:type="dxa"/>
            <w:tcBorders>
              <w:top w:val="nil"/>
              <w:left w:val="single" w:sz="4" w:space="0" w:color="auto"/>
              <w:bottom w:val="nil"/>
              <w:right w:val="single" w:sz="4" w:space="0" w:color="auto"/>
            </w:tcBorders>
            <w:noWrap/>
            <w:vAlign w:val="center"/>
            <w:hideMark/>
          </w:tcPr>
          <w:p w14:paraId="4F94DFF6" w14:textId="5FFF0058" w:rsidR="008B1E43" w:rsidRPr="00903F9D" w:rsidRDefault="008B1E43" w:rsidP="005B73DA">
            <w:pPr>
              <w:pStyle w:val="Tabletext0"/>
              <w:keepNext/>
              <w:keepLines/>
              <w:ind w:left="174"/>
            </w:pPr>
            <w:r w:rsidRPr="00903F9D">
              <w:t>-</w:t>
            </w:r>
            <w:r w:rsidR="00605981" w:rsidRPr="00903F9D">
              <w:t xml:space="preserve"> </w:t>
            </w:r>
            <w:r w:rsidRPr="00903F9D">
              <w:t>Acceptable focus selection</w:t>
            </w:r>
          </w:p>
        </w:tc>
        <w:tc>
          <w:tcPr>
            <w:tcW w:w="709" w:type="dxa"/>
            <w:tcBorders>
              <w:top w:val="nil"/>
              <w:left w:val="single" w:sz="4" w:space="0" w:color="auto"/>
              <w:bottom w:val="nil"/>
              <w:right w:val="nil"/>
            </w:tcBorders>
            <w:noWrap/>
            <w:vAlign w:val="center"/>
            <w:hideMark/>
          </w:tcPr>
          <w:p w14:paraId="1D60CFCA" w14:textId="77777777" w:rsidR="008B1E43" w:rsidRPr="00903F9D" w:rsidRDefault="008B1E43" w:rsidP="005B73DA">
            <w:pPr>
              <w:pStyle w:val="Tabletext0"/>
              <w:keepNext/>
              <w:keepLines/>
              <w:jc w:val="center"/>
            </w:pPr>
            <w:r w:rsidRPr="00903F9D">
              <w:t>42</w:t>
            </w:r>
          </w:p>
        </w:tc>
        <w:tc>
          <w:tcPr>
            <w:tcW w:w="708" w:type="dxa"/>
            <w:tcBorders>
              <w:top w:val="nil"/>
              <w:left w:val="nil"/>
              <w:bottom w:val="nil"/>
              <w:right w:val="single" w:sz="4" w:space="0" w:color="auto"/>
            </w:tcBorders>
            <w:noWrap/>
            <w:vAlign w:val="center"/>
            <w:hideMark/>
          </w:tcPr>
          <w:p w14:paraId="26102FAF" w14:textId="77777777" w:rsidR="008B1E43" w:rsidRPr="00903F9D" w:rsidRDefault="008B1E43" w:rsidP="005B73DA">
            <w:pPr>
              <w:pStyle w:val="Tabletext0"/>
              <w:keepNext/>
              <w:keepLines/>
              <w:jc w:val="center"/>
            </w:pPr>
            <w:r w:rsidRPr="00903F9D">
              <w:t>3%</w:t>
            </w:r>
          </w:p>
        </w:tc>
        <w:tc>
          <w:tcPr>
            <w:tcW w:w="709" w:type="dxa"/>
            <w:tcBorders>
              <w:left w:val="single" w:sz="4" w:space="0" w:color="auto"/>
            </w:tcBorders>
            <w:noWrap/>
            <w:vAlign w:val="center"/>
            <w:hideMark/>
          </w:tcPr>
          <w:p w14:paraId="560201FF" w14:textId="77777777" w:rsidR="008B1E43" w:rsidRPr="00903F9D" w:rsidRDefault="008B1E43" w:rsidP="005B73DA">
            <w:pPr>
              <w:pStyle w:val="Tabletext0"/>
              <w:keepNext/>
              <w:keepLines/>
              <w:jc w:val="center"/>
            </w:pPr>
            <w:r w:rsidRPr="00903F9D">
              <w:t>27</w:t>
            </w:r>
          </w:p>
        </w:tc>
        <w:tc>
          <w:tcPr>
            <w:tcW w:w="567" w:type="dxa"/>
            <w:tcBorders>
              <w:top w:val="nil"/>
              <w:left w:val="nil"/>
              <w:bottom w:val="nil"/>
              <w:right w:val="single" w:sz="4" w:space="0" w:color="auto"/>
            </w:tcBorders>
            <w:noWrap/>
            <w:vAlign w:val="center"/>
            <w:hideMark/>
          </w:tcPr>
          <w:p w14:paraId="26138109" w14:textId="77777777" w:rsidR="008B1E43" w:rsidRPr="00903F9D" w:rsidRDefault="008B1E43" w:rsidP="005B73DA">
            <w:pPr>
              <w:pStyle w:val="Tabletext0"/>
              <w:keepNext/>
              <w:keepLines/>
              <w:jc w:val="center"/>
            </w:pPr>
            <w:r w:rsidRPr="00903F9D">
              <w:t>2%</w:t>
            </w:r>
          </w:p>
        </w:tc>
        <w:tc>
          <w:tcPr>
            <w:tcW w:w="709" w:type="dxa"/>
            <w:tcBorders>
              <w:left w:val="single" w:sz="4" w:space="0" w:color="auto"/>
            </w:tcBorders>
            <w:vAlign w:val="center"/>
            <w:hideMark/>
          </w:tcPr>
          <w:p w14:paraId="5549F13D" w14:textId="6FCDB261" w:rsidR="008B1E43" w:rsidRPr="00903F9D" w:rsidRDefault="008B1E43" w:rsidP="005B73DA">
            <w:pPr>
              <w:pStyle w:val="Tabletext0"/>
              <w:keepNext/>
              <w:keepLines/>
              <w:jc w:val="center"/>
            </w:pPr>
          </w:p>
        </w:tc>
        <w:tc>
          <w:tcPr>
            <w:tcW w:w="853" w:type="dxa"/>
            <w:tcBorders>
              <w:top w:val="nil"/>
              <w:left w:val="nil"/>
              <w:bottom w:val="nil"/>
              <w:right w:val="single" w:sz="4" w:space="0" w:color="auto"/>
            </w:tcBorders>
            <w:vAlign w:val="center"/>
            <w:hideMark/>
          </w:tcPr>
          <w:p w14:paraId="10B88921" w14:textId="41412D86" w:rsidR="008B1E43" w:rsidRPr="00903F9D" w:rsidRDefault="008B1E43" w:rsidP="005B73DA">
            <w:pPr>
              <w:pStyle w:val="Tabletext0"/>
              <w:keepNext/>
              <w:keepLines/>
              <w:jc w:val="center"/>
            </w:pPr>
          </w:p>
        </w:tc>
        <w:tc>
          <w:tcPr>
            <w:tcW w:w="581" w:type="dxa"/>
            <w:tcBorders>
              <w:left w:val="single" w:sz="4" w:space="0" w:color="auto"/>
            </w:tcBorders>
            <w:vAlign w:val="center"/>
            <w:hideMark/>
          </w:tcPr>
          <w:p w14:paraId="127173E8" w14:textId="77777777" w:rsidR="008B1E43" w:rsidRPr="00903F9D" w:rsidRDefault="008B1E43" w:rsidP="005B73DA">
            <w:pPr>
              <w:pStyle w:val="Tabletext0"/>
              <w:keepNext/>
              <w:keepLines/>
              <w:jc w:val="center"/>
            </w:pPr>
          </w:p>
        </w:tc>
        <w:tc>
          <w:tcPr>
            <w:tcW w:w="979" w:type="dxa"/>
            <w:tcBorders>
              <w:top w:val="nil"/>
              <w:left w:val="nil"/>
              <w:bottom w:val="nil"/>
              <w:right w:val="single" w:sz="4" w:space="0" w:color="auto"/>
            </w:tcBorders>
            <w:vAlign w:val="center"/>
            <w:hideMark/>
          </w:tcPr>
          <w:p w14:paraId="2578589C" w14:textId="7C7C31F0" w:rsidR="008B1E43" w:rsidRPr="00903F9D" w:rsidRDefault="008B1E43" w:rsidP="005B73DA">
            <w:pPr>
              <w:pStyle w:val="Tabletext0"/>
              <w:keepNext/>
              <w:keepLines/>
              <w:jc w:val="center"/>
            </w:pPr>
          </w:p>
        </w:tc>
      </w:tr>
      <w:tr w:rsidR="008B1E43" w:rsidRPr="00903F9D" w14:paraId="0A6199CB" w14:textId="77777777" w:rsidTr="009F1C02">
        <w:trPr>
          <w:cantSplit/>
          <w:trHeight w:val="290"/>
          <w:tblHeader/>
        </w:trPr>
        <w:tc>
          <w:tcPr>
            <w:tcW w:w="3114" w:type="dxa"/>
            <w:tcBorders>
              <w:top w:val="nil"/>
              <w:left w:val="single" w:sz="4" w:space="0" w:color="auto"/>
              <w:bottom w:val="nil"/>
              <w:right w:val="single" w:sz="4" w:space="0" w:color="auto"/>
            </w:tcBorders>
            <w:noWrap/>
            <w:vAlign w:val="center"/>
            <w:hideMark/>
          </w:tcPr>
          <w:p w14:paraId="70C1D762" w14:textId="7C845FC1" w:rsidR="008B1E43" w:rsidRPr="00903F9D" w:rsidRDefault="008B1E43" w:rsidP="005B73DA">
            <w:pPr>
              <w:pStyle w:val="Tabletext0"/>
              <w:keepNext/>
              <w:keepLines/>
              <w:ind w:left="174"/>
            </w:pPr>
            <w:r w:rsidRPr="00903F9D">
              <w:t>-</w:t>
            </w:r>
            <w:r w:rsidR="00605981" w:rsidRPr="00903F9D">
              <w:t xml:space="preserve"> </w:t>
            </w:r>
            <w:r w:rsidRPr="00903F9D">
              <w:t>Acceptable scan depth selection</w:t>
            </w:r>
          </w:p>
        </w:tc>
        <w:tc>
          <w:tcPr>
            <w:tcW w:w="709" w:type="dxa"/>
            <w:tcBorders>
              <w:top w:val="nil"/>
              <w:left w:val="single" w:sz="4" w:space="0" w:color="auto"/>
              <w:bottom w:val="nil"/>
              <w:right w:val="nil"/>
            </w:tcBorders>
            <w:noWrap/>
            <w:vAlign w:val="center"/>
            <w:hideMark/>
          </w:tcPr>
          <w:p w14:paraId="5770B154" w14:textId="77777777" w:rsidR="008B1E43" w:rsidRPr="00903F9D" w:rsidRDefault="008B1E43" w:rsidP="005B73DA">
            <w:pPr>
              <w:pStyle w:val="Tabletext0"/>
              <w:keepNext/>
              <w:keepLines/>
              <w:jc w:val="center"/>
            </w:pPr>
            <w:r w:rsidRPr="00903F9D">
              <w:t>18</w:t>
            </w:r>
          </w:p>
        </w:tc>
        <w:tc>
          <w:tcPr>
            <w:tcW w:w="708" w:type="dxa"/>
            <w:tcBorders>
              <w:top w:val="nil"/>
              <w:left w:val="nil"/>
              <w:bottom w:val="nil"/>
              <w:right w:val="single" w:sz="4" w:space="0" w:color="auto"/>
            </w:tcBorders>
            <w:noWrap/>
            <w:vAlign w:val="center"/>
            <w:hideMark/>
          </w:tcPr>
          <w:p w14:paraId="194FBE8E" w14:textId="77777777" w:rsidR="008B1E43" w:rsidRPr="00903F9D" w:rsidRDefault="008B1E43" w:rsidP="005B73DA">
            <w:pPr>
              <w:pStyle w:val="Tabletext0"/>
              <w:keepNext/>
              <w:keepLines/>
              <w:jc w:val="center"/>
            </w:pPr>
            <w:r w:rsidRPr="00903F9D">
              <w:t>1%</w:t>
            </w:r>
          </w:p>
        </w:tc>
        <w:tc>
          <w:tcPr>
            <w:tcW w:w="709" w:type="dxa"/>
            <w:tcBorders>
              <w:left w:val="single" w:sz="4" w:space="0" w:color="auto"/>
            </w:tcBorders>
            <w:noWrap/>
            <w:vAlign w:val="center"/>
            <w:hideMark/>
          </w:tcPr>
          <w:p w14:paraId="234E1BAA" w14:textId="77777777" w:rsidR="008B1E43" w:rsidRPr="00903F9D" w:rsidRDefault="008B1E43" w:rsidP="005B73DA">
            <w:pPr>
              <w:pStyle w:val="Tabletext0"/>
              <w:keepNext/>
              <w:keepLines/>
              <w:jc w:val="center"/>
            </w:pPr>
            <w:r w:rsidRPr="00903F9D">
              <w:t>7</w:t>
            </w:r>
          </w:p>
        </w:tc>
        <w:tc>
          <w:tcPr>
            <w:tcW w:w="567" w:type="dxa"/>
            <w:tcBorders>
              <w:top w:val="nil"/>
              <w:left w:val="nil"/>
              <w:bottom w:val="nil"/>
              <w:right w:val="single" w:sz="4" w:space="0" w:color="auto"/>
            </w:tcBorders>
            <w:noWrap/>
            <w:vAlign w:val="center"/>
            <w:hideMark/>
          </w:tcPr>
          <w:p w14:paraId="06880694" w14:textId="77777777" w:rsidR="008B1E43" w:rsidRPr="00903F9D" w:rsidRDefault="008B1E43" w:rsidP="005B73DA">
            <w:pPr>
              <w:pStyle w:val="Tabletext0"/>
              <w:keepNext/>
              <w:keepLines/>
              <w:jc w:val="center"/>
            </w:pPr>
            <w:r w:rsidRPr="00903F9D">
              <w:t>0%</w:t>
            </w:r>
          </w:p>
        </w:tc>
        <w:tc>
          <w:tcPr>
            <w:tcW w:w="709" w:type="dxa"/>
            <w:tcBorders>
              <w:left w:val="single" w:sz="4" w:space="0" w:color="auto"/>
            </w:tcBorders>
            <w:vAlign w:val="center"/>
            <w:hideMark/>
          </w:tcPr>
          <w:p w14:paraId="2B7109A0" w14:textId="4394B03C" w:rsidR="008B1E43" w:rsidRPr="00903F9D" w:rsidRDefault="008B1E43" w:rsidP="005B73DA">
            <w:pPr>
              <w:pStyle w:val="Tabletext0"/>
              <w:keepNext/>
              <w:keepLines/>
              <w:jc w:val="center"/>
            </w:pPr>
          </w:p>
        </w:tc>
        <w:tc>
          <w:tcPr>
            <w:tcW w:w="853" w:type="dxa"/>
            <w:tcBorders>
              <w:top w:val="nil"/>
              <w:left w:val="nil"/>
              <w:bottom w:val="nil"/>
              <w:right w:val="single" w:sz="4" w:space="0" w:color="auto"/>
            </w:tcBorders>
            <w:vAlign w:val="center"/>
            <w:hideMark/>
          </w:tcPr>
          <w:p w14:paraId="2A8AF8E5" w14:textId="3A39C4F0" w:rsidR="008B1E43" w:rsidRPr="00903F9D" w:rsidRDefault="008B1E43" w:rsidP="005B73DA">
            <w:pPr>
              <w:pStyle w:val="Tabletext0"/>
              <w:keepNext/>
              <w:keepLines/>
              <w:jc w:val="center"/>
            </w:pPr>
          </w:p>
        </w:tc>
        <w:tc>
          <w:tcPr>
            <w:tcW w:w="581" w:type="dxa"/>
            <w:tcBorders>
              <w:left w:val="single" w:sz="4" w:space="0" w:color="auto"/>
            </w:tcBorders>
            <w:vAlign w:val="center"/>
            <w:hideMark/>
          </w:tcPr>
          <w:p w14:paraId="307B44C1" w14:textId="77777777" w:rsidR="008B1E43" w:rsidRPr="00903F9D" w:rsidRDefault="008B1E43" w:rsidP="005B73DA">
            <w:pPr>
              <w:pStyle w:val="Tabletext0"/>
              <w:keepNext/>
              <w:keepLines/>
              <w:jc w:val="center"/>
            </w:pPr>
          </w:p>
        </w:tc>
        <w:tc>
          <w:tcPr>
            <w:tcW w:w="979" w:type="dxa"/>
            <w:tcBorders>
              <w:top w:val="nil"/>
              <w:left w:val="nil"/>
              <w:bottom w:val="nil"/>
              <w:right w:val="single" w:sz="4" w:space="0" w:color="auto"/>
            </w:tcBorders>
            <w:vAlign w:val="center"/>
            <w:hideMark/>
          </w:tcPr>
          <w:p w14:paraId="0409789C" w14:textId="55450E8B" w:rsidR="008B1E43" w:rsidRPr="00903F9D" w:rsidRDefault="008B1E43" w:rsidP="005B73DA">
            <w:pPr>
              <w:pStyle w:val="Tabletext0"/>
              <w:keepNext/>
              <w:keepLines/>
              <w:jc w:val="center"/>
            </w:pPr>
          </w:p>
        </w:tc>
      </w:tr>
      <w:tr w:rsidR="008B1E43" w:rsidRPr="00903F9D" w14:paraId="7D1E28E5" w14:textId="77777777" w:rsidTr="009F1C02">
        <w:trPr>
          <w:cantSplit/>
          <w:trHeight w:val="290"/>
          <w:tblHeader/>
        </w:trPr>
        <w:tc>
          <w:tcPr>
            <w:tcW w:w="3114" w:type="dxa"/>
            <w:tcBorders>
              <w:top w:val="nil"/>
              <w:left w:val="single" w:sz="4" w:space="0" w:color="auto"/>
              <w:bottom w:val="nil"/>
              <w:right w:val="single" w:sz="4" w:space="0" w:color="auto"/>
            </w:tcBorders>
            <w:noWrap/>
            <w:vAlign w:val="center"/>
            <w:hideMark/>
          </w:tcPr>
          <w:p w14:paraId="5D55C621" w14:textId="77777777" w:rsidR="008B1E43" w:rsidRPr="00903F9D" w:rsidRDefault="008B1E43" w:rsidP="005B73DA">
            <w:pPr>
              <w:pStyle w:val="Tabletext0"/>
              <w:keepNext/>
              <w:keepLines/>
              <w:rPr>
                <w:b/>
                <w:bCs/>
              </w:rPr>
            </w:pPr>
            <w:r w:rsidRPr="00903F9D">
              <w:rPr>
                <w:b/>
                <w:bCs/>
              </w:rPr>
              <w:t>Excluded REMS scans with errors</w:t>
            </w:r>
          </w:p>
        </w:tc>
        <w:tc>
          <w:tcPr>
            <w:tcW w:w="709" w:type="dxa"/>
            <w:tcBorders>
              <w:top w:val="nil"/>
              <w:left w:val="single" w:sz="4" w:space="0" w:color="auto"/>
              <w:bottom w:val="nil"/>
              <w:right w:val="nil"/>
            </w:tcBorders>
            <w:noWrap/>
            <w:vAlign w:val="center"/>
            <w:hideMark/>
          </w:tcPr>
          <w:p w14:paraId="3E9ECFD9" w14:textId="77777777" w:rsidR="008B1E43" w:rsidRPr="00903F9D" w:rsidRDefault="008B1E43" w:rsidP="005B73DA">
            <w:pPr>
              <w:pStyle w:val="Tabletext0"/>
              <w:keepNext/>
              <w:keepLines/>
              <w:jc w:val="center"/>
              <w:rPr>
                <w:b/>
                <w:bCs/>
              </w:rPr>
            </w:pPr>
            <w:r w:rsidRPr="00903F9D">
              <w:rPr>
                <w:b/>
                <w:bCs/>
              </w:rPr>
              <w:t>280</w:t>
            </w:r>
          </w:p>
        </w:tc>
        <w:tc>
          <w:tcPr>
            <w:tcW w:w="708" w:type="dxa"/>
            <w:tcBorders>
              <w:top w:val="nil"/>
              <w:left w:val="nil"/>
              <w:bottom w:val="nil"/>
              <w:right w:val="single" w:sz="4" w:space="0" w:color="auto"/>
            </w:tcBorders>
            <w:noWrap/>
            <w:vAlign w:val="center"/>
            <w:hideMark/>
          </w:tcPr>
          <w:p w14:paraId="6D9889A7" w14:textId="77777777" w:rsidR="008B1E43" w:rsidRPr="00903F9D" w:rsidRDefault="008B1E43" w:rsidP="005B73DA">
            <w:pPr>
              <w:pStyle w:val="Tabletext0"/>
              <w:keepNext/>
              <w:keepLines/>
              <w:jc w:val="center"/>
              <w:rPr>
                <w:b/>
                <w:bCs/>
              </w:rPr>
            </w:pPr>
            <w:r w:rsidRPr="00903F9D">
              <w:rPr>
                <w:b/>
                <w:bCs/>
              </w:rPr>
              <w:t>18%</w:t>
            </w:r>
          </w:p>
        </w:tc>
        <w:tc>
          <w:tcPr>
            <w:tcW w:w="709" w:type="dxa"/>
            <w:tcBorders>
              <w:left w:val="single" w:sz="4" w:space="0" w:color="auto"/>
            </w:tcBorders>
            <w:noWrap/>
            <w:vAlign w:val="center"/>
            <w:hideMark/>
          </w:tcPr>
          <w:p w14:paraId="0FE5B2FF" w14:textId="77777777" w:rsidR="008B1E43" w:rsidRPr="00903F9D" w:rsidRDefault="008B1E43" w:rsidP="005B73DA">
            <w:pPr>
              <w:pStyle w:val="Tabletext0"/>
              <w:keepNext/>
              <w:keepLines/>
              <w:jc w:val="center"/>
              <w:rPr>
                <w:b/>
                <w:bCs/>
              </w:rPr>
            </w:pPr>
            <w:r w:rsidRPr="00903F9D">
              <w:rPr>
                <w:b/>
                <w:bCs/>
              </w:rPr>
              <w:t>205</w:t>
            </w:r>
          </w:p>
        </w:tc>
        <w:tc>
          <w:tcPr>
            <w:tcW w:w="567" w:type="dxa"/>
            <w:tcBorders>
              <w:top w:val="nil"/>
              <w:left w:val="nil"/>
              <w:bottom w:val="nil"/>
              <w:right w:val="single" w:sz="4" w:space="0" w:color="auto"/>
            </w:tcBorders>
            <w:noWrap/>
            <w:vAlign w:val="center"/>
            <w:hideMark/>
          </w:tcPr>
          <w:p w14:paraId="7A10A6B1" w14:textId="77777777" w:rsidR="008B1E43" w:rsidRPr="00903F9D" w:rsidRDefault="008B1E43" w:rsidP="005B73DA">
            <w:pPr>
              <w:pStyle w:val="Tabletext0"/>
              <w:keepNext/>
              <w:keepLines/>
              <w:jc w:val="center"/>
              <w:rPr>
                <w:b/>
                <w:bCs/>
              </w:rPr>
            </w:pPr>
            <w:r w:rsidRPr="00903F9D">
              <w:rPr>
                <w:b/>
                <w:bCs/>
              </w:rPr>
              <w:t>13%</w:t>
            </w:r>
          </w:p>
        </w:tc>
        <w:tc>
          <w:tcPr>
            <w:tcW w:w="709" w:type="dxa"/>
            <w:tcBorders>
              <w:left w:val="single" w:sz="4" w:space="0" w:color="auto"/>
            </w:tcBorders>
            <w:vAlign w:val="center"/>
            <w:hideMark/>
          </w:tcPr>
          <w:p w14:paraId="6BD7CE22" w14:textId="77777777" w:rsidR="008B1E43" w:rsidRPr="00903F9D" w:rsidRDefault="008B1E43" w:rsidP="005B73DA">
            <w:pPr>
              <w:pStyle w:val="Tabletext0"/>
              <w:keepNext/>
              <w:keepLines/>
              <w:jc w:val="center"/>
              <w:rPr>
                <w:b/>
                <w:bCs/>
              </w:rPr>
            </w:pPr>
            <w:r w:rsidRPr="00903F9D">
              <w:rPr>
                <w:b/>
                <w:bCs/>
              </w:rPr>
              <w:t>373</w:t>
            </w:r>
          </w:p>
        </w:tc>
        <w:tc>
          <w:tcPr>
            <w:tcW w:w="853" w:type="dxa"/>
            <w:tcBorders>
              <w:top w:val="nil"/>
              <w:left w:val="nil"/>
              <w:bottom w:val="nil"/>
              <w:right w:val="single" w:sz="4" w:space="0" w:color="auto"/>
            </w:tcBorders>
            <w:vAlign w:val="center"/>
            <w:hideMark/>
          </w:tcPr>
          <w:p w14:paraId="510BD5AD" w14:textId="77777777" w:rsidR="008B1E43" w:rsidRPr="00903F9D" w:rsidRDefault="008B1E43" w:rsidP="005B73DA">
            <w:pPr>
              <w:pStyle w:val="Tabletext0"/>
              <w:keepNext/>
              <w:keepLines/>
              <w:jc w:val="center"/>
              <w:rPr>
                <w:b/>
                <w:bCs/>
              </w:rPr>
            </w:pPr>
            <w:r w:rsidRPr="00903F9D">
              <w:rPr>
                <w:b/>
                <w:bCs/>
              </w:rPr>
              <w:t>9%</w:t>
            </w:r>
          </w:p>
        </w:tc>
        <w:tc>
          <w:tcPr>
            <w:tcW w:w="581" w:type="dxa"/>
            <w:tcBorders>
              <w:left w:val="single" w:sz="4" w:space="0" w:color="auto"/>
            </w:tcBorders>
            <w:vAlign w:val="center"/>
            <w:hideMark/>
          </w:tcPr>
          <w:p w14:paraId="4E113A45" w14:textId="77777777" w:rsidR="008B1E43" w:rsidRPr="00903F9D" w:rsidRDefault="008B1E43" w:rsidP="005B73DA">
            <w:pPr>
              <w:pStyle w:val="Tabletext0"/>
              <w:keepNext/>
              <w:keepLines/>
              <w:jc w:val="center"/>
              <w:rPr>
                <w:b/>
                <w:bCs/>
              </w:rPr>
            </w:pPr>
            <w:r w:rsidRPr="00903F9D">
              <w:rPr>
                <w:b/>
                <w:bCs/>
              </w:rPr>
              <w:t>323</w:t>
            </w:r>
          </w:p>
        </w:tc>
        <w:tc>
          <w:tcPr>
            <w:tcW w:w="979" w:type="dxa"/>
            <w:tcBorders>
              <w:top w:val="nil"/>
              <w:left w:val="nil"/>
              <w:bottom w:val="nil"/>
              <w:right w:val="single" w:sz="4" w:space="0" w:color="auto"/>
            </w:tcBorders>
            <w:vAlign w:val="center"/>
            <w:hideMark/>
          </w:tcPr>
          <w:p w14:paraId="05F53C8A" w14:textId="021F16DD" w:rsidR="008B1E43" w:rsidRPr="00903F9D" w:rsidRDefault="008B1E43" w:rsidP="005B73DA">
            <w:pPr>
              <w:pStyle w:val="Tabletext0"/>
              <w:keepNext/>
              <w:keepLines/>
              <w:jc w:val="center"/>
              <w:rPr>
                <w:b/>
                <w:bCs/>
              </w:rPr>
            </w:pPr>
            <w:r w:rsidRPr="00903F9D">
              <w:rPr>
                <w:b/>
                <w:bCs/>
              </w:rPr>
              <w:t>8%</w:t>
            </w:r>
          </w:p>
        </w:tc>
      </w:tr>
      <w:tr w:rsidR="008B1E43" w:rsidRPr="00903F9D" w14:paraId="6E0E45E2" w14:textId="77777777" w:rsidTr="009F1C02">
        <w:trPr>
          <w:cantSplit/>
          <w:trHeight w:val="290"/>
          <w:tblHeader/>
        </w:trPr>
        <w:tc>
          <w:tcPr>
            <w:tcW w:w="3114" w:type="dxa"/>
            <w:tcBorders>
              <w:top w:val="nil"/>
              <w:left w:val="single" w:sz="4" w:space="0" w:color="auto"/>
              <w:bottom w:val="nil"/>
              <w:right w:val="single" w:sz="4" w:space="0" w:color="auto"/>
            </w:tcBorders>
            <w:noWrap/>
            <w:vAlign w:val="center"/>
            <w:hideMark/>
          </w:tcPr>
          <w:p w14:paraId="0913C3D1" w14:textId="2C2513AA" w:rsidR="008B1E43" w:rsidRPr="00903F9D" w:rsidRDefault="008B1E43" w:rsidP="005B73DA">
            <w:pPr>
              <w:pStyle w:val="Tabletext0"/>
              <w:keepNext/>
              <w:keepLines/>
              <w:ind w:left="174"/>
            </w:pPr>
            <w:r w:rsidRPr="00903F9D">
              <w:t>-</w:t>
            </w:r>
            <w:r w:rsidR="00605981" w:rsidRPr="00903F9D">
              <w:t xml:space="preserve"> </w:t>
            </w:r>
            <w:r w:rsidRPr="00903F9D">
              <w:t>Wrong focus selection</w:t>
            </w:r>
          </w:p>
        </w:tc>
        <w:tc>
          <w:tcPr>
            <w:tcW w:w="709" w:type="dxa"/>
            <w:tcBorders>
              <w:top w:val="nil"/>
              <w:left w:val="single" w:sz="4" w:space="0" w:color="auto"/>
              <w:bottom w:val="nil"/>
              <w:right w:val="nil"/>
            </w:tcBorders>
            <w:noWrap/>
            <w:vAlign w:val="center"/>
            <w:hideMark/>
          </w:tcPr>
          <w:p w14:paraId="564BEEAF" w14:textId="77777777" w:rsidR="008B1E43" w:rsidRPr="00903F9D" w:rsidRDefault="008B1E43" w:rsidP="005B73DA">
            <w:pPr>
              <w:pStyle w:val="Tabletext0"/>
              <w:keepNext/>
              <w:keepLines/>
              <w:jc w:val="center"/>
            </w:pPr>
            <w:r w:rsidRPr="00903F9D">
              <w:t>185</w:t>
            </w:r>
          </w:p>
        </w:tc>
        <w:tc>
          <w:tcPr>
            <w:tcW w:w="708" w:type="dxa"/>
            <w:tcBorders>
              <w:top w:val="nil"/>
              <w:left w:val="nil"/>
              <w:bottom w:val="nil"/>
              <w:right w:val="single" w:sz="4" w:space="0" w:color="auto"/>
            </w:tcBorders>
            <w:noWrap/>
            <w:vAlign w:val="center"/>
            <w:hideMark/>
          </w:tcPr>
          <w:p w14:paraId="3A108D89" w14:textId="77777777" w:rsidR="008B1E43" w:rsidRPr="00903F9D" w:rsidRDefault="008B1E43" w:rsidP="005B73DA">
            <w:pPr>
              <w:pStyle w:val="Tabletext0"/>
              <w:keepNext/>
              <w:keepLines/>
              <w:jc w:val="center"/>
            </w:pPr>
            <w:r w:rsidRPr="00903F9D">
              <w:t>12%</w:t>
            </w:r>
          </w:p>
        </w:tc>
        <w:tc>
          <w:tcPr>
            <w:tcW w:w="709" w:type="dxa"/>
            <w:tcBorders>
              <w:left w:val="single" w:sz="4" w:space="0" w:color="auto"/>
            </w:tcBorders>
            <w:noWrap/>
            <w:hideMark/>
          </w:tcPr>
          <w:p w14:paraId="28129212" w14:textId="2EF8A238" w:rsidR="008B1E43" w:rsidRPr="00903F9D" w:rsidRDefault="008B1E43" w:rsidP="005B73DA">
            <w:pPr>
              <w:pStyle w:val="Tabletext0"/>
              <w:keepNext/>
              <w:keepLines/>
              <w:jc w:val="center"/>
            </w:pPr>
            <w:r w:rsidRPr="00903F9D">
              <w:t>165</w:t>
            </w:r>
          </w:p>
        </w:tc>
        <w:tc>
          <w:tcPr>
            <w:tcW w:w="567" w:type="dxa"/>
            <w:tcBorders>
              <w:top w:val="nil"/>
              <w:left w:val="nil"/>
              <w:bottom w:val="nil"/>
              <w:right w:val="single" w:sz="4" w:space="0" w:color="auto"/>
            </w:tcBorders>
            <w:noWrap/>
            <w:hideMark/>
          </w:tcPr>
          <w:p w14:paraId="6B7A7316" w14:textId="665AE58E" w:rsidR="008B1E43" w:rsidRPr="00903F9D" w:rsidRDefault="008B1E43" w:rsidP="005B73DA">
            <w:pPr>
              <w:pStyle w:val="Tabletext0"/>
              <w:keepNext/>
              <w:keepLines/>
              <w:jc w:val="center"/>
            </w:pPr>
            <w:r w:rsidRPr="00903F9D">
              <w:t>10%</w:t>
            </w:r>
          </w:p>
        </w:tc>
        <w:tc>
          <w:tcPr>
            <w:tcW w:w="709" w:type="dxa"/>
            <w:tcBorders>
              <w:left w:val="single" w:sz="4" w:space="0" w:color="auto"/>
            </w:tcBorders>
            <w:vAlign w:val="center"/>
            <w:hideMark/>
          </w:tcPr>
          <w:p w14:paraId="539DF5D2" w14:textId="554BBECA" w:rsidR="008B1E43" w:rsidRPr="00903F9D" w:rsidRDefault="008B1E43" w:rsidP="005B73DA">
            <w:pPr>
              <w:pStyle w:val="Tabletext0"/>
              <w:keepNext/>
              <w:keepLines/>
              <w:jc w:val="center"/>
            </w:pPr>
          </w:p>
        </w:tc>
        <w:tc>
          <w:tcPr>
            <w:tcW w:w="853" w:type="dxa"/>
            <w:tcBorders>
              <w:top w:val="nil"/>
              <w:left w:val="nil"/>
              <w:bottom w:val="nil"/>
              <w:right w:val="single" w:sz="4" w:space="0" w:color="auto"/>
            </w:tcBorders>
            <w:vAlign w:val="center"/>
            <w:hideMark/>
          </w:tcPr>
          <w:p w14:paraId="6DEC699B" w14:textId="55E3327C" w:rsidR="008B1E43" w:rsidRPr="00903F9D" w:rsidRDefault="008B1E43" w:rsidP="005B73DA">
            <w:pPr>
              <w:pStyle w:val="Tabletext0"/>
              <w:keepNext/>
              <w:keepLines/>
              <w:jc w:val="center"/>
            </w:pPr>
          </w:p>
        </w:tc>
        <w:tc>
          <w:tcPr>
            <w:tcW w:w="581" w:type="dxa"/>
            <w:tcBorders>
              <w:left w:val="single" w:sz="4" w:space="0" w:color="auto"/>
            </w:tcBorders>
            <w:vAlign w:val="center"/>
            <w:hideMark/>
          </w:tcPr>
          <w:p w14:paraId="219C43DD" w14:textId="77777777" w:rsidR="008B1E43" w:rsidRPr="00903F9D" w:rsidRDefault="008B1E43" w:rsidP="005B73DA">
            <w:pPr>
              <w:pStyle w:val="Tabletext0"/>
              <w:keepNext/>
              <w:keepLines/>
              <w:jc w:val="center"/>
            </w:pPr>
          </w:p>
        </w:tc>
        <w:tc>
          <w:tcPr>
            <w:tcW w:w="979" w:type="dxa"/>
            <w:tcBorders>
              <w:top w:val="nil"/>
              <w:left w:val="nil"/>
              <w:bottom w:val="nil"/>
              <w:right w:val="single" w:sz="4" w:space="0" w:color="auto"/>
            </w:tcBorders>
            <w:vAlign w:val="center"/>
            <w:hideMark/>
          </w:tcPr>
          <w:p w14:paraId="02E44623" w14:textId="0814967E" w:rsidR="008B1E43" w:rsidRPr="00903F9D" w:rsidRDefault="008B1E43" w:rsidP="005B73DA">
            <w:pPr>
              <w:pStyle w:val="Tabletext0"/>
              <w:keepNext/>
              <w:keepLines/>
              <w:jc w:val="center"/>
            </w:pPr>
          </w:p>
        </w:tc>
      </w:tr>
      <w:tr w:rsidR="008B1E43" w:rsidRPr="00903F9D" w14:paraId="19591B04" w14:textId="77777777" w:rsidTr="009F1C02">
        <w:trPr>
          <w:cantSplit/>
          <w:trHeight w:val="290"/>
          <w:tblHeader/>
        </w:trPr>
        <w:tc>
          <w:tcPr>
            <w:tcW w:w="3114" w:type="dxa"/>
            <w:tcBorders>
              <w:top w:val="nil"/>
              <w:left w:val="single" w:sz="4" w:space="0" w:color="auto"/>
              <w:bottom w:val="nil"/>
              <w:right w:val="single" w:sz="4" w:space="0" w:color="auto"/>
            </w:tcBorders>
            <w:noWrap/>
            <w:vAlign w:val="center"/>
            <w:hideMark/>
          </w:tcPr>
          <w:p w14:paraId="349BEFDE" w14:textId="2B87EDCA" w:rsidR="008B1E43" w:rsidRPr="00903F9D" w:rsidRDefault="008B1E43" w:rsidP="005B73DA">
            <w:pPr>
              <w:pStyle w:val="Tabletext0"/>
              <w:keepNext/>
              <w:keepLines/>
              <w:ind w:left="174"/>
            </w:pPr>
            <w:r w:rsidRPr="00903F9D">
              <w:t>-</w:t>
            </w:r>
            <w:r w:rsidR="00605981" w:rsidRPr="00903F9D">
              <w:t xml:space="preserve"> </w:t>
            </w:r>
            <w:r w:rsidRPr="00903F9D">
              <w:t>Wrong scan depth selection</w:t>
            </w:r>
          </w:p>
        </w:tc>
        <w:tc>
          <w:tcPr>
            <w:tcW w:w="709" w:type="dxa"/>
            <w:tcBorders>
              <w:top w:val="nil"/>
              <w:left w:val="single" w:sz="4" w:space="0" w:color="auto"/>
              <w:bottom w:val="nil"/>
              <w:right w:val="nil"/>
            </w:tcBorders>
            <w:noWrap/>
            <w:vAlign w:val="center"/>
            <w:hideMark/>
          </w:tcPr>
          <w:p w14:paraId="5D4DE426" w14:textId="77777777" w:rsidR="008B1E43" w:rsidRPr="00903F9D" w:rsidRDefault="008B1E43" w:rsidP="005B73DA">
            <w:pPr>
              <w:pStyle w:val="Tabletext0"/>
              <w:keepNext/>
              <w:keepLines/>
              <w:jc w:val="center"/>
            </w:pPr>
            <w:r w:rsidRPr="00903F9D">
              <w:t>92</w:t>
            </w:r>
          </w:p>
        </w:tc>
        <w:tc>
          <w:tcPr>
            <w:tcW w:w="708" w:type="dxa"/>
            <w:tcBorders>
              <w:top w:val="nil"/>
              <w:left w:val="nil"/>
              <w:bottom w:val="nil"/>
              <w:right w:val="single" w:sz="4" w:space="0" w:color="auto"/>
            </w:tcBorders>
            <w:noWrap/>
            <w:vAlign w:val="center"/>
            <w:hideMark/>
          </w:tcPr>
          <w:p w14:paraId="1036711B" w14:textId="77777777" w:rsidR="008B1E43" w:rsidRPr="00903F9D" w:rsidRDefault="008B1E43" w:rsidP="005B73DA">
            <w:pPr>
              <w:pStyle w:val="Tabletext0"/>
              <w:keepNext/>
              <w:keepLines/>
              <w:jc w:val="center"/>
            </w:pPr>
            <w:r w:rsidRPr="00903F9D">
              <w:t>6%</w:t>
            </w:r>
          </w:p>
        </w:tc>
        <w:tc>
          <w:tcPr>
            <w:tcW w:w="709" w:type="dxa"/>
            <w:tcBorders>
              <w:left w:val="single" w:sz="4" w:space="0" w:color="auto"/>
            </w:tcBorders>
            <w:noWrap/>
            <w:hideMark/>
          </w:tcPr>
          <w:p w14:paraId="139DD07C" w14:textId="482576FD" w:rsidR="008B1E43" w:rsidRPr="00903F9D" w:rsidRDefault="008B1E43" w:rsidP="005B73DA">
            <w:pPr>
              <w:pStyle w:val="Tabletext0"/>
              <w:keepNext/>
              <w:keepLines/>
              <w:jc w:val="center"/>
            </w:pPr>
            <w:r w:rsidRPr="00903F9D">
              <w:t>40</w:t>
            </w:r>
          </w:p>
        </w:tc>
        <w:tc>
          <w:tcPr>
            <w:tcW w:w="567" w:type="dxa"/>
            <w:tcBorders>
              <w:top w:val="nil"/>
              <w:left w:val="nil"/>
              <w:bottom w:val="nil"/>
              <w:right w:val="single" w:sz="4" w:space="0" w:color="auto"/>
            </w:tcBorders>
            <w:noWrap/>
            <w:hideMark/>
          </w:tcPr>
          <w:p w14:paraId="2853D6F3" w14:textId="5F899819" w:rsidR="008B1E43" w:rsidRPr="00903F9D" w:rsidRDefault="008B1E43" w:rsidP="005B73DA">
            <w:pPr>
              <w:pStyle w:val="Tabletext0"/>
              <w:keepNext/>
              <w:keepLines/>
              <w:jc w:val="center"/>
            </w:pPr>
            <w:r w:rsidRPr="00903F9D">
              <w:t>2%</w:t>
            </w:r>
          </w:p>
        </w:tc>
        <w:tc>
          <w:tcPr>
            <w:tcW w:w="709" w:type="dxa"/>
            <w:tcBorders>
              <w:left w:val="single" w:sz="4" w:space="0" w:color="auto"/>
            </w:tcBorders>
            <w:vAlign w:val="center"/>
            <w:hideMark/>
          </w:tcPr>
          <w:p w14:paraId="336A0112" w14:textId="18DE1247" w:rsidR="008B1E43" w:rsidRPr="00903F9D" w:rsidRDefault="008B1E43" w:rsidP="005B73DA">
            <w:pPr>
              <w:pStyle w:val="Tabletext0"/>
              <w:keepNext/>
              <w:keepLines/>
              <w:jc w:val="center"/>
            </w:pPr>
          </w:p>
        </w:tc>
        <w:tc>
          <w:tcPr>
            <w:tcW w:w="853" w:type="dxa"/>
            <w:tcBorders>
              <w:top w:val="nil"/>
              <w:left w:val="nil"/>
              <w:bottom w:val="nil"/>
              <w:right w:val="single" w:sz="4" w:space="0" w:color="auto"/>
            </w:tcBorders>
            <w:vAlign w:val="center"/>
            <w:hideMark/>
          </w:tcPr>
          <w:p w14:paraId="04B7CC63" w14:textId="1A6FF19B" w:rsidR="008B1E43" w:rsidRPr="00903F9D" w:rsidRDefault="008B1E43" w:rsidP="005B73DA">
            <w:pPr>
              <w:pStyle w:val="Tabletext0"/>
              <w:keepNext/>
              <w:keepLines/>
              <w:jc w:val="center"/>
            </w:pPr>
          </w:p>
        </w:tc>
        <w:tc>
          <w:tcPr>
            <w:tcW w:w="581" w:type="dxa"/>
            <w:tcBorders>
              <w:left w:val="single" w:sz="4" w:space="0" w:color="auto"/>
            </w:tcBorders>
            <w:vAlign w:val="center"/>
            <w:hideMark/>
          </w:tcPr>
          <w:p w14:paraId="1A2891F6" w14:textId="77777777" w:rsidR="008B1E43" w:rsidRPr="00903F9D" w:rsidRDefault="008B1E43" w:rsidP="005B73DA">
            <w:pPr>
              <w:pStyle w:val="Tabletext0"/>
              <w:keepNext/>
              <w:keepLines/>
              <w:jc w:val="center"/>
            </w:pPr>
          </w:p>
        </w:tc>
        <w:tc>
          <w:tcPr>
            <w:tcW w:w="979" w:type="dxa"/>
            <w:tcBorders>
              <w:top w:val="nil"/>
              <w:left w:val="nil"/>
              <w:bottom w:val="nil"/>
              <w:right w:val="single" w:sz="4" w:space="0" w:color="auto"/>
            </w:tcBorders>
            <w:vAlign w:val="center"/>
            <w:hideMark/>
          </w:tcPr>
          <w:p w14:paraId="21745359" w14:textId="5394898B" w:rsidR="008B1E43" w:rsidRPr="00903F9D" w:rsidRDefault="008B1E43" w:rsidP="005B73DA">
            <w:pPr>
              <w:pStyle w:val="Tabletext0"/>
              <w:keepNext/>
              <w:keepLines/>
              <w:jc w:val="center"/>
            </w:pPr>
          </w:p>
        </w:tc>
      </w:tr>
      <w:tr w:rsidR="008B1E43" w:rsidRPr="00903F9D" w14:paraId="61BB6897" w14:textId="77777777" w:rsidTr="009F1C02">
        <w:trPr>
          <w:cantSplit/>
          <w:trHeight w:val="300"/>
          <w:tblHeader/>
        </w:trPr>
        <w:tc>
          <w:tcPr>
            <w:tcW w:w="3114" w:type="dxa"/>
            <w:tcBorders>
              <w:top w:val="nil"/>
              <w:left w:val="single" w:sz="4" w:space="0" w:color="auto"/>
              <w:bottom w:val="single" w:sz="4" w:space="0" w:color="auto"/>
              <w:right w:val="single" w:sz="4" w:space="0" w:color="auto"/>
            </w:tcBorders>
            <w:noWrap/>
            <w:vAlign w:val="center"/>
            <w:hideMark/>
          </w:tcPr>
          <w:p w14:paraId="0A6E26F2" w14:textId="6AD7BB21" w:rsidR="008B1E43" w:rsidRPr="00903F9D" w:rsidRDefault="008B1E43" w:rsidP="005B73DA">
            <w:pPr>
              <w:pStyle w:val="Tabletext0"/>
              <w:keepNext/>
              <w:keepLines/>
              <w:ind w:left="174"/>
            </w:pPr>
            <w:r w:rsidRPr="00903F9D">
              <w:t>-</w:t>
            </w:r>
            <w:r w:rsidR="00605981" w:rsidRPr="00903F9D">
              <w:t xml:space="preserve"> </w:t>
            </w:r>
            <w:r w:rsidRPr="00903F9D">
              <w:t>No adherence to scan procedure</w:t>
            </w:r>
          </w:p>
        </w:tc>
        <w:tc>
          <w:tcPr>
            <w:tcW w:w="709" w:type="dxa"/>
            <w:tcBorders>
              <w:top w:val="nil"/>
              <w:left w:val="single" w:sz="4" w:space="0" w:color="auto"/>
              <w:bottom w:val="single" w:sz="4" w:space="0" w:color="auto"/>
              <w:right w:val="nil"/>
            </w:tcBorders>
            <w:noWrap/>
            <w:vAlign w:val="center"/>
            <w:hideMark/>
          </w:tcPr>
          <w:p w14:paraId="3ED8D81F" w14:textId="77777777" w:rsidR="008B1E43" w:rsidRPr="00903F9D" w:rsidRDefault="008B1E43" w:rsidP="005B73DA">
            <w:pPr>
              <w:pStyle w:val="Tabletext0"/>
              <w:keepNext/>
              <w:keepLines/>
              <w:jc w:val="center"/>
            </w:pPr>
            <w:r w:rsidRPr="00903F9D">
              <w:t>3</w:t>
            </w:r>
          </w:p>
        </w:tc>
        <w:tc>
          <w:tcPr>
            <w:tcW w:w="708" w:type="dxa"/>
            <w:tcBorders>
              <w:top w:val="nil"/>
              <w:left w:val="nil"/>
              <w:bottom w:val="single" w:sz="4" w:space="0" w:color="auto"/>
              <w:right w:val="single" w:sz="4" w:space="0" w:color="auto"/>
            </w:tcBorders>
            <w:noWrap/>
            <w:vAlign w:val="center"/>
            <w:hideMark/>
          </w:tcPr>
          <w:p w14:paraId="1FE7FEAC" w14:textId="77777777" w:rsidR="008B1E43" w:rsidRPr="00903F9D" w:rsidRDefault="008B1E43" w:rsidP="005B73DA">
            <w:pPr>
              <w:pStyle w:val="Tabletext0"/>
              <w:keepNext/>
              <w:keepLines/>
              <w:jc w:val="center"/>
            </w:pPr>
            <w:r w:rsidRPr="00903F9D">
              <w:t>0%</w:t>
            </w:r>
          </w:p>
        </w:tc>
        <w:tc>
          <w:tcPr>
            <w:tcW w:w="709" w:type="dxa"/>
            <w:tcBorders>
              <w:top w:val="nil"/>
              <w:left w:val="single" w:sz="4" w:space="0" w:color="auto"/>
              <w:bottom w:val="single" w:sz="4" w:space="0" w:color="auto"/>
              <w:right w:val="nil"/>
            </w:tcBorders>
            <w:noWrap/>
            <w:hideMark/>
          </w:tcPr>
          <w:p w14:paraId="2221C50F" w14:textId="69B100C1" w:rsidR="008B1E43" w:rsidRPr="00903F9D" w:rsidRDefault="008B1E43" w:rsidP="005B73DA">
            <w:pPr>
              <w:pStyle w:val="Tabletext0"/>
              <w:keepNext/>
              <w:keepLines/>
              <w:jc w:val="center"/>
            </w:pPr>
            <w:r w:rsidRPr="00903F9D">
              <w:t>0</w:t>
            </w:r>
          </w:p>
        </w:tc>
        <w:tc>
          <w:tcPr>
            <w:tcW w:w="567" w:type="dxa"/>
            <w:tcBorders>
              <w:top w:val="nil"/>
              <w:left w:val="nil"/>
              <w:bottom w:val="single" w:sz="4" w:space="0" w:color="auto"/>
              <w:right w:val="single" w:sz="4" w:space="0" w:color="auto"/>
            </w:tcBorders>
            <w:noWrap/>
            <w:hideMark/>
          </w:tcPr>
          <w:p w14:paraId="04918940" w14:textId="589FF044" w:rsidR="008B1E43" w:rsidRPr="00903F9D" w:rsidRDefault="008B1E43" w:rsidP="005B73DA">
            <w:pPr>
              <w:pStyle w:val="Tabletext0"/>
              <w:keepNext/>
              <w:keepLines/>
              <w:jc w:val="center"/>
            </w:pPr>
            <w:r w:rsidRPr="00903F9D">
              <w:t>0%</w:t>
            </w:r>
          </w:p>
        </w:tc>
        <w:tc>
          <w:tcPr>
            <w:tcW w:w="709" w:type="dxa"/>
            <w:tcBorders>
              <w:top w:val="nil"/>
              <w:left w:val="single" w:sz="4" w:space="0" w:color="auto"/>
              <w:bottom w:val="single" w:sz="4" w:space="0" w:color="auto"/>
              <w:right w:val="nil"/>
            </w:tcBorders>
            <w:vAlign w:val="center"/>
            <w:hideMark/>
          </w:tcPr>
          <w:p w14:paraId="5E4B0396" w14:textId="046D8938" w:rsidR="008B1E43" w:rsidRPr="00903F9D" w:rsidRDefault="008B1E43" w:rsidP="005B73DA">
            <w:pPr>
              <w:pStyle w:val="Tabletext0"/>
              <w:keepNext/>
              <w:keepLines/>
              <w:jc w:val="center"/>
            </w:pPr>
          </w:p>
        </w:tc>
        <w:tc>
          <w:tcPr>
            <w:tcW w:w="853" w:type="dxa"/>
            <w:tcBorders>
              <w:top w:val="nil"/>
              <w:left w:val="nil"/>
              <w:bottom w:val="single" w:sz="4" w:space="0" w:color="auto"/>
              <w:right w:val="single" w:sz="4" w:space="0" w:color="auto"/>
            </w:tcBorders>
            <w:vAlign w:val="center"/>
            <w:hideMark/>
          </w:tcPr>
          <w:p w14:paraId="7ED57930" w14:textId="7935D626" w:rsidR="008B1E43" w:rsidRPr="00903F9D" w:rsidRDefault="008B1E43" w:rsidP="005B73DA">
            <w:pPr>
              <w:pStyle w:val="Tabletext0"/>
              <w:keepNext/>
              <w:keepLines/>
              <w:jc w:val="center"/>
            </w:pPr>
          </w:p>
        </w:tc>
        <w:tc>
          <w:tcPr>
            <w:tcW w:w="581" w:type="dxa"/>
            <w:tcBorders>
              <w:top w:val="nil"/>
              <w:left w:val="single" w:sz="4" w:space="0" w:color="auto"/>
              <w:bottom w:val="single" w:sz="4" w:space="0" w:color="auto"/>
              <w:right w:val="nil"/>
            </w:tcBorders>
            <w:vAlign w:val="center"/>
            <w:hideMark/>
          </w:tcPr>
          <w:p w14:paraId="5E9735A0" w14:textId="21656179" w:rsidR="008B1E43" w:rsidRPr="00903F9D" w:rsidRDefault="008B1E43" w:rsidP="005B73DA">
            <w:pPr>
              <w:pStyle w:val="Tabletext0"/>
              <w:keepNext/>
              <w:keepLines/>
              <w:jc w:val="center"/>
            </w:pPr>
          </w:p>
        </w:tc>
        <w:tc>
          <w:tcPr>
            <w:tcW w:w="979" w:type="dxa"/>
            <w:tcBorders>
              <w:top w:val="nil"/>
              <w:left w:val="nil"/>
              <w:bottom w:val="single" w:sz="4" w:space="0" w:color="auto"/>
              <w:right w:val="single" w:sz="4" w:space="0" w:color="auto"/>
            </w:tcBorders>
            <w:vAlign w:val="center"/>
            <w:hideMark/>
          </w:tcPr>
          <w:p w14:paraId="69F11975" w14:textId="49592790" w:rsidR="008B1E43" w:rsidRPr="00903F9D" w:rsidRDefault="008B1E43" w:rsidP="005B73DA">
            <w:pPr>
              <w:pStyle w:val="Tabletext0"/>
              <w:keepNext/>
              <w:keepLines/>
              <w:jc w:val="center"/>
            </w:pPr>
          </w:p>
        </w:tc>
      </w:tr>
      <w:tr w:rsidR="008B1E43" w:rsidRPr="00903F9D" w14:paraId="6E2A56E3" w14:textId="77777777" w:rsidTr="009F1C02">
        <w:trPr>
          <w:cantSplit/>
          <w:trHeight w:val="584"/>
          <w:tblHeader/>
        </w:trPr>
        <w:tc>
          <w:tcPr>
            <w:tcW w:w="3114" w:type="dxa"/>
            <w:tcBorders>
              <w:top w:val="single" w:sz="4" w:space="0" w:color="auto"/>
              <w:left w:val="single" w:sz="4" w:space="0" w:color="auto"/>
              <w:bottom w:val="nil"/>
              <w:right w:val="single" w:sz="4" w:space="0" w:color="auto"/>
            </w:tcBorders>
            <w:vAlign w:val="center"/>
            <w:hideMark/>
          </w:tcPr>
          <w:p w14:paraId="6DA8477D" w14:textId="77777777" w:rsidR="008B1E43" w:rsidRPr="00903F9D" w:rsidRDefault="008B1E43" w:rsidP="005B73DA">
            <w:pPr>
              <w:pStyle w:val="Tabletext0"/>
              <w:keepNext/>
              <w:keepLines/>
            </w:pPr>
            <w:r w:rsidRPr="00903F9D">
              <w:rPr>
                <w:b/>
                <w:bCs/>
              </w:rPr>
              <w:t xml:space="preserve">Total scans included in primary 'quality checked' </w:t>
            </w:r>
            <w:proofErr w:type="spellStart"/>
            <w:r w:rsidRPr="00903F9D">
              <w:rPr>
                <w:b/>
                <w:bCs/>
              </w:rPr>
              <w:t>analysis</w:t>
            </w:r>
            <w:r w:rsidRPr="00903F9D">
              <w:rPr>
                <w:b/>
                <w:bCs/>
                <w:vertAlign w:val="superscript"/>
              </w:rPr>
              <w:t>a</w:t>
            </w:r>
            <w:proofErr w:type="spellEnd"/>
          </w:p>
        </w:tc>
        <w:tc>
          <w:tcPr>
            <w:tcW w:w="709" w:type="dxa"/>
            <w:tcBorders>
              <w:top w:val="single" w:sz="4" w:space="0" w:color="auto"/>
              <w:left w:val="single" w:sz="4" w:space="0" w:color="auto"/>
              <w:bottom w:val="nil"/>
              <w:right w:val="nil"/>
            </w:tcBorders>
            <w:noWrap/>
            <w:vAlign w:val="center"/>
            <w:hideMark/>
          </w:tcPr>
          <w:p w14:paraId="6BCB700F" w14:textId="77777777" w:rsidR="008B1E43" w:rsidRPr="00903F9D" w:rsidRDefault="008B1E43" w:rsidP="005B73DA">
            <w:pPr>
              <w:pStyle w:val="Tabletext0"/>
              <w:keepNext/>
              <w:keepLines/>
              <w:jc w:val="center"/>
              <w:rPr>
                <w:b/>
                <w:bCs/>
              </w:rPr>
            </w:pPr>
            <w:r w:rsidRPr="00903F9D">
              <w:rPr>
                <w:b/>
                <w:bCs/>
              </w:rPr>
              <w:t>1195</w:t>
            </w:r>
          </w:p>
        </w:tc>
        <w:tc>
          <w:tcPr>
            <w:tcW w:w="708" w:type="dxa"/>
            <w:tcBorders>
              <w:top w:val="single" w:sz="4" w:space="0" w:color="auto"/>
              <w:left w:val="nil"/>
              <w:bottom w:val="nil"/>
              <w:right w:val="single" w:sz="4" w:space="0" w:color="auto"/>
            </w:tcBorders>
            <w:noWrap/>
            <w:vAlign w:val="center"/>
            <w:hideMark/>
          </w:tcPr>
          <w:p w14:paraId="7696CDC8" w14:textId="77777777" w:rsidR="008B1E43" w:rsidRPr="00903F9D" w:rsidRDefault="008B1E43" w:rsidP="005B73DA">
            <w:pPr>
              <w:pStyle w:val="Tabletext0"/>
              <w:keepNext/>
              <w:keepLines/>
              <w:jc w:val="center"/>
              <w:rPr>
                <w:b/>
                <w:bCs/>
              </w:rPr>
            </w:pPr>
            <w:r w:rsidRPr="00903F9D">
              <w:rPr>
                <w:b/>
                <w:bCs/>
              </w:rPr>
              <w:t>77%</w:t>
            </w:r>
          </w:p>
        </w:tc>
        <w:tc>
          <w:tcPr>
            <w:tcW w:w="709" w:type="dxa"/>
            <w:tcBorders>
              <w:top w:val="single" w:sz="4" w:space="0" w:color="auto"/>
              <w:left w:val="single" w:sz="4" w:space="0" w:color="auto"/>
            </w:tcBorders>
            <w:noWrap/>
            <w:vAlign w:val="center"/>
            <w:hideMark/>
          </w:tcPr>
          <w:p w14:paraId="126165E0" w14:textId="77777777" w:rsidR="008B1E43" w:rsidRPr="00903F9D" w:rsidRDefault="008B1E43" w:rsidP="005B73DA">
            <w:pPr>
              <w:pStyle w:val="Tabletext0"/>
              <w:keepNext/>
              <w:keepLines/>
              <w:jc w:val="center"/>
              <w:rPr>
                <w:b/>
                <w:bCs/>
              </w:rPr>
            </w:pPr>
            <w:r w:rsidRPr="00903F9D">
              <w:rPr>
                <w:b/>
                <w:bCs/>
              </w:rPr>
              <w:t>1373</w:t>
            </w:r>
          </w:p>
        </w:tc>
        <w:tc>
          <w:tcPr>
            <w:tcW w:w="567" w:type="dxa"/>
            <w:tcBorders>
              <w:top w:val="single" w:sz="4" w:space="0" w:color="auto"/>
              <w:left w:val="nil"/>
              <w:bottom w:val="nil"/>
              <w:right w:val="single" w:sz="4" w:space="0" w:color="auto"/>
            </w:tcBorders>
            <w:noWrap/>
            <w:vAlign w:val="center"/>
            <w:hideMark/>
          </w:tcPr>
          <w:p w14:paraId="3D8DEB5C" w14:textId="77777777" w:rsidR="008B1E43" w:rsidRPr="00903F9D" w:rsidRDefault="008B1E43" w:rsidP="005B73DA">
            <w:pPr>
              <w:pStyle w:val="Tabletext0"/>
              <w:keepNext/>
              <w:keepLines/>
              <w:jc w:val="center"/>
              <w:rPr>
                <w:b/>
                <w:bCs/>
              </w:rPr>
            </w:pPr>
            <w:r w:rsidRPr="00903F9D">
              <w:rPr>
                <w:b/>
                <w:bCs/>
              </w:rPr>
              <w:t>84%</w:t>
            </w:r>
          </w:p>
        </w:tc>
        <w:tc>
          <w:tcPr>
            <w:tcW w:w="709" w:type="dxa"/>
            <w:tcBorders>
              <w:top w:val="single" w:sz="4" w:space="0" w:color="auto"/>
              <w:left w:val="single" w:sz="4" w:space="0" w:color="auto"/>
            </w:tcBorders>
            <w:vAlign w:val="center"/>
            <w:hideMark/>
          </w:tcPr>
          <w:p w14:paraId="088B0FFA" w14:textId="77777777" w:rsidR="008B1E43" w:rsidRPr="00903F9D" w:rsidRDefault="008B1E43" w:rsidP="005B73DA">
            <w:pPr>
              <w:pStyle w:val="Tabletext0"/>
              <w:keepNext/>
              <w:keepLines/>
              <w:jc w:val="center"/>
              <w:rPr>
                <w:b/>
                <w:bCs/>
              </w:rPr>
            </w:pPr>
            <w:r w:rsidRPr="00903F9D">
              <w:rPr>
                <w:b/>
                <w:bCs/>
              </w:rPr>
              <w:t>3464</w:t>
            </w:r>
          </w:p>
        </w:tc>
        <w:tc>
          <w:tcPr>
            <w:tcW w:w="853" w:type="dxa"/>
            <w:tcBorders>
              <w:top w:val="single" w:sz="4" w:space="0" w:color="auto"/>
              <w:left w:val="nil"/>
              <w:bottom w:val="nil"/>
              <w:right w:val="single" w:sz="4" w:space="0" w:color="auto"/>
            </w:tcBorders>
            <w:vAlign w:val="center"/>
            <w:hideMark/>
          </w:tcPr>
          <w:p w14:paraId="59F09E58" w14:textId="77777777" w:rsidR="008B1E43" w:rsidRPr="00903F9D" w:rsidRDefault="008B1E43" w:rsidP="005B73DA">
            <w:pPr>
              <w:pStyle w:val="Tabletext0"/>
              <w:keepNext/>
              <w:keepLines/>
              <w:jc w:val="center"/>
              <w:rPr>
                <w:b/>
                <w:bCs/>
              </w:rPr>
            </w:pPr>
            <w:r w:rsidRPr="00903F9D">
              <w:rPr>
                <w:b/>
                <w:bCs/>
              </w:rPr>
              <w:t>82%</w:t>
            </w:r>
          </w:p>
        </w:tc>
        <w:tc>
          <w:tcPr>
            <w:tcW w:w="581" w:type="dxa"/>
            <w:tcBorders>
              <w:top w:val="single" w:sz="4" w:space="0" w:color="auto"/>
              <w:left w:val="single" w:sz="4" w:space="0" w:color="auto"/>
            </w:tcBorders>
            <w:vAlign w:val="center"/>
            <w:hideMark/>
          </w:tcPr>
          <w:p w14:paraId="7EF77C78" w14:textId="77777777" w:rsidR="008B1E43" w:rsidRPr="00903F9D" w:rsidRDefault="008B1E43" w:rsidP="005B73DA">
            <w:pPr>
              <w:pStyle w:val="Tabletext0"/>
              <w:keepNext/>
              <w:keepLines/>
              <w:jc w:val="center"/>
              <w:rPr>
                <w:b/>
                <w:bCs/>
              </w:rPr>
            </w:pPr>
            <w:r w:rsidRPr="00903F9D">
              <w:rPr>
                <w:b/>
                <w:bCs/>
              </w:rPr>
              <w:t>3608</w:t>
            </w:r>
          </w:p>
        </w:tc>
        <w:tc>
          <w:tcPr>
            <w:tcW w:w="979" w:type="dxa"/>
            <w:tcBorders>
              <w:top w:val="single" w:sz="4" w:space="0" w:color="auto"/>
              <w:left w:val="nil"/>
              <w:bottom w:val="nil"/>
              <w:right w:val="single" w:sz="4" w:space="0" w:color="auto"/>
            </w:tcBorders>
            <w:vAlign w:val="center"/>
            <w:hideMark/>
          </w:tcPr>
          <w:p w14:paraId="776EF403" w14:textId="77777777" w:rsidR="008B1E43" w:rsidRPr="00903F9D" w:rsidRDefault="008B1E43" w:rsidP="005B73DA">
            <w:pPr>
              <w:pStyle w:val="Tabletext0"/>
              <w:keepNext/>
              <w:keepLines/>
              <w:jc w:val="center"/>
              <w:rPr>
                <w:b/>
                <w:bCs/>
              </w:rPr>
            </w:pPr>
            <w:r w:rsidRPr="00903F9D">
              <w:rPr>
                <w:b/>
                <w:bCs/>
              </w:rPr>
              <w:t>84%</w:t>
            </w:r>
          </w:p>
        </w:tc>
      </w:tr>
      <w:tr w:rsidR="008B1E43" w:rsidRPr="00903F9D" w14:paraId="7C5BA6E1" w14:textId="77777777" w:rsidTr="009F1C02">
        <w:trPr>
          <w:cantSplit/>
          <w:trHeight w:val="570"/>
          <w:tblHeader/>
        </w:trPr>
        <w:tc>
          <w:tcPr>
            <w:tcW w:w="3114" w:type="dxa"/>
            <w:tcBorders>
              <w:top w:val="nil"/>
              <w:left w:val="single" w:sz="4" w:space="0" w:color="auto"/>
              <w:bottom w:val="single" w:sz="4" w:space="0" w:color="auto"/>
              <w:right w:val="single" w:sz="4" w:space="0" w:color="auto"/>
            </w:tcBorders>
            <w:vAlign w:val="center"/>
            <w:hideMark/>
          </w:tcPr>
          <w:p w14:paraId="695440CB" w14:textId="77777777" w:rsidR="008B1E43" w:rsidRPr="00903F9D" w:rsidRDefault="008B1E43" w:rsidP="005B73DA">
            <w:pPr>
              <w:pStyle w:val="Tabletext0"/>
              <w:keepNext/>
              <w:keepLines/>
              <w:jc w:val="left"/>
            </w:pPr>
            <w:r w:rsidRPr="00903F9D">
              <w:rPr>
                <w:b/>
                <w:bCs/>
              </w:rPr>
              <w:t xml:space="preserve">Total scans included in supplementary 'real-world' </w:t>
            </w:r>
            <w:proofErr w:type="spellStart"/>
            <w:r w:rsidRPr="00903F9D">
              <w:rPr>
                <w:b/>
                <w:bCs/>
              </w:rPr>
              <w:t>analysis</w:t>
            </w:r>
            <w:r w:rsidRPr="00903F9D">
              <w:rPr>
                <w:b/>
                <w:bCs/>
                <w:vertAlign w:val="superscript"/>
              </w:rPr>
              <w:t>b</w:t>
            </w:r>
            <w:proofErr w:type="spellEnd"/>
          </w:p>
        </w:tc>
        <w:tc>
          <w:tcPr>
            <w:tcW w:w="709" w:type="dxa"/>
            <w:tcBorders>
              <w:top w:val="nil"/>
              <w:left w:val="single" w:sz="4" w:space="0" w:color="auto"/>
              <w:bottom w:val="single" w:sz="4" w:space="0" w:color="auto"/>
              <w:right w:val="nil"/>
            </w:tcBorders>
            <w:noWrap/>
            <w:vAlign w:val="center"/>
            <w:hideMark/>
          </w:tcPr>
          <w:p w14:paraId="60468F2D" w14:textId="77777777" w:rsidR="008B1E43" w:rsidRPr="00903F9D" w:rsidRDefault="008B1E43" w:rsidP="005B73DA">
            <w:pPr>
              <w:pStyle w:val="Tabletext0"/>
              <w:keepNext/>
              <w:keepLines/>
              <w:jc w:val="center"/>
              <w:rPr>
                <w:b/>
                <w:bCs/>
              </w:rPr>
            </w:pPr>
            <w:r w:rsidRPr="00903F9D">
              <w:rPr>
                <w:b/>
                <w:bCs/>
              </w:rPr>
              <w:t>1475</w:t>
            </w:r>
          </w:p>
        </w:tc>
        <w:tc>
          <w:tcPr>
            <w:tcW w:w="708" w:type="dxa"/>
            <w:tcBorders>
              <w:top w:val="nil"/>
              <w:left w:val="nil"/>
              <w:bottom w:val="single" w:sz="4" w:space="0" w:color="auto"/>
              <w:right w:val="single" w:sz="4" w:space="0" w:color="auto"/>
            </w:tcBorders>
            <w:noWrap/>
            <w:vAlign w:val="center"/>
            <w:hideMark/>
          </w:tcPr>
          <w:p w14:paraId="0DEF8C9D" w14:textId="77777777" w:rsidR="008B1E43" w:rsidRPr="00903F9D" w:rsidRDefault="008B1E43" w:rsidP="005B73DA">
            <w:pPr>
              <w:pStyle w:val="Tabletext0"/>
              <w:keepNext/>
              <w:keepLines/>
              <w:jc w:val="center"/>
              <w:rPr>
                <w:b/>
                <w:bCs/>
              </w:rPr>
            </w:pPr>
            <w:r w:rsidRPr="00903F9D">
              <w:rPr>
                <w:b/>
                <w:bCs/>
              </w:rPr>
              <w:t>95%</w:t>
            </w:r>
          </w:p>
        </w:tc>
        <w:tc>
          <w:tcPr>
            <w:tcW w:w="709" w:type="dxa"/>
            <w:tcBorders>
              <w:top w:val="nil"/>
              <w:left w:val="single" w:sz="4" w:space="0" w:color="auto"/>
              <w:bottom w:val="single" w:sz="4" w:space="0" w:color="auto"/>
              <w:right w:val="nil"/>
            </w:tcBorders>
            <w:noWrap/>
            <w:vAlign w:val="center"/>
            <w:hideMark/>
          </w:tcPr>
          <w:p w14:paraId="39F21FA7" w14:textId="77777777" w:rsidR="008B1E43" w:rsidRPr="00903F9D" w:rsidRDefault="008B1E43" w:rsidP="005B73DA">
            <w:pPr>
              <w:pStyle w:val="Tabletext0"/>
              <w:keepNext/>
              <w:keepLines/>
              <w:jc w:val="center"/>
              <w:rPr>
                <w:b/>
                <w:bCs/>
              </w:rPr>
            </w:pPr>
            <w:r w:rsidRPr="00903F9D">
              <w:rPr>
                <w:b/>
                <w:bCs/>
              </w:rPr>
              <w:t>1578</w:t>
            </w:r>
          </w:p>
        </w:tc>
        <w:tc>
          <w:tcPr>
            <w:tcW w:w="567" w:type="dxa"/>
            <w:tcBorders>
              <w:top w:val="nil"/>
              <w:left w:val="nil"/>
              <w:bottom w:val="single" w:sz="4" w:space="0" w:color="auto"/>
              <w:right w:val="single" w:sz="4" w:space="0" w:color="auto"/>
            </w:tcBorders>
            <w:noWrap/>
            <w:vAlign w:val="center"/>
            <w:hideMark/>
          </w:tcPr>
          <w:p w14:paraId="18B5217D" w14:textId="77777777" w:rsidR="008B1E43" w:rsidRPr="00903F9D" w:rsidRDefault="008B1E43" w:rsidP="005B73DA">
            <w:pPr>
              <w:pStyle w:val="Tabletext0"/>
              <w:keepNext/>
              <w:keepLines/>
              <w:jc w:val="center"/>
              <w:rPr>
                <w:b/>
                <w:bCs/>
              </w:rPr>
            </w:pPr>
            <w:r w:rsidRPr="00903F9D">
              <w:rPr>
                <w:b/>
                <w:bCs/>
              </w:rPr>
              <w:t>96%</w:t>
            </w:r>
          </w:p>
        </w:tc>
        <w:tc>
          <w:tcPr>
            <w:tcW w:w="709" w:type="dxa"/>
            <w:tcBorders>
              <w:top w:val="nil"/>
              <w:left w:val="single" w:sz="4" w:space="0" w:color="auto"/>
              <w:bottom w:val="single" w:sz="4" w:space="0" w:color="auto"/>
              <w:right w:val="nil"/>
            </w:tcBorders>
            <w:vAlign w:val="center"/>
            <w:hideMark/>
          </w:tcPr>
          <w:p w14:paraId="77D26763" w14:textId="77777777" w:rsidR="008B1E43" w:rsidRPr="00903F9D" w:rsidRDefault="008B1E43" w:rsidP="005B73DA">
            <w:pPr>
              <w:pStyle w:val="Tabletext0"/>
              <w:keepNext/>
              <w:keepLines/>
              <w:jc w:val="center"/>
              <w:rPr>
                <w:b/>
                <w:bCs/>
              </w:rPr>
            </w:pPr>
            <w:r w:rsidRPr="00903F9D">
              <w:rPr>
                <w:b/>
                <w:bCs/>
              </w:rPr>
              <w:t>3837</w:t>
            </w:r>
          </w:p>
        </w:tc>
        <w:tc>
          <w:tcPr>
            <w:tcW w:w="853" w:type="dxa"/>
            <w:tcBorders>
              <w:top w:val="nil"/>
              <w:left w:val="nil"/>
              <w:bottom w:val="single" w:sz="4" w:space="0" w:color="auto"/>
              <w:right w:val="single" w:sz="4" w:space="0" w:color="auto"/>
            </w:tcBorders>
            <w:vAlign w:val="center"/>
            <w:hideMark/>
          </w:tcPr>
          <w:p w14:paraId="5DD53CE5" w14:textId="77777777" w:rsidR="008B1E43" w:rsidRPr="00903F9D" w:rsidRDefault="008B1E43" w:rsidP="005B73DA">
            <w:pPr>
              <w:pStyle w:val="Tabletext0"/>
              <w:keepNext/>
              <w:keepLines/>
              <w:jc w:val="center"/>
              <w:rPr>
                <w:b/>
                <w:bCs/>
              </w:rPr>
            </w:pPr>
            <w:r w:rsidRPr="00903F9D">
              <w:rPr>
                <w:b/>
                <w:bCs/>
              </w:rPr>
              <w:t>90%</w:t>
            </w:r>
          </w:p>
        </w:tc>
        <w:tc>
          <w:tcPr>
            <w:tcW w:w="581" w:type="dxa"/>
            <w:tcBorders>
              <w:top w:val="nil"/>
              <w:left w:val="single" w:sz="4" w:space="0" w:color="auto"/>
              <w:bottom w:val="single" w:sz="4" w:space="0" w:color="auto"/>
              <w:right w:val="nil"/>
            </w:tcBorders>
            <w:vAlign w:val="center"/>
            <w:hideMark/>
          </w:tcPr>
          <w:p w14:paraId="588E07D0" w14:textId="77777777" w:rsidR="008B1E43" w:rsidRPr="00903F9D" w:rsidRDefault="008B1E43" w:rsidP="005B73DA">
            <w:pPr>
              <w:pStyle w:val="Tabletext0"/>
              <w:keepNext/>
              <w:keepLines/>
              <w:jc w:val="center"/>
              <w:rPr>
                <w:b/>
                <w:bCs/>
              </w:rPr>
            </w:pPr>
            <w:r w:rsidRPr="00903F9D">
              <w:rPr>
                <w:b/>
                <w:bCs/>
              </w:rPr>
              <w:t>3931</w:t>
            </w:r>
          </w:p>
        </w:tc>
        <w:tc>
          <w:tcPr>
            <w:tcW w:w="979" w:type="dxa"/>
            <w:tcBorders>
              <w:top w:val="nil"/>
              <w:left w:val="nil"/>
              <w:bottom w:val="single" w:sz="4" w:space="0" w:color="auto"/>
              <w:right w:val="single" w:sz="4" w:space="0" w:color="auto"/>
            </w:tcBorders>
            <w:vAlign w:val="center"/>
            <w:hideMark/>
          </w:tcPr>
          <w:p w14:paraId="5BCEA29C" w14:textId="77777777" w:rsidR="008B1E43" w:rsidRPr="00903F9D" w:rsidRDefault="008B1E43" w:rsidP="005B73DA">
            <w:pPr>
              <w:pStyle w:val="Tabletext0"/>
              <w:keepNext/>
              <w:keepLines/>
              <w:jc w:val="center"/>
              <w:rPr>
                <w:b/>
                <w:bCs/>
              </w:rPr>
            </w:pPr>
            <w:r w:rsidRPr="00903F9D">
              <w:rPr>
                <w:b/>
                <w:bCs/>
              </w:rPr>
              <w:t>92%</w:t>
            </w:r>
          </w:p>
        </w:tc>
      </w:tr>
    </w:tbl>
    <w:p w14:paraId="6DD8C812" w14:textId="7CD91A6E" w:rsidR="009A0D33" w:rsidRPr="00903F9D" w:rsidRDefault="009F4008" w:rsidP="005B73DA">
      <w:pPr>
        <w:pStyle w:val="TableFigureFooter"/>
      </w:pPr>
      <w:r w:rsidRPr="00903F9D">
        <w:t>DXA=</w:t>
      </w:r>
      <w:bookmarkStart w:id="25" w:name="_Hlk102566269"/>
      <w:r w:rsidR="00605981" w:rsidRPr="00903F9D">
        <w:t xml:space="preserve"> </w:t>
      </w:r>
      <w:r w:rsidRPr="00903F9D">
        <w:t xml:space="preserve">dual energy </w:t>
      </w:r>
      <w:r w:rsidR="00316C71" w:rsidRPr="00903F9D">
        <w:t>x-r</w:t>
      </w:r>
      <w:r w:rsidRPr="00903F9D">
        <w:t>ay absorptiometry</w:t>
      </w:r>
      <w:bookmarkEnd w:id="25"/>
      <w:r w:rsidR="009A0D33" w:rsidRPr="00903F9D">
        <w:t xml:space="preserve">; REMS= </w:t>
      </w:r>
      <w:r w:rsidRPr="00903F9D">
        <w:t>radiofrequency echographic multi spectrometry</w:t>
      </w:r>
      <w:r w:rsidR="009A0D33" w:rsidRPr="00903F9D">
        <w:t>.</w:t>
      </w:r>
    </w:p>
    <w:p w14:paraId="30805B0B" w14:textId="2FD7F38F" w:rsidR="00D10050" w:rsidRPr="00903F9D" w:rsidRDefault="009A0D33" w:rsidP="005B73DA">
      <w:pPr>
        <w:pStyle w:val="TableFigureFooter"/>
        <w:contextualSpacing/>
      </w:pPr>
      <w:r w:rsidRPr="00903F9D">
        <w:t xml:space="preserve">Source: </w:t>
      </w:r>
      <w:proofErr w:type="spellStart"/>
      <w:r w:rsidR="001F08BF" w:rsidRPr="00903F9D">
        <w:t>Cortet</w:t>
      </w:r>
      <w:proofErr w:type="spellEnd"/>
      <w:r w:rsidR="001F08BF" w:rsidRPr="00903F9D">
        <w:t xml:space="preserve"> 2021</w:t>
      </w:r>
      <w:r w:rsidR="008B1E43" w:rsidRPr="00903F9D">
        <w:t xml:space="preserve"> and</w:t>
      </w:r>
      <w:r w:rsidR="001F08BF" w:rsidRPr="00903F9D">
        <w:t xml:space="preserve"> Di Paola 2019.</w:t>
      </w:r>
    </w:p>
    <w:p w14:paraId="0AA789B2" w14:textId="2372F737" w:rsidR="00316C71" w:rsidRPr="00903F9D" w:rsidRDefault="00316C71" w:rsidP="005B73DA">
      <w:pPr>
        <w:pStyle w:val="TableFigureFooter"/>
        <w:contextualSpacing/>
      </w:pPr>
      <w:r w:rsidRPr="00903F9D">
        <w:t>Notes:</w:t>
      </w:r>
    </w:p>
    <w:p w14:paraId="5E6EF478" w14:textId="77777777" w:rsidR="000F2C5E" w:rsidRPr="00903F9D" w:rsidRDefault="000F2C5E" w:rsidP="005B73DA">
      <w:pPr>
        <w:pStyle w:val="TableFooter"/>
        <w:keepNext/>
        <w:keepLines/>
        <w:spacing w:before="0" w:after="0"/>
      </w:pPr>
      <w:r w:rsidRPr="00903F9D">
        <w:t xml:space="preserve">a </w:t>
      </w:r>
      <w:proofErr w:type="gramStart"/>
      <w:r w:rsidRPr="00903F9D">
        <w:t>Total scans</w:t>
      </w:r>
      <w:proofErr w:type="gramEnd"/>
      <w:r w:rsidRPr="00903F9D">
        <w:t xml:space="preserve"> included in primary 'quality checked' analysis = Total scans - excluded DXA scans - excluded REMS scans</w:t>
      </w:r>
    </w:p>
    <w:p w14:paraId="61A5851F" w14:textId="77777777" w:rsidR="000F2C5E" w:rsidRPr="00903F9D" w:rsidRDefault="000F2C5E" w:rsidP="005B73DA">
      <w:pPr>
        <w:pStyle w:val="TableFooter"/>
        <w:keepLines/>
      </w:pPr>
      <w:r w:rsidRPr="00903F9D">
        <w:t>b Total scans included in supplementary 'real-world' analysis = Total scans - excluded DXA scans</w:t>
      </w:r>
    </w:p>
    <w:p w14:paraId="69A97E78" w14:textId="7370CCBE" w:rsidR="00D10050" w:rsidRPr="00903F9D" w:rsidRDefault="005E3055" w:rsidP="00E76AE0">
      <w:pPr>
        <w:pStyle w:val="Instructionaltext"/>
        <w:rPr>
          <w:color w:val="auto"/>
        </w:rPr>
      </w:pPr>
      <w:r w:rsidRPr="00903F9D">
        <w:rPr>
          <w:iCs/>
          <w:color w:val="auto"/>
        </w:rPr>
        <w:t xml:space="preserve">In addition to </w:t>
      </w:r>
      <w:proofErr w:type="spellStart"/>
      <w:r w:rsidR="00D10050" w:rsidRPr="00903F9D">
        <w:rPr>
          <w:iCs/>
          <w:color w:val="auto"/>
        </w:rPr>
        <w:t>Cortet</w:t>
      </w:r>
      <w:proofErr w:type="spellEnd"/>
      <w:r w:rsidR="00D10050" w:rsidRPr="00903F9D">
        <w:rPr>
          <w:iCs/>
          <w:color w:val="auto"/>
        </w:rPr>
        <w:t xml:space="preserve"> 2021 and Di Paola 2019,</w:t>
      </w:r>
      <w:r w:rsidRPr="00903F9D">
        <w:rPr>
          <w:iCs/>
          <w:color w:val="auto"/>
        </w:rPr>
        <w:t xml:space="preserve"> the </w:t>
      </w:r>
      <w:r w:rsidR="007E6C45" w:rsidRPr="00903F9D">
        <w:rPr>
          <w:iCs/>
          <w:color w:val="auto"/>
        </w:rPr>
        <w:t>a</w:t>
      </w:r>
      <w:r w:rsidRPr="00903F9D">
        <w:rPr>
          <w:iCs/>
          <w:color w:val="auto"/>
        </w:rPr>
        <w:t xml:space="preserve">pplicant provided a third unpublished report to </w:t>
      </w:r>
      <w:r w:rsidR="00AE04E4" w:rsidRPr="00903F9D">
        <w:rPr>
          <w:iCs/>
          <w:color w:val="auto"/>
        </w:rPr>
        <w:t>address</w:t>
      </w:r>
      <w:r w:rsidRPr="00903F9D">
        <w:rPr>
          <w:iCs/>
          <w:color w:val="auto"/>
        </w:rPr>
        <w:t xml:space="preserve"> the</w:t>
      </w:r>
      <w:r w:rsidR="000D4E53" w:rsidRPr="00903F9D">
        <w:rPr>
          <w:iCs/>
          <w:color w:val="auto"/>
        </w:rPr>
        <w:t xml:space="preserve"> claim</w:t>
      </w:r>
      <w:r w:rsidR="00D10050" w:rsidRPr="00903F9D">
        <w:rPr>
          <w:iCs/>
          <w:color w:val="auto"/>
        </w:rPr>
        <w:t xml:space="preserve"> </w:t>
      </w:r>
      <w:r w:rsidR="00AE04E4" w:rsidRPr="00903F9D">
        <w:rPr>
          <w:iCs/>
          <w:color w:val="auto"/>
        </w:rPr>
        <w:t xml:space="preserve">that the </w:t>
      </w:r>
      <w:r w:rsidR="00D10050" w:rsidRPr="00903F9D">
        <w:rPr>
          <w:iCs/>
          <w:color w:val="auto"/>
        </w:rPr>
        <w:t xml:space="preserve">REMS total femur </w:t>
      </w:r>
      <w:r w:rsidR="00D87B03" w:rsidRPr="00903F9D">
        <w:rPr>
          <w:iCs/>
          <w:color w:val="auto"/>
        </w:rPr>
        <w:t>score</w:t>
      </w:r>
      <w:r w:rsidR="00D10050" w:rsidRPr="00903F9D">
        <w:rPr>
          <w:iCs/>
          <w:color w:val="auto"/>
        </w:rPr>
        <w:t xml:space="preserve"> (a composite of the femoral neck and upper trochanter) </w:t>
      </w:r>
      <w:r w:rsidR="00AE04E4" w:rsidRPr="00903F9D">
        <w:rPr>
          <w:iCs/>
          <w:color w:val="auto"/>
        </w:rPr>
        <w:t xml:space="preserve">can </w:t>
      </w:r>
      <w:r w:rsidR="000D4E53" w:rsidRPr="00903F9D">
        <w:rPr>
          <w:iCs/>
          <w:color w:val="auto"/>
        </w:rPr>
        <w:t>be</w:t>
      </w:r>
      <w:r w:rsidR="00D10050" w:rsidRPr="00903F9D">
        <w:rPr>
          <w:iCs/>
          <w:color w:val="auto"/>
        </w:rPr>
        <w:t xml:space="preserve"> </w:t>
      </w:r>
      <w:r w:rsidR="00AE04E4" w:rsidRPr="00903F9D">
        <w:rPr>
          <w:iCs/>
          <w:color w:val="auto"/>
        </w:rPr>
        <w:t xml:space="preserve">considered </w:t>
      </w:r>
      <w:r w:rsidR="00D10050" w:rsidRPr="00903F9D">
        <w:rPr>
          <w:iCs/>
          <w:color w:val="auto"/>
        </w:rPr>
        <w:t>equivalent to the DXA total proximal femur measurement</w:t>
      </w:r>
      <w:r w:rsidR="000D4E53" w:rsidRPr="00903F9D">
        <w:rPr>
          <w:iCs/>
          <w:color w:val="auto"/>
        </w:rPr>
        <w:t xml:space="preserve">. This </w:t>
      </w:r>
      <w:r w:rsidR="00CF6EC4" w:rsidRPr="00903F9D">
        <w:rPr>
          <w:iCs/>
          <w:color w:val="auto"/>
        </w:rPr>
        <w:t xml:space="preserve">unpublished </w:t>
      </w:r>
      <w:r w:rsidR="000D4E53" w:rsidRPr="00903F9D">
        <w:rPr>
          <w:iCs/>
          <w:color w:val="auto"/>
        </w:rPr>
        <w:t xml:space="preserve">report </w:t>
      </w:r>
      <w:r w:rsidR="00D47846" w:rsidRPr="00903F9D">
        <w:rPr>
          <w:color w:val="auto"/>
        </w:rPr>
        <w:t>(</w:t>
      </w:r>
      <w:r w:rsidR="00D10050" w:rsidRPr="00903F9D">
        <w:rPr>
          <w:color w:val="auto"/>
        </w:rPr>
        <w:t xml:space="preserve">2017 </w:t>
      </w:r>
      <w:proofErr w:type="spellStart"/>
      <w:r w:rsidR="00D10050" w:rsidRPr="00903F9D">
        <w:rPr>
          <w:color w:val="auto"/>
        </w:rPr>
        <w:t>EchoLight</w:t>
      </w:r>
      <w:proofErr w:type="spellEnd"/>
      <w:r w:rsidR="00D10050" w:rsidRPr="00903F9D">
        <w:rPr>
          <w:color w:val="auto"/>
        </w:rPr>
        <w:t xml:space="preserve"> Italy Evaluation Report</w:t>
      </w:r>
      <w:r w:rsidR="00D47846" w:rsidRPr="00903F9D">
        <w:rPr>
          <w:color w:val="auto"/>
        </w:rPr>
        <w:t>)</w:t>
      </w:r>
      <w:r w:rsidR="000D4E53" w:rsidRPr="00903F9D">
        <w:rPr>
          <w:color w:val="auto"/>
        </w:rPr>
        <w:t xml:space="preserve"> followed the same approach of excluding scans</w:t>
      </w:r>
      <w:r w:rsidR="00AE04E4" w:rsidRPr="00903F9D">
        <w:rPr>
          <w:color w:val="auto"/>
        </w:rPr>
        <w:t xml:space="preserve"> with quality errors but only present a quality check scenario (</w:t>
      </w:r>
      <w:proofErr w:type="gramStart"/>
      <w:r w:rsidR="00AE04E4" w:rsidRPr="00903F9D">
        <w:rPr>
          <w:color w:val="auto"/>
        </w:rPr>
        <w:t>i.e.</w:t>
      </w:r>
      <w:proofErr w:type="gramEnd"/>
      <w:r w:rsidR="00AE04E4" w:rsidRPr="00903F9D">
        <w:rPr>
          <w:color w:val="auto"/>
        </w:rPr>
        <w:t xml:space="preserve"> did not present a real-world scenario where REMS scans with quality errors were included in the analysis)</w:t>
      </w:r>
      <w:r w:rsidR="000D4E53" w:rsidRPr="00903F9D">
        <w:rPr>
          <w:color w:val="auto"/>
        </w:rPr>
        <w:t>.</w:t>
      </w:r>
      <w:r w:rsidR="00615DC1" w:rsidRPr="00903F9D">
        <w:rPr>
          <w:color w:val="auto"/>
        </w:rPr>
        <w:t xml:space="preserve"> </w:t>
      </w:r>
      <w:r w:rsidR="00A85E98" w:rsidRPr="00903F9D">
        <w:rPr>
          <w:color w:val="auto"/>
        </w:rPr>
        <w:t>T</w:t>
      </w:r>
      <w:r w:rsidR="00615DC1" w:rsidRPr="00903F9D">
        <w:rPr>
          <w:color w:val="auto"/>
        </w:rPr>
        <w:t xml:space="preserve">his report excluded </w:t>
      </w:r>
      <w:r w:rsidR="00D10050" w:rsidRPr="00903F9D">
        <w:rPr>
          <w:color w:val="auto"/>
        </w:rPr>
        <w:t>31</w:t>
      </w:r>
      <w:r w:rsidR="00A85E98" w:rsidRPr="00903F9D">
        <w:rPr>
          <w:color w:val="auto"/>
        </w:rPr>
        <w:t>.5</w:t>
      </w:r>
      <w:r w:rsidR="00D10050" w:rsidRPr="00903F9D">
        <w:rPr>
          <w:color w:val="auto"/>
        </w:rPr>
        <w:t>%</w:t>
      </w:r>
      <w:r w:rsidR="00615DC1" w:rsidRPr="00903F9D">
        <w:rPr>
          <w:color w:val="auto"/>
        </w:rPr>
        <w:t xml:space="preserve"> of scans </w:t>
      </w:r>
      <w:r w:rsidR="00A85E98" w:rsidRPr="00903F9D">
        <w:rPr>
          <w:color w:val="auto"/>
        </w:rPr>
        <w:t xml:space="preserve">(16.9% DXA scans and 14.6% REMS scans with quality errors) </w:t>
      </w:r>
      <w:r w:rsidR="00D10050" w:rsidRPr="00903F9D">
        <w:rPr>
          <w:color w:val="auto"/>
        </w:rPr>
        <w:t xml:space="preserve">from the analysis leading to an </w:t>
      </w:r>
      <w:r w:rsidR="00615DC1" w:rsidRPr="00903F9D">
        <w:rPr>
          <w:color w:val="auto"/>
        </w:rPr>
        <w:t>‘</w:t>
      </w:r>
      <w:r w:rsidR="00D10050" w:rsidRPr="00903F9D">
        <w:rPr>
          <w:color w:val="auto"/>
        </w:rPr>
        <w:t>unclear</w:t>
      </w:r>
      <w:r w:rsidR="00615DC1" w:rsidRPr="00903F9D">
        <w:rPr>
          <w:color w:val="auto"/>
        </w:rPr>
        <w:t>’</w:t>
      </w:r>
      <w:r w:rsidR="00D10050" w:rsidRPr="00903F9D">
        <w:rPr>
          <w:color w:val="auto"/>
        </w:rPr>
        <w:t xml:space="preserve"> risk of bias for patient flow and timing. </w:t>
      </w:r>
      <w:r w:rsidR="005623A2" w:rsidRPr="00903F9D">
        <w:rPr>
          <w:color w:val="auto"/>
        </w:rPr>
        <w:t xml:space="preserve">The pre-ESC response provided a comparison of REMS total femur </w:t>
      </w:r>
      <w:r w:rsidR="00D87B03" w:rsidRPr="00903F9D">
        <w:rPr>
          <w:color w:val="auto"/>
        </w:rPr>
        <w:t xml:space="preserve">score </w:t>
      </w:r>
      <w:r w:rsidR="005623A2" w:rsidRPr="00903F9D">
        <w:rPr>
          <w:color w:val="auto"/>
        </w:rPr>
        <w:t>versus DXA TPF where all scans were included (REMS and DXA scans with quality errors were not excluded). However, th</w:t>
      </w:r>
      <w:r w:rsidR="00E64A54" w:rsidRPr="00903F9D">
        <w:rPr>
          <w:color w:val="auto"/>
        </w:rPr>
        <w:t>is</w:t>
      </w:r>
      <w:r w:rsidR="005623A2" w:rsidRPr="00903F9D">
        <w:rPr>
          <w:color w:val="auto"/>
        </w:rPr>
        <w:t xml:space="preserve"> analysis was not consistent with how the data was analysed in the uncheck</w:t>
      </w:r>
      <w:r w:rsidR="00605981" w:rsidRPr="00903F9D">
        <w:rPr>
          <w:color w:val="auto"/>
        </w:rPr>
        <w:t>ed</w:t>
      </w:r>
      <w:r w:rsidR="005623A2" w:rsidRPr="00903F9D">
        <w:rPr>
          <w:color w:val="auto"/>
        </w:rPr>
        <w:t xml:space="preserve"> real-life scenario in the published studies (i.e., where REMS scans with quality errors were not excluded while DXA scans with quality errors were excluded)</w:t>
      </w:r>
      <w:r w:rsidR="00C95611" w:rsidRPr="00903F9D">
        <w:rPr>
          <w:color w:val="auto"/>
        </w:rPr>
        <w:t xml:space="preserve"> an</w:t>
      </w:r>
      <w:r w:rsidR="00605981" w:rsidRPr="00903F9D">
        <w:rPr>
          <w:color w:val="auto"/>
        </w:rPr>
        <w:t>d</w:t>
      </w:r>
      <w:r w:rsidR="00C95611" w:rsidRPr="00903F9D">
        <w:rPr>
          <w:color w:val="auto"/>
        </w:rPr>
        <w:t xml:space="preserve"> therefore not informative.</w:t>
      </w:r>
    </w:p>
    <w:p w14:paraId="00A980A7" w14:textId="56FC40FA" w:rsidR="00027F9F" w:rsidRPr="00903F9D" w:rsidRDefault="00C057F9" w:rsidP="00C057F9">
      <w:r w:rsidRPr="00903F9D">
        <w:t xml:space="preserve">The </w:t>
      </w:r>
      <w:r w:rsidR="009D439D" w:rsidRPr="00903F9D">
        <w:t>c</w:t>
      </w:r>
      <w:r w:rsidRPr="00903F9D">
        <w:t xml:space="preserve">ommentary highlighted that the ADAR did not address </w:t>
      </w:r>
      <w:proofErr w:type="gramStart"/>
      <w:r w:rsidRPr="00903F9D">
        <w:t>whether or not</w:t>
      </w:r>
      <w:proofErr w:type="gramEnd"/>
      <w:r w:rsidRPr="00903F9D">
        <w:t xml:space="preserve"> REMS scans with quality errors </w:t>
      </w:r>
      <w:r w:rsidR="0077025C" w:rsidRPr="00903F9D">
        <w:t>would be</w:t>
      </w:r>
      <w:r w:rsidRPr="00903F9D">
        <w:t xml:space="preserve"> identified in practice, the applicability of the results from the two </w:t>
      </w:r>
      <w:r w:rsidRPr="00903F9D">
        <w:lastRenderedPageBreak/>
        <w:t>scenarios</w:t>
      </w:r>
      <w:r w:rsidR="0077025C" w:rsidRPr="00903F9D">
        <w:t>,</w:t>
      </w:r>
      <w:r w:rsidRPr="00903F9D">
        <w:t xml:space="preserve"> and the implications in terms of the rate and type of repeat testing if REMS scans with quality errors are in fact identified in practice. </w:t>
      </w:r>
      <w:r w:rsidR="00AC5EAB" w:rsidRPr="00903F9D">
        <w:t>The pre-</w:t>
      </w:r>
      <w:r w:rsidR="00CA1AF4" w:rsidRPr="00903F9D">
        <w:t>MSAC</w:t>
      </w:r>
      <w:r w:rsidR="00AC5EAB" w:rsidRPr="00903F9D">
        <w:t xml:space="preserve"> response </w:t>
      </w:r>
      <w:r w:rsidR="00CA1AF4" w:rsidRPr="00903F9D">
        <w:t>clarified that quality errors could be possible (for example due to the scan not being centralised over the region of interest) but noted that the software could still produce a result using these lower-quality scans</w:t>
      </w:r>
      <w:r w:rsidR="009339A0" w:rsidRPr="00903F9D">
        <w:t xml:space="preserve">. It was stated </w:t>
      </w:r>
      <w:r w:rsidR="00CA1AF4" w:rsidRPr="00903F9D">
        <w:t>that</w:t>
      </w:r>
      <w:r w:rsidR="009339A0" w:rsidRPr="00903F9D">
        <w:t xml:space="preserve"> </w:t>
      </w:r>
      <w:r w:rsidR="00CA1AF4" w:rsidRPr="00903F9D">
        <w:t xml:space="preserve">when interpreting results from a completed scan, each REMS scan report includes a visual representation of the positioning of the region of interest </w:t>
      </w:r>
      <w:r w:rsidR="009339A0" w:rsidRPr="00903F9D">
        <w:t>in</w:t>
      </w:r>
      <w:r w:rsidR="00CA1AF4" w:rsidRPr="00903F9D">
        <w:t xml:space="preserve"> the highlighted scan on the last page of the report </w:t>
      </w:r>
      <w:r w:rsidR="009C099B" w:rsidRPr="00903F9D">
        <w:t xml:space="preserve">in </w:t>
      </w:r>
      <w:r w:rsidR="00CA1AF4" w:rsidRPr="00903F9D">
        <w:t xml:space="preserve">which the operator or clinician can manually check the quality of the images. The pre-MSAC response also noted that invalid scans were also possible, in the situation where the region of interest was not captured at all and in these circumstances, a null or invalid reading would be returned to the operator with no results generated, and this would allow the operator to re-scan immediately if possible. </w:t>
      </w:r>
      <w:r w:rsidR="00AC5EAB" w:rsidRPr="00903F9D">
        <w:t xml:space="preserve"> The pre-</w:t>
      </w:r>
      <w:r w:rsidR="00CA1AF4" w:rsidRPr="00903F9D">
        <w:t>MSAC</w:t>
      </w:r>
      <w:r w:rsidR="00AC5EAB" w:rsidRPr="00903F9D">
        <w:t xml:space="preserve"> response </w:t>
      </w:r>
      <w:r w:rsidR="00CA1AF4" w:rsidRPr="00903F9D">
        <w:t xml:space="preserve">reiterated that </w:t>
      </w:r>
      <w:r w:rsidR="00AC5EAB" w:rsidRPr="00903F9D">
        <w:t xml:space="preserve">operator training and experience is important to reduce </w:t>
      </w:r>
      <w:r w:rsidR="00CA1AF4" w:rsidRPr="00903F9D">
        <w:t>low quality and invalid scans</w:t>
      </w:r>
      <w:r w:rsidR="002151F0" w:rsidRPr="00903F9D">
        <w:t>, and the provided operator training is 3 days</w:t>
      </w:r>
      <w:r w:rsidR="00AC5EAB" w:rsidRPr="00903F9D">
        <w:t xml:space="preserve">. </w:t>
      </w:r>
      <w:r w:rsidR="002151F0" w:rsidRPr="00903F9D">
        <w:t>In the real-world setting in Australia, adjusting the operator position, techniques in holding the probe steady were used to reduce these errors</w:t>
      </w:r>
      <w:r w:rsidR="00B77B14" w:rsidRPr="00903F9D">
        <w:t xml:space="preserve"> </w:t>
      </w:r>
      <w:r w:rsidR="009C099B" w:rsidRPr="00903F9D">
        <w:t xml:space="preserve">of </w:t>
      </w:r>
      <w:r w:rsidR="00B77B14" w:rsidRPr="00903F9D">
        <w:t>invalid scan</w:t>
      </w:r>
      <w:r w:rsidR="009C099B" w:rsidRPr="00903F9D">
        <w:t xml:space="preserve">s or </w:t>
      </w:r>
      <w:r w:rsidR="00B77B14" w:rsidRPr="00903F9D">
        <w:t>null results</w:t>
      </w:r>
      <w:r w:rsidR="002151F0" w:rsidRPr="00903F9D">
        <w:t xml:space="preserve">. </w:t>
      </w:r>
      <w:proofErr w:type="spellStart"/>
      <w:r w:rsidR="002151F0" w:rsidRPr="00903F9D">
        <w:t>Echolight</w:t>
      </w:r>
      <w:proofErr w:type="spellEnd"/>
      <w:r w:rsidR="002151F0" w:rsidRPr="00903F9D">
        <w:t xml:space="preserve"> Italy recommend scanning 10-20 people per new operator. </w:t>
      </w:r>
      <w:r w:rsidR="00AC5EAB" w:rsidRPr="00903F9D">
        <w:t>The pre-</w:t>
      </w:r>
      <w:r w:rsidR="00CA1AF4" w:rsidRPr="00903F9D">
        <w:t>MSAC</w:t>
      </w:r>
      <w:r w:rsidR="00AC5EAB" w:rsidRPr="00903F9D">
        <w:t xml:space="preserve"> response did not identify any </w:t>
      </w:r>
      <w:proofErr w:type="gramStart"/>
      <w:r w:rsidR="00086B05" w:rsidRPr="00903F9D">
        <w:t>particular</w:t>
      </w:r>
      <w:r w:rsidR="00F97047" w:rsidRPr="00903F9D">
        <w:t xml:space="preserve"> </w:t>
      </w:r>
      <w:r w:rsidR="00AC5EAB" w:rsidRPr="00903F9D">
        <w:t>populations</w:t>
      </w:r>
      <w:proofErr w:type="gramEnd"/>
      <w:r w:rsidR="00AC5EAB" w:rsidRPr="00903F9D">
        <w:t xml:space="preserve"> which could result in a greater proportion of </w:t>
      </w:r>
      <w:r w:rsidR="00CA1AF4" w:rsidRPr="00903F9D">
        <w:t xml:space="preserve">lower quality or </w:t>
      </w:r>
      <w:r w:rsidR="00AC5EAB" w:rsidRPr="00903F9D">
        <w:t xml:space="preserve">null </w:t>
      </w:r>
      <w:r w:rsidR="009C099B" w:rsidRPr="00903F9D">
        <w:t xml:space="preserve">or </w:t>
      </w:r>
      <w:r w:rsidR="002151F0" w:rsidRPr="00903F9D">
        <w:t>invalid</w:t>
      </w:r>
      <w:r w:rsidR="00AC5EAB" w:rsidRPr="00903F9D">
        <w:t xml:space="preserve"> scans and cited conference abstracts that have reported successful REMS in obese patients.</w:t>
      </w:r>
    </w:p>
    <w:p w14:paraId="2665B2BD" w14:textId="02021E84" w:rsidR="00C16E9A" w:rsidRPr="00903F9D" w:rsidRDefault="008679A5" w:rsidP="00F54EEE">
      <w:pPr>
        <w:pStyle w:val="Heading4"/>
      </w:pPr>
      <w:r w:rsidRPr="00903F9D">
        <w:t xml:space="preserve">Supplementary </w:t>
      </w:r>
      <w:r w:rsidR="00C16E9A" w:rsidRPr="00903F9D">
        <w:t>evidence</w:t>
      </w:r>
      <w:r w:rsidR="00472899" w:rsidRPr="00903F9D">
        <w:t xml:space="preserve"> for test accuracy</w:t>
      </w:r>
      <w:r w:rsidR="00086B05" w:rsidRPr="00903F9D">
        <w:t xml:space="preserve"> in different </w:t>
      </w:r>
      <w:r w:rsidR="00B84E38" w:rsidRPr="00903F9D">
        <w:rPr>
          <w:rFonts w:eastAsia="Calibri" w:cs="Times New Roman"/>
        </w:rPr>
        <w:t>patient groups within the proposed eligible population</w:t>
      </w:r>
    </w:p>
    <w:p w14:paraId="2686BAC7" w14:textId="41B779E5" w:rsidR="00C01BF7" w:rsidRPr="00903F9D" w:rsidRDefault="00532B36" w:rsidP="00E76AE0">
      <w:pPr>
        <w:pStyle w:val="Instructionaltext"/>
        <w:rPr>
          <w:iCs/>
          <w:color w:val="auto"/>
        </w:rPr>
      </w:pPr>
      <w:r w:rsidRPr="00903F9D">
        <w:rPr>
          <w:iCs/>
          <w:color w:val="auto"/>
        </w:rPr>
        <w:t>The ADAR included t</w:t>
      </w:r>
      <w:r w:rsidR="004351AC" w:rsidRPr="00903F9D">
        <w:rPr>
          <w:iCs/>
          <w:color w:val="auto"/>
        </w:rPr>
        <w:t xml:space="preserve">wo smaller, single-centre </w:t>
      </w:r>
      <w:r w:rsidRPr="00903F9D">
        <w:rPr>
          <w:iCs/>
          <w:color w:val="auto"/>
        </w:rPr>
        <w:t xml:space="preserve">cohort </w:t>
      </w:r>
      <w:r w:rsidR="004351AC" w:rsidRPr="00903F9D">
        <w:rPr>
          <w:iCs/>
          <w:color w:val="auto"/>
        </w:rPr>
        <w:t>studies</w:t>
      </w:r>
      <w:r w:rsidR="00355619" w:rsidRPr="00903F9D">
        <w:rPr>
          <w:iCs/>
          <w:color w:val="auto"/>
        </w:rPr>
        <w:t>,</w:t>
      </w:r>
      <w:r w:rsidR="004351AC" w:rsidRPr="00903F9D">
        <w:rPr>
          <w:iCs/>
          <w:color w:val="auto"/>
        </w:rPr>
        <w:t xml:space="preserve"> Amorim 2021 and </w:t>
      </w:r>
      <w:proofErr w:type="spellStart"/>
      <w:r w:rsidR="004351AC" w:rsidRPr="00903F9D">
        <w:rPr>
          <w:iCs/>
          <w:color w:val="auto"/>
        </w:rPr>
        <w:t>Nowakowska</w:t>
      </w:r>
      <w:proofErr w:type="spellEnd"/>
      <w:r w:rsidR="004351AC" w:rsidRPr="00903F9D">
        <w:rPr>
          <w:iCs/>
          <w:color w:val="auto"/>
        </w:rPr>
        <w:t>-Plaza 2021</w:t>
      </w:r>
      <w:r w:rsidR="00355619" w:rsidRPr="00903F9D">
        <w:rPr>
          <w:iCs/>
          <w:color w:val="auto"/>
        </w:rPr>
        <w:t>,</w:t>
      </w:r>
      <w:r w:rsidR="004351AC" w:rsidRPr="00903F9D">
        <w:rPr>
          <w:iCs/>
          <w:color w:val="auto"/>
        </w:rPr>
        <w:t xml:space="preserve"> to provide </w:t>
      </w:r>
      <w:r w:rsidR="00AB4D6A" w:rsidRPr="00903F9D">
        <w:rPr>
          <w:iCs/>
          <w:color w:val="auto"/>
        </w:rPr>
        <w:t>supp</w:t>
      </w:r>
      <w:r w:rsidR="008679A5" w:rsidRPr="00903F9D">
        <w:rPr>
          <w:iCs/>
          <w:color w:val="auto"/>
        </w:rPr>
        <w:t>lementary</w:t>
      </w:r>
      <w:r w:rsidR="0019457C" w:rsidRPr="00903F9D">
        <w:rPr>
          <w:iCs/>
          <w:color w:val="auto"/>
        </w:rPr>
        <w:t xml:space="preserve"> </w:t>
      </w:r>
      <w:r w:rsidR="004351AC" w:rsidRPr="00903F9D">
        <w:rPr>
          <w:iCs/>
          <w:color w:val="auto"/>
        </w:rPr>
        <w:t>evidence</w:t>
      </w:r>
      <w:r w:rsidRPr="00903F9D">
        <w:rPr>
          <w:iCs/>
          <w:color w:val="auto"/>
        </w:rPr>
        <w:t xml:space="preserve"> for the test accuracy of REMS compared to DXA</w:t>
      </w:r>
      <w:r w:rsidR="004351AC" w:rsidRPr="00903F9D">
        <w:rPr>
          <w:iCs/>
          <w:color w:val="auto"/>
        </w:rPr>
        <w:t xml:space="preserve"> </w:t>
      </w:r>
      <w:r w:rsidR="00355619" w:rsidRPr="00903F9D">
        <w:rPr>
          <w:iCs/>
          <w:color w:val="auto"/>
        </w:rPr>
        <w:t>o</w:t>
      </w:r>
      <w:r w:rsidR="004351AC" w:rsidRPr="00903F9D">
        <w:rPr>
          <w:iCs/>
          <w:color w:val="auto"/>
        </w:rPr>
        <w:t>n a greater range of ethnicities and some men.</w:t>
      </w:r>
    </w:p>
    <w:p w14:paraId="19B82E06" w14:textId="0FB0DFBB" w:rsidR="00DD3F33" w:rsidRPr="00903F9D" w:rsidRDefault="00532B36" w:rsidP="00E76AE0">
      <w:pPr>
        <w:pStyle w:val="Instructionaltext"/>
        <w:rPr>
          <w:color w:val="auto"/>
        </w:rPr>
      </w:pPr>
      <w:r w:rsidRPr="00903F9D">
        <w:rPr>
          <w:iCs/>
          <w:color w:val="auto"/>
        </w:rPr>
        <w:t xml:space="preserve">Amorim 2021 recruited 343 women aged 30-80 years (59.9 ± 10.2 years) who self-reported their ethnicity as Asian (8.4%), Caucasian (69.6%), African descendent (14.9%) or miscegenated (7.1%). </w:t>
      </w:r>
      <w:proofErr w:type="spellStart"/>
      <w:r w:rsidRPr="00903F9D">
        <w:rPr>
          <w:iCs/>
          <w:color w:val="auto"/>
        </w:rPr>
        <w:t>Nowakowska</w:t>
      </w:r>
      <w:proofErr w:type="spellEnd"/>
      <w:r w:rsidRPr="00903F9D">
        <w:rPr>
          <w:iCs/>
          <w:color w:val="auto"/>
        </w:rPr>
        <w:t>-Plaza 2021 included 116 participants, of which 18 participants were male.</w:t>
      </w:r>
      <w:r w:rsidR="004351AC" w:rsidRPr="00903F9D">
        <w:rPr>
          <w:color w:val="auto"/>
        </w:rPr>
        <w:t xml:space="preserve"> </w:t>
      </w:r>
      <w:r w:rsidR="0019457C" w:rsidRPr="00903F9D">
        <w:rPr>
          <w:color w:val="auto"/>
        </w:rPr>
        <w:t>After exclusion of scans</w:t>
      </w:r>
      <w:r w:rsidR="00825344" w:rsidRPr="00903F9D">
        <w:rPr>
          <w:color w:val="auto"/>
        </w:rPr>
        <w:t xml:space="preserve"> with quality errors</w:t>
      </w:r>
      <w:r w:rsidR="004351AC" w:rsidRPr="00903F9D">
        <w:rPr>
          <w:color w:val="auto"/>
        </w:rPr>
        <w:t xml:space="preserve"> in Amorim 2021, the analysed sample consisted of 66% (227/343 [343 minus 41 DXA – 67 REMS – 10 REMS missing =225]) of lumbar scans and 69% (238/343 [343 minus 30 DXA – 63 REMS=238]) of hip scans.</w:t>
      </w:r>
      <w:r w:rsidR="00F03837" w:rsidRPr="00903F9D">
        <w:rPr>
          <w:color w:val="auto"/>
        </w:rPr>
        <w:t xml:space="preserve"> After exclusion of scans</w:t>
      </w:r>
      <w:r w:rsidR="00825344" w:rsidRPr="00903F9D">
        <w:rPr>
          <w:color w:val="auto"/>
        </w:rPr>
        <w:t xml:space="preserve"> with quality erro</w:t>
      </w:r>
      <w:r w:rsidR="00BF51FF" w:rsidRPr="00903F9D">
        <w:rPr>
          <w:color w:val="auto"/>
        </w:rPr>
        <w:t>r</w:t>
      </w:r>
      <w:r w:rsidR="00825344" w:rsidRPr="00903F9D">
        <w:rPr>
          <w:color w:val="auto"/>
        </w:rPr>
        <w:t>s</w:t>
      </w:r>
      <w:r w:rsidR="00F03837" w:rsidRPr="00903F9D">
        <w:rPr>
          <w:color w:val="auto"/>
        </w:rPr>
        <w:t xml:space="preserve"> in </w:t>
      </w:r>
      <w:proofErr w:type="spellStart"/>
      <w:r w:rsidR="00F03837" w:rsidRPr="00903F9D">
        <w:rPr>
          <w:color w:val="auto"/>
        </w:rPr>
        <w:t>Nowak</w:t>
      </w:r>
      <w:r w:rsidR="00DB2206" w:rsidRPr="00903F9D">
        <w:rPr>
          <w:color w:val="auto"/>
        </w:rPr>
        <w:t>ow</w:t>
      </w:r>
      <w:r w:rsidR="00F03837" w:rsidRPr="00903F9D">
        <w:rPr>
          <w:color w:val="auto"/>
        </w:rPr>
        <w:t>ska</w:t>
      </w:r>
      <w:proofErr w:type="spellEnd"/>
      <w:r w:rsidR="00F03837" w:rsidRPr="00903F9D">
        <w:rPr>
          <w:color w:val="auto"/>
        </w:rPr>
        <w:t>-Plaza 2021, the analysed sample consisted of 5</w:t>
      </w:r>
      <w:r w:rsidR="009D32DF" w:rsidRPr="00903F9D">
        <w:rPr>
          <w:color w:val="auto"/>
        </w:rPr>
        <w:t>2</w:t>
      </w:r>
      <w:r w:rsidR="00F03837" w:rsidRPr="00903F9D">
        <w:rPr>
          <w:color w:val="auto"/>
        </w:rPr>
        <w:t>% (</w:t>
      </w:r>
      <w:r w:rsidR="00DB2206" w:rsidRPr="00903F9D">
        <w:rPr>
          <w:color w:val="auto"/>
        </w:rPr>
        <w:t>58</w:t>
      </w:r>
      <w:r w:rsidR="00F03837" w:rsidRPr="00903F9D">
        <w:rPr>
          <w:color w:val="auto"/>
        </w:rPr>
        <w:t>/11</w:t>
      </w:r>
      <w:r w:rsidR="00DB2206" w:rsidRPr="00903F9D">
        <w:rPr>
          <w:color w:val="auto"/>
        </w:rPr>
        <w:t>1</w:t>
      </w:r>
      <w:r w:rsidR="00F03837" w:rsidRPr="00903F9D">
        <w:rPr>
          <w:color w:val="auto"/>
        </w:rPr>
        <w:t xml:space="preserve"> [11</w:t>
      </w:r>
      <w:r w:rsidR="00DB2206" w:rsidRPr="00903F9D">
        <w:rPr>
          <w:color w:val="auto"/>
        </w:rPr>
        <w:t xml:space="preserve">1 minus 40 DXA – 10 REMS - 3 REMS missing]) of lumbar scans and </w:t>
      </w:r>
      <w:r w:rsidR="009D32DF" w:rsidRPr="00903F9D">
        <w:rPr>
          <w:color w:val="auto"/>
        </w:rPr>
        <w:t xml:space="preserve">57% </w:t>
      </w:r>
      <w:r w:rsidR="00DB2206" w:rsidRPr="00903F9D">
        <w:rPr>
          <w:color w:val="auto"/>
        </w:rPr>
        <w:t xml:space="preserve">66/115 [115 minus </w:t>
      </w:r>
      <w:r w:rsidR="009D32DF" w:rsidRPr="00903F9D">
        <w:rPr>
          <w:color w:val="auto"/>
        </w:rPr>
        <w:t>36 DXA – 11 REMS - 1 DXA missing - 1 REMS missing]).</w:t>
      </w:r>
    </w:p>
    <w:p w14:paraId="74B5215B" w14:textId="0F83B2BF" w:rsidR="007A4A11" w:rsidRPr="00903F9D" w:rsidRDefault="007A4A11" w:rsidP="00E76AE0">
      <w:pPr>
        <w:pStyle w:val="Instructionaltext"/>
        <w:rPr>
          <w:color w:val="auto"/>
        </w:rPr>
      </w:pPr>
      <w:proofErr w:type="spellStart"/>
      <w:r w:rsidRPr="00903F9D">
        <w:rPr>
          <w:color w:val="auto"/>
        </w:rPr>
        <w:t>Adami</w:t>
      </w:r>
      <w:proofErr w:type="spellEnd"/>
      <w:r w:rsidRPr="00903F9D">
        <w:rPr>
          <w:color w:val="auto"/>
        </w:rPr>
        <w:t xml:space="preserve"> 2020 recruited Caucasian women aged 30-90 years. The sample included 1,516 with 1,370 (90%) patients completing the study as 146 patients dropped out due to voluntary drop-out or death.</w:t>
      </w:r>
    </w:p>
    <w:p w14:paraId="49CA6BD4" w14:textId="77BE6612" w:rsidR="000A4139" w:rsidRPr="00903F9D" w:rsidRDefault="000A4139" w:rsidP="00E76AE0">
      <w:pPr>
        <w:pStyle w:val="Instructionaltext"/>
        <w:rPr>
          <w:color w:val="auto"/>
        </w:rPr>
      </w:pPr>
      <w:r w:rsidRPr="00903F9D">
        <w:rPr>
          <w:color w:val="auto"/>
        </w:rPr>
        <w:t xml:space="preserve">Given the high number of excluded scans </w:t>
      </w:r>
      <w:r w:rsidR="009B6D54" w:rsidRPr="00903F9D">
        <w:rPr>
          <w:color w:val="auto"/>
        </w:rPr>
        <w:t xml:space="preserve">in </w:t>
      </w:r>
      <w:r w:rsidRPr="00903F9D">
        <w:rPr>
          <w:color w:val="auto"/>
        </w:rPr>
        <w:t xml:space="preserve">Amorim 2021 and </w:t>
      </w:r>
      <w:proofErr w:type="spellStart"/>
      <w:r w:rsidRPr="00903F9D">
        <w:rPr>
          <w:color w:val="auto"/>
        </w:rPr>
        <w:t>Nowakowska</w:t>
      </w:r>
      <w:proofErr w:type="spellEnd"/>
      <w:r w:rsidRPr="00903F9D">
        <w:rPr>
          <w:color w:val="auto"/>
        </w:rPr>
        <w:t xml:space="preserve">-Plaza 2021, the risk of bias for flow and timing </w:t>
      </w:r>
      <w:proofErr w:type="gramStart"/>
      <w:r w:rsidRPr="00903F9D">
        <w:rPr>
          <w:color w:val="auto"/>
        </w:rPr>
        <w:t>was considered to be</w:t>
      </w:r>
      <w:proofErr w:type="gramEnd"/>
      <w:r w:rsidRPr="00903F9D">
        <w:rPr>
          <w:color w:val="auto"/>
        </w:rPr>
        <w:t xml:space="preserve"> ‘unclear’.</w:t>
      </w:r>
    </w:p>
    <w:p w14:paraId="75978113" w14:textId="36468EE8" w:rsidR="00956ACE" w:rsidRPr="00903F9D" w:rsidRDefault="00956ACE" w:rsidP="00B833CE">
      <w:pPr>
        <w:pStyle w:val="Caption"/>
        <w:rPr>
          <w:sz w:val="16"/>
          <w:szCs w:val="16"/>
        </w:rPr>
      </w:pPr>
      <w:bookmarkStart w:id="26" w:name="_Ref69725659"/>
      <w:r w:rsidRPr="00903F9D">
        <w:lastRenderedPageBreak/>
        <w:t>Table</w:t>
      </w:r>
      <w:r w:rsidR="004A4FDF" w:rsidRPr="00903F9D">
        <w:t> </w:t>
      </w:r>
      <w:r w:rsidR="008D0E73">
        <w:fldChar w:fldCharType="begin"/>
      </w:r>
      <w:r w:rsidR="008D0E73">
        <w:instrText xml:space="preserve"> SEQ Table \* ARABIC </w:instrText>
      </w:r>
      <w:r w:rsidR="008D0E73">
        <w:fldChar w:fldCharType="separate"/>
      </w:r>
      <w:r w:rsidR="00DF3307" w:rsidRPr="00903F9D">
        <w:rPr>
          <w:noProof/>
        </w:rPr>
        <w:t>6</w:t>
      </w:r>
      <w:r w:rsidR="008D0E73">
        <w:rPr>
          <w:noProof/>
        </w:rPr>
        <w:fldChar w:fldCharType="end"/>
      </w:r>
      <w:bookmarkEnd w:id="26"/>
      <w:r w:rsidRPr="00903F9D">
        <w:tab/>
        <w:t>Key features of the included evidence</w:t>
      </w:r>
    </w:p>
    <w:tbl>
      <w:tblPr>
        <w:tblStyle w:val="TableGrid1"/>
        <w:tblW w:w="5000" w:type="pct"/>
        <w:tblLook w:val="04A0" w:firstRow="1" w:lastRow="0" w:firstColumn="1" w:lastColumn="0" w:noHBand="0" w:noVBand="1"/>
      </w:tblPr>
      <w:tblGrid>
        <w:gridCol w:w="1820"/>
        <w:gridCol w:w="2429"/>
        <w:gridCol w:w="1702"/>
        <w:gridCol w:w="3065"/>
      </w:tblGrid>
      <w:tr w:rsidR="00956ACE" w:rsidRPr="00903F9D" w14:paraId="4D5BD9EE" w14:textId="77777777" w:rsidTr="009C099B">
        <w:trPr>
          <w:cnfStyle w:val="100000000000" w:firstRow="1" w:lastRow="0" w:firstColumn="0" w:lastColumn="0" w:oddVBand="0" w:evenVBand="0" w:oddHBand="0" w:evenHBand="0" w:firstRowFirstColumn="0" w:firstRowLastColumn="0" w:lastRowFirstColumn="0" w:lastRowLastColumn="0"/>
        </w:trPr>
        <w:tc>
          <w:tcPr>
            <w:tcW w:w="1009" w:type="pct"/>
            <w:tcBorders>
              <w:top w:val="single" w:sz="4" w:space="0" w:color="auto"/>
              <w:left w:val="single" w:sz="4" w:space="0" w:color="auto"/>
              <w:bottom w:val="single" w:sz="4" w:space="0" w:color="auto"/>
              <w:right w:val="single" w:sz="4" w:space="0" w:color="auto"/>
            </w:tcBorders>
            <w:vAlign w:val="bottom"/>
          </w:tcPr>
          <w:p w14:paraId="503FA6AB" w14:textId="77777777" w:rsidR="00956ACE" w:rsidRPr="00903F9D" w:rsidRDefault="00BC4972" w:rsidP="00670650">
            <w:pPr>
              <w:pStyle w:val="TableText"/>
              <w:keepNext/>
              <w:rPr>
                <w:b/>
              </w:rPr>
            </w:pPr>
            <w:bookmarkStart w:id="27" w:name="ColumnTitle_Table4"/>
            <w:bookmarkStart w:id="28" w:name="_Hlk68276288"/>
            <w:bookmarkEnd w:id="27"/>
            <w:r w:rsidRPr="00903F9D">
              <w:rPr>
                <w:b/>
              </w:rPr>
              <w:t>Criteri</w:t>
            </w:r>
            <w:r w:rsidR="004D4425" w:rsidRPr="00903F9D">
              <w:rPr>
                <w:b/>
              </w:rPr>
              <w:t>on</w:t>
            </w:r>
          </w:p>
        </w:tc>
        <w:tc>
          <w:tcPr>
            <w:tcW w:w="1347" w:type="pct"/>
            <w:tcBorders>
              <w:top w:val="single" w:sz="4" w:space="0" w:color="auto"/>
              <w:left w:val="single" w:sz="4" w:space="0" w:color="auto"/>
              <w:bottom w:val="single" w:sz="4" w:space="0" w:color="auto"/>
              <w:right w:val="single" w:sz="4" w:space="0" w:color="auto"/>
            </w:tcBorders>
            <w:vAlign w:val="bottom"/>
            <w:hideMark/>
          </w:tcPr>
          <w:p w14:paraId="34E9D633" w14:textId="77777777" w:rsidR="00956ACE" w:rsidRPr="00903F9D" w:rsidRDefault="00956ACE" w:rsidP="00670650">
            <w:pPr>
              <w:pStyle w:val="TableText"/>
              <w:keepNext/>
              <w:rPr>
                <w:b/>
              </w:rPr>
            </w:pPr>
            <w:r w:rsidRPr="00903F9D">
              <w:rPr>
                <w:b/>
              </w:rPr>
              <w:t>Type of evidence supplied</w:t>
            </w:r>
          </w:p>
        </w:tc>
        <w:tc>
          <w:tcPr>
            <w:tcW w:w="944" w:type="pct"/>
            <w:tcBorders>
              <w:top w:val="single" w:sz="4" w:space="0" w:color="auto"/>
              <w:left w:val="single" w:sz="4" w:space="0" w:color="auto"/>
              <w:bottom w:val="single" w:sz="4" w:space="0" w:color="auto"/>
              <w:right w:val="single" w:sz="4" w:space="0" w:color="auto"/>
            </w:tcBorders>
            <w:vAlign w:val="bottom"/>
            <w:hideMark/>
          </w:tcPr>
          <w:p w14:paraId="09CB2179" w14:textId="77777777" w:rsidR="00956ACE" w:rsidRPr="00903F9D" w:rsidRDefault="00956ACE" w:rsidP="00670650">
            <w:pPr>
              <w:pStyle w:val="TableText"/>
              <w:keepNext/>
              <w:rPr>
                <w:b/>
              </w:rPr>
            </w:pPr>
            <w:r w:rsidRPr="00903F9D">
              <w:rPr>
                <w:b/>
              </w:rPr>
              <w:t>Extent of evidence supplied</w:t>
            </w:r>
          </w:p>
        </w:tc>
        <w:tc>
          <w:tcPr>
            <w:tcW w:w="1700" w:type="pct"/>
            <w:tcBorders>
              <w:top w:val="single" w:sz="4" w:space="0" w:color="auto"/>
              <w:left w:val="single" w:sz="4" w:space="0" w:color="auto"/>
              <w:bottom w:val="single" w:sz="4" w:space="0" w:color="auto"/>
              <w:right w:val="single" w:sz="4" w:space="0" w:color="auto"/>
            </w:tcBorders>
            <w:vAlign w:val="bottom"/>
            <w:hideMark/>
          </w:tcPr>
          <w:p w14:paraId="50CFC23F" w14:textId="77777777" w:rsidR="00956ACE" w:rsidRPr="00903F9D" w:rsidRDefault="00956ACE" w:rsidP="00670650">
            <w:pPr>
              <w:pStyle w:val="TableText"/>
              <w:keepNext/>
              <w:rPr>
                <w:b/>
              </w:rPr>
            </w:pPr>
            <w:r w:rsidRPr="00903F9D">
              <w:rPr>
                <w:b/>
              </w:rPr>
              <w:t>Overall risk of bias in evidence base</w:t>
            </w:r>
          </w:p>
        </w:tc>
      </w:tr>
      <w:tr w:rsidR="00956ACE" w:rsidRPr="00903F9D" w14:paraId="2583BFC6" w14:textId="77777777" w:rsidTr="009C099B">
        <w:tc>
          <w:tcPr>
            <w:tcW w:w="1009" w:type="pct"/>
            <w:tcBorders>
              <w:top w:val="single" w:sz="4" w:space="0" w:color="auto"/>
              <w:left w:val="single" w:sz="4" w:space="0" w:color="auto"/>
              <w:bottom w:val="single" w:sz="4" w:space="0" w:color="auto"/>
              <w:right w:val="single" w:sz="4" w:space="0" w:color="auto"/>
            </w:tcBorders>
            <w:hideMark/>
          </w:tcPr>
          <w:p w14:paraId="57C460A4" w14:textId="77777777" w:rsidR="00956ACE" w:rsidRPr="00903F9D" w:rsidRDefault="00956ACE" w:rsidP="00670650">
            <w:pPr>
              <w:pStyle w:val="TableText"/>
              <w:keepNext/>
            </w:pPr>
            <w:r w:rsidRPr="00903F9D">
              <w:t>Accuracy and performance of the test (cross-sectional accuracy)</w:t>
            </w:r>
          </w:p>
        </w:tc>
        <w:tc>
          <w:tcPr>
            <w:tcW w:w="1347" w:type="pct"/>
            <w:tcBorders>
              <w:top w:val="single" w:sz="4" w:space="0" w:color="auto"/>
              <w:left w:val="single" w:sz="4" w:space="0" w:color="auto"/>
              <w:bottom w:val="single" w:sz="4" w:space="0" w:color="auto"/>
              <w:right w:val="single" w:sz="4" w:space="0" w:color="auto"/>
            </w:tcBorders>
            <w:hideMark/>
          </w:tcPr>
          <w:p w14:paraId="23BC63F9" w14:textId="5438A46B" w:rsidR="00FA5CB2" w:rsidRPr="00903F9D" w:rsidRDefault="007F64E1" w:rsidP="00670650">
            <w:pPr>
              <w:pStyle w:val="TableText"/>
              <w:keepNext/>
            </w:pPr>
            <w:r w:rsidRPr="00903F9D">
              <w:t>Multicentre, cross-sectional, observational cohort, prospective</w:t>
            </w:r>
            <w:r w:rsidR="00257027" w:rsidRPr="00903F9D">
              <w:t xml:space="preserve"> from </w:t>
            </w:r>
            <w:proofErr w:type="spellStart"/>
            <w:r w:rsidR="00257027" w:rsidRPr="00903F9D">
              <w:t>Cortet</w:t>
            </w:r>
            <w:proofErr w:type="spellEnd"/>
            <w:r w:rsidR="00257027" w:rsidRPr="00903F9D">
              <w:t xml:space="preserve"> 2021 and Di Paola 2019</w:t>
            </w:r>
          </w:p>
          <w:p w14:paraId="0D540C9F" w14:textId="1C08877F" w:rsidR="00956ACE" w:rsidRPr="00903F9D" w:rsidRDefault="0089704C" w:rsidP="00670650">
            <w:pPr>
              <w:pStyle w:val="TableText"/>
              <w:keepNext/>
            </w:pPr>
            <w:proofErr w:type="spellStart"/>
            <w:r w:rsidRPr="00903F9D">
              <w:t>EchoLight</w:t>
            </w:r>
            <w:proofErr w:type="spellEnd"/>
            <w:r w:rsidRPr="00903F9D">
              <w:t xml:space="preserve"> Italy Nov 2017</w:t>
            </w:r>
            <w:r w:rsidR="00FA5CB2" w:rsidRPr="00903F9D">
              <w:t xml:space="preserve"> was a sub study of Di Paola 2019</w:t>
            </w:r>
          </w:p>
        </w:tc>
        <w:tc>
          <w:tcPr>
            <w:tcW w:w="944" w:type="pct"/>
            <w:tcBorders>
              <w:top w:val="single" w:sz="4" w:space="0" w:color="auto"/>
              <w:left w:val="single" w:sz="4" w:space="0" w:color="auto"/>
              <w:bottom w:val="single" w:sz="4" w:space="0" w:color="auto"/>
              <w:right w:val="single" w:sz="4" w:space="0" w:color="auto"/>
            </w:tcBorders>
            <w:hideMark/>
          </w:tcPr>
          <w:p w14:paraId="6C74D5F9" w14:textId="77777777" w:rsidR="00956ACE" w:rsidRPr="00903F9D" w:rsidRDefault="008D0E73" w:rsidP="00CB3D0F">
            <w:pPr>
              <w:pStyle w:val="TableText"/>
              <w:keepNext/>
              <w:ind w:left="315" w:hanging="315"/>
            </w:pPr>
            <w:sdt>
              <w:sdtPr>
                <w:id w:val="1454910707"/>
                <w14:checkbox>
                  <w14:checked w14:val="1"/>
                  <w14:checkedState w14:val="2612" w14:font="MS Gothic"/>
                  <w14:uncheckedState w14:val="2610" w14:font="MS Gothic"/>
                </w14:checkbox>
              </w:sdtPr>
              <w:sdtEndPr/>
              <w:sdtContent>
                <w:r w:rsidR="007F64E1" w:rsidRPr="00903F9D">
                  <w:rPr>
                    <w:rFonts w:ascii="MS Gothic" w:eastAsia="MS Gothic" w:hAnsi="MS Gothic" w:hint="eastAsia"/>
                  </w:rPr>
                  <w:t>☒</w:t>
                </w:r>
              </w:sdtContent>
            </w:sdt>
            <w:r w:rsidR="00956ACE" w:rsidRPr="00903F9D">
              <w:tab/>
              <w:t>k=</w:t>
            </w:r>
            <w:r w:rsidR="00257027" w:rsidRPr="00903F9D">
              <w:t>2</w:t>
            </w:r>
            <w:r w:rsidR="00956ACE" w:rsidRPr="00903F9D">
              <w:tab/>
              <w:t>n=</w:t>
            </w:r>
            <w:r w:rsidR="005E7922" w:rsidRPr="00903F9D">
              <w:t xml:space="preserve">6,221 </w:t>
            </w:r>
            <w:r w:rsidR="00374B7F" w:rsidRPr="00903F9D">
              <w:t>(4,307+1,914)</w:t>
            </w:r>
          </w:p>
        </w:tc>
        <w:tc>
          <w:tcPr>
            <w:tcW w:w="1700" w:type="pct"/>
            <w:tcBorders>
              <w:top w:val="single" w:sz="4" w:space="0" w:color="auto"/>
              <w:left w:val="single" w:sz="4" w:space="0" w:color="auto"/>
              <w:bottom w:val="single" w:sz="4" w:space="0" w:color="auto"/>
              <w:right w:val="single" w:sz="4" w:space="0" w:color="auto"/>
            </w:tcBorders>
            <w:hideMark/>
          </w:tcPr>
          <w:p w14:paraId="5941A3B9" w14:textId="77777777" w:rsidR="00ED2133" w:rsidRPr="00903F9D" w:rsidRDefault="00ED2133" w:rsidP="00670650">
            <w:pPr>
              <w:pStyle w:val="TableText"/>
              <w:keepNext/>
            </w:pPr>
            <w:r w:rsidRPr="00903F9D">
              <w:t>QUADAS-2 checklist</w:t>
            </w:r>
          </w:p>
          <w:p w14:paraId="4632CA32" w14:textId="7C80288E" w:rsidR="00956ACE" w:rsidRPr="00903F9D" w:rsidRDefault="007E4E12" w:rsidP="00670650">
            <w:pPr>
              <w:pStyle w:val="TableText"/>
              <w:keepNext/>
            </w:pPr>
            <w:proofErr w:type="spellStart"/>
            <w:r w:rsidRPr="00903F9D">
              <w:t>Cortet</w:t>
            </w:r>
            <w:proofErr w:type="spellEnd"/>
            <w:r w:rsidRPr="00903F9D">
              <w:t xml:space="preserve"> 2021 and Di Paola 2019 low risk with unclear risk for ‘Patient selection’</w:t>
            </w:r>
            <w:r w:rsidR="005E7922" w:rsidRPr="00903F9D">
              <w:t xml:space="preserve"> and </w:t>
            </w:r>
            <w:r w:rsidR="009C099B" w:rsidRPr="00903F9D">
              <w:t>un</w:t>
            </w:r>
            <w:r w:rsidR="005E7922" w:rsidRPr="00903F9D">
              <w:t xml:space="preserve">clear risk of </w:t>
            </w:r>
            <w:r w:rsidR="009C099B" w:rsidRPr="00903F9D">
              <w:t>‘F</w:t>
            </w:r>
            <w:r w:rsidR="005E7922" w:rsidRPr="00903F9D">
              <w:t>low and timing</w:t>
            </w:r>
            <w:r w:rsidR="009C099B" w:rsidRPr="00903F9D">
              <w:t>’</w:t>
            </w:r>
            <w:r w:rsidR="009F1C02" w:rsidRPr="00903F9D">
              <w:t>.</w:t>
            </w:r>
          </w:p>
        </w:tc>
      </w:tr>
      <w:tr w:rsidR="0069653F" w:rsidRPr="00903F9D" w14:paraId="39710AD7" w14:textId="77777777" w:rsidTr="009C099B">
        <w:tc>
          <w:tcPr>
            <w:tcW w:w="1009" w:type="pct"/>
            <w:tcBorders>
              <w:top w:val="single" w:sz="4" w:space="0" w:color="auto"/>
              <w:left w:val="single" w:sz="4" w:space="0" w:color="auto"/>
              <w:bottom w:val="single" w:sz="4" w:space="0" w:color="auto"/>
              <w:right w:val="single" w:sz="4" w:space="0" w:color="auto"/>
            </w:tcBorders>
          </w:tcPr>
          <w:p w14:paraId="4A60E014" w14:textId="77777777" w:rsidR="0069653F" w:rsidRPr="00903F9D" w:rsidRDefault="0069653F" w:rsidP="00670650">
            <w:pPr>
              <w:pStyle w:val="TableText"/>
              <w:keepNext/>
            </w:pPr>
            <w:r w:rsidRPr="00903F9D">
              <w:t>Accuracy and performance of the test (cross-sectional accuracy)</w:t>
            </w:r>
          </w:p>
        </w:tc>
        <w:tc>
          <w:tcPr>
            <w:tcW w:w="1347" w:type="pct"/>
            <w:tcBorders>
              <w:top w:val="single" w:sz="4" w:space="0" w:color="auto"/>
              <w:left w:val="single" w:sz="4" w:space="0" w:color="auto"/>
              <w:bottom w:val="single" w:sz="4" w:space="0" w:color="auto"/>
              <w:right w:val="single" w:sz="4" w:space="0" w:color="auto"/>
            </w:tcBorders>
          </w:tcPr>
          <w:p w14:paraId="01812E3F" w14:textId="77777777" w:rsidR="0069653F" w:rsidRPr="00903F9D" w:rsidRDefault="0089704C" w:rsidP="00670650">
            <w:pPr>
              <w:pStyle w:val="TableText"/>
              <w:keepNext/>
            </w:pPr>
            <w:r w:rsidRPr="00903F9D">
              <w:t>C</w:t>
            </w:r>
            <w:r w:rsidR="0069653F" w:rsidRPr="00903F9D">
              <w:t xml:space="preserve">ross-sectional, observational cohort, prospective from Amorim 2021 and </w:t>
            </w:r>
            <w:proofErr w:type="spellStart"/>
            <w:r w:rsidR="0069653F" w:rsidRPr="00903F9D">
              <w:t>Nowakowska</w:t>
            </w:r>
            <w:proofErr w:type="spellEnd"/>
            <w:r w:rsidR="0069653F" w:rsidRPr="00903F9D">
              <w:t>-Plaza 2021</w:t>
            </w:r>
          </w:p>
        </w:tc>
        <w:tc>
          <w:tcPr>
            <w:tcW w:w="944" w:type="pct"/>
            <w:tcBorders>
              <w:top w:val="single" w:sz="4" w:space="0" w:color="auto"/>
              <w:left w:val="single" w:sz="4" w:space="0" w:color="auto"/>
              <w:bottom w:val="single" w:sz="4" w:space="0" w:color="auto"/>
              <w:right w:val="single" w:sz="4" w:space="0" w:color="auto"/>
            </w:tcBorders>
          </w:tcPr>
          <w:p w14:paraId="53D7C53B" w14:textId="77777777" w:rsidR="0069653F" w:rsidRPr="00903F9D" w:rsidRDefault="008D0E73" w:rsidP="00CB3D0F">
            <w:pPr>
              <w:pStyle w:val="TableText"/>
              <w:keepNext/>
              <w:ind w:left="315" w:hanging="315"/>
            </w:pPr>
            <w:sdt>
              <w:sdtPr>
                <w:id w:val="792482613"/>
                <w14:checkbox>
                  <w14:checked w14:val="1"/>
                  <w14:checkedState w14:val="2612" w14:font="MS Gothic"/>
                  <w14:uncheckedState w14:val="2610" w14:font="MS Gothic"/>
                </w14:checkbox>
              </w:sdtPr>
              <w:sdtEndPr/>
              <w:sdtContent>
                <w:r w:rsidR="0069653F" w:rsidRPr="00903F9D">
                  <w:rPr>
                    <w:rFonts w:ascii="MS Gothic" w:eastAsia="MS Gothic" w:hAnsi="MS Gothic" w:hint="eastAsia"/>
                  </w:rPr>
                  <w:t>☒</w:t>
                </w:r>
              </w:sdtContent>
            </w:sdt>
            <w:r w:rsidR="0069653F" w:rsidRPr="00903F9D">
              <w:tab/>
              <w:t>k=2</w:t>
            </w:r>
            <w:r w:rsidR="0069653F" w:rsidRPr="00903F9D">
              <w:tab/>
              <w:t>n=459 (343+116)</w:t>
            </w:r>
          </w:p>
        </w:tc>
        <w:tc>
          <w:tcPr>
            <w:tcW w:w="1700" w:type="pct"/>
            <w:tcBorders>
              <w:top w:val="single" w:sz="4" w:space="0" w:color="auto"/>
              <w:left w:val="single" w:sz="4" w:space="0" w:color="auto"/>
              <w:bottom w:val="single" w:sz="4" w:space="0" w:color="auto"/>
              <w:right w:val="single" w:sz="4" w:space="0" w:color="auto"/>
            </w:tcBorders>
          </w:tcPr>
          <w:p w14:paraId="17B657EE" w14:textId="77777777" w:rsidR="0069653F" w:rsidRPr="00903F9D" w:rsidRDefault="0069653F" w:rsidP="0069653F">
            <w:pPr>
              <w:pStyle w:val="TableText"/>
              <w:keepNext/>
            </w:pPr>
            <w:r w:rsidRPr="00903F9D">
              <w:t>QUADAS-2 checklist</w:t>
            </w:r>
          </w:p>
          <w:p w14:paraId="524B9A73" w14:textId="67C5936D" w:rsidR="003B1F73" w:rsidRPr="00903F9D" w:rsidRDefault="00F03837" w:rsidP="009C099B">
            <w:pPr>
              <w:pStyle w:val="TableText"/>
              <w:keepNext/>
            </w:pPr>
            <w:r w:rsidRPr="00903F9D">
              <w:t xml:space="preserve">Amorim </w:t>
            </w:r>
            <w:r w:rsidR="0069653F" w:rsidRPr="00903F9D">
              <w:t xml:space="preserve">2021 and </w:t>
            </w:r>
            <w:proofErr w:type="spellStart"/>
            <w:r w:rsidRPr="00903F9D">
              <w:t>Nowakowska</w:t>
            </w:r>
            <w:proofErr w:type="spellEnd"/>
            <w:r w:rsidRPr="00903F9D">
              <w:t>-Plaza</w:t>
            </w:r>
            <w:r w:rsidR="0069653F" w:rsidRPr="00903F9D">
              <w:t xml:space="preserve"> 2019 low risk for ‘Patient selection’ and </w:t>
            </w:r>
            <w:r w:rsidR="009C099B" w:rsidRPr="00903F9D">
              <w:t>u</w:t>
            </w:r>
            <w:r w:rsidR="0069653F" w:rsidRPr="00903F9D">
              <w:t xml:space="preserve">nclear risk of </w:t>
            </w:r>
            <w:r w:rsidR="009C099B" w:rsidRPr="00903F9D">
              <w:t>‘F</w:t>
            </w:r>
            <w:r w:rsidR="0069653F" w:rsidRPr="00903F9D">
              <w:t>low and timing</w:t>
            </w:r>
            <w:r w:rsidR="009C099B" w:rsidRPr="00903F9D">
              <w:t>’</w:t>
            </w:r>
            <w:r w:rsidR="003B1F73" w:rsidRPr="00903F9D">
              <w:t>.</w:t>
            </w:r>
          </w:p>
        </w:tc>
      </w:tr>
      <w:tr w:rsidR="005E7922" w:rsidRPr="00903F9D" w14:paraId="7FEF807D" w14:textId="77777777" w:rsidTr="009C099B">
        <w:tc>
          <w:tcPr>
            <w:tcW w:w="1009" w:type="pct"/>
            <w:tcBorders>
              <w:top w:val="single" w:sz="4" w:space="0" w:color="auto"/>
              <w:left w:val="single" w:sz="4" w:space="0" w:color="auto"/>
              <w:bottom w:val="single" w:sz="4" w:space="0" w:color="auto"/>
              <w:right w:val="single" w:sz="4" w:space="0" w:color="auto"/>
            </w:tcBorders>
          </w:tcPr>
          <w:p w14:paraId="40B9A482" w14:textId="10158FD5" w:rsidR="005E7922" w:rsidRPr="00903F9D" w:rsidRDefault="00374B7F" w:rsidP="00670650">
            <w:pPr>
              <w:pStyle w:val="TableText"/>
              <w:keepNext/>
            </w:pPr>
            <w:r w:rsidRPr="00903F9D">
              <w:t xml:space="preserve">Health outcomes - </w:t>
            </w:r>
            <w:r w:rsidR="00672442" w:rsidRPr="00903F9D">
              <w:t>f</w:t>
            </w:r>
            <w:r w:rsidRPr="00903F9D">
              <w:t>racture risk prediction concordance identification</w:t>
            </w:r>
          </w:p>
        </w:tc>
        <w:tc>
          <w:tcPr>
            <w:tcW w:w="1347" w:type="pct"/>
            <w:tcBorders>
              <w:top w:val="single" w:sz="4" w:space="0" w:color="auto"/>
              <w:left w:val="single" w:sz="4" w:space="0" w:color="auto"/>
              <w:bottom w:val="single" w:sz="4" w:space="0" w:color="auto"/>
              <w:right w:val="single" w:sz="4" w:space="0" w:color="auto"/>
            </w:tcBorders>
          </w:tcPr>
          <w:p w14:paraId="2CE8F73B" w14:textId="0E42D8D3" w:rsidR="005E7922" w:rsidRPr="00903F9D" w:rsidRDefault="005E7922" w:rsidP="00670650">
            <w:pPr>
              <w:pStyle w:val="TableText"/>
              <w:keepNext/>
            </w:pPr>
            <w:r w:rsidRPr="00903F9D">
              <w:t>Cross-sectional, observational cohort, prospective</w:t>
            </w:r>
            <w:r w:rsidR="00C403E9" w:rsidRPr="00903F9D">
              <w:t>, longitudinal</w:t>
            </w:r>
            <w:r w:rsidR="00DD046B" w:rsidRPr="00903F9D">
              <w:t xml:space="preserve"> from </w:t>
            </w:r>
            <w:proofErr w:type="spellStart"/>
            <w:r w:rsidR="00DD046B" w:rsidRPr="00903F9D">
              <w:t>Adami</w:t>
            </w:r>
            <w:proofErr w:type="spellEnd"/>
            <w:r w:rsidR="00DD046B" w:rsidRPr="00903F9D">
              <w:t xml:space="preserve"> 2020</w:t>
            </w:r>
          </w:p>
        </w:tc>
        <w:tc>
          <w:tcPr>
            <w:tcW w:w="944" w:type="pct"/>
            <w:tcBorders>
              <w:top w:val="single" w:sz="4" w:space="0" w:color="auto"/>
              <w:left w:val="single" w:sz="4" w:space="0" w:color="auto"/>
              <w:bottom w:val="single" w:sz="4" w:space="0" w:color="auto"/>
              <w:right w:val="single" w:sz="4" w:space="0" w:color="auto"/>
            </w:tcBorders>
          </w:tcPr>
          <w:p w14:paraId="00614A69" w14:textId="77777777" w:rsidR="005E7922" w:rsidRPr="00903F9D" w:rsidRDefault="008D0E73" w:rsidP="00E454C0">
            <w:pPr>
              <w:pStyle w:val="TableText"/>
              <w:keepNext/>
              <w:ind w:left="315" w:hanging="315"/>
            </w:pPr>
            <w:sdt>
              <w:sdtPr>
                <w:id w:val="-1880155889"/>
                <w14:checkbox>
                  <w14:checked w14:val="1"/>
                  <w14:checkedState w14:val="2612" w14:font="MS Gothic"/>
                  <w14:uncheckedState w14:val="2610" w14:font="MS Gothic"/>
                </w14:checkbox>
              </w:sdtPr>
              <w:sdtEndPr/>
              <w:sdtContent>
                <w:r w:rsidR="005E7922" w:rsidRPr="00903F9D">
                  <w:rPr>
                    <w:rFonts w:ascii="MS Gothic" w:eastAsia="MS Gothic" w:hAnsi="MS Gothic" w:hint="eastAsia"/>
                  </w:rPr>
                  <w:t>☒</w:t>
                </w:r>
              </w:sdtContent>
            </w:sdt>
            <w:r w:rsidR="005E7922" w:rsidRPr="00903F9D">
              <w:tab/>
              <w:t>k=1</w:t>
            </w:r>
            <w:r w:rsidR="005E7922" w:rsidRPr="00903F9D">
              <w:tab/>
              <w:t>n=1,370</w:t>
            </w:r>
          </w:p>
        </w:tc>
        <w:tc>
          <w:tcPr>
            <w:tcW w:w="1700" w:type="pct"/>
            <w:tcBorders>
              <w:top w:val="single" w:sz="4" w:space="0" w:color="auto"/>
              <w:left w:val="single" w:sz="4" w:space="0" w:color="auto"/>
              <w:bottom w:val="single" w:sz="4" w:space="0" w:color="auto"/>
              <w:right w:val="single" w:sz="4" w:space="0" w:color="auto"/>
            </w:tcBorders>
          </w:tcPr>
          <w:p w14:paraId="2F70458F" w14:textId="77777777" w:rsidR="00ED2133" w:rsidRPr="00903F9D" w:rsidRDefault="00ED2133" w:rsidP="00374B7F">
            <w:pPr>
              <w:pStyle w:val="TableText"/>
              <w:keepNext/>
            </w:pPr>
            <w:r w:rsidRPr="00903F9D">
              <w:t>Cochrane risk of bias tool</w:t>
            </w:r>
          </w:p>
          <w:p w14:paraId="01294743" w14:textId="5E5EA5FE" w:rsidR="00374B7F" w:rsidRPr="00903F9D" w:rsidRDefault="00374B7F" w:rsidP="00374B7F">
            <w:pPr>
              <w:pStyle w:val="TableText"/>
              <w:keepNext/>
            </w:pPr>
            <w:r w:rsidRPr="00903F9D">
              <w:t>Risk of bias: Low</w:t>
            </w:r>
          </w:p>
          <w:p w14:paraId="279F7BB4" w14:textId="77777777" w:rsidR="00374B7F" w:rsidRPr="00903F9D" w:rsidRDefault="00374B7F" w:rsidP="00374B7F">
            <w:pPr>
              <w:pStyle w:val="TableText"/>
              <w:keepNext/>
            </w:pPr>
            <w:r w:rsidRPr="00903F9D">
              <w:t>Inconsistency: NA</w:t>
            </w:r>
          </w:p>
          <w:p w14:paraId="2C59823B" w14:textId="77777777" w:rsidR="00374B7F" w:rsidRPr="00903F9D" w:rsidRDefault="00374B7F" w:rsidP="00374B7F">
            <w:pPr>
              <w:pStyle w:val="TableText"/>
              <w:keepNext/>
            </w:pPr>
            <w:r w:rsidRPr="00903F9D">
              <w:t>Indirectness: NA</w:t>
            </w:r>
          </w:p>
          <w:p w14:paraId="00E5EE9C" w14:textId="77777777" w:rsidR="00374B7F" w:rsidRPr="00903F9D" w:rsidRDefault="00374B7F" w:rsidP="00374B7F">
            <w:pPr>
              <w:pStyle w:val="TableText"/>
              <w:keepNext/>
            </w:pPr>
            <w:r w:rsidRPr="00903F9D">
              <w:t>Imprecision: Low</w:t>
            </w:r>
          </w:p>
          <w:p w14:paraId="0FFF985A" w14:textId="4BCF4D0D" w:rsidR="00374B7F" w:rsidRPr="00903F9D" w:rsidRDefault="00374B7F" w:rsidP="00374B7F">
            <w:pPr>
              <w:pStyle w:val="TableText"/>
              <w:keepNext/>
            </w:pPr>
            <w:r w:rsidRPr="00903F9D">
              <w:t>Publication bias: Low (5</w:t>
            </w:r>
            <w:r w:rsidR="009C099B" w:rsidRPr="00903F9D">
              <w:t>-</w:t>
            </w:r>
            <w:r w:rsidRPr="00903F9D">
              <w:t>year study)</w:t>
            </w:r>
          </w:p>
          <w:p w14:paraId="5B845CF8" w14:textId="77777777" w:rsidR="005E7922" w:rsidRPr="00903F9D" w:rsidRDefault="00374B7F" w:rsidP="00374B7F">
            <w:pPr>
              <w:pStyle w:val="TableText"/>
              <w:keepNext/>
            </w:pPr>
            <w:r w:rsidRPr="00903F9D">
              <w:t>Other: NA</w:t>
            </w:r>
          </w:p>
        </w:tc>
      </w:tr>
    </w:tbl>
    <w:p w14:paraId="222138EB" w14:textId="21B5BCE1" w:rsidR="00FA5CB2" w:rsidRPr="00903F9D" w:rsidRDefault="00FA5CB2" w:rsidP="0092090E">
      <w:pPr>
        <w:pStyle w:val="TableFigureFooter"/>
        <w:tabs>
          <w:tab w:val="left" w:pos="1260"/>
        </w:tabs>
      </w:pPr>
      <w:bookmarkStart w:id="29" w:name="_Hlk68276301"/>
      <w:bookmarkEnd w:id="28"/>
      <w:r w:rsidRPr="00903F9D">
        <w:t>Source:</w:t>
      </w:r>
      <w:r w:rsidR="00745A01" w:rsidRPr="00903F9D">
        <w:t xml:space="preserve"> Table 46 and Table 47 of the </w:t>
      </w:r>
      <w:r w:rsidR="004247E4" w:rsidRPr="00903F9D">
        <w:t xml:space="preserve">MSAC 1665 </w:t>
      </w:r>
      <w:r w:rsidR="00745A01" w:rsidRPr="00903F9D">
        <w:t xml:space="preserve">ADAR and data from Amorim 2021 and </w:t>
      </w:r>
      <w:proofErr w:type="spellStart"/>
      <w:r w:rsidR="00745A01" w:rsidRPr="00903F9D">
        <w:t>Nowakowska</w:t>
      </w:r>
      <w:proofErr w:type="spellEnd"/>
      <w:r w:rsidR="00745A01" w:rsidRPr="00903F9D">
        <w:t>-Plaza 2019.</w:t>
      </w:r>
    </w:p>
    <w:p w14:paraId="6F914C6F" w14:textId="62FB334E" w:rsidR="00956ACE" w:rsidRPr="00903F9D" w:rsidRDefault="00956ACE" w:rsidP="009C099B">
      <w:pPr>
        <w:pStyle w:val="TableFigureFooter"/>
        <w:keepNext w:val="0"/>
      </w:pPr>
      <w:r w:rsidRPr="00903F9D">
        <w:t>k=</w:t>
      </w:r>
      <w:r w:rsidR="00316C71" w:rsidRPr="00903F9D">
        <w:t xml:space="preserve"> </w:t>
      </w:r>
      <w:r w:rsidRPr="00903F9D">
        <w:t>number of studies, n=</w:t>
      </w:r>
      <w:r w:rsidR="00316C71" w:rsidRPr="00903F9D">
        <w:t xml:space="preserve"> </w:t>
      </w:r>
      <w:r w:rsidRPr="00903F9D">
        <w:t>number of patients</w:t>
      </w:r>
      <w:r w:rsidR="00DD046B" w:rsidRPr="00903F9D">
        <w:t>; NA= not applicable</w:t>
      </w:r>
      <w:r w:rsidR="004D0FC6" w:rsidRPr="00903F9D">
        <w:t>; QUADAS-2=</w:t>
      </w:r>
      <w:r w:rsidR="00F03837" w:rsidRPr="00903F9D">
        <w:t xml:space="preserve"> Quality Assessment of Diagnostic Accuracy Studies 2</w:t>
      </w:r>
      <w:r w:rsidR="00FA5CB2" w:rsidRPr="00903F9D">
        <w:t>.</w:t>
      </w:r>
    </w:p>
    <w:p w14:paraId="6D583068" w14:textId="65BEFC8F" w:rsidR="00D15F34" w:rsidRPr="00903F9D" w:rsidRDefault="00D15F34" w:rsidP="00D15F34">
      <w:pPr>
        <w:pStyle w:val="Instructionaltext"/>
        <w:rPr>
          <w:color w:val="auto"/>
        </w:rPr>
      </w:pPr>
      <w:r w:rsidRPr="00903F9D">
        <w:rPr>
          <w:iCs/>
          <w:color w:val="auto"/>
        </w:rPr>
        <w:t xml:space="preserve">In order to support the noninferiority claim of REMS compared to DXA in different </w:t>
      </w:r>
      <w:r w:rsidR="00B84E38" w:rsidRPr="00903F9D">
        <w:rPr>
          <w:rFonts w:eastAsia="Calibri" w:cs="Times New Roman"/>
          <w:color w:val="auto"/>
        </w:rPr>
        <w:t>patient groups within the proposed eligible population</w:t>
      </w:r>
      <w:r w:rsidRPr="00903F9D">
        <w:rPr>
          <w:iCs/>
          <w:color w:val="auto"/>
        </w:rPr>
        <w:t xml:space="preserve"> (including</w:t>
      </w:r>
      <w:r w:rsidR="00225A2B" w:rsidRPr="00903F9D">
        <w:rPr>
          <w:iCs/>
          <w:color w:val="auto"/>
        </w:rPr>
        <w:t xml:space="preserve"> but not limited to</w:t>
      </w:r>
      <w:r w:rsidRPr="00903F9D">
        <w:rPr>
          <w:iCs/>
          <w:color w:val="auto"/>
        </w:rPr>
        <w:t xml:space="preserve"> men, obese/large BMI patients, younger populations, different racial populations), the ADAR </w:t>
      </w:r>
      <w:r w:rsidR="00086B05" w:rsidRPr="00903F9D">
        <w:rPr>
          <w:iCs/>
          <w:color w:val="auto"/>
        </w:rPr>
        <w:t xml:space="preserve">also </w:t>
      </w:r>
      <w:r w:rsidRPr="00903F9D">
        <w:rPr>
          <w:iCs/>
          <w:color w:val="auto"/>
        </w:rPr>
        <w:t>relied on preliminary results of studies and their conference abstracts (</w:t>
      </w:r>
      <w:proofErr w:type="spellStart"/>
      <w:r w:rsidRPr="00903F9D">
        <w:rPr>
          <w:iCs/>
          <w:color w:val="auto"/>
        </w:rPr>
        <w:t>Ciardo</w:t>
      </w:r>
      <w:proofErr w:type="spellEnd"/>
      <w:r w:rsidRPr="00903F9D">
        <w:rPr>
          <w:iCs/>
          <w:color w:val="auto"/>
        </w:rPr>
        <w:t xml:space="preserve"> 2021, </w:t>
      </w:r>
      <w:proofErr w:type="spellStart"/>
      <w:r w:rsidRPr="00903F9D">
        <w:rPr>
          <w:iCs/>
          <w:color w:val="auto"/>
        </w:rPr>
        <w:t>Cortet</w:t>
      </w:r>
      <w:proofErr w:type="spellEnd"/>
      <w:r w:rsidRPr="00903F9D">
        <w:rPr>
          <w:iCs/>
          <w:color w:val="auto"/>
        </w:rPr>
        <w:t xml:space="preserve"> 2021 European E-Congress of Rheumatology </w:t>
      </w:r>
      <w:r w:rsidR="00BF51FF" w:rsidRPr="00903F9D">
        <w:rPr>
          <w:iCs/>
          <w:color w:val="auto"/>
        </w:rPr>
        <w:t>[</w:t>
      </w:r>
      <w:r w:rsidRPr="00903F9D">
        <w:rPr>
          <w:iCs/>
          <w:color w:val="auto"/>
        </w:rPr>
        <w:t>EULAR</w:t>
      </w:r>
      <w:r w:rsidR="00BF51FF" w:rsidRPr="00903F9D">
        <w:rPr>
          <w:iCs/>
          <w:color w:val="auto"/>
        </w:rPr>
        <w:t>]</w:t>
      </w:r>
      <w:r w:rsidRPr="00903F9D">
        <w:rPr>
          <w:iCs/>
          <w:color w:val="auto"/>
        </w:rPr>
        <w:t xml:space="preserve">, </w:t>
      </w:r>
      <w:proofErr w:type="spellStart"/>
      <w:r w:rsidRPr="00903F9D">
        <w:rPr>
          <w:iCs/>
          <w:color w:val="auto"/>
        </w:rPr>
        <w:t>Cortet</w:t>
      </w:r>
      <w:proofErr w:type="spellEnd"/>
      <w:r w:rsidRPr="00903F9D">
        <w:rPr>
          <w:iCs/>
          <w:color w:val="auto"/>
        </w:rPr>
        <w:t xml:space="preserve"> 2021 Virtual World Congress on Osteoporosis, Osteoarthritis and Musculoskeletal Diseases, Cavalli 2019, Conradie 2014, </w:t>
      </w:r>
      <w:proofErr w:type="spellStart"/>
      <w:r w:rsidRPr="00903F9D">
        <w:rPr>
          <w:iCs/>
          <w:color w:val="auto"/>
        </w:rPr>
        <w:t>Tomai</w:t>
      </w:r>
      <w:proofErr w:type="spellEnd"/>
      <w:r w:rsidRPr="00903F9D">
        <w:rPr>
          <w:iCs/>
          <w:color w:val="auto"/>
        </w:rPr>
        <w:t xml:space="preserve"> 2019, </w:t>
      </w:r>
      <w:proofErr w:type="spellStart"/>
      <w:r w:rsidRPr="00903F9D">
        <w:rPr>
          <w:iCs/>
          <w:color w:val="auto"/>
        </w:rPr>
        <w:t>Decianu</w:t>
      </w:r>
      <w:proofErr w:type="spellEnd"/>
      <w:r w:rsidRPr="00903F9D">
        <w:rPr>
          <w:iCs/>
          <w:color w:val="auto"/>
        </w:rPr>
        <w:t xml:space="preserve"> 2018).</w:t>
      </w:r>
      <w:r w:rsidRPr="00903F9D">
        <w:rPr>
          <w:color w:val="auto"/>
        </w:rPr>
        <w:t xml:space="preserve"> </w:t>
      </w:r>
      <w:r w:rsidR="00F03837" w:rsidRPr="00903F9D">
        <w:rPr>
          <w:color w:val="auto"/>
        </w:rPr>
        <w:t>An assessment of risk of bias was not conducted for these supplementary studies.</w:t>
      </w:r>
    </w:p>
    <w:p w14:paraId="7469B405" w14:textId="0116B185" w:rsidR="00772829" w:rsidRPr="00903F9D" w:rsidRDefault="00EB62FF" w:rsidP="002A18BE">
      <w:pPr>
        <w:pStyle w:val="Heading2"/>
        <w:numPr>
          <w:ilvl w:val="0"/>
          <w:numId w:val="0"/>
        </w:numPr>
      </w:pPr>
      <w:bookmarkStart w:id="30" w:name="_Toc69491423"/>
      <w:bookmarkEnd w:id="29"/>
      <w:r w:rsidRPr="00903F9D">
        <w:t>11</w:t>
      </w:r>
      <w:r w:rsidR="00C36633" w:rsidRPr="00903F9D">
        <w:t>.</w:t>
      </w:r>
      <w:r w:rsidR="00C36633" w:rsidRPr="00903F9D">
        <w:tab/>
      </w:r>
      <w:r w:rsidR="00772829" w:rsidRPr="00903F9D">
        <w:t>Comparative safety</w:t>
      </w:r>
      <w:bookmarkEnd w:id="30"/>
    </w:p>
    <w:p w14:paraId="162C0826" w14:textId="6244832B" w:rsidR="002C3A9F" w:rsidRPr="00903F9D" w:rsidRDefault="00992B9F" w:rsidP="006D1224">
      <w:r w:rsidRPr="00903F9D">
        <w:t>No</w:t>
      </w:r>
      <w:r w:rsidR="006D1224" w:rsidRPr="00903F9D">
        <w:t xml:space="preserve"> </w:t>
      </w:r>
      <w:r w:rsidRPr="00903F9D">
        <w:t>safety data</w:t>
      </w:r>
      <w:r w:rsidR="006D1224" w:rsidRPr="00903F9D">
        <w:t xml:space="preserve"> </w:t>
      </w:r>
      <w:r w:rsidRPr="00903F9D">
        <w:t xml:space="preserve">were </w:t>
      </w:r>
      <w:r w:rsidR="007E68D7" w:rsidRPr="00903F9D">
        <w:t>presented</w:t>
      </w:r>
      <w:r w:rsidRPr="00903F9D">
        <w:t xml:space="preserve"> </w:t>
      </w:r>
      <w:r w:rsidR="006D1224" w:rsidRPr="00903F9D">
        <w:t xml:space="preserve">in any of the studies. </w:t>
      </w:r>
      <w:r w:rsidRPr="00903F9D">
        <w:t>The ADAR noted that</w:t>
      </w:r>
      <w:r w:rsidR="007E68D7" w:rsidRPr="00903F9D">
        <w:t>,</w:t>
      </w:r>
      <w:r w:rsidRPr="00903F9D">
        <w:t xml:space="preserve"> instead of harms from the scanning process</w:t>
      </w:r>
      <w:r w:rsidR="006D1224" w:rsidRPr="00903F9D">
        <w:t>, harms may arise from</w:t>
      </w:r>
      <w:r w:rsidR="002C3A9F" w:rsidRPr="00903F9D">
        <w:t>:</w:t>
      </w:r>
    </w:p>
    <w:p w14:paraId="69CC12BC" w14:textId="7996C908" w:rsidR="00F54EEE" w:rsidRPr="00903F9D" w:rsidRDefault="004016DA" w:rsidP="00DC4305">
      <w:pPr>
        <w:pStyle w:val="ListParagraph"/>
        <w:numPr>
          <w:ilvl w:val="0"/>
          <w:numId w:val="19"/>
        </w:numPr>
      </w:pPr>
      <w:r w:rsidRPr="00903F9D">
        <w:t>I</w:t>
      </w:r>
      <w:r w:rsidR="006D1224" w:rsidRPr="00903F9D">
        <w:t>ncorrect diagnosis with either technology</w:t>
      </w:r>
      <w:r w:rsidR="0001508D" w:rsidRPr="00903F9D">
        <w:t>. Given that no major differences were noted between REMS and DXA in terms of providing a wrong diagnosis, no differences are expected in safety between the interventions.</w:t>
      </w:r>
      <w:r w:rsidR="008679A5" w:rsidRPr="00903F9D">
        <w:t xml:space="preserve"> </w:t>
      </w:r>
      <w:r w:rsidR="00BF7AF7" w:rsidRPr="00903F9D">
        <w:t>The commentary</w:t>
      </w:r>
      <w:r w:rsidR="008679A5" w:rsidRPr="00903F9D">
        <w:t xml:space="preserve"> considered </w:t>
      </w:r>
      <w:r w:rsidR="00BF7AF7" w:rsidRPr="00903F9D">
        <w:t xml:space="preserve">it </w:t>
      </w:r>
      <w:r w:rsidR="008679A5" w:rsidRPr="00903F9D">
        <w:t>reasonable that there are no specific harms attributed to differences between REMS and DXA regarding potential for wrong diagnosis. Although concordance was not 100%, it is not possible to say whether these differences may result in fewer or more cases of osteoporosis being diagnosed. However, given that no safety data was provided addressing the potential for adverse events, the appropriateness of the safety claim could not be appraised.</w:t>
      </w:r>
    </w:p>
    <w:p w14:paraId="0F808659" w14:textId="1E3BD93A" w:rsidR="006D1224" w:rsidRPr="00903F9D" w:rsidRDefault="004016DA" w:rsidP="00DC4305">
      <w:pPr>
        <w:pStyle w:val="ListParagraph"/>
        <w:numPr>
          <w:ilvl w:val="0"/>
          <w:numId w:val="19"/>
        </w:numPr>
      </w:pPr>
      <w:r w:rsidRPr="00903F9D">
        <w:t>I</w:t>
      </w:r>
      <w:r w:rsidR="006D1224" w:rsidRPr="00903F9D">
        <w:t xml:space="preserve">onising radiation </w:t>
      </w:r>
      <w:r w:rsidR="0001508D" w:rsidRPr="00903F9D">
        <w:t xml:space="preserve">with DXA </w:t>
      </w:r>
      <w:r w:rsidR="006D1224" w:rsidRPr="00903F9D">
        <w:t>in very specific populations (</w:t>
      </w:r>
      <w:proofErr w:type="gramStart"/>
      <w:r w:rsidR="006D1224" w:rsidRPr="00903F9D">
        <w:t>e.g.</w:t>
      </w:r>
      <w:proofErr w:type="gramEnd"/>
      <w:r w:rsidR="006D1224" w:rsidRPr="00903F9D">
        <w:t xml:space="preserve"> pregnant women).</w:t>
      </w:r>
      <w:r w:rsidR="006D1224" w:rsidRPr="00903F9D">
        <w:rPr>
          <w:color w:val="2E74B5" w:themeColor="accent1" w:themeShade="BF"/>
        </w:rPr>
        <w:t xml:space="preserve"> </w:t>
      </w:r>
      <w:r w:rsidR="006D1224" w:rsidRPr="00903F9D">
        <w:t xml:space="preserve">It is unlikely that a pregnant woman will undergo a DXA. </w:t>
      </w:r>
      <w:r w:rsidR="007E68D7" w:rsidRPr="00903F9D">
        <w:t>In addition, t</w:t>
      </w:r>
      <w:r w:rsidR="00A24640" w:rsidRPr="00903F9D">
        <w:t>he low exposure of patients to radiation from a DXA scan should be reiterated. “To compare the 0.5 µ</w:t>
      </w:r>
      <w:proofErr w:type="spellStart"/>
      <w:r w:rsidR="00A24640" w:rsidRPr="00903F9D">
        <w:t>Sv</w:t>
      </w:r>
      <w:proofErr w:type="spellEnd"/>
      <w:r w:rsidR="00A24640" w:rsidRPr="00903F9D">
        <w:t xml:space="preserve"> [</w:t>
      </w:r>
      <w:proofErr w:type="spellStart"/>
      <w:r w:rsidR="00A24640" w:rsidRPr="00903F9D">
        <w:t>microsieverts</w:t>
      </w:r>
      <w:proofErr w:type="spellEnd"/>
      <w:r w:rsidR="00A24640" w:rsidRPr="00903F9D">
        <w:t>] received from a lumbar spine DXA scan, the International Atomic Energy Agency (IAEA) reports that the effective dose received from natural background radiation in one day is about 10 µ</w:t>
      </w:r>
      <w:proofErr w:type="spellStart"/>
      <w:r w:rsidR="00A24640" w:rsidRPr="00903F9D">
        <w:t>Sv</w:t>
      </w:r>
      <w:proofErr w:type="spellEnd"/>
      <w:r w:rsidR="00A24640" w:rsidRPr="00903F9D">
        <w:t xml:space="preserve">.” (p.11-12, </w:t>
      </w:r>
      <w:r w:rsidR="009042DB" w:rsidRPr="00903F9D">
        <w:t xml:space="preserve">MSAC 1665 </w:t>
      </w:r>
      <w:hyperlink r:id="rId51" w:history="1">
        <w:r w:rsidR="0057751D" w:rsidRPr="00903F9D">
          <w:rPr>
            <w:rStyle w:val="Hyperlink"/>
          </w:rPr>
          <w:t>PICO confirmation</w:t>
        </w:r>
      </w:hyperlink>
      <w:r w:rsidR="00A24640" w:rsidRPr="00903F9D">
        <w:t xml:space="preserve">). Further, the </w:t>
      </w:r>
      <w:r w:rsidR="00A24640" w:rsidRPr="00903F9D">
        <w:lastRenderedPageBreak/>
        <w:t>ADAR only provided data for the diagnosis of osteoporosis rather than monitoring response to treatment, therefore, the claim that young people may benefit from the avoidance of radiation from the cumulative number of scans may be unsupported. Despite this, the provision of an additional diagnostic modality that avoids any radiation exposure may provide patients with greater consumer choice.</w:t>
      </w:r>
    </w:p>
    <w:p w14:paraId="598F14B7" w14:textId="77A07C78" w:rsidR="00772829" w:rsidRPr="00903F9D" w:rsidRDefault="00C36633" w:rsidP="002A18BE">
      <w:pPr>
        <w:pStyle w:val="Heading2"/>
        <w:numPr>
          <w:ilvl w:val="0"/>
          <w:numId w:val="0"/>
        </w:numPr>
      </w:pPr>
      <w:bookmarkStart w:id="31" w:name="_Toc69491424"/>
      <w:r w:rsidRPr="00903F9D">
        <w:t>1</w:t>
      </w:r>
      <w:r w:rsidR="00EB62FF" w:rsidRPr="00903F9D">
        <w:t>2</w:t>
      </w:r>
      <w:r w:rsidRPr="00903F9D">
        <w:t>.</w:t>
      </w:r>
      <w:r w:rsidRPr="00903F9D">
        <w:tab/>
      </w:r>
      <w:r w:rsidR="00772829" w:rsidRPr="00903F9D">
        <w:t>Comparative effectiveness</w:t>
      </w:r>
      <w:bookmarkEnd w:id="31"/>
    </w:p>
    <w:p w14:paraId="4F11A3B4" w14:textId="159423C3" w:rsidR="00B66E2C" w:rsidRPr="00903F9D" w:rsidRDefault="007152C8" w:rsidP="00F54EEE">
      <w:pPr>
        <w:pStyle w:val="Heading4"/>
      </w:pPr>
      <w:r w:rsidRPr="00903F9D">
        <w:t>General i</w:t>
      </w:r>
      <w:r w:rsidR="00E64AC6" w:rsidRPr="00903F9D">
        <w:t xml:space="preserve">ssues </w:t>
      </w:r>
      <w:r w:rsidRPr="00903F9D">
        <w:t>related to</w:t>
      </w:r>
      <w:r w:rsidR="00E64AC6" w:rsidRPr="00903F9D">
        <w:t xml:space="preserve"> </w:t>
      </w:r>
      <w:r w:rsidRPr="00903F9D">
        <w:t xml:space="preserve">the </w:t>
      </w:r>
      <w:r w:rsidR="00E64AC6" w:rsidRPr="00903F9D">
        <w:t>outcomes</w:t>
      </w:r>
    </w:p>
    <w:p w14:paraId="6DAF95EF" w14:textId="68CF019E" w:rsidR="002A4C9C" w:rsidRPr="00903F9D" w:rsidRDefault="007152C8" w:rsidP="004D0431">
      <w:pPr>
        <w:pStyle w:val="ListParagraph"/>
        <w:numPr>
          <w:ilvl w:val="0"/>
          <w:numId w:val="21"/>
        </w:numPr>
      </w:pPr>
      <w:r w:rsidRPr="00903F9D">
        <w:t xml:space="preserve">DXA as the reference standard: </w:t>
      </w:r>
      <w:r w:rsidR="00D31B87" w:rsidRPr="00903F9D">
        <w:t xml:space="preserve">PASC “concluded that comparison of BMD measurement with DXA as the reference standard was appropriate but should take into consideration the limitations of DXA.” (p.13, </w:t>
      </w:r>
      <w:r w:rsidR="005B1D9E" w:rsidRPr="00903F9D">
        <w:t xml:space="preserve">MSAC 1665 </w:t>
      </w:r>
      <w:hyperlink r:id="rId52" w:history="1">
        <w:r w:rsidR="0057751D" w:rsidRPr="00903F9D">
          <w:rPr>
            <w:rStyle w:val="Hyperlink"/>
          </w:rPr>
          <w:t>PICO confirmation</w:t>
        </w:r>
      </w:hyperlink>
      <w:r w:rsidR="00D31B87" w:rsidRPr="00903F9D">
        <w:t xml:space="preserve">). This has implications </w:t>
      </w:r>
      <w:r w:rsidR="0043524C" w:rsidRPr="00903F9D">
        <w:t xml:space="preserve">regarding </w:t>
      </w:r>
      <w:r w:rsidR="00D31B87" w:rsidRPr="00903F9D">
        <w:t>the interpretation of the rate of discordant results between REMS and DXA. Results showing less than 100% for the categorisation of osteoporosis (T-score ≤-2.5) or osteopenia (-2.5&lt; T-score &lt;-1.0) or healthy patients (T-score &gt;-1.0)</w:t>
      </w:r>
      <w:r w:rsidR="009F1C02" w:rsidRPr="00903F9D">
        <w:t xml:space="preserve"> </w:t>
      </w:r>
      <w:r w:rsidR="00D31B87" w:rsidRPr="00903F9D">
        <w:t>does not necessarily mean that REMS is worse than DXA.</w:t>
      </w:r>
    </w:p>
    <w:p w14:paraId="331C2A39" w14:textId="6068266D" w:rsidR="004E360C" w:rsidRPr="00903F9D" w:rsidRDefault="00F87235" w:rsidP="00DC4305">
      <w:pPr>
        <w:pStyle w:val="ListParagraph"/>
        <w:numPr>
          <w:ilvl w:val="0"/>
          <w:numId w:val="21"/>
        </w:numPr>
      </w:pPr>
      <w:bookmarkStart w:id="32" w:name="_Hlk100127544"/>
      <w:r w:rsidRPr="00903F9D">
        <w:t>Lack of noninferiority margins proposed</w:t>
      </w:r>
      <w:r w:rsidR="009D439D" w:rsidRPr="00903F9D">
        <w:t>:</w:t>
      </w:r>
      <w:r w:rsidRPr="00903F9D">
        <w:t xml:space="preserve"> </w:t>
      </w:r>
      <w:r w:rsidR="00B66E2C" w:rsidRPr="00903F9D">
        <w:t>The ADAR did not specify any noninferiority margins for the outcomes.</w:t>
      </w:r>
      <w:r w:rsidR="00E5079C" w:rsidRPr="00903F9D">
        <w:t xml:space="preserve"> However, given that REMS reports on the same parameter (</w:t>
      </w:r>
      <w:proofErr w:type="gramStart"/>
      <w:r w:rsidR="00E5079C" w:rsidRPr="00903F9D">
        <w:t>i.e.</w:t>
      </w:r>
      <w:proofErr w:type="gramEnd"/>
      <w:r w:rsidR="00E5079C" w:rsidRPr="00903F9D">
        <w:t xml:space="preserve"> T-score), reporting on the concordance of REMS and DXA was appropriate to establish noninferiority. If REMS and DXA are concordant, it may be reasonable to infer that there would be no difference in management upon diagnosis of osteoporosis and that health outcomes would be noninferior (p.82 of the </w:t>
      </w:r>
      <w:hyperlink r:id="rId53" w:history="1">
        <w:r w:rsidR="00E5079C" w:rsidRPr="00903F9D">
          <w:rPr>
            <w:rStyle w:val="Hyperlink"/>
          </w:rPr>
          <w:t>MSAC guidelin</w:t>
        </w:r>
        <w:r w:rsidR="00432FC4" w:rsidRPr="00903F9D">
          <w:rPr>
            <w:rStyle w:val="Hyperlink"/>
          </w:rPr>
          <w:t>es</w:t>
        </w:r>
      </w:hyperlink>
      <w:r w:rsidR="00E5079C" w:rsidRPr="00903F9D">
        <w:t xml:space="preserve">). </w:t>
      </w:r>
      <w:r w:rsidR="009D439D" w:rsidRPr="00903F9D">
        <w:t>G</w:t>
      </w:r>
      <w:r w:rsidR="00E5079C" w:rsidRPr="00903F9D">
        <w:t>iven that concordance was not 100%, direction of the discordance is unclear in terms of whether it may lead to fewer or more cases of osteoporosis being diagnosed.</w:t>
      </w:r>
      <w:r w:rsidR="00755998" w:rsidRPr="00903F9D">
        <w:t xml:space="preserve"> The results of the key studies </w:t>
      </w:r>
      <w:proofErr w:type="spellStart"/>
      <w:r w:rsidR="00755998" w:rsidRPr="00903F9D">
        <w:t>Cortet</w:t>
      </w:r>
      <w:proofErr w:type="spellEnd"/>
      <w:r w:rsidR="00755998" w:rsidRPr="00903F9D">
        <w:t xml:space="preserve"> 2021 and Di Paola 2019 from the supplementary </w:t>
      </w:r>
      <w:r w:rsidR="00766077" w:rsidRPr="00903F9D">
        <w:t xml:space="preserve">‘unchecked real-world’ </w:t>
      </w:r>
      <w:r w:rsidR="00755998" w:rsidRPr="00903F9D">
        <w:t>analysis show</w:t>
      </w:r>
      <w:r w:rsidR="001B6009" w:rsidRPr="00903F9D">
        <w:t>ed</w:t>
      </w:r>
      <w:r w:rsidR="00755998" w:rsidRPr="00903F9D">
        <w:t xml:space="preserve"> a poorer correlation and diagnostic concordance in comparison to the primary analysis. However, as no noninferiority margin was defined</w:t>
      </w:r>
      <w:r w:rsidR="001B6009" w:rsidRPr="00903F9D">
        <w:t>,</w:t>
      </w:r>
      <w:r w:rsidR="00755998" w:rsidRPr="00903F9D">
        <w:t xml:space="preserve"> the claim of noninferiority may still be met. Similarly, the </w:t>
      </w:r>
      <w:r w:rsidR="00144471" w:rsidRPr="00903F9D">
        <w:t xml:space="preserve">supplementary </w:t>
      </w:r>
      <w:r w:rsidR="00755998" w:rsidRPr="00903F9D">
        <w:t>study Amorim 2021 demonstrated lower discrimination between patients diagnosed with osteoporosis, osteopenia or healthy compared to the key studies.</w:t>
      </w:r>
      <w:r w:rsidRPr="00903F9D">
        <w:t xml:space="preserve"> </w:t>
      </w:r>
      <w:r w:rsidR="00435D11" w:rsidRPr="00903F9D">
        <w:t xml:space="preserve">The pre-ESC response </w:t>
      </w:r>
      <w:r w:rsidR="00CB3D0F" w:rsidRPr="00903F9D">
        <w:t xml:space="preserve">reiterated the claim </w:t>
      </w:r>
      <w:r w:rsidR="00435D11" w:rsidRPr="00903F9D">
        <w:t>that REMS and DXA are concordant and so it is reasonable to infer that there would be no difference in management upon diagnosis of osteoporosis and health outcomes would be noninferior.</w:t>
      </w:r>
    </w:p>
    <w:bookmarkEnd w:id="32"/>
    <w:p w14:paraId="01A609DF" w14:textId="3DFCD9A6" w:rsidR="004E360C" w:rsidRPr="00903F9D" w:rsidRDefault="00F87235" w:rsidP="00DC4305">
      <w:pPr>
        <w:pStyle w:val="ListParagraph"/>
        <w:numPr>
          <w:ilvl w:val="0"/>
          <w:numId w:val="21"/>
        </w:numPr>
      </w:pPr>
      <w:r w:rsidRPr="00903F9D">
        <w:t xml:space="preserve">Z-score not reported in the evidence: </w:t>
      </w:r>
      <w:r w:rsidR="00B66E2C" w:rsidRPr="00903F9D">
        <w:t xml:space="preserve">Z-score based analyses for REMS vs. DXA were not presented in the ADAR. A Z-score is more relevant when there is a potential </w:t>
      </w:r>
      <w:r w:rsidR="00355619" w:rsidRPr="00903F9D">
        <w:t>diagnosis</w:t>
      </w:r>
      <w:r w:rsidR="00B66E2C" w:rsidRPr="00903F9D">
        <w:t xml:space="preserve"> of secondary osteoporosis and is </w:t>
      </w:r>
      <w:proofErr w:type="gramStart"/>
      <w:r w:rsidR="00B66E2C" w:rsidRPr="00903F9D">
        <w:t>most commonly used</w:t>
      </w:r>
      <w:proofErr w:type="gramEnd"/>
      <w:r w:rsidR="00B66E2C" w:rsidRPr="00903F9D">
        <w:t xml:space="preserve"> in </w:t>
      </w:r>
      <w:r w:rsidR="00355619" w:rsidRPr="00903F9D">
        <w:t xml:space="preserve">the </w:t>
      </w:r>
      <w:r w:rsidR="00B66E2C" w:rsidRPr="00903F9D">
        <w:t>paediatric population, women who are pre-menopausal and men aged 50 years and under. This patient population may fall under the restriction specified in the MBS items approved for DXA</w:t>
      </w:r>
      <w:r w:rsidR="002C399B" w:rsidRPr="00903F9D">
        <w:t xml:space="preserve"> and would have a clinical need for Z-score</w:t>
      </w:r>
      <w:r w:rsidR="00B66E2C" w:rsidRPr="00903F9D">
        <w:t>.</w:t>
      </w:r>
      <w:r w:rsidR="002C399B" w:rsidRPr="00903F9D">
        <w:t xml:space="preserve"> The latter suggests that the listing of REMS in </w:t>
      </w:r>
      <w:r w:rsidR="001D3A38" w:rsidRPr="00903F9D">
        <w:t>patients’</w:t>
      </w:r>
      <w:r w:rsidR="002C399B" w:rsidRPr="00903F9D">
        <w:t xml:space="preserve"> populations where Z score is relevant, may not be supported by the evidence.</w:t>
      </w:r>
      <w:r w:rsidR="005236FB" w:rsidRPr="00903F9D">
        <w:t xml:space="preserve"> </w:t>
      </w:r>
      <w:r w:rsidR="009D439D" w:rsidRPr="00903F9D">
        <w:t>O</w:t>
      </w:r>
      <w:r w:rsidR="00B66E2C" w:rsidRPr="00903F9D">
        <w:t xml:space="preserve">nly a minority of the patients recruited in the two </w:t>
      </w:r>
      <w:r w:rsidR="005236FB" w:rsidRPr="00903F9D">
        <w:t>key studies</w:t>
      </w:r>
      <w:r w:rsidR="00B66E2C" w:rsidRPr="00903F9D">
        <w:t xml:space="preserve"> would have fallen under the category of </w:t>
      </w:r>
      <w:r w:rsidR="00355619" w:rsidRPr="00903F9D">
        <w:t xml:space="preserve">a </w:t>
      </w:r>
      <w:r w:rsidR="00B66E2C" w:rsidRPr="00903F9D">
        <w:t xml:space="preserve">patient </w:t>
      </w:r>
      <w:r w:rsidR="00355619" w:rsidRPr="00903F9D">
        <w:t>who</w:t>
      </w:r>
      <w:r w:rsidR="00B66E2C" w:rsidRPr="00903F9D">
        <w:t xml:space="preserve"> would benefit more </w:t>
      </w:r>
      <w:r w:rsidR="00355619" w:rsidRPr="00903F9D">
        <w:t>with</w:t>
      </w:r>
      <w:r w:rsidR="00B66E2C" w:rsidRPr="00903F9D">
        <w:t xml:space="preserve"> a Z</w:t>
      </w:r>
      <w:r w:rsidR="00BF51FF" w:rsidRPr="00903F9D">
        <w:t>-</w:t>
      </w:r>
      <w:r w:rsidR="00B66E2C" w:rsidRPr="00903F9D">
        <w:t>score (</w:t>
      </w:r>
      <w:proofErr w:type="gramStart"/>
      <w:r w:rsidR="00B66E2C" w:rsidRPr="00903F9D">
        <w:t>i.e.</w:t>
      </w:r>
      <w:proofErr w:type="gramEnd"/>
      <w:r w:rsidR="00B66E2C" w:rsidRPr="00903F9D">
        <w:t xml:space="preserve"> pre-menopausal women).</w:t>
      </w:r>
      <w:r w:rsidR="00435D11" w:rsidRPr="00903F9D">
        <w:t xml:space="preserve"> The pre-</w:t>
      </w:r>
      <w:r w:rsidR="007B7FAE" w:rsidRPr="00903F9D">
        <w:t xml:space="preserve">MSAC </w:t>
      </w:r>
      <w:r w:rsidR="00435D11" w:rsidRPr="00903F9D">
        <w:t>response</w:t>
      </w:r>
      <w:r w:rsidR="00CB3D0F" w:rsidRPr="00903F9D">
        <w:t xml:space="preserve"> acknowledged</w:t>
      </w:r>
      <w:r w:rsidR="00435D11" w:rsidRPr="00903F9D">
        <w:t xml:space="preserve"> that not all relevant populations have been investigated but </w:t>
      </w:r>
      <w:r w:rsidR="00CB3D0F" w:rsidRPr="00903F9D">
        <w:t xml:space="preserve">claimed </w:t>
      </w:r>
      <w:r w:rsidR="00435D11" w:rsidRPr="00903F9D">
        <w:t>the evidence does not suggest REMS would be inappropriate for use in these populations. There is emerging evidence</w:t>
      </w:r>
      <w:r w:rsidR="00A55D93" w:rsidRPr="00903F9D">
        <w:t xml:space="preserve"> on the use</w:t>
      </w:r>
      <w:r w:rsidR="00CB3D0F" w:rsidRPr="00903F9D">
        <w:t xml:space="preserve"> </w:t>
      </w:r>
      <w:r w:rsidR="00435D11" w:rsidRPr="00903F9D">
        <w:t xml:space="preserve">of REMS </w:t>
      </w:r>
      <w:r w:rsidR="00A55D93" w:rsidRPr="00903F9D">
        <w:t>for</w:t>
      </w:r>
      <w:r w:rsidR="00435D11" w:rsidRPr="00903F9D">
        <w:t xml:space="preserve"> men, male and female adolescents, young women with </w:t>
      </w:r>
      <w:r w:rsidR="004E360C" w:rsidRPr="00903F9D">
        <w:t>anorexia</w:t>
      </w:r>
      <w:r w:rsidR="00435D11" w:rsidRPr="00903F9D">
        <w:t xml:space="preserve"> nervosa, pregnant women, differing BMI categories (including overweight and obese)</w:t>
      </w:r>
      <w:r w:rsidR="005B5E60" w:rsidRPr="00903F9D">
        <w:t xml:space="preserve"> and the use of REMS is increasing in </w:t>
      </w:r>
      <w:r w:rsidR="00CB3D0F" w:rsidRPr="00903F9D">
        <w:t>these</w:t>
      </w:r>
      <w:r w:rsidR="005B5E60" w:rsidRPr="00903F9D">
        <w:t xml:space="preserve"> populations</w:t>
      </w:r>
      <w:r w:rsidR="00435D11" w:rsidRPr="00903F9D">
        <w:t>. The pre-</w:t>
      </w:r>
      <w:r w:rsidR="007B7FAE" w:rsidRPr="00903F9D">
        <w:t>MSAC</w:t>
      </w:r>
      <w:r w:rsidR="00435D11" w:rsidRPr="00903F9D">
        <w:t xml:space="preserve"> response also highlighted that Z-scores </w:t>
      </w:r>
      <w:r w:rsidR="005B5E60" w:rsidRPr="00903F9D">
        <w:t>are not referred to in Australian Guidelines, or MBS or PBS criteria.</w:t>
      </w:r>
    </w:p>
    <w:p w14:paraId="1CAF221A" w14:textId="504D8256" w:rsidR="001B2493" w:rsidRPr="00903F9D" w:rsidRDefault="002F61B2" w:rsidP="004E360C">
      <w:pPr>
        <w:pStyle w:val="Heading4"/>
      </w:pPr>
      <w:r w:rsidRPr="00903F9D">
        <w:lastRenderedPageBreak/>
        <w:t>Comparison of</w:t>
      </w:r>
      <w:r w:rsidR="00B6180F" w:rsidRPr="00903F9D">
        <w:t xml:space="preserve"> test accuracy </w:t>
      </w:r>
      <w:r w:rsidRPr="00903F9D">
        <w:t xml:space="preserve">(key studies) </w:t>
      </w:r>
      <w:r w:rsidR="00B6180F" w:rsidRPr="00903F9D">
        <w:t xml:space="preserve">– </w:t>
      </w:r>
      <w:r w:rsidR="00D20FD9" w:rsidRPr="00903F9D">
        <w:t xml:space="preserve">primary </w:t>
      </w:r>
      <w:r w:rsidR="00B6180F" w:rsidRPr="00903F9D">
        <w:t xml:space="preserve">quality checked scenario </w:t>
      </w:r>
      <w:r w:rsidR="001B2493" w:rsidRPr="00903F9D">
        <w:t>(</w:t>
      </w:r>
      <w:proofErr w:type="gramStart"/>
      <w:r w:rsidR="00571F6D" w:rsidRPr="00903F9D">
        <w:t>i</w:t>
      </w:r>
      <w:r w:rsidR="00B6180F" w:rsidRPr="00903F9D">
        <w:t>.e.</w:t>
      </w:r>
      <w:proofErr w:type="gramEnd"/>
      <w:r w:rsidR="00B6180F" w:rsidRPr="00903F9D">
        <w:t xml:space="preserve"> </w:t>
      </w:r>
      <w:r w:rsidR="001B2493" w:rsidRPr="00903F9D">
        <w:t xml:space="preserve">excluding </w:t>
      </w:r>
      <w:r w:rsidR="002445AE" w:rsidRPr="00903F9D">
        <w:t xml:space="preserve">REMS and DXA </w:t>
      </w:r>
      <w:r w:rsidR="001B2493" w:rsidRPr="00903F9D">
        <w:t>scans</w:t>
      </w:r>
      <w:r w:rsidR="003D12A0" w:rsidRPr="00903F9D">
        <w:t xml:space="preserve"> with quality errors</w:t>
      </w:r>
      <w:r w:rsidR="001B2493" w:rsidRPr="00903F9D">
        <w:t>)</w:t>
      </w:r>
    </w:p>
    <w:p w14:paraId="05BC05E2" w14:textId="3DE62D19" w:rsidR="00B6180F" w:rsidRPr="00903F9D" w:rsidRDefault="00B6180F" w:rsidP="00DF08CE">
      <w:r w:rsidRPr="00903F9D">
        <w:t xml:space="preserve">The results of the comparative analysis of test accuracy for REMS versus DXA </w:t>
      </w:r>
      <w:r w:rsidR="008E2AAB" w:rsidRPr="00903F9D">
        <w:t xml:space="preserve">(for the lumbar spine and femoral neck sites) </w:t>
      </w:r>
      <w:r w:rsidR="002F61B2" w:rsidRPr="00903F9D">
        <w:t>for the quality checked scenario (</w:t>
      </w:r>
      <w:proofErr w:type="gramStart"/>
      <w:r w:rsidR="002F61B2" w:rsidRPr="00903F9D">
        <w:t>i.e.</w:t>
      </w:r>
      <w:proofErr w:type="gramEnd"/>
      <w:r w:rsidR="002F61B2" w:rsidRPr="00903F9D">
        <w:t xml:space="preserve"> exclusion of REMS and DXA scans with</w:t>
      </w:r>
      <w:r w:rsidR="003D12A0" w:rsidRPr="00903F9D">
        <w:t xml:space="preserve"> quality</w:t>
      </w:r>
      <w:r w:rsidR="002F61B2" w:rsidRPr="00903F9D">
        <w:t xml:space="preserve"> errors) from the key studies (</w:t>
      </w:r>
      <w:proofErr w:type="spellStart"/>
      <w:r w:rsidR="00D35B66" w:rsidRPr="00903F9D">
        <w:t>Cortet</w:t>
      </w:r>
      <w:proofErr w:type="spellEnd"/>
      <w:r w:rsidR="00D35B66" w:rsidRPr="00903F9D">
        <w:t xml:space="preserve"> 2021 and Di Paola 2019</w:t>
      </w:r>
      <w:r w:rsidR="002F61B2" w:rsidRPr="00903F9D">
        <w:t xml:space="preserve">) are presented in </w:t>
      </w:r>
      <w:r w:rsidR="002F61B2" w:rsidRPr="00903F9D">
        <w:fldChar w:fldCharType="begin"/>
      </w:r>
      <w:r w:rsidR="002F61B2" w:rsidRPr="00903F9D">
        <w:instrText xml:space="preserve"> REF _Ref99630543 \h </w:instrText>
      </w:r>
      <w:r w:rsidR="00F97C0B" w:rsidRPr="00903F9D">
        <w:instrText xml:space="preserve"> \* MERGEFORMAT </w:instrText>
      </w:r>
      <w:r w:rsidR="002F61B2" w:rsidRPr="00903F9D">
        <w:fldChar w:fldCharType="separate"/>
      </w:r>
      <w:r w:rsidR="00DF3307" w:rsidRPr="00903F9D">
        <w:t xml:space="preserve">Table </w:t>
      </w:r>
      <w:r w:rsidR="00DF3307" w:rsidRPr="00903F9D">
        <w:rPr>
          <w:noProof/>
        </w:rPr>
        <w:t>7</w:t>
      </w:r>
      <w:r w:rsidR="002F61B2" w:rsidRPr="00903F9D">
        <w:fldChar w:fldCharType="end"/>
      </w:r>
      <w:r w:rsidR="002F61B2" w:rsidRPr="00903F9D">
        <w:t>.</w:t>
      </w:r>
      <w:r w:rsidRPr="00903F9D">
        <w:t xml:space="preserve"> This </w:t>
      </w:r>
      <w:r w:rsidR="002F61B2" w:rsidRPr="00903F9D">
        <w:t xml:space="preserve">also </w:t>
      </w:r>
      <w:r w:rsidRPr="00903F9D">
        <w:t xml:space="preserve">includes the additional total femur </w:t>
      </w:r>
      <w:r w:rsidR="00D87B03" w:rsidRPr="00903F9D">
        <w:t xml:space="preserve">score </w:t>
      </w:r>
      <w:r w:rsidRPr="00903F9D">
        <w:t>results provided by the applicant post-submission of the ADAR.</w:t>
      </w:r>
    </w:p>
    <w:p w14:paraId="299F99AF" w14:textId="47810F88" w:rsidR="00BD45F2" w:rsidRPr="00903F9D" w:rsidRDefault="00BD45F2" w:rsidP="00DF08CE">
      <w:r w:rsidRPr="00903F9D">
        <w:t>MSAC did not rely on this scenario when considering the comparative effectiveness of REMS vs DXA</w:t>
      </w:r>
      <w:r w:rsidR="00AA5E86" w:rsidRPr="00903F9D">
        <w:t xml:space="preserve"> as the pre-MSAC response stated that the unchecked/real life scenario is more consistent with clinical practice and that that the REMS software can still process and produce results when the scans are considered as “low-quality”</w:t>
      </w:r>
      <w:r w:rsidR="00637150" w:rsidRPr="00903F9D">
        <w:t>.</w:t>
      </w:r>
      <w:r w:rsidRPr="00903F9D">
        <w:t xml:space="preserve"> </w:t>
      </w:r>
      <w:r w:rsidR="00AA5E86" w:rsidRPr="00903F9D">
        <w:t>R</w:t>
      </w:r>
      <w:r w:rsidRPr="00903F9D">
        <w:t>ather MSAC considered the subsequent supplementary unchecked “real-life” scenario (</w:t>
      </w:r>
      <w:proofErr w:type="gramStart"/>
      <w:r w:rsidRPr="00903F9D">
        <w:t>i.e.</w:t>
      </w:r>
      <w:proofErr w:type="gramEnd"/>
      <w:r w:rsidRPr="00903F9D">
        <w:t xml:space="preserve"> only excluding DXA scans with quality errors) the appropriate analysis for comparing the effectiveness of REMS vs DXA.</w:t>
      </w:r>
    </w:p>
    <w:p w14:paraId="193A58B1" w14:textId="0FFCFA6F" w:rsidR="002F61B2" w:rsidRPr="00903F9D" w:rsidRDefault="002F61B2" w:rsidP="00B833CE">
      <w:pPr>
        <w:pStyle w:val="Caption"/>
      </w:pPr>
      <w:bookmarkStart w:id="33" w:name="_Ref99630543"/>
      <w:r w:rsidRPr="00903F9D">
        <w:t xml:space="preserve">Table </w:t>
      </w:r>
      <w:r w:rsidR="008D0E73">
        <w:fldChar w:fldCharType="begin"/>
      </w:r>
      <w:r w:rsidR="008D0E73">
        <w:instrText xml:space="preserve"> SEQ Table \* ARABIC </w:instrText>
      </w:r>
      <w:r w:rsidR="008D0E73">
        <w:fldChar w:fldCharType="separate"/>
      </w:r>
      <w:r w:rsidR="00DF3307" w:rsidRPr="00903F9D">
        <w:rPr>
          <w:noProof/>
        </w:rPr>
        <w:t>7</w:t>
      </w:r>
      <w:r w:rsidR="008D0E73">
        <w:rPr>
          <w:noProof/>
        </w:rPr>
        <w:fldChar w:fldCharType="end"/>
      </w:r>
      <w:bookmarkEnd w:id="33"/>
      <w:r w:rsidR="00C10D16">
        <w:tab/>
      </w:r>
      <w:r w:rsidRPr="00903F9D">
        <w:t xml:space="preserve"> </w:t>
      </w:r>
      <w:r w:rsidR="00037DEB" w:rsidRPr="00903F9D">
        <w:t>Quality check</w:t>
      </w:r>
      <w:r w:rsidR="003D12A0" w:rsidRPr="00903F9D">
        <w:t>ed</w:t>
      </w:r>
      <w:r w:rsidR="00037DEB" w:rsidRPr="00903F9D">
        <w:t xml:space="preserve"> scenario: </w:t>
      </w:r>
      <w:r w:rsidRPr="00903F9D">
        <w:t>Key study results (</w:t>
      </w:r>
      <w:proofErr w:type="spellStart"/>
      <w:r w:rsidRPr="00903F9D">
        <w:t>Cortet</w:t>
      </w:r>
      <w:proofErr w:type="spellEnd"/>
      <w:r w:rsidRPr="00903F9D">
        <w:t xml:space="preserve"> 2021, Di Paola 2019) and data from </w:t>
      </w:r>
      <w:proofErr w:type="spellStart"/>
      <w:r w:rsidRPr="00903F9D">
        <w:t>Echolight</w:t>
      </w:r>
      <w:proofErr w:type="spellEnd"/>
      <w:r w:rsidRPr="00903F9D">
        <w:t xml:space="preserve"> Italy (Nov 2017)</w:t>
      </w:r>
    </w:p>
    <w:tbl>
      <w:tblPr>
        <w:tblStyle w:val="TableGrid"/>
        <w:tblW w:w="5000" w:type="pct"/>
        <w:tblLayout w:type="fixed"/>
        <w:tblCellMar>
          <w:left w:w="0" w:type="dxa"/>
          <w:right w:w="0" w:type="dxa"/>
        </w:tblCellMar>
        <w:tblLook w:val="04A0" w:firstRow="1" w:lastRow="0" w:firstColumn="1" w:lastColumn="0" w:noHBand="0" w:noVBand="1"/>
      </w:tblPr>
      <w:tblGrid>
        <w:gridCol w:w="3099"/>
        <w:gridCol w:w="1269"/>
        <w:gridCol w:w="1298"/>
        <w:gridCol w:w="1096"/>
        <w:gridCol w:w="1132"/>
        <w:gridCol w:w="1122"/>
      </w:tblGrid>
      <w:tr w:rsidR="002F61B2" w:rsidRPr="00903F9D" w14:paraId="46F1D243" w14:textId="282006DA" w:rsidTr="001D3A38">
        <w:trPr>
          <w:trHeight w:val="170"/>
        </w:trPr>
        <w:tc>
          <w:tcPr>
            <w:tcW w:w="1718" w:type="pct"/>
            <w:vMerge w:val="restart"/>
            <w:shd w:val="clear" w:color="auto" w:fill="auto"/>
            <w:vAlign w:val="center"/>
          </w:tcPr>
          <w:p w14:paraId="6E692A82" w14:textId="0A01C729" w:rsidR="002F61B2" w:rsidRPr="00903F9D" w:rsidRDefault="002F61B2" w:rsidP="00E744E2">
            <w:pPr>
              <w:pStyle w:val="TableFigureHeading"/>
            </w:pPr>
            <w:r w:rsidRPr="00903F9D">
              <w:t>Outcomes</w:t>
            </w:r>
          </w:p>
        </w:tc>
        <w:tc>
          <w:tcPr>
            <w:tcW w:w="1424" w:type="pct"/>
            <w:gridSpan w:val="2"/>
            <w:shd w:val="clear" w:color="auto" w:fill="auto"/>
            <w:vAlign w:val="center"/>
          </w:tcPr>
          <w:p w14:paraId="53909D82" w14:textId="5FD29683" w:rsidR="002F61B2" w:rsidRPr="00903F9D" w:rsidRDefault="002F61B2" w:rsidP="00E744E2">
            <w:pPr>
              <w:pStyle w:val="TableFigureHeading"/>
              <w:jc w:val="center"/>
            </w:pPr>
            <w:proofErr w:type="spellStart"/>
            <w:r w:rsidRPr="00903F9D">
              <w:t>Cortet</w:t>
            </w:r>
            <w:proofErr w:type="spellEnd"/>
            <w:r w:rsidRPr="00903F9D">
              <w:t xml:space="preserve"> 2021</w:t>
            </w:r>
          </w:p>
        </w:tc>
        <w:tc>
          <w:tcPr>
            <w:tcW w:w="1236" w:type="pct"/>
            <w:gridSpan w:val="2"/>
            <w:shd w:val="clear" w:color="auto" w:fill="auto"/>
            <w:vAlign w:val="center"/>
          </w:tcPr>
          <w:p w14:paraId="6DF76DCC" w14:textId="697534BF" w:rsidR="002F61B2" w:rsidRPr="00903F9D" w:rsidRDefault="002F61B2" w:rsidP="00E744E2">
            <w:pPr>
              <w:pStyle w:val="TableFigureHeading"/>
              <w:jc w:val="center"/>
            </w:pPr>
            <w:r w:rsidRPr="00903F9D">
              <w:t>Di Paola 2019</w:t>
            </w:r>
          </w:p>
        </w:tc>
        <w:tc>
          <w:tcPr>
            <w:tcW w:w="622" w:type="pct"/>
            <w:shd w:val="clear" w:color="auto" w:fill="auto"/>
            <w:vAlign w:val="center"/>
          </w:tcPr>
          <w:p w14:paraId="483C28B0" w14:textId="45B0BBC3" w:rsidR="002F61B2" w:rsidRPr="00903F9D" w:rsidRDefault="002F61B2" w:rsidP="00E744E2">
            <w:pPr>
              <w:pStyle w:val="TableFigureHeading"/>
              <w:jc w:val="center"/>
            </w:pPr>
            <w:proofErr w:type="spellStart"/>
            <w:r w:rsidRPr="00903F9D">
              <w:t>EchoLight</w:t>
            </w:r>
            <w:proofErr w:type="spellEnd"/>
            <w:r w:rsidRPr="00903F9D">
              <w:t xml:space="preserve"> Nov 2017</w:t>
            </w:r>
          </w:p>
        </w:tc>
      </w:tr>
      <w:tr w:rsidR="002F61B2" w:rsidRPr="00903F9D" w14:paraId="78D080B3" w14:textId="71E7F4A4" w:rsidTr="001D3A38">
        <w:trPr>
          <w:trHeight w:val="170"/>
        </w:trPr>
        <w:tc>
          <w:tcPr>
            <w:tcW w:w="1718" w:type="pct"/>
            <w:vMerge/>
            <w:shd w:val="clear" w:color="auto" w:fill="auto"/>
            <w:vAlign w:val="center"/>
          </w:tcPr>
          <w:p w14:paraId="461C2483" w14:textId="6FB398F5" w:rsidR="002F61B2" w:rsidRPr="00903F9D" w:rsidRDefault="002F61B2" w:rsidP="00E744E2">
            <w:pPr>
              <w:pStyle w:val="TableFigureHeading"/>
            </w:pPr>
          </w:p>
        </w:tc>
        <w:tc>
          <w:tcPr>
            <w:tcW w:w="704" w:type="pct"/>
            <w:shd w:val="clear" w:color="auto" w:fill="auto"/>
            <w:vAlign w:val="center"/>
          </w:tcPr>
          <w:p w14:paraId="40B19D11" w14:textId="0E18D225" w:rsidR="002F61B2" w:rsidRPr="00903F9D" w:rsidRDefault="002F61B2" w:rsidP="00E744E2">
            <w:pPr>
              <w:pStyle w:val="TableFigureHeading"/>
              <w:jc w:val="center"/>
            </w:pPr>
            <w:r w:rsidRPr="00903F9D">
              <w:t>Lumbar spine</w:t>
            </w:r>
          </w:p>
        </w:tc>
        <w:tc>
          <w:tcPr>
            <w:tcW w:w="720" w:type="pct"/>
            <w:shd w:val="clear" w:color="auto" w:fill="auto"/>
            <w:vAlign w:val="center"/>
          </w:tcPr>
          <w:p w14:paraId="78E36918" w14:textId="369A276B" w:rsidR="002F61B2" w:rsidRPr="00903F9D" w:rsidRDefault="002F61B2" w:rsidP="00E744E2">
            <w:pPr>
              <w:pStyle w:val="TableFigureHeading"/>
              <w:jc w:val="center"/>
            </w:pPr>
            <w:r w:rsidRPr="00903F9D">
              <w:t>Femoral neck</w:t>
            </w:r>
          </w:p>
        </w:tc>
        <w:tc>
          <w:tcPr>
            <w:tcW w:w="608" w:type="pct"/>
            <w:shd w:val="clear" w:color="auto" w:fill="auto"/>
            <w:vAlign w:val="center"/>
          </w:tcPr>
          <w:p w14:paraId="4743A857" w14:textId="02904D1E" w:rsidR="002F61B2" w:rsidRPr="00903F9D" w:rsidRDefault="002F61B2" w:rsidP="00E744E2">
            <w:pPr>
              <w:pStyle w:val="TableFigureHeading"/>
              <w:jc w:val="center"/>
            </w:pPr>
            <w:r w:rsidRPr="00903F9D">
              <w:t>Lumbar spine</w:t>
            </w:r>
          </w:p>
        </w:tc>
        <w:tc>
          <w:tcPr>
            <w:tcW w:w="628" w:type="pct"/>
            <w:shd w:val="clear" w:color="auto" w:fill="auto"/>
            <w:vAlign w:val="center"/>
          </w:tcPr>
          <w:p w14:paraId="099DFDBB" w14:textId="7A2013C0" w:rsidR="002F61B2" w:rsidRPr="00903F9D" w:rsidRDefault="002F61B2" w:rsidP="00E744E2">
            <w:pPr>
              <w:pStyle w:val="TableFigureHeading"/>
              <w:jc w:val="center"/>
            </w:pPr>
            <w:r w:rsidRPr="00903F9D">
              <w:t>Femoral neck</w:t>
            </w:r>
          </w:p>
        </w:tc>
        <w:tc>
          <w:tcPr>
            <w:tcW w:w="622" w:type="pct"/>
            <w:shd w:val="clear" w:color="auto" w:fill="auto"/>
            <w:vAlign w:val="center"/>
          </w:tcPr>
          <w:p w14:paraId="0D1BA689" w14:textId="21812151" w:rsidR="002F61B2" w:rsidRPr="00903F9D" w:rsidRDefault="002F61B2" w:rsidP="00E744E2">
            <w:pPr>
              <w:pStyle w:val="TableFigureHeading"/>
              <w:jc w:val="center"/>
            </w:pPr>
            <w:r w:rsidRPr="00903F9D">
              <w:t xml:space="preserve">Total </w:t>
            </w:r>
            <w:r w:rsidR="009F1C02" w:rsidRPr="00903F9D">
              <w:t>f</w:t>
            </w:r>
            <w:r w:rsidRPr="00903F9D">
              <w:t>emur</w:t>
            </w:r>
          </w:p>
        </w:tc>
      </w:tr>
      <w:tr w:rsidR="003874D3" w:rsidRPr="00903F9D" w14:paraId="6D8BB6B5" w14:textId="2FEE663E" w:rsidTr="001D3A38">
        <w:trPr>
          <w:trHeight w:val="170"/>
        </w:trPr>
        <w:tc>
          <w:tcPr>
            <w:tcW w:w="1718" w:type="pct"/>
            <w:shd w:val="clear" w:color="auto" w:fill="auto"/>
            <w:vAlign w:val="center"/>
          </w:tcPr>
          <w:p w14:paraId="71E6564D" w14:textId="46D73A8A" w:rsidR="003874D3" w:rsidRPr="00903F9D" w:rsidRDefault="003874D3" w:rsidP="003874D3">
            <w:pPr>
              <w:pStyle w:val="TableText"/>
            </w:pPr>
            <w:r w:rsidRPr="00903F9D">
              <w:t>Total scans, N</w:t>
            </w:r>
          </w:p>
        </w:tc>
        <w:tc>
          <w:tcPr>
            <w:tcW w:w="704" w:type="pct"/>
            <w:shd w:val="clear" w:color="auto" w:fill="auto"/>
            <w:vAlign w:val="center"/>
          </w:tcPr>
          <w:p w14:paraId="2C89AACE" w14:textId="3C104D6E" w:rsidR="003874D3" w:rsidRPr="00903F9D" w:rsidRDefault="003874D3" w:rsidP="003874D3">
            <w:pPr>
              <w:pStyle w:val="TableText"/>
              <w:jc w:val="center"/>
            </w:pPr>
            <w:r w:rsidRPr="00903F9D">
              <w:t>4,245</w:t>
            </w:r>
          </w:p>
        </w:tc>
        <w:tc>
          <w:tcPr>
            <w:tcW w:w="720" w:type="pct"/>
            <w:shd w:val="clear" w:color="auto" w:fill="auto"/>
            <w:vAlign w:val="center"/>
          </w:tcPr>
          <w:p w14:paraId="386A6ACA" w14:textId="73B244AB" w:rsidR="003874D3" w:rsidRPr="00903F9D" w:rsidRDefault="003874D3" w:rsidP="003874D3">
            <w:pPr>
              <w:pStyle w:val="TableText"/>
              <w:jc w:val="center"/>
            </w:pPr>
            <w:r w:rsidRPr="00903F9D">
              <w:t>1,553</w:t>
            </w:r>
          </w:p>
        </w:tc>
        <w:tc>
          <w:tcPr>
            <w:tcW w:w="608" w:type="pct"/>
            <w:shd w:val="clear" w:color="auto" w:fill="auto"/>
            <w:vAlign w:val="center"/>
          </w:tcPr>
          <w:p w14:paraId="658FABEF" w14:textId="6199F6A8" w:rsidR="003874D3" w:rsidRPr="00903F9D" w:rsidRDefault="003874D3" w:rsidP="003874D3">
            <w:pPr>
              <w:pStyle w:val="TableText"/>
              <w:jc w:val="center"/>
            </w:pPr>
            <w:r w:rsidRPr="00903F9D">
              <w:t>4,271</w:t>
            </w:r>
          </w:p>
        </w:tc>
        <w:tc>
          <w:tcPr>
            <w:tcW w:w="628" w:type="pct"/>
            <w:shd w:val="clear" w:color="auto" w:fill="auto"/>
            <w:vAlign w:val="center"/>
          </w:tcPr>
          <w:p w14:paraId="53C3E6E2" w14:textId="749622D8" w:rsidR="003874D3" w:rsidRPr="00903F9D" w:rsidRDefault="003874D3" w:rsidP="003874D3">
            <w:pPr>
              <w:pStyle w:val="TableText"/>
              <w:jc w:val="center"/>
            </w:pPr>
            <w:r w:rsidRPr="00903F9D">
              <w:t>1,637</w:t>
            </w:r>
          </w:p>
        </w:tc>
        <w:tc>
          <w:tcPr>
            <w:tcW w:w="622" w:type="pct"/>
            <w:shd w:val="clear" w:color="auto" w:fill="auto"/>
            <w:vAlign w:val="center"/>
          </w:tcPr>
          <w:p w14:paraId="1D7D5DFF" w14:textId="72A7F1A6" w:rsidR="003874D3" w:rsidRPr="00903F9D" w:rsidRDefault="003874D3" w:rsidP="003874D3">
            <w:pPr>
              <w:pStyle w:val="TableText"/>
              <w:jc w:val="center"/>
            </w:pPr>
            <w:r w:rsidRPr="00903F9D">
              <w:t>1,637</w:t>
            </w:r>
          </w:p>
        </w:tc>
      </w:tr>
      <w:tr w:rsidR="003874D3" w:rsidRPr="00903F9D" w14:paraId="49E8C3E8" w14:textId="037A4407" w:rsidTr="001D3A38">
        <w:trPr>
          <w:trHeight w:val="170"/>
        </w:trPr>
        <w:tc>
          <w:tcPr>
            <w:tcW w:w="1718" w:type="pct"/>
            <w:shd w:val="clear" w:color="auto" w:fill="auto"/>
            <w:vAlign w:val="center"/>
          </w:tcPr>
          <w:p w14:paraId="23ED2B00" w14:textId="022B5F42" w:rsidR="003874D3" w:rsidRPr="00903F9D" w:rsidRDefault="003874D3" w:rsidP="003874D3">
            <w:pPr>
              <w:pStyle w:val="TableText"/>
              <w:rPr>
                <w:iCs/>
              </w:rPr>
            </w:pPr>
            <w:r w:rsidRPr="00903F9D">
              <w:rPr>
                <w:iCs/>
              </w:rPr>
              <w:t>Excluded DXA scans, N (%)</w:t>
            </w:r>
          </w:p>
        </w:tc>
        <w:tc>
          <w:tcPr>
            <w:tcW w:w="704" w:type="pct"/>
            <w:shd w:val="clear" w:color="auto" w:fill="auto"/>
            <w:vAlign w:val="center"/>
          </w:tcPr>
          <w:p w14:paraId="5C97728B" w14:textId="6464030A" w:rsidR="003874D3" w:rsidRPr="00903F9D" w:rsidRDefault="003874D3" w:rsidP="003874D3">
            <w:pPr>
              <w:pStyle w:val="TableText"/>
              <w:jc w:val="center"/>
            </w:pPr>
            <w:r w:rsidRPr="00903F9D">
              <w:t>408 (10%)</w:t>
            </w:r>
          </w:p>
        </w:tc>
        <w:tc>
          <w:tcPr>
            <w:tcW w:w="720" w:type="pct"/>
            <w:shd w:val="clear" w:color="auto" w:fill="auto"/>
            <w:vAlign w:val="center"/>
          </w:tcPr>
          <w:p w14:paraId="39122CA4" w14:textId="7B420A56" w:rsidR="003874D3" w:rsidRPr="00903F9D" w:rsidRDefault="003874D3" w:rsidP="003874D3">
            <w:pPr>
              <w:pStyle w:val="TableText"/>
              <w:jc w:val="center"/>
            </w:pPr>
            <w:r w:rsidRPr="00903F9D">
              <w:t>78 (5%)</w:t>
            </w:r>
          </w:p>
        </w:tc>
        <w:tc>
          <w:tcPr>
            <w:tcW w:w="608" w:type="pct"/>
            <w:shd w:val="clear" w:color="auto" w:fill="auto"/>
            <w:vAlign w:val="center"/>
          </w:tcPr>
          <w:p w14:paraId="094769DF" w14:textId="46039FBC" w:rsidR="003874D3" w:rsidRPr="00903F9D" w:rsidRDefault="003874D3" w:rsidP="003874D3">
            <w:pPr>
              <w:pStyle w:val="TableText"/>
              <w:jc w:val="center"/>
            </w:pPr>
            <w:r w:rsidRPr="00903F9D">
              <w:t>340 (8%)</w:t>
            </w:r>
          </w:p>
        </w:tc>
        <w:tc>
          <w:tcPr>
            <w:tcW w:w="628" w:type="pct"/>
            <w:shd w:val="clear" w:color="auto" w:fill="auto"/>
            <w:vAlign w:val="center"/>
          </w:tcPr>
          <w:p w14:paraId="13B53EC5" w14:textId="565472AB" w:rsidR="003874D3" w:rsidRPr="00903F9D" w:rsidRDefault="003874D3" w:rsidP="003874D3">
            <w:pPr>
              <w:pStyle w:val="TableText"/>
              <w:jc w:val="center"/>
            </w:pPr>
            <w:r w:rsidRPr="00903F9D">
              <w:t>59 (4%)</w:t>
            </w:r>
          </w:p>
        </w:tc>
        <w:tc>
          <w:tcPr>
            <w:tcW w:w="622" w:type="pct"/>
            <w:shd w:val="clear" w:color="auto" w:fill="auto"/>
            <w:vAlign w:val="center"/>
          </w:tcPr>
          <w:p w14:paraId="2B35CC3B" w14:textId="60CF158A" w:rsidR="003874D3" w:rsidRPr="00903F9D" w:rsidRDefault="003874D3" w:rsidP="003874D3">
            <w:pPr>
              <w:pStyle w:val="TableText"/>
              <w:jc w:val="center"/>
            </w:pPr>
            <w:r w:rsidRPr="00903F9D">
              <w:t>276 (14%)</w:t>
            </w:r>
          </w:p>
        </w:tc>
      </w:tr>
      <w:tr w:rsidR="003874D3" w:rsidRPr="00903F9D" w14:paraId="683E5D02" w14:textId="3322D0FD" w:rsidTr="001D3A38">
        <w:trPr>
          <w:trHeight w:val="170"/>
        </w:trPr>
        <w:tc>
          <w:tcPr>
            <w:tcW w:w="1718" w:type="pct"/>
            <w:shd w:val="clear" w:color="auto" w:fill="auto"/>
            <w:vAlign w:val="center"/>
          </w:tcPr>
          <w:p w14:paraId="01B07845" w14:textId="32C8AC1F" w:rsidR="003874D3" w:rsidRPr="00903F9D" w:rsidRDefault="003874D3" w:rsidP="003874D3">
            <w:pPr>
              <w:pStyle w:val="TableText"/>
              <w:rPr>
                <w:iCs/>
              </w:rPr>
            </w:pPr>
            <w:r w:rsidRPr="00903F9D">
              <w:rPr>
                <w:iCs/>
              </w:rPr>
              <w:t>Excluded REMS scans, N (%)</w:t>
            </w:r>
          </w:p>
        </w:tc>
        <w:tc>
          <w:tcPr>
            <w:tcW w:w="704" w:type="pct"/>
            <w:shd w:val="clear" w:color="auto" w:fill="auto"/>
            <w:vAlign w:val="center"/>
          </w:tcPr>
          <w:p w14:paraId="6A02B280" w14:textId="62979436" w:rsidR="003874D3" w:rsidRPr="00903F9D" w:rsidRDefault="003874D3" w:rsidP="003874D3">
            <w:pPr>
              <w:pStyle w:val="TableText"/>
              <w:jc w:val="center"/>
            </w:pPr>
            <w:r w:rsidRPr="00903F9D">
              <w:t>373 (9%)</w:t>
            </w:r>
          </w:p>
        </w:tc>
        <w:tc>
          <w:tcPr>
            <w:tcW w:w="720" w:type="pct"/>
            <w:shd w:val="clear" w:color="auto" w:fill="auto"/>
            <w:vAlign w:val="center"/>
          </w:tcPr>
          <w:p w14:paraId="0486C4A1" w14:textId="4EC94D01" w:rsidR="003874D3" w:rsidRPr="00903F9D" w:rsidRDefault="003874D3" w:rsidP="003874D3">
            <w:pPr>
              <w:pStyle w:val="TableText"/>
              <w:jc w:val="center"/>
            </w:pPr>
            <w:r w:rsidRPr="00903F9D">
              <w:t>280 (18%)</w:t>
            </w:r>
          </w:p>
        </w:tc>
        <w:tc>
          <w:tcPr>
            <w:tcW w:w="608" w:type="pct"/>
            <w:shd w:val="clear" w:color="auto" w:fill="auto"/>
            <w:vAlign w:val="center"/>
          </w:tcPr>
          <w:p w14:paraId="4131FCBA" w14:textId="4D62E725" w:rsidR="003874D3" w:rsidRPr="00903F9D" w:rsidRDefault="003874D3" w:rsidP="003874D3">
            <w:pPr>
              <w:pStyle w:val="TableText"/>
              <w:jc w:val="center"/>
            </w:pPr>
            <w:r w:rsidRPr="00903F9D">
              <w:t>323 (8%)</w:t>
            </w:r>
          </w:p>
        </w:tc>
        <w:tc>
          <w:tcPr>
            <w:tcW w:w="628" w:type="pct"/>
            <w:shd w:val="clear" w:color="auto" w:fill="auto"/>
            <w:vAlign w:val="center"/>
          </w:tcPr>
          <w:p w14:paraId="35B933CD" w14:textId="4A8C7C1F" w:rsidR="003874D3" w:rsidRPr="00903F9D" w:rsidRDefault="003874D3" w:rsidP="003874D3">
            <w:pPr>
              <w:pStyle w:val="TableText"/>
              <w:jc w:val="center"/>
            </w:pPr>
            <w:r w:rsidRPr="00903F9D">
              <w:t>205 (13%)</w:t>
            </w:r>
          </w:p>
        </w:tc>
        <w:tc>
          <w:tcPr>
            <w:tcW w:w="622" w:type="pct"/>
            <w:shd w:val="clear" w:color="auto" w:fill="auto"/>
            <w:vAlign w:val="center"/>
          </w:tcPr>
          <w:p w14:paraId="1D051D36" w14:textId="50219375" w:rsidR="003874D3" w:rsidRPr="00903F9D" w:rsidRDefault="003874D3" w:rsidP="003874D3">
            <w:pPr>
              <w:pStyle w:val="TableText"/>
              <w:jc w:val="center"/>
            </w:pPr>
            <w:r w:rsidRPr="00903F9D">
              <w:t>239 (12%)</w:t>
            </w:r>
          </w:p>
        </w:tc>
      </w:tr>
      <w:tr w:rsidR="003874D3" w:rsidRPr="00903F9D" w14:paraId="6B49DD39" w14:textId="44C29BAA" w:rsidTr="001D3A38">
        <w:trPr>
          <w:trHeight w:val="170"/>
        </w:trPr>
        <w:tc>
          <w:tcPr>
            <w:tcW w:w="1718" w:type="pct"/>
            <w:shd w:val="clear" w:color="auto" w:fill="auto"/>
            <w:vAlign w:val="center"/>
          </w:tcPr>
          <w:p w14:paraId="3B82FF00" w14:textId="6717DF00" w:rsidR="003874D3" w:rsidRPr="00903F9D" w:rsidRDefault="003874D3" w:rsidP="003874D3">
            <w:pPr>
              <w:pStyle w:val="TableText"/>
            </w:pPr>
            <w:r w:rsidRPr="00903F9D">
              <w:t xml:space="preserve">Retained cases, N </w:t>
            </w:r>
            <w:r w:rsidRPr="00903F9D">
              <w:rPr>
                <w:iCs/>
              </w:rPr>
              <w:t>(%)</w:t>
            </w:r>
          </w:p>
        </w:tc>
        <w:tc>
          <w:tcPr>
            <w:tcW w:w="704" w:type="pct"/>
            <w:shd w:val="clear" w:color="auto" w:fill="auto"/>
            <w:vAlign w:val="center"/>
          </w:tcPr>
          <w:p w14:paraId="2B7D84B5" w14:textId="4AFBA3EE" w:rsidR="003874D3" w:rsidRPr="00903F9D" w:rsidRDefault="003874D3" w:rsidP="003874D3">
            <w:pPr>
              <w:pStyle w:val="TableText"/>
              <w:jc w:val="center"/>
            </w:pPr>
            <w:r w:rsidRPr="00903F9D">
              <w:t>3464 (80%)</w:t>
            </w:r>
          </w:p>
        </w:tc>
        <w:tc>
          <w:tcPr>
            <w:tcW w:w="720" w:type="pct"/>
            <w:shd w:val="clear" w:color="auto" w:fill="auto"/>
            <w:vAlign w:val="center"/>
          </w:tcPr>
          <w:p w14:paraId="0958E834" w14:textId="742BBFC7" w:rsidR="003874D3" w:rsidRPr="00903F9D" w:rsidRDefault="003874D3" w:rsidP="003874D3">
            <w:pPr>
              <w:pStyle w:val="TableText"/>
              <w:jc w:val="center"/>
            </w:pPr>
            <w:r w:rsidRPr="00903F9D">
              <w:t>1195 (62%)</w:t>
            </w:r>
          </w:p>
        </w:tc>
        <w:tc>
          <w:tcPr>
            <w:tcW w:w="608" w:type="pct"/>
            <w:shd w:val="clear" w:color="auto" w:fill="auto"/>
            <w:vAlign w:val="center"/>
          </w:tcPr>
          <w:p w14:paraId="32D0BB34" w14:textId="58025D36" w:rsidR="003874D3" w:rsidRPr="00903F9D" w:rsidRDefault="003874D3" w:rsidP="003874D3">
            <w:pPr>
              <w:pStyle w:val="TableText"/>
              <w:jc w:val="center"/>
            </w:pPr>
            <w:r w:rsidRPr="00903F9D">
              <w:t>3608 (84%)</w:t>
            </w:r>
          </w:p>
        </w:tc>
        <w:tc>
          <w:tcPr>
            <w:tcW w:w="628" w:type="pct"/>
            <w:shd w:val="clear" w:color="auto" w:fill="auto"/>
            <w:vAlign w:val="center"/>
          </w:tcPr>
          <w:p w14:paraId="0CAA8918" w14:textId="499C4552" w:rsidR="003874D3" w:rsidRPr="00903F9D" w:rsidRDefault="003874D3" w:rsidP="003874D3">
            <w:pPr>
              <w:pStyle w:val="TableText"/>
              <w:jc w:val="center"/>
            </w:pPr>
            <w:r w:rsidRPr="00903F9D">
              <w:t>1373 (72%)</w:t>
            </w:r>
          </w:p>
        </w:tc>
        <w:tc>
          <w:tcPr>
            <w:tcW w:w="622" w:type="pct"/>
            <w:shd w:val="clear" w:color="auto" w:fill="auto"/>
            <w:vAlign w:val="center"/>
          </w:tcPr>
          <w:p w14:paraId="055A10F9" w14:textId="55D0C280" w:rsidR="003874D3" w:rsidRPr="00903F9D" w:rsidRDefault="003874D3" w:rsidP="003874D3">
            <w:pPr>
              <w:pStyle w:val="TableText"/>
              <w:jc w:val="center"/>
            </w:pPr>
            <w:r w:rsidRPr="00903F9D">
              <w:t>1122 (69%)</w:t>
            </w:r>
          </w:p>
        </w:tc>
      </w:tr>
      <w:tr w:rsidR="002F61B2" w:rsidRPr="00903F9D" w14:paraId="48AFB11E" w14:textId="0044A3EA" w:rsidTr="0092090E">
        <w:trPr>
          <w:trHeight w:val="170"/>
        </w:trPr>
        <w:tc>
          <w:tcPr>
            <w:tcW w:w="5000" w:type="pct"/>
            <w:gridSpan w:val="6"/>
            <w:shd w:val="clear" w:color="auto" w:fill="auto"/>
            <w:vAlign w:val="center"/>
          </w:tcPr>
          <w:p w14:paraId="0BB8B977" w14:textId="77A7ED39" w:rsidR="002F61B2" w:rsidRPr="00903F9D" w:rsidRDefault="002F61B2" w:rsidP="0092090E">
            <w:pPr>
              <w:pStyle w:val="TableText"/>
            </w:pPr>
            <w:r w:rsidRPr="00903F9D">
              <w:rPr>
                <w:b/>
                <w:bCs/>
              </w:rPr>
              <w:t>Correlation/agreement (BMD values)</w:t>
            </w:r>
          </w:p>
        </w:tc>
      </w:tr>
      <w:tr w:rsidR="002F61B2" w:rsidRPr="00903F9D" w14:paraId="211C1D2D" w14:textId="6DB9AD5C" w:rsidTr="001D3A38">
        <w:trPr>
          <w:trHeight w:val="170"/>
        </w:trPr>
        <w:tc>
          <w:tcPr>
            <w:tcW w:w="1718" w:type="pct"/>
            <w:shd w:val="clear" w:color="auto" w:fill="auto"/>
            <w:vAlign w:val="center"/>
          </w:tcPr>
          <w:p w14:paraId="172AB028" w14:textId="109623B1" w:rsidR="002F61B2" w:rsidRPr="00903F9D" w:rsidRDefault="002F61B2" w:rsidP="00E744E2">
            <w:pPr>
              <w:pStyle w:val="TableText"/>
            </w:pPr>
            <w:r w:rsidRPr="00903F9D">
              <w:t>Regression line slope</w:t>
            </w:r>
          </w:p>
        </w:tc>
        <w:tc>
          <w:tcPr>
            <w:tcW w:w="704" w:type="pct"/>
            <w:shd w:val="clear" w:color="auto" w:fill="auto"/>
            <w:vAlign w:val="center"/>
          </w:tcPr>
          <w:p w14:paraId="5BB4A35B" w14:textId="4565164B" w:rsidR="002F61B2" w:rsidRPr="00903F9D" w:rsidRDefault="002F61B2" w:rsidP="00E744E2">
            <w:pPr>
              <w:pStyle w:val="TableText"/>
              <w:jc w:val="center"/>
            </w:pPr>
            <w:r w:rsidRPr="00903F9D">
              <w:t>0.90</w:t>
            </w:r>
          </w:p>
        </w:tc>
        <w:tc>
          <w:tcPr>
            <w:tcW w:w="720" w:type="pct"/>
            <w:shd w:val="clear" w:color="auto" w:fill="auto"/>
            <w:vAlign w:val="center"/>
          </w:tcPr>
          <w:p w14:paraId="3BEBB612" w14:textId="0D63C3D7" w:rsidR="002F61B2" w:rsidRPr="00903F9D" w:rsidRDefault="002F61B2" w:rsidP="00E744E2">
            <w:pPr>
              <w:pStyle w:val="TableText"/>
              <w:jc w:val="center"/>
            </w:pPr>
            <w:r w:rsidRPr="00903F9D">
              <w:t>0.97</w:t>
            </w:r>
          </w:p>
        </w:tc>
        <w:tc>
          <w:tcPr>
            <w:tcW w:w="608" w:type="pct"/>
            <w:shd w:val="clear" w:color="auto" w:fill="auto"/>
            <w:vAlign w:val="center"/>
          </w:tcPr>
          <w:p w14:paraId="5CB4AC7A" w14:textId="4E454CEB" w:rsidR="002F61B2" w:rsidRPr="00903F9D" w:rsidRDefault="002F61B2" w:rsidP="00E744E2">
            <w:pPr>
              <w:pStyle w:val="TableText"/>
              <w:jc w:val="center"/>
            </w:pPr>
            <w:r w:rsidRPr="00903F9D">
              <w:t>0.95</w:t>
            </w:r>
          </w:p>
        </w:tc>
        <w:tc>
          <w:tcPr>
            <w:tcW w:w="628" w:type="pct"/>
            <w:shd w:val="clear" w:color="auto" w:fill="auto"/>
            <w:vAlign w:val="center"/>
          </w:tcPr>
          <w:p w14:paraId="1A49994B" w14:textId="71562E1D" w:rsidR="002F61B2" w:rsidRPr="00903F9D" w:rsidRDefault="002F61B2" w:rsidP="00E744E2">
            <w:pPr>
              <w:pStyle w:val="TableText"/>
              <w:jc w:val="center"/>
            </w:pPr>
            <w:r w:rsidRPr="00903F9D">
              <w:t>0.97</w:t>
            </w:r>
          </w:p>
        </w:tc>
        <w:tc>
          <w:tcPr>
            <w:tcW w:w="622" w:type="pct"/>
            <w:shd w:val="clear" w:color="auto" w:fill="auto"/>
            <w:vAlign w:val="center"/>
          </w:tcPr>
          <w:p w14:paraId="148A84FA" w14:textId="1233F138" w:rsidR="002F61B2" w:rsidRPr="00903F9D" w:rsidRDefault="002F61B2" w:rsidP="00E744E2">
            <w:pPr>
              <w:pStyle w:val="TableText"/>
              <w:jc w:val="center"/>
            </w:pPr>
          </w:p>
        </w:tc>
      </w:tr>
      <w:tr w:rsidR="002F61B2" w:rsidRPr="00903F9D" w14:paraId="49447B41" w14:textId="46874E26" w:rsidTr="001D3A38">
        <w:trPr>
          <w:trHeight w:val="170"/>
        </w:trPr>
        <w:tc>
          <w:tcPr>
            <w:tcW w:w="1718" w:type="pct"/>
            <w:shd w:val="clear" w:color="auto" w:fill="auto"/>
            <w:vAlign w:val="center"/>
          </w:tcPr>
          <w:p w14:paraId="4E97FD38" w14:textId="2CA33AD2" w:rsidR="002F61B2" w:rsidRPr="00903F9D" w:rsidRDefault="002F61B2" w:rsidP="00E744E2">
            <w:pPr>
              <w:pStyle w:val="TableText"/>
            </w:pPr>
            <w:r w:rsidRPr="00903F9D">
              <w:t>Pearson correlation coefficient (r)</w:t>
            </w:r>
          </w:p>
        </w:tc>
        <w:tc>
          <w:tcPr>
            <w:tcW w:w="704" w:type="pct"/>
            <w:shd w:val="clear" w:color="auto" w:fill="auto"/>
            <w:vAlign w:val="center"/>
          </w:tcPr>
          <w:p w14:paraId="37DA3E30" w14:textId="5D898EC0" w:rsidR="002F61B2" w:rsidRPr="00903F9D" w:rsidRDefault="002F61B2" w:rsidP="00E744E2">
            <w:pPr>
              <w:pStyle w:val="TableText"/>
              <w:jc w:val="center"/>
            </w:pPr>
            <w:r w:rsidRPr="00903F9D">
              <w:t>0.88</w:t>
            </w:r>
          </w:p>
          <w:p w14:paraId="4A90800B" w14:textId="1C0281DE" w:rsidR="002F61B2" w:rsidRPr="00903F9D" w:rsidRDefault="002F61B2" w:rsidP="00E744E2">
            <w:pPr>
              <w:pStyle w:val="TableText"/>
              <w:jc w:val="center"/>
            </w:pPr>
            <w:r w:rsidRPr="00903F9D">
              <w:t>corrected [0.94]</w:t>
            </w:r>
          </w:p>
        </w:tc>
        <w:tc>
          <w:tcPr>
            <w:tcW w:w="720" w:type="pct"/>
            <w:shd w:val="clear" w:color="auto" w:fill="auto"/>
            <w:vAlign w:val="center"/>
          </w:tcPr>
          <w:p w14:paraId="248D0036" w14:textId="680798E9" w:rsidR="002F61B2" w:rsidRPr="00903F9D" w:rsidRDefault="002F61B2" w:rsidP="00E744E2">
            <w:pPr>
              <w:pStyle w:val="TableText"/>
              <w:jc w:val="center"/>
            </w:pPr>
            <w:r w:rsidRPr="00903F9D">
              <w:t>0.93</w:t>
            </w:r>
          </w:p>
        </w:tc>
        <w:tc>
          <w:tcPr>
            <w:tcW w:w="608" w:type="pct"/>
            <w:shd w:val="clear" w:color="auto" w:fill="auto"/>
            <w:vAlign w:val="center"/>
          </w:tcPr>
          <w:p w14:paraId="504DE5C4" w14:textId="48255020" w:rsidR="002F61B2" w:rsidRPr="00903F9D" w:rsidRDefault="002F61B2" w:rsidP="00E744E2">
            <w:pPr>
              <w:pStyle w:val="TableText"/>
              <w:jc w:val="center"/>
            </w:pPr>
            <w:r w:rsidRPr="00903F9D">
              <w:t>0.94*</w:t>
            </w:r>
          </w:p>
        </w:tc>
        <w:tc>
          <w:tcPr>
            <w:tcW w:w="628" w:type="pct"/>
            <w:shd w:val="clear" w:color="auto" w:fill="auto"/>
            <w:vAlign w:val="center"/>
          </w:tcPr>
          <w:p w14:paraId="57747B59" w14:textId="7083E659" w:rsidR="002F61B2" w:rsidRPr="00903F9D" w:rsidRDefault="002F61B2" w:rsidP="00E744E2">
            <w:pPr>
              <w:pStyle w:val="TableText"/>
              <w:jc w:val="center"/>
            </w:pPr>
            <w:r w:rsidRPr="00903F9D">
              <w:t>0.93*</w:t>
            </w:r>
          </w:p>
        </w:tc>
        <w:tc>
          <w:tcPr>
            <w:tcW w:w="622" w:type="pct"/>
            <w:shd w:val="clear" w:color="auto" w:fill="auto"/>
            <w:vAlign w:val="center"/>
          </w:tcPr>
          <w:p w14:paraId="2AACFBCC" w14:textId="2D19816F" w:rsidR="002F61B2" w:rsidRPr="00903F9D" w:rsidRDefault="002F61B2" w:rsidP="00E744E2">
            <w:pPr>
              <w:pStyle w:val="TableText"/>
              <w:jc w:val="center"/>
            </w:pPr>
            <w:r w:rsidRPr="00903F9D">
              <w:t>-</w:t>
            </w:r>
          </w:p>
        </w:tc>
      </w:tr>
      <w:tr w:rsidR="002F61B2" w:rsidRPr="00903F9D" w14:paraId="6EEE4A81" w14:textId="39BDB614" w:rsidTr="001D3A38">
        <w:trPr>
          <w:trHeight w:val="170"/>
        </w:trPr>
        <w:tc>
          <w:tcPr>
            <w:tcW w:w="1718" w:type="pct"/>
            <w:shd w:val="clear" w:color="auto" w:fill="auto"/>
            <w:vAlign w:val="center"/>
          </w:tcPr>
          <w:p w14:paraId="633944A7" w14:textId="059854C0" w:rsidR="002F61B2" w:rsidRPr="00903F9D" w:rsidRDefault="002F61B2" w:rsidP="00E744E2">
            <w:pPr>
              <w:pStyle w:val="TableText"/>
            </w:pPr>
            <w:r w:rsidRPr="00903F9D">
              <w:t>Coefficient of determination (r</w:t>
            </w:r>
            <w:r w:rsidRPr="00903F9D">
              <w:rPr>
                <w:vertAlign w:val="superscript"/>
              </w:rPr>
              <w:t>2</w:t>
            </w:r>
            <w:r w:rsidRPr="00903F9D">
              <w:t>)</w:t>
            </w:r>
          </w:p>
        </w:tc>
        <w:tc>
          <w:tcPr>
            <w:tcW w:w="704" w:type="pct"/>
            <w:shd w:val="clear" w:color="auto" w:fill="auto"/>
            <w:vAlign w:val="center"/>
          </w:tcPr>
          <w:p w14:paraId="270BA4EB" w14:textId="256486A5" w:rsidR="002F61B2" w:rsidRPr="00903F9D" w:rsidRDefault="002F61B2" w:rsidP="00E744E2">
            <w:pPr>
              <w:pStyle w:val="TableText"/>
              <w:jc w:val="center"/>
            </w:pPr>
            <w:r w:rsidRPr="00903F9D">
              <w:t>0.94</w:t>
            </w:r>
          </w:p>
          <w:p w14:paraId="04C29494" w14:textId="14A7538F" w:rsidR="002F61B2" w:rsidRPr="00903F9D" w:rsidRDefault="002F61B2" w:rsidP="00E744E2">
            <w:pPr>
              <w:pStyle w:val="TableText"/>
              <w:jc w:val="center"/>
            </w:pPr>
            <w:r w:rsidRPr="00903F9D">
              <w:t>corrected [0.88]</w:t>
            </w:r>
          </w:p>
        </w:tc>
        <w:tc>
          <w:tcPr>
            <w:tcW w:w="720" w:type="pct"/>
            <w:shd w:val="clear" w:color="auto" w:fill="auto"/>
            <w:vAlign w:val="center"/>
          </w:tcPr>
          <w:p w14:paraId="37CAB700" w14:textId="383D9F29" w:rsidR="002F61B2" w:rsidRPr="00903F9D" w:rsidRDefault="002F61B2" w:rsidP="00E744E2">
            <w:pPr>
              <w:pStyle w:val="TableText"/>
              <w:jc w:val="center"/>
            </w:pPr>
            <w:r w:rsidRPr="00903F9D">
              <w:t>0.86</w:t>
            </w:r>
          </w:p>
        </w:tc>
        <w:tc>
          <w:tcPr>
            <w:tcW w:w="608" w:type="pct"/>
            <w:shd w:val="clear" w:color="auto" w:fill="auto"/>
            <w:vAlign w:val="center"/>
          </w:tcPr>
          <w:p w14:paraId="76DB4E8B" w14:textId="0AB618E7" w:rsidR="002F61B2" w:rsidRPr="00903F9D" w:rsidRDefault="002F61B2" w:rsidP="00E744E2">
            <w:pPr>
              <w:pStyle w:val="TableText"/>
              <w:jc w:val="center"/>
            </w:pPr>
            <w:r w:rsidRPr="00903F9D">
              <w:t>0.89*</w:t>
            </w:r>
          </w:p>
        </w:tc>
        <w:tc>
          <w:tcPr>
            <w:tcW w:w="628" w:type="pct"/>
            <w:shd w:val="clear" w:color="auto" w:fill="auto"/>
            <w:vAlign w:val="center"/>
          </w:tcPr>
          <w:p w14:paraId="566118A4" w14:textId="438FE784" w:rsidR="002F61B2" w:rsidRPr="00903F9D" w:rsidRDefault="002F61B2" w:rsidP="00E744E2">
            <w:pPr>
              <w:pStyle w:val="TableText"/>
              <w:jc w:val="center"/>
            </w:pPr>
            <w:r w:rsidRPr="00903F9D">
              <w:t>0.87*</w:t>
            </w:r>
          </w:p>
        </w:tc>
        <w:tc>
          <w:tcPr>
            <w:tcW w:w="622" w:type="pct"/>
            <w:shd w:val="clear" w:color="auto" w:fill="auto"/>
            <w:vAlign w:val="center"/>
          </w:tcPr>
          <w:p w14:paraId="65FB2604" w14:textId="71648E8D" w:rsidR="002F61B2" w:rsidRPr="00903F9D" w:rsidRDefault="002F61B2" w:rsidP="00E744E2">
            <w:pPr>
              <w:pStyle w:val="TableText"/>
              <w:jc w:val="center"/>
            </w:pPr>
            <w:r w:rsidRPr="00903F9D">
              <w:t>0.94*</w:t>
            </w:r>
          </w:p>
        </w:tc>
      </w:tr>
      <w:tr w:rsidR="002F61B2" w:rsidRPr="00903F9D" w14:paraId="7B101178" w14:textId="628C7F1F" w:rsidTr="001D3A38">
        <w:trPr>
          <w:trHeight w:val="170"/>
        </w:trPr>
        <w:tc>
          <w:tcPr>
            <w:tcW w:w="1718" w:type="pct"/>
            <w:shd w:val="clear" w:color="auto" w:fill="auto"/>
            <w:vAlign w:val="center"/>
          </w:tcPr>
          <w:p w14:paraId="46AD3C03" w14:textId="7C195182" w:rsidR="002F61B2" w:rsidRPr="00903F9D" w:rsidRDefault="002F61B2" w:rsidP="00E744E2">
            <w:pPr>
              <w:pStyle w:val="TableText"/>
            </w:pPr>
            <w:r w:rsidRPr="00903F9D">
              <w:t>Standard error of estimate (SEE), g/cm</w:t>
            </w:r>
            <w:r w:rsidRPr="00903F9D">
              <w:rPr>
                <w:vertAlign w:val="superscript"/>
              </w:rPr>
              <w:t>2</w:t>
            </w:r>
          </w:p>
        </w:tc>
        <w:tc>
          <w:tcPr>
            <w:tcW w:w="704" w:type="pct"/>
            <w:shd w:val="clear" w:color="auto" w:fill="auto"/>
            <w:vAlign w:val="center"/>
          </w:tcPr>
          <w:p w14:paraId="7EE41062" w14:textId="597D42D3" w:rsidR="002F61B2" w:rsidRPr="00903F9D" w:rsidRDefault="002F61B2" w:rsidP="00E744E2">
            <w:pPr>
              <w:pStyle w:val="TableText"/>
              <w:jc w:val="center"/>
            </w:pPr>
            <w:r w:rsidRPr="00903F9D">
              <w:t>0.042</w:t>
            </w:r>
          </w:p>
        </w:tc>
        <w:tc>
          <w:tcPr>
            <w:tcW w:w="720" w:type="pct"/>
            <w:shd w:val="clear" w:color="auto" w:fill="auto"/>
            <w:vAlign w:val="center"/>
          </w:tcPr>
          <w:p w14:paraId="0E5582E1" w14:textId="11F8BD1E" w:rsidR="002F61B2" w:rsidRPr="00903F9D" w:rsidRDefault="002F61B2" w:rsidP="00E744E2">
            <w:pPr>
              <w:pStyle w:val="TableText"/>
              <w:jc w:val="center"/>
            </w:pPr>
            <w:r w:rsidRPr="00903F9D">
              <w:t>0.044</w:t>
            </w:r>
          </w:p>
        </w:tc>
        <w:tc>
          <w:tcPr>
            <w:tcW w:w="608" w:type="pct"/>
            <w:shd w:val="clear" w:color="auto" w:fill="auto"/>
            <w:vAlign w:val="center"/>
          </w:tcPr>
          <w:p w14:paraId="018AAE36" w14:textId="415F3AC1" w:rsidR="002F61B2" w:rsidRPr="00903F9D" w:rsidRDefault="002F61B2" w:rsidP="00E744E2">
            <w:pPr>
              <w:pStyle w:val="TableText"/>
              <w:jc w:val="center"/>
            </w:pPr>
            <w:r w:rsidRPr="00903F9D">
              <w:t>0.044 (5.3%)</w:t>
            </w:r>
          </w:p>
        </w:tc>
        <w:tc>
          <w:tcPr>
            <w:tcW w:w="628" w:type="pct"/>
            <w:shd w:val="clear" w:color="auto" w:fill="auto"/>
            <w:vAlign w:val="center"/>
          </w:tcPr>
          <w:p w14:paraId="4049F122" w14:textId="1260D244" w:rsidR="002F61B2" w:rsidRPr="00903F9D" w:rsidRDefault="002F61B2" w:rsidP="00E744E2">
            <w:pPr>
              <w:pStyle w:val="TableText"/>
              <w:jc w:val="center"/>
            </w:pPr>
            <w:r w:rsidRPr="00903F9D">
              <w:t>0.038 (5.8%)</w:t>
            </w:r>
          </w:p>
        </w:tc>
        <w:tc>
          <w:tcPr>
            <w:tcW w:w="622" w:type="pct"/>
            <w:shd w:val="clear" w:color="auto" w:fill="auto"/>
            <w:vAlign w:val="center"/>
          </w:tcPr>
          <w:p w14:paraId="6FB482F0" w14:textId="718A5284" w:rsidR="002F61B2" w:rsidRPr="00903F9D" w:rsidRDefault="002F61B2" w:rsidP="00E744E2">
            <w:pPr>
              <w:pStyle w:val="TableText"/>
              <w:jc w:val="center"/>
            </w:pPr>
            <w:r w:rsidRPr="00903F9D">
              <w:t>-</w:t>
            </w:r>
          </w:p>
        </w:tc>
      </w:tr>
      <w:tr w:rsidR="002F61B2" w:rsidRPr="00903F9D" w14:paraId="3674D2EA" w14:textId="4E19B05F" w:rsidTr="0092090E">
        <w:trPr>
          <w:trHeight w:val="170"/>
        </w:trPr>
        <w:tc>
          <w:tcPr>
            <w:tcW w:w="5000" w:type="pct"/>
            <w:gridSpan w:val="6"/>
            <w:shd w:val="clear" w:color="auto" w:fill="auto"/>
            <w:vAlign w:val="center"/>
          </w:tcPr>
          <w:p w14:paraId="327B122B" w14:textId="7AE569D3" w:rsidR="002F61B2" w:rsidRPr="00903F9D" w:rsidRDefault="002F61B2" w:rsidP="0092090E">
            <w:pPr>
              <w:pStyle w:val="TableText"/>
            </w:pPr>
            <w:r w:rsidRPr="00903F9D">
              <w:rPr>
                <w:b/>
                <w:bCs/>
              </w:rPr>
              <w:t>Diagnostic accuracy of REMS vs DXA based on</w:t>
            </w:r>
            <w:r w:rsidR="00B82A39" w:rsidRPr="00903F9D">
              <w:rPr>
                <w:b/>
                <w:bCs/>
              </w:rPr>
              <w:t xml:space="preserve"> </w:t>
            </w:r>
            <w:r w:rsidRPr="00903F9D">
              <w:rPr>
                <w:b/>
                <w:bCs/>
              </w:rPr>
              <w:t xml:space="preserve">with/without osteoporosis </w:t>
            </w:r>
            <w:proofErr w:type="spellStart"/>
            <w:r w:rsidRPr="00903F9D">
              <w:rPr>
                <w:b/>
                <w:bCs/>
              </w:rPr>
              <w:t>categorisation</w:t>
            </w:r>
            <w:r w:rsidRPr="00903F9D">
              <w:rPr>
                <w:b/>
                <w:bCs/>
                <w:vertAlign w:val="superscript"/>
              </w:rPr>
              <w:t>a</w:t>
            </w:r>
            <w:proofErr w:type="spellEnd"/>
          </w:p>
        </w:tc>
      </w:tr>
      <w:tr w:rsidR="003874D3" w:rsidRPr="00903F9D" w14:paraId="085022B5" w14:textId="2D1B3BF4" w:rsidTr="001D3A38">
        <w:trPr>
          <w:trHeight w:val="170"/>
        </w:trPr>
        <w:tc>
          <w:tcPr>
            <w:tcW w:w="1718" w:type="pct"/>
            <w:shd w:val="clear" w:color="auto" w:fill="auto"/>
            <w:vAlign w:val="center"/>
          </w:tcPr>
          <w:p w14:paraId="3ACC25F0" w14:textId="158C5720" w:rsidR="003874D3" w:rsidRPr="00903F9D" w:rsidRDefault="003874D3" w:rsidP="003874D3">
            <w:pPr>
              <w:pStyle w:val="TableText"/>
            </w:pPr>
            <w:r w:rsidRPr="00903F9D">
              <w:t>Sensitivity</w:t>
            </w:r>
          </w:p>
        </w:tc>
        <w:tc>
          <w:tcPr>
            <w:tcW w:w="704" w:type="pct"/>
            <w:shd w:val="clear" w:color="auto" w:fill="auto"/>
            <w:vAlign w:val="center"/>
          </w:tcPr>
          <w:p w14:paraId="44D8343D" w14:textId="79FBE5C0" w:rsidR="003874D3" w:rsidRPr="00903F9D" w:rsidRDefault="003874D3" w:rsidP="003874D3">
            <w:pPr>
              <w:pStyle w:val="TableText"/>
              <w:jc w:val="center"/>
            </w:pPr>
            <w:r w:rsidRPr="00903F9D">
              <w:t>90.9%</w:t>
            </w:r>
          </w:p>
        </w:tc>
        <w:tc>
          <w:tcPr>
            <w:tcW w:w="720" w:type="pct"/>
            <w:shd w:val="clear" w:color="auto" w:fill="auto"/>
            <w:vAlign w:val="center"/>
          </w:tcPr>
          <w:p w14:paraId="3558F003" w14:textId="47933374" w:rsidR="003874D3" w:rsidRPr="00903F9D" w:rsidRDefault="003874D3" w:rsidP="003874D3">
            <w:pPr>
              <w:pStyle w:val="TableText"/>
              <w:jc w:val="center"/>
            </w:pPr>
            <w:r w:rsidRPr="00903F9D">
              <w:t>91.7%</w:t>
            </w:r>
          </w:p>
        </w:tc>
        <w:tc>
          <w:tcPr>
            <w:tcW w:w="608" w:type="pct"/>
            <w:shd w:val="clear" w:color="auto" w:fill="auto"/>
            <w:vAlign w:val="center"/>
          </w:tcPr>
          <w:p w14:paraId="2FFC737D" w14:textId="609F6C88" w:rsidR="003874D3" w:rsidRPr="00903F9D" w:rsidRDefault="003874D3" w:rsidP="003874D3">
            <w:pPr>
              <w:pStyle w:val="TableText"/>
              <w:jc w:val="center"/>
            </w:pPr>
            <w:r w:rsidRPr="00903F9D">
              <w:t>90.4%</w:t>
            </w:r>
          </w:p>
        </w:tc>
        <w:tc>
          <w:tcPr>
            <w:tcW w:w="628" w:type="pct"/>
            <w:shd w:val="clear" w:color="auto" w:fill="auto"/>
            <w:vAlign w:val="center"/>
          </w:tcPr>
          <w:p w14:paraId="02E7586F" w14:textId="0B7E9EC8" w:rsidR="003874D3" w:rsidRPr="00903F9D" w:rsidRDefault="003874D3" w:rsidP="003874D3">
            <w:pPr>
              <w:pStyle w:val="TableText"/>
              <w:jc w:val="center"/>
            </w:pPr>
            <w:r w:rsidRPr="00903F9D">
              <w:t>91.5%</w:t>
            </w:r>
          </w:p>
        </w:tc>
        <w:tc>
          <w:tcPr>
            <w:tcW w:w="622" w:type="pct"/>
            <w:shd w:val="clear" w:color="auto" w:fill="auto"/>
            <w:vAlign w:val="center"/>
          </w:tcPr>
          <w:p w14:paraId="00383B86" w14:textId="34975817" w:rsidR="003874D3" w:rsidRPr="00903F9D" w:rsidRDefault="003874D3" w:rsidP="003874D3">
            <w:pPr>
              <w:pStyle w:val="TableText"/>
              <w:jc w:val="center"/>
            </w:pPr>
            <w:r w:rsidRPr="00903F9D">
              <w:t>92.3%</w:t>
            </w:r>
          </w:p>
        </w:tc>
      </w:tr>
      <w:tr w:rsidR="003874D3" w:rsidRPr="00903F9D" w14:paraId="07BC6B0D" w14:textId="7A26E9C2" w:rsidTr="001D3A38">
        <w:trPr>
          <w:trHeight w:val="170"/>
        </w:trPr>
        <w:tc>
          <w:tcPr>
            <w:tcW w:w="1718" w:type="pct"/>
            <w:tcBorders>
              <w:bottom w:val="single" w:sz="4" w:space="0" w:color="auto"/>
            </w:tcBorders>
            <w:shd w:val="clear" w:color="auto" w:fill="auto"/>
            <w:vAlign w:val="center"/>
          </w:tcPr>
          <w:p w14:paraId="05502583" w14:textId="5AA28228" w:rsidR="003874D3" w:rsidRPr="00903F9D" w:rsidRDefault="003874D3" w:rsidP="003874D3">
            <w:pPr>
              <w:pStyle w:val="TableText"/>
            </w:pPr>
            <w:r w:rsidRPr="00903F9D">
              <w:t>Specificity</w:t>
            </w:r>
          </w:p>
        </w:tc>
        <w:tc>
          <w:tcPr>
            <w:tcW w:w="704" w:type="pct"/>
            <w:tcBorders>
              <w:bottom w:val="single" w:sz="4" w:space="0" w:color="auto"/>
            </w:tcBorders>
            <w:shd w:val="clear" w:color="auto" w:fill="auto"/>
            <w:vAlign w:val="center"/>
          </w:tcPr>
          <w:p w14:paraId="6EBBB8CF" w14:textId="622A8EED" w:rsidR="003874D3" w:rsidRPr="00903F9D" w:rsidRDefault="003874D3" w:rsidP="003874D3">
            <w:pPr>
              <w:pStyle w:val="TableText"/>
              <w:jc w:val="center"/>
            </w:pPr>
            <w:r w:rsidRPr="00903F9D">
              <w:t>95.1%</w:t>
            </w:r>
          </w:p>
        </w:tc>
        <w:tc>
          <w:tcPr>
            <w:tcW w:w="720" w:type="pct"/>
            <w:tcBorders>
              <w:bottom w:val="single" w:sz="4" w:space="0" w:color="auto"/>
            </w:tcBorders>
            <w:shd w:val="clear" w:color="auto" w:fill="auto"/>
            <w:vAlign w:val="center"/>
          </w:tcPr>
          <w:p w14:paraId="32ADDEB9" w14:textId="1DF4C024" w:rsidR="003874D3" w:rsidRPr="00903F9D" w:rsidRDefault="003874D3" w:rsidP="003874D3">
            <w:pPr>
              <w:pStyle w:val="TableText"/>
              <w:jc w:val="center"/>
            </w:pPr>
            <w:r w:rsidRPr="00903F9D">
              <w:t>92.0%</w:t>
            </w:r>
          </w:p>
        </w:tc>
        <w:tc>
          <w:tcPr>
            <w:tcW w:w="608" w:type="pct"/>
            <w:tcBorders>
              <w:bottom w:val="single" w:sz="4" w:space="0" w:color="auto"/>
            </w:tcBorders>
            <w:shd w:val="clear" w:color="auto" w:fill="auto"/>
            <w:vAlign w:val="center"/>
          </w:tcPr>
          <w:p w14:paraId="534633F3" w14:textId="19321A1C" w:rsidR="003874D3" w:rsidRPr="00903F9D" w:rsidRDefault="003874D3" w:rsidP="003874D3">
            <w:pPr>
              <w:pStyle w:val="TableText"/>
              <w:jc w:val="center"/>
            </w:pPr>
            <w:r w:rsidRPr="00903F9D">
              <w:t>95.5%</w:t>
            </w:r>
          </w:p>
        </w:tc>
        <w:tc>
          <w:tcPr>
            <w:tcW w:w="628" w:type="pct"/>
            <w:tcBorders>
              <w:bottom w:val="single" w:sz="4" w:space="0" w:color="auto"/>
            </w:tcBorders>
            <w:shd w:val="clear" w:color="auto" w:fill="auto"/>
            <w:vAlign w:val="center"/>
          </w:tcPr>
          <w:p w14:paraId="4743DBD3" w14:textId="222D7AAC" w:rsidR="003874D3" w:rsidRPr="00903F9D" w:rsidRDefault="003874D3" w:rsidP="003874D3">
            <w:pPr>
              <w:pStyle w:val="TableText"/>
              <w:jc w:val="center"/>
            </w:pPr>
            <w:r w:rsidRPr="00903F9D">
              <w:t>91.8%</w:t>
            </w:r>
          </w:p>
        </w:tc>
        <w:tc>
          <w:tcPr>
            <w:tcW w:w="622" w:type="pct"/>
            <w:tcBorders>
              <w:bottom w:val="single" w:sz="4" w:space="0" w:color="auto"/>
            </w:tcBorders>
            <w:shd w:val="clear" w:color="auto" w:fill="auto"/>
            <w:vAlign w:val="center"/>
          </w:tcPr>
          <w:p w14:paraId="115512BC" w14:textId="1E1080B9" w:rsidR="003874D3" w:rsidRPr="00903F9D" w:rsidRDefault="003874D3" w:rsidP="003874D3">
            <w:pPr>
              <w:pStyle w:val="TableText"/>
              <w:jc w:val="center"/>
            </w:pPr>
            <w:r w:rsidRPr="00903F9D">
              <w:t>96.8%</w:t>
            </w:r>
          </w:p>
        </w:tc>
      </w:tr>
      <w:tr w:rsidR="003874D3" w:rsidRPr="00903F9D" w14:paraId="36137057" w14:textId="16B7742B" w:rsidTr="001D3A38">
        <w:trPr>
          <w:trHeight w:val="170"/>
        </w:trPr>
        <w:tc>
          <w:tcPr>
            <w:tcW w:w="1718" w:type="pct"/>
            <w:shd w:val="clear" w:color="auto" w:fill="auto"/>
            <w:vAlign w:val="center"/>
          </w:tcPr>
          <w:p w14:paraId="62638067" w14:textId="2FF8739E" w:rsidR="003874D3" w:rsidRPr="00903F9D" w:rsidRDefault="003874D3" w:rsidP="003874D3">
            <w:pPr>
              <w:pStyle w:val="TableText"/>
            </w:pPr>
            <w:r w:rsidRPr="00903F9D">
              <w:t>Positive predictive value (PPV)</w:t>
            </w:r>
          </w:p>
        </w:tc>
        <w:tc>
          <w:tcPr>
            <w:tcW w:w="704" w:type="pct"/>
            <w:shd w:val="clear" w:color="auto" w:fill="auto"/>
            <w:vAlign w:val="center"/>
          </w:tcPr>
          <w:p w14:paraId="1E41CF7A" w14:textId="447B8D12" w:rsidR="003874D3" w:rsidRPr="00903F9D" w:rsidRDefault="003874D3" w:rsidP="003874D3">
            <w:pPr>
              <w:pStyle w:val="TableText"/>
              <w:jc w:val="center"/>
            </w:pPr>
            <w:r w:rsidRPr="00903F9D">
              <w:t>85.7%</w:t>
            </w:r>
          </w:p>
        </w:tc>
        <w:tc>
          <w:tcPr>
            <w:tcW w:w="720" w:type="pct"/>
            <w:shd w:val="clear" w:color="auto" w:fill="auto"/>
            <w:vAlign w:val="center"/>
          </w:tcPr>
          <w:p w14:paraId="5DC14FEA" w14:textId="6B50E6AE" w:rsidR="003874D3" w:rsidRPr="00903F9D" w:rsidRDefault="003874D3" w:rsidP="003874D3">
            <w:pPr>
              <w:pStyle w:val="TableText"/>
              <w:jc w:val="center"/>
            </w:pPr>
            <w:r w:rsidRPr="00903F9D">
              <w:t>NR</w:t>
            </w:r>
          </w:p>
        </w:tc>
        <w:tc>
          <w:tcPr>
            <w:tcW w:w="608" w:type="pct"/>
            <w:shd w:val="clear" w:color="auto" w:fill="auto"/>
            <w:vAlign w:val="center"/>
          </w:tcPr>
          <w:p w14:paraId="5C23A09E" w14:textId="56FE04AC" w:rsidR="003874D3" w:rsidRPr="00903F9D" w:rsidRDefault="003874D3" w:rsidP="003874D3">
            <w:pPr>
              <w:pStyle w:val="TableText"/>
              <w:jc w:val="center"/>
            </w:pPr>
            <w:r w:rsidRPr="00903F9D">
              <w:t>82.3%</w:t>
            </w:r>
          </w:p>
        </w:tc>
        <w:tc>
          <w:tcPr>
            <w:tcW w:w="628" w:type="pct"/>
            <w:shd w:val="clear" w:color="auto" w:fill="auto"/>
            <w:vAlign w:val="center"/>
          </w:tcPr>
          <w:p w14:paraId="5DD5BAB8" w14:textId="0643A5F5" w:rsidR="003874D3" w:rsidRPr="00903F9D" w:rsidRDefault="003874D3" w:rsidP="003874D3">
            <w:pPr>
              <w:pStyle w:val="TableText"/>
              <w:jc w:val="center"/>
            </w:pPr>
            <w:r w:rsidRPr="00903F9D">
              <w:t>NR</w:t>
            </w:r>
          </w:p>
        </w:tc>
        <w:tc>
          <w:tcPr>
            <w:tcW w:w="622" w:type="pct"/>
            <w:shd w:val="clear" w:color="auto" w:fill="auto"/>
            <w:vAlign w:val="center"/>
          </w:tcPr>
          <w:p w14:paraId="6B68FF34" w14:textId="49492905" w:rsidR="003874D3" w:rsidRPr="00903F9D" w:rsidRDefault="003874D3" w:rsidP="003874D3">
            <w:pPr>
              <w:pStyle w:val="TableText"/>
              <w:jc w:val="center"/>
            </w:pPr>
            <w:r w:rsidRPr="00903F9D">
              <w:t>-</w:t>
            </w:r>
          </w:p>
        </w:tc>
      </w:tr>
      <w:tr w:rsidR="003874D3" w:rsidRPr="00903F9D" w14:paraId="736F8117" w14:textId="26498021" w:rsidTr="001D3A38">
        <w:trPr>
          <w:trHeight w:val="170"/>
        </w:trPr>
        <w:tc>
          <w:tcPr>
            <w:tcW w:w="1718" w:type="pct"/>
            <w:shd w:val="clear" w:color="auto" w:fill="auto"/>
            <w:vAlign w:val="center"/>
          </w:tcPr>
          <w:p w14:paraId="22C99C96" w14:textId="1D3F1E17" w:rsidR="003874D3" w:rsidRPr="00903F9D" w:rsidRDefault="003874D3" w:rsidP="003874D3">
            <w:pPr>
              <w:pStyle w:val="TableText"/>
            </w:pPr>
            <w:r w:rsidRPr="00903F9D">
              <w:t>Negative predictive value (NPV)</w:t>
            </w:r>
          </w:p>
        </w:tc>
        <w:tc>
          <w:tcPr>
            <w:tcW w:w="704" w:type="pct"/>
            <w:shd w:val="clear" w:color="auto" w:fill="auto"/>
            <w:vAlign w:val="center"/>
          </w:tcPr>
          <w:p w14:paraId="2B88FE4F" w14:textId="49228632" w:rsidR="003874D3" w:rsidRPr="00903F9D" w:rsidRDefault="003874D3" w:rsidP="003874D3">
            <w:pPr>
              <w:pStyle w:val="TableText"/>
              <w:jc w:val="center"/>
            </w:pPr>
            <w:r w:rsidRPr="00903F9D">
              <w:t>97.0%</w:t>
            </w:r>
          </w:p>
        </w:tc>
        <w:tc>
          <w:tcPr>
            <w:tcW w:w="720" w:type="pct"/>
            <w:shd w:val="clear" w:color="auto" w:fill="auto"/>
            <w:vAlign w:val="center"/>
          </w:tcPr>
          <w:p w14:paraId="4190F20B" w14:textId="5895D107" w:rsidR="003874D3" w:rsidRPr="00903F9D" w:rsidRDefault="003874D3" w:rsidP="003874D3">
            <w:pPr>
              <w:pStyle w:val="TableText"/>
              <w:jc w:val="center"/>
            </w:pPr>
            <w:r w:rsidRPr="00903F9D">
              <w:t>NR</w:t>
            </w:r>
          </w:p>
        </w:tc>
        <w:tc>
          <w:tcPr>
            <w:tcW w:w="608" w:type="pct"/>
            <w:shd w:val="clear" w:color="auto" w:fill="auto"/>
            <w:vAlign w:val="center"/>
          </w:tcPr>
          <w:p w14:paraId="70A26590" w14:textId="17E98063" w:rsidR="003874D3" w:rsidRPr="00903F9D" w:rsidRDefault="003874D3" w:rsidP="003874D3">
            <w:pPr>
              <w:pStyle w:val="TableText"/>
              <w:jc w:val="center"/>
            </w:pPr>
            <w:r w:rsidRPr="00903F9D">
              <w:t>97.7%</w:t>
            </w:r>
          </w:p>
        </w:tc>
        <w:tc>
          <w:tcPr>
            <w:tcW w:w="628" w:type="pct"/>
            <w:shd w:val="clear" w:color="auto" w:fill="auto"/>
            <w:vAlign w:val="center"/>
          </w:tcPr>
          <w:p w14:paraId="211F2FCA" w14:textId="36CB08E2" w:rsidR="003874D3" w:rsidRPr="00903F9D" w:rsidRDefault="003874D3" w:rsidP="003874D3">
            <w:pPr>
              <w:pStyle w:val="TableText"/>
              <w:jc w:val="center"/>
            </w:pPr>
            <w:r w:rsidRPr="00903F9D">
              <w:t>NR</w:t>
            </w:r>
          </w:p>
        </w:tc>
        <w:tc>
          <w:tcPr>
            <w:tcW w:w="622" w:type="pct"/>
            <w:shd w:val="clear" w:color="auto" w:fill="auto"/>
            <w:vAlign w:val="center"/>
          </w:tcPr>
          <w:p w14:paraId="44791034" w14:textId="4CD86FE5" w:rsidR="003874D3" w:rsidRPr="00903F9D" w:rsidRDefault="003874D3" w:rsidP="003874D3">
            <w:pPr>
              <w:pStyle w:val="TableText"/>
              <w:jc w:val="center"/>
            </w:pPr>
            <w:r w:rsidRPr="00903F9D">
              <w:t>-</w:t>
            </w:r>
          </w:p>
        </w:tc>
      </w:tr>
      <w:tr w:rsidR="00D06D1C" w:rsidRPr="00903F9D" w14:paraId="010F8B08" w14:textId="52D93DAE" w:rsidTr="0092090E">
        <w:trPr>
          <w:trHeight w:val="170"/>
        </w:trPr>
        <w:tc>
          <w:tcPr>
            <w:tcW w:w="5000" w:type="pct"/>
            <w:gridSpan w:val="6"/>
            <w:shd w:val="clear" w:color="auto" w:fill="auto"/>
            <w:vAlign w:val="center"/>
          </w:tcPr>
          <w:p w14:paraId="7E1830A8" w14:textId="32A3D96F" w:rsidR="00D06D1C" w:rsidRPr="00903F9D" w:rsidRDefault="00D06D1C" w:rsidP="0092090E">
            <w:pPr>
              <w:pStyle w:val="TableText"/>
            </w:pPr>
            <w:r w:rsidRPr="00903F9D">
              <w:rPr>
                <w:b/>
                <w:bCs/>
              </w:rPr>
              <w:t xml:space="preserve">T-score based </w:t>
            </w:r>
            <w:proofErr w:type="spellStart"/>
            <w:r w:rsidRPr="00903F9D">
              <w:rPr>
                <w:b/>
                <w:bCs/>
              </w:rPr>
              <w:t>analysis</w:t>
            </w:r>
            <w:r w:rsidR="0051341B" w:rsidRPr="00903F9D">
              <w:rPr>
                <w:b/>
                <w:bCs/>
                <w:vertAlign w:val="superscript"/>
              </w:rPr>
              <w:t>b</w:t>
            </w:r>
            <w:proofErr w:type="spellEnd"/>
          </w:p>
        </w:tc>
      </w:tr>
      <w:tr w:rsidR="002F61B2" w:rsidRPr="00903F9D" w14:paraId="1A1273BE" w14:textId="69AC9262" w:rsidTr="001D3A38">
        <w:trPr>
          <w:trHeight w:val="170"/>
        </w:trPr>
        <w:tc>
          <w:tcPr>
            <w:tcW w:w="1718" w:type="pct"/>
            <w:shd w:val="clear" w:color="auto" w:fill="auto"/>
            <w:vAlign w:val="center"/>
          </w:tcPr>
          <w:p w14:paraId="4C5557E5" w14:textId="7A093D63" w:rsidR="002F61B2" w:rsidRPr="00903F9D" w:rsidRDefault="002F61B2" w:rsidP="00E744E2">
            <w:pPr>
              <w:pStyle w:val="TableText"/>
            </w:pPr>
            <w:r w:rsidRPr="00903F9D">
              <w:t xml:space="preserve">Diagnostic </w:t>
            </w:r>
            <w:r w:rsidR="00D35B66" w:rsidRPr="00903F9D">
              <w:t>concordance</w:t>
            </w:r>
            <w:r w:rsidRPr="00903F9D">
              <w:t xml:space="preserve"> (with osteoporosis/</w:t>
            </w:r>
            <w:proofErr w:type="spellStart"/>
            <w:r w:rsidRPr="00903F9D">
              <w:t>osteopenic</w:t>
            </w:r>
            <w:proofErr w:type="spellEnd"/>
            <w:r w:rsidRPr="00903F9D">
              <w:t>/</w:t>
            </w:r>
            <w:proofErr w:type="spellStart"/>
            <w:r w:rsidRPr="00903F9D">
              <w:t>healthy</w:t>
            </w:r>
            <w:r w:rsidRPr="00903F9D">
              <w:rPr>
                <w:vertAlign w:val="superscript"/>
              </w:rPr>
              <w:t>a</w:t>
            </w:r>
            <w:proofErr w:type="spellEnd"/>
            <w:r w:rsidRPr="00903F9D">
              <w:t>)</w:t>
            </w:r>
          </w:p>
        </w:tc>
        <w:tc>
          <w:tcPr>
            <w:tcW w:w="704" w:type="pct"/>
            <w:shd w:val="clear" w:color="auto" w:fill="auto"/>
            <w:vAlign w:val="center"/>
          </w:tcPr>
          <w:p w14:paraId="0119C98F" w14:textId="3CD91F63" w:rsidR="002F61B2" w:rsidRPr="00903F9D" w:rsidRDefault="002F61B2" w:rsidP="00E744E2">
            <w:pPr>
              <w:pStyle w:val="TableText"/>
              <w:jc w:val="center"/>
            </w:pPr>
            <w:r w:rsidRPr="00903F9D">
              <w:t>86.8%</w:t>
            </w:r>
          </w:p>
        </w:tc>
        <w:tc>
          <w:tcPr>
            <w:tcW w:w="720" w:type="pct"/>
            <w:shd w:val="clear" w:color="auto" w:fill="auto"/>
            <w:vAlign w:val="center"/>
          </w:tcPr>
          <w:p w14:paraId="555617F6" w14:textId="3FF02448" w:rsidR="002F61B2" w:rsidRPr="00903F9D" w:rsidRDefault="002F61B2" w:rsidP="00E744E2">
            <w:pPr>
              <w:pStyle w:val="TableText"/>
              <w:jc w:val="center"/>
            </w:pPr>
            <w:r w:rsidRPr="00903F9D">
              <w:t>86.0%</w:t>
            </w:r>
          </w:p>
        </w:tc>
        <w:tc>
          <w:tcPr>
            <w:tcW w:w="608" w:type="pct"/>
            <w:shd w:val="clear" w:color="auto" w:fill="auto"/>
            <w:vAlign w:val="center"/>
          </w:tcPr>
          <w:p w14:paraId="62E22E3B" w14:textId="4D4F9800" w:rsidR="002F61B2" w:rsidRPr="00903F9D" w:rsidRDefault="002F61B2" w:rsidP="00E744E2">
            <w:pPr>
              <w:pStyle w:val="TableText"/>
              <w:jc w:val="center"/>
            </w:pPr>
            <w:r w:rsidRPr="00903F9D">
              <w:t>88.8%</w:t>
            </w:r>
          </w:p>
        </w:tc>
        <w:tc>
          <w:tcPr>
            <w:tcW w:w="628" w:type="pct"/>
            <w:shd w:val="clear" w:color="auto" w:fill="auto"/>
            <w:vAlign w:val="center"/>
          </w:tcPr>
          <w:p w14:paraId="1A146806" w14:textId="36CCAAE1" w:rsidR="002F61B2" w:rsidRPr="00903F9D" w:rsidRDefault="002F61B2" w:rsidP="00E744E2">
            <w:pPr>
              <w:pStyle w:val="TableText"/>
              <w:jc w:val="center"/>
            </w:pPr>
            <w:r w:rsidRPr="00903F9D">
              <w:t>88.2%</w:t>
            </w:r>
          </w:p>
        </w:tc>
        <w:tc>
          <w:tcPr>
            <w:tcW w:w="622" w:type="pct"/>
            <w:shd w:val="clear" w:color="auto" w:fill="auto"/>
            <w:vAlign w:val="center"/>
          </w:tcPr>
          <w:p w14:paraId="1BE778D0" w14:textId="5B626AEB" w:rsidR="002F61B2" w:rsidRPr="00903F9D" w:rsidRDefault="002F61B2" w:rsidP="00E744E2">
            <w:pPr>
              <w:pStyle w:val="TableText"/>
              <w:jc w:val="center"/>
            </w:pPr>
            <w:r w:rsidRPr="00903F9D">
              <w:t>84.7%</w:t>
            </w:r>
          </w:p>
        </w:tc>
      </w:tr>
      <w:tr w:rsidR="002F61B2" w:rsidRPr="00903F9D" w14:paraId="687E4E9C" w14:textId="63686AC5" w:rsidTr="001D3A38">
        <w:trPr>
          <w:trHeight w:val="170"/>
        </w:trPr>
        <w:tc>
          <w:tcPr>
            <w:tcW w:w="1718" w:type="pct"/>
            <w:tcBorders>
              <w:bottom w:val="single" w:sz="4" w:space="0" w:color="auto"/>
            </w:tcBorders>
            <w:shd w:val="clear" w:color="auto" w:fill="auto"/>
            <w:vAlign w:val="center"/>
          </w:tcPr>
          <w:p w14:paraId="50EF11FF" w14:textId="1E49F6BA" w:rsidR="002F61B2" w:rsidRPr="00903F9D" w:rsidRDefault="002F61B2" w:rsidP="00E744E2">
            <w:pPr>
              <w:pStyle w:val="TableText"/>
            </w:pPr>
            <w:r w:rsidRPr="00903F9D">
              <w:t>Cohens k (with osteoporosis/</w:t>
            </w:r>
            <w:proofErr w:type="spellStart"/>
            <w:r w:rsidRPr="00903F9D">
              <w:t>osteopenic</w:t>
            </w:r>
            <w:proofErr w:type="spellEnd"/>
            <w:r w:rsidRPr="00903F9D">
              <w:t>/</w:t>
            </w:r>
            <w:proofErr w:type="spellStart"/>
            <w:r w:rsidRPr="00903F9D">
              <w:t>healthy</w:t>
            </w:r>
            <w:r w:rsidRPr="00903F9D">
              <w:rPr>
                <w:vertAlign w:val="superscript"/>
              </w:rPr>
              <w:t>a</w:t>
            </w:r>
            <w:proofErr w:type="spellEnd"/>
            <w:r w:rsidRPr="00903F9D">
              <w:t>)</w:t>
            </w:r>
          </w:p>
        </w:tc>
        <w:tc>
          <w:tcPr>
            <w:tcW w:w="704" w:type="pct"/>
            <w:tcBorders>
              <w:bottom w:val="single" w:sz="4" w:space="0" w:color="auto"/>
            </w:tcBorders>
            <w:shd w:val="clear" w:color="auto" w:fill="auto"/>
            <w:vAlign w:val="center"/>
          </w:tcPr>
          <w:p w14:paraId="7E923288" w14:textId="6E7306D1" w:rsidR="002F61B2" w:rsidRPr="00903F9D" w:rsidRDefault="002F61B2" w:rsidP="00E744E2">
            <w:pPr>
              <w:pStyle w:val="TableText"/>
              <w:jc w:val="center"/>
            </w:pPr>
            <w:r w:rsidRPr="00903F9D">
              <w:t>0.84</w:t>
            </w:r>
          </w:p>
        </w:tc>
        <w:tc>
          <w:tcPr>
            <w:tcW w:w="720" w:type="pct"/>
            <w:tcBorders>
              <w:bottom w:val="single" w:sz="4" w:space="0" w:color="auto"/>
            </w:tcBorders>
            <w:shd w:val="clear" w:color="auto" w:fill="auto"/>
            <w:vAlign w:val="center"/>
          </w:tcPr>
          <w:p w14:paraId="49A995E0" w14:textId="2B9109B0" w:rsidR="002F61B2" w:rsidRPr="00903F9D" w:rsidRDefault="002F61B2" w:rsidP="00E744E2">
            <w:pPr>
              <w:pStyle w:val="TableText"/>
              <w:jc w:val="center"/>
            </w:pPr>
            <w:r w:rsidRPr="00903F9D">
              <w:t>0.83</w:t>
            </w:r>
          </w:p>
        </w:tc>
        <w:tc>
          <w:tcPr>
            <w:tcW w:w="608" w:type="pct"/>
            <w:tcBorders>
              <w:bottom w:val="single" w:sz="4" w:space="0" w:color="auto"/>
            </w:tcBorders>
            <w:shd w:val="clear" w:color="auto" w:fill="auto"/>
            <w:vAlign w:val="center"/>
          </w:tcPr>
          <w:p w14:paraId="09E77FA1" w14:textId="454984CF" w:rsidR="002F61B2" w:rsidRPr="00903F9D" w:rsidRDefault="002F61B2" w:rsidP="00E744E2">
            <w:pPr>
              <w:pStyle w:val="TableText"/>
              <w:jc w:val="center"/>
            </w:pPr>
            <w:r w:rsidRPr="00903F9D">
              <w:t>0.824*</w:t>
            </w:r>
          </w:p>
        </w:tc>
        <w:tc>
          <w:tcPr>
            <w:tcW w:w="628" w:type="pct"/>
            <w:tcBorders>
              <w:bottom w:val="single" w:sz="4" w:space="0" w:color="auto"/>
            </w:tcBorders>
            <w:shd w:val="clear" w:color="auto" w:fill="auto"/>
            <w:vAlign w:val="center"/>
          </w:tcPr>
          <w:p w14:paraId="11180162" w14:textId="2581811A" w:rsidR="002F61B2" w:rsidRPr="00903F9D" w:rsidRDefault="002F61B2" w:rsidP="00E744E2">
            <w:pPr>
              <w:pStyle w:val="TableText"/>
              <w:jc w:val="center"/>
            </w:pPr>
            <w:r w:rsidRPr="00903F9D">
              <w:t>0.794*</w:t>
            </w:r>
          </w:p>
        </w:tc>
        <w:tc>
          <w:tcPr>
            <w:tcW w:w="622" w:type="pct"/>
            <w:tcBorders>
              <w:bottom w:val="single" w:sz="4" w:space="0" w:color="auto"/>
            </w:tcBorders>
            <w:shd w:val="clear" w:color="auto" w:fill="auto"/>
            <w:vAlign w:val="center"/>
          </w:tcPr>
          <w:p w14:paraId="60F9C16D" w14:textId="3661DD02" w:rsidR="002F61B2" w:rsidRPr="00903F9D" w:rsidRDefault="002F61B2" w:rsidP="00E744E2">
            <w:pPr>
              <w:pStyle w:val="TableText"/>
              <w:jc w:val="center"/>
            </w:pPr>
            <w:r w:rsidRPr="00903F9D">
              <w:t>-</w:t>
            </w:r>
          </w:p>
        </w:tc>
      </w:tr>
      <w:tr w:rsidR="002F61B2" w:rsidRPr="00903F9D" w14:paraId="0EA99984" w14:textId="0B012847" w:rsidTr="001D3A38">
        <w:trPr>
          <w:trHeight w:val="170"/>
        </w:trPr>
        <w:tc>
          <w:tcPr>
            <w:tcW w:w="1718" w:type="pct"/>
            <w:shd w:val="clear" w:color="auto" w:fill="auto"/>
            <w:vAlign w:val="center"/>
          </w:tcPr>
          <w:p w14:paraId="509A929C" w14:textId="7DC6B9B7" w:rsidR="002F61B2" w:rsidRPr="00903F9D" w:rsidRDefault="002F61B2" w:rsidP="00E744E2">
            <w:pPr>
              <w:pStyle w:val="TableText"/>
            </w:pPr>
            <w:r w:rsidRPr="00903F9D">
              <w:t>Median T-score (IQR) with previous osteoporotic fractures:</w:t>
            </w:r>
          </w:p>
        </w:tc>
        <w:tc>
          <w:tcPr>
            <w:tcW w:w="704" w:type="pct"/>
            <w:shd w:val="clear" w:color="auto" w:fill="auto"/>
            <w:vAlign w:val="center"/>
          </w:tcPr>
          <w:p w14:paraId="54F73FA4" w14:textId="4BCFA474" w:rsidR="002F61B2" w:rsidRPr="00903F9D" w:rsidRDefault="002F61B2" w:rsidP="00E744E2">
            <w:pPr>
              <w:pStyle w:val="TableText"/>
              <w:jc w:val="center"/>
            </w:pPr>
          </w:p>
        </w:tc>
        <w:tc>
          <w:tcPr>
            <w:tcW w:w="720" w:type="pct"/>
            <w:shd w:val="clear" w:color="auto" w:fill="auto"/>
            <w:vAlign w:val="center"/>
          </w:tcPr>
          <w:p w14:paraId="2C514FAB" w14:textId="77E4E375" w:rsidR="002F61B2" w:rsidRPr="00903F9D" w:rsidRDefault="002F61B2" w:rsidP="00E744E2">
            <w:pPr>
              <w:pStyle w:val="TableText"/>
              <w:jc w:val="center"/>
            </w:pPr>
          </w:p>
        </w:tc>
        <w:tc>
          <w:tcPr>
            <w:tcW w:w="608" w:type="pct"/>
            <w:shd w:val="clear" w:color="auto" w:fill="auto"/>
            <w:vAlign w:val="center"/>
          </w:tcPr>
          <w:p w14:paraId="466A2BD6" w14:textId="22F7003C" w:rsidR="002F61B2" w:rsidRPr="00903F9D" w:rsidRDefault="002F61B2" w:rsidP="00E744E2">
            <w:pPr>
              <w:pStyle w:val="TableText"/>
              <w:jc w:val="center"/>
            </w:pPr>
          </w:p>
        </w:tc>
        <w:tc>
          <w:tcPr>
            <w:tcW w:w="628" w:type="pct"/>
            <w:shd w:val="clear" w:color="auto" w:fill="auto"/>
            <w:vAlign w:val="center"/>
          </w:tcPr>
          <w:p w14:paraId="72208CFA" w14:textId="78D0B3AB" w:rsidR="002F61B2" w:rsidRPr="00903F9D" w:rsidRDefault="002F61B2" w:rsidP="00E744E2">
            <w:pPr>
              <w:pStyle w:val="TableText"/>
              <w:jc w:val="center"/>
            </w:pPr>
          </w:p>
        </w:tc>
        <w:tc>
          <w:tcPr>
            <w:tcW w:w="622" w:type="pct"/>
            <w:shd w:val="clear" w:color="auto" w:fill="auto"/>
            <w:vAlign w:val="center"/>
          </w:tcPr>
          <w:p w14:paraId="65CD43A9" w14:textId="2E97A77D" w:rsidR="002F61B2" w:rsidRPr="00903F9D" w:rsidRDefault="002F61B2" w:rsidP="00E744E2">
            <w:pPr>
              <w:pStyle w:val="TableText"/>
              <w:jc w:val="center"/>
            </w:pPr>
            <w:r w:rsidRPr="00903F9D">
              <w:t>-</w:t>
            </w:r>
          </w:p>
        </w:tc>
      </w:tr>
      <w:tr w:rsidR="002F61B2" w:rsidRPr="00903F9D" w14:paraId="5D10203B" w14:textId="48B0F0B6" w:rsidTr="001D3A38">
        <w:trPr>
          <w:trHeight w:val="170"/>
        </w:trPr>
        <w:tc>
          <w:tcPr>
            <w:tcW w:w="1718" w:type="pct"/>
            <w:shd w:val="clear" w:color="auto" w:fill="auto"/>
            <w:vAlign w:val="center"/>
          </w:tcPr>
          <w:p w14:paraId="1B731EBE" w14:textId="3DFAE21D" w:rsidR="002F61B2" w:rsidRPr="00903F9D" w:rsidRDefault="002F61B2" w:rsidP="00E744E2">
            <w:pPr>
              <w:pStyle w:val="TableText"/>
              <w:ind w:left="306"/>
            </w:pPr>
            <w:r w:rsidRPr="00903F9D">
              <w:t>DXA</w:t>
            </w:r>
          </w:p>
        </w:tc>
        <w:tc>
          <w:tcPr>
            <w:tcW w:w="704" w:type="pct"/>
            <w:shd w:val="clear" w:color="auto" w:fill="auto"/>
            <w:vAlign w:val="center"/>
          </w:tcPr>
          <w:p w14:paraId="2A6F24EF" w14:textId="645FCE31" w:rsidR="002F61B2" w:rsidRPr="00903F9D" w:rsidRDefault="002F61B2" w:rsidP="00E744E2">
            <w:pPr>
              <w:pStyle w:val="TableText"/>
              <w:jc w:val="center"/>
            </w:pPr>
            <w:r w:rsidRPr="00903F9D">
              <w:t>-2.1 (-2.7, -1.3)</w:t>
            </w:r>
          </w:p>
        </w:tc>
        <w:tc>
          <w:tcPr>
            <w:tcW w:w="720" w:type="pct"/>
            <w:shd w:val="clear" w:color="auto" w:fill="auto"/>
            <w:vAlign w:val="center"/>
          </w:tcPr>
          <w:p w14:paraId="04E8AA5D" w14:textId="304BCB01" w:rsidR="002F61B2" w:rsidRPr="00903F9D" w:rsidRDefault="002F61B2" w:rsidP="00E744E2">
            <w:pPr>
              <w:pStyle w:val="TableText"/>
              <w:jc w:val="center"/>
            </w:pPr>
            <w:r w:rsidRPr="00903F9D">
              <w:t>-2.1 (-2.6, -1.4)</w:t>
            </w:r>
          </w:p>
        </w:tc>
        <w:tc>
          <w:tcPr>
            <w:tcW w:w="608" w:type="pct"/>
            <w:shd w:val="clear" w:color="auto" w:fill="auto"/>
            <w:vAlign w:val="center"/>
          </w:tcPr>
          <w:p w14:paraId="6CDC5479" w14:textId="3279BC33" w:rsidR="002F61B2" w:rsidRPr="00903F9D" w:rsidRDefault="002F61B2" w:rsidP="00E744E2">
            <w:pPr>
              <w:pStyle w:val="TableText"/>
              <w:jc w:val="center"/>
            </w:pPr>
            <w:r w:rsidRPr="00903F9D">
              <w:t>NR</w:t>
            </w:r>
          </w:p>
        </w:tc>
        <w:tc>
          <w:tcPr>
            <w:tcW w:w="628" w:type="pct"/>
            <w:shd w:val="clear" w:color="auto" w:fill="auto"/>
            <w:vAlign w:val="center"/>
          </w:tcPr>
          <w:p w14:paraId="5BA1A9FB" w14:textId="42C0BCE3" w:rsidR="002F61B2" w:rsidRPr="00903F9D" w:rsidRDefault="002F61B2" w:rsidP="00E744E2">
            <w:pPr>
              <w:pStyle w:val="TableText"/>
              <w:jc w:val="center"/>
            </w:pPr>
            <w:r w:rsidRPr="00903F9D">
              <w:t>NR</w:t>
            </w:r>
          </w:p>
        </w:tc>
        <w:tc>
          <w:tcPr>
            <w:tcW w:w="622" w:type="pct"/>
            <w:shd w:val="clear" w:color="auto" w:fill="auto"/>
            <w:vAlign w:val="center"/>
          </w:tcPr>
          <w:p w14:paraId="6402DE1E" w14:textId="699D0AB7" w:rsidR="002F61B2" w:rsidRPr="00903F9D" w:rsidRDefault="002F61B2" w:rsidP="00E744E2">
            <w:pPr>
              <w:pStyle w:val="TableText"/>
              <w:jc w:val="center"/>
            </w:pPr>
            <w:r w:rsidRPr="00903F9D">
              <w:t>-</w:t>
            </w:r>
          </w:p>
        </w:tc>
      </w:tr>
      <w:tr w:rsidR="002F61B2" w:rsidRPr="00903F9D" w14:paraId="1FBB568A" w14:textId="35880C3C" w:rsidTr="001D3A38">
        <w:trPr>
          <w:trHeight w:val="170"/>
        </w:trPr>
        <w:tc>
          <w:tcPr>
            <w:tcW w:w="1718" w:type="pct"/>
            <w:shd w:val="clear" w:color="auto" w:fill="auto"/>
            <w:vAlign w:val="center"/>
          </w:tcPr>
          <w:p w14:paraId="4EB15086" w14:textId="323BD303" w:rsidR="002F61B2" w:rsidRPr="00903F9D" w:rsidRDefault="002F61B2" w:rsidP="00E744E2">
            <w:pPr>
              <w:pStyle w:val="TableText"/>
              <w:ind w:left="306"/>
            </w:pPr>
            <w:r w:rsidRPr="00903F9D">
              <w:t>REMS</w:t>
            </w:r>
          </w:p>
        </w:tc>
        <w:tc>
          <w:tcPr>
            <w:tcW w:w="704" w:type="pct"/>
            <w:shd w:val="clear" w:color="auto" w:fill="auto"/>
            <w:vAlign w:val="center"/>
          </w:tcPr>
          <w:p w14:paraId="036AFD66" w14:textId="6FD930F8" w:rsidR="002F61B2" w:rsidRPr="00903F9D" w:rsidRDefault="002F61B2" w:rsidP="00E744E2">
            <w:pPr>
              <w:pStyle w:val="TableText"/>
              <w:jc w:val="center"/>
            </w:pPr>
            <w:r w:rsidRPr="00903F9D">
              <w:t>-2.3 (-2.8, -1.5)</w:t>
            </w:r>
          </w:p>
        </w:tc>
        <w:tc>
          <w:tcPr>
            <w:tcW w:w="720" w:type="pct"/>
            <w:shd w:val="clear" w:color="auto" w:fill="auto"/>
            <w:vAlign w:val="center"/>
          </w:tcPr>
          <w:p w14:paraId="3A87E7EE" w14:textId="658A69B3" w:rsidR="002F61B2" w:rsidRPr="00903F9D" w:rsidRDefault="002F61B2" w:rsidP="00E744E2">
            <w:pPr>
              <w:pStyle w:val="TableText"/>
              <w:jc w:val="center"/>
            </w:pPr>
            <w:r w:rsidRPr="00903F9D">
              <w:t>-2.4 (-2.8, -1.6)</w:t>
            </w:r>
          </w:p>
        </w:tc>
        <w:tc>
          <w:tcPr>
            <w:tcW w:w="608" w:type="pct"/>
            <w:shd w:val="clear" w:color="auto" w:fill="auto"/>
            <w:vAlign w:val="center"/>
          </w:tcPr>
          <w:p w14:paraId="0AD95FF1" w14:textId="21084D01" w:rsidR="002F61B2" w:rsidRPr="00903F9D" w:rsidRDefault="002F61B2" w:rsidP="00E744E2">
            <w:pPr>
              <w:pStyle w:val="TableText"/>
              <w:jc w:val="center"/>
            </w:pPr>
            <w:r w:rsidRPr="00903F9D">
              <w:t>NR</w:t>
            </w:r>
          </w:p>
        </w:tc>
        <w:tc>
          <w:tcPr>
            <w:tcW w:w="628" w:type="pct"/>
            <w:shd w:val="clear" w:color="auto" w:fill="auto"/>
            <w:vAlign w:val="center"/>
          </w:tcPr>
          <w:p w14:paraId="50426928" w14:textId="5F6D5A19" w:rsidR="002F61B2" w:rsidRPr="00903F9D" w:rsidRDefault="002F61B2" w:rsidP="00E744E2">
            <w:pPr>
              <w:pStyle w:val="TableText"/>
              <w:jc w:val="center"/>
            </w:pPr>
            <w:r w:rsidRPr="00903F9D">
              <w:t>NR</w:t>
            </w:r>
          </w:p>
        </w:tc>
        <w:tc>
          <w:tcPr>
            <w:tcW w:w="622" w:type="pct"/>
            <w:shd w:val="clear" w:color="auto" w:fill="auto"/>
            <w:vAlign w:val="center"/>
          </w:tcPr>
          <w:p w14:paraId="1EC8FDBF" w14:textId="01264DEC" w:rsidR="002F61B2" w:rsidRPr="00903F9D" w:rsidRDefault="002F61B2" w:rsidP="00E744E2">
            <w:pPr>
              <w:pStyle w:val="TableText"/>
              <w:jc w:val="center"/>
            </w:pPr>
          </w:p>
        </w:tc>
      </w:tr>
      <w:tr w:rsidR="002F61B2" w:rsidRPr="00903F9D" w14:paraId="77B29987" w14:textId="1C7C24C4" w:rsidTr="001D3A38">
        <w:trPr>
          <w:trHeight w:val="170"/>
        </w:trPr>
        <w:tc>
          <w:tcPr>
            <w:tcW w:w="1718" w:type="pct"/>
            <w:shd w:val="clear" w:color="auto" w:fill="auto"/>
            <w:vAlign w:val="center"/>
          </w:tcPr>
          <w:p w14:paraId="70F3B0EA" w14:textId="1AE5A5C9" w:rsidR="002F61B2" w:rsidRPr="00903F9D" w:rsidRDefault="002F61B2" w:rsidP="00E744E2">
            <w:pPr>
              <w:pStyle w:val="TableText"/>
            </w:pPr>
            <w:r w:rsidRPr="00903F9D">
              <w:t>Median T-score (IQR) without previous osteoporotic fractures:</w:t>
            </w:r>
          </w:p>
        </w:tc>
        <w:tc>
          <w:tcPr>
            <w:tcW w:w="704" w:type="pct"/>
            <w:shd w:val="clear" w:color="auto" w:fill="auto"/>
            <w:vAlign w:val="center"/>
          </w:tcPr>
          <w:p w14:paraId="4FD6F778" w14:textId="7715E057" w:rsidR="002F61B2" w:rsidRPr="00903F9D" w:rsidRDefault="002F61B2" w:rsidP="00E744E2">
            <w:pPr>
              <w:pStyle w:val="TableText"/>
              <w:jc w:val="center"/>
            </w:pPr>
          </w:p>
        </w:tc>
        <w:tc>
          <w:tcPr>
            <w:tcW w:w="720" w:type="pct"/>
            <w:shd w:val="clear" w:color="auto" w:fill="auto"/>
            <w:vAlign w:val="center"/>
          </w:tcPr>
          <w:p w14:paraId="04E0972E" w14:textId="1D4C5F05" w:rsidR="002F61B2" w:rsidRPr="00903F9D" w:rsidRDefault="002F61B2" w:rsidP="00E744E2">
            <w:pPr>
              <w:pStyle w:val="TableText"/>
              <w:jc w:val="center"/>
            </w:pPr>
          </w:p>
        </w:tc>
        <w:tc>
          <w:tcPr>
            <w:tcW w:w="608" w:type="pct"/>
            <w:shd w:val="clear" w:color="auto" w:fill="auto"/>
            <w:vAlign w:val="center"/>
          </w:tcPr>
          <w:p w14:paraId="3714785C" w14:textId="15E60E92" w:rsidR="002F61B2" w:rsidRPr="00903F9D" w:rsidRDefault="002F61B2" w:rsidP="00E744E2">
            <w:pPr>
              <w:pStyle w:val="TableText"/>
              <w:jc w:val="center"/>
            </w:pPr>
          </w:p>
        </w:tc>
        <w:tc>
          <w:tcPr>
            <w:tcW w:w="628" w:type="pct"/>
            <w:shd w:val="clear" w:color="auto" w:fill="auto"/>
            <w:vAlign w:val="center"/>
          </w:tcPr>
          <w:p w14:paraId="275A2130" w14:textId="35C9C304" w:rsidR="002F61B2" w:rsidRPr="00903F9D" w:rsidRDefault="002F61B2" w:rsidP="00E744E2">
            <w:pPr>
              <w:pStyle w:val="TableText"/>
              <w:jc w:val="center"/>
            </w:pPr>
          </w:p>
        </w:tc>
        <w:tc>
          <w:tcPr>
            <w:tcW w:w="622" w:type="pct"/>
            <w:shd w:val="clear" w:color="auto" w:fill="auto"/>
            <w:vAlign w:val="center"/>
          </w:tcPr>
          <w:p w14:paraId="47B7F804" w14:textId="184B5157" w:rsidR="002F61B2" w:rsidRPr="00903F9D" w:rsidRDefault="002F61B2" w:rsidP="00E744E2">
            <w:pPr>
              <w:pStyle w:val="TableText"/>
              <w:jc w:val="center"/>
            </w:pPr>
          </w:p>
        </w:tc>
      </w:tr>
      <w:tr w:rsidR="002F61B2" w:rsidRPr="00903F9D" w14:paraId="10FA80D7" w14:textId="269D5F30" w:rsidTr="001D3A38">
        <w:trPr>
          <w:trHeight w:val="170"/>
        </w:trPr>
        <w:tc>
          <w:tcPr>
            <w:tcW w:w="1718" w:type="pct"/>
            <w:shd w:val="clear" w:color="auto" w:fill="auto"/>
            <w:vAlign w:val="center"/>
          </w:tcPr>
          <w:p w14:paraId="19B8B559" w14:textId="1786BA21" w:rsidR="002F61B2" w:rsidRPr="00903F9D" w:rsidRDefault="002F61B2" w:rsidP="00E744E2">
            <w:pPr>
              <w:pStyle w:val="TableText"/>
              <w:ind w:left="306"/>
            </w:pPr>
            <w:r w:rsidRPr="00903F9D">
              <w:t>DXA</w:t>
            </w:r>
          </w:p>
        </w:tc>
        <w:tc>
          <w:tcPr>
            <w:tcW w:w="704" w:type="pct"/>
            <w:shd w:val="clear" w:color="auto" w:fill="auto"/>
            <w:vAlign w:val="center"/>
          </w:tcPr>
          <w:p w14:paraId="5E11E0FC" w14:textId="461FC817" w:rsidR="002F61B2" w:rsidRPr="00903F9D" w:rsidRDefault="002F61B2" w:rsidP="00E744E2">
            <w:pPr>
              <w:pStyle w:val="TableText"/>
              <w:jc w:val="center"/>
            </w:pPr>
            <w:r w:rsidRPr="00903F9D">
              <w:t>-1.6 (-2.4, -0.</w:t>
            </w:r>
            <w:proofErr w:type="gramStart"/>
            <w:r w:rsidRPr="00903F9D">
              <w:t>7)*</w:t>
            </w:r>
            <w:proofErr w:type="gramEnd"/>
            <w:r w:rsidRPr="00903F9D">
              <w:t>*</w:t>
            </w:r>
          </w:p>
        </w:tc>
        <w:tc>
          <w:tcPr>
            <w:tcW w:w="720" w:type="pct"/>
            <w:shd w:val="clear" w:color="auto" w:fill="auto"/>
            <w:vAlign w:val="center"/>
          </w:tcPr>
          <w:p w14:paraId="6EF11297" w14:textId="17432697" w:rsidR="002F61B2" w:rsidRPr="00903F9D" w:rsidRDefault="002F61B2" w:rsidP="00E744E2">
            <w:pPr>
              <w:pStyle w:val="TableText"/>
              <w:jc w:val="center"/>
            </w:pPr>
            <w:r w:rsidRPr="00903F9D">
              <w:t>-1.6 (-2.3, -0.</w:t>
            </w:r>
            <w:proofErr w:type="gramStart"/>
            <w:r w:rsidRPr="00903F9D">
              <w:t>9)*</w:t>
            </w:r>
            <w:proofErr w:type="gramEnd"/>
            <w:r w:rsidRPr="00903F9D">
              <w:t>*</w:t>
            </w:r>
          </w:p>
        </w:tc>
        <w:tc>
          <w:tcPr>
            <w:tcW w:w="608" w:type="pct"/>
            <w:shd w:val="clear" w:color="auto" w:fill="auto"/>
            <w:vAlign w:val="center"/>
          </w:tcPr>
          <w:p w14:paraId="31630C0A" w14:textId="696CA32C" w:rsidR="002F61B2" w:rsidRPr="00903F9D" w:rsidRDefault="002F61B2" w:rsidP="00E744E2">
            <w:pPr>
              <w:pStyle w:val="TableText"/>
              <w:jc w:val="center"/>
            </w:pPr>
            <w:r w:rsidRPr="00903F9D">
              <w:t>NR</w:t>
            </w:r>
          </w:p>
        </w:tc>
        <w:tc>
          <w:tcPr>
            <w:tcW w:w="628" w:type="pct"/>
            <w:shd w:val="clear" w:color="auto" w:fill="auto"/>
            <w:vAlign w:val="center"/>
          </w:tcPr>
          <w:p w14:paraId="3FD1A5BD" w14:textId="7111D9DB" w:rsidR="002F61B2" w:rsidRPr="00903F9D" w:rsidRDefault="002F61B2" w:rsidP="00E744E2">
            <w:pPr>
              <w:pStyle w:val="TableText"/>
              <w:jc w:val="center"/>
            </w:pPr>
            <w:r w:rsidRPr="00903F9D">
              <w:t>NR</w:t>
            </w:r>
          </w:p>
        </w:tc>
        <w:tc>
          <w:tcPr>
            <w:tcW w:w="622" w:type="pct"/>
            <w:shd w:val="clear" w:color="auto" w:fill="auto"/>
            <w:vAlign w:val="center"/>
          </w:tcPr>
          <w:p w14:paraId="68D00FC9" w14:textId="23A5B1A9" w:rsidR="002F61B2" w:rsidRPr="00903F9D" w:rsidRDefault="002F61B2" w:rsidP="00E744E2">
            <w:pPr>
              <w:pStyle w:val="TableText"/>
              <w:jc w:val="center"/>
            </w:pPr>
            <w:r w:rsidRPr="00903F9D">
              <w:t>-</w:t>
            </w:r>
          </w:p>
        </w:tc>
      </w:tr>
      <w:tr w:rsidR="002F61B2" w:rsidRPr="00903F9D" w14:paraId="52D6347E" w14:textId="6B70CFBA" w:rsidTr="001D3A38">
        <w:trPr>
          <w:trHeight w:val="170"/>
        </w:trPr>
        <w:tc>
          <w:tcPr>
            <w:tcW w:w="1718" w:type="pct"/>
            <w:shd w:val="clear" w:color="auto" w:fill="auto"/>
            <w:vAlign w:val="center"/>
          </w:tcPr>
          <w:p w14:paraId="752D8461" w14:textId="48307F74" w:rsidR="002F61B2" w:rsidRPr="00903F9D" w:rsidRDefault="002F61B2" w:rsidP="00E744E2">
            <w:pPr>
              <w:pStyle w:val="TableText"/>
              <w:ind w:left="306"/>
            </w:pPr>
            <w:r w:rsidRPr="00903F9D">
              <w:lastRenderedPageBreak/>
              <w:t>REMS</w:t>
            </w:r>
          </w:p>
        </w:tc>
        <w:tc>
          <w:tcPr>
            <w:tcW w:w="704" w:type="pct"/>
            <w:shd w:val="clear" w:color="auto" w:fill="auto"/>
            <w:vAlign w:val="center"/>
          </w:tcPr>
          <w:p w14:paraId="6E3C79FE" w14:textId="2FC3897A" w:rsidR="002F61B2" w:rsidRPr="00903F9D" w:rsidRDefault="002F61B2" w:rsidP="00E744E2">
            <w:pPr>
              <w:pStyle w:val="TableText"/>
              <w:jc w:val="center"/>
            </w:pPr>
            <w:r w:rsidRPr="00903F9D">
              <w:t>-1.7 (-2.4, -0.</w:t>
            </w:r>
            <w:proofErr w:type="gramStart"/>
            <w:r w:rsidRPr="00903F9D">
              <w:t>8)*</w:t>
            </w:r>
            <w:proofErr w:type="gramEnd"/>
            <w:r w:rsidRPr="00903F9D">
              <w:t>*</w:t>
            </w:r>
          </w:p>
        </w:tc>
        <w:tc>
          <w:tcPr>
            <w:tcW w:w="720" w:type="pct"/>
            <w:shd w:val="clear" w:color="auto" w:fill="auto"/>
            <w:vAlign w:val="center"/>
          </w:tcPr>
          <w:p w14:paraId="2120EFC0" w14:textId="256DC059" w:rsidR="002F61B2" w:rsidRPr="00903F9D" w:rsidRDefault="002F61B2" w:rsidP="00E744E2">
            <w:pPr>
              <w:pStyle w:val="TableText"/>
              <w:jc w:val="center"/>
            </w:pPr>
            <w:r w:rsidRPr="00903F9D">
              <w:t>-1.6 (-2.4, -0.</w:t>
            </w:r>
            <w:proofErr w:type="gramStart"/>
            <w:r w:rsidRPr="00903F9D">
              <w:t>9)*</w:t>
            </w:r>
            <w:proofErr w:type="gramEnd"/>
            <w:r w:rsidRPr="00903F9D">
              <w:t>*</w:t>
            </w:r>
          </w:p>
        </w:tc>
        <w:tc>
          <w:tcPr>
            <w:tcW w:w="608" w:type="pct"/>
            <w:shd w:val="clear" w:color="auto" w:fill="auto"/>
            <w:vAlign w:val="center"/>
          </w:tcPr>
          <w:p w14:paraId="079A5093" w14:textId="42374C80" w:rsidR="002F61B2" w:rsidRPr="00903F9D" w:rsidRDefault="002F61B2" w:rsidP="00E744E2">
            <w:pPr>
              <w:pStyle w:val="TableText"/>
              <w:jc w:val="center"/>
            </w:pPr>
            <w:r w:rsidRPr="00903F9D">
              <w:t>NR</w:t>
            </w:r>
          </w:p>
        </w:tc>
        <w:tc>
          <w:tcPr>
            <w:tcW w:w="628" w:type="pct"/>
            <w:shd w:val="clear" w:color="auto" w:fill="auto"/>
            <w:vAlign w:val="center"/>
          </w:tcPr>
          <w:p w14:paraId="4611D73E" w14:textId="3A81FA24" w:rsidR="002F61B2" w:rsidRPr="00903F9D" w:rsidRDefault="002F61B2" w:rsidP="00E744E2">
            <w:pPr>
              <w:pStyle w:val="TableText"/>
              <w:jc w:val="center"/>
            </w:pPr>
            <w:r w:rsidRPr="00903F9D">
              <w:t>NR</w:t>
            </w:r>
          </w:p>
        </w:tc>
        <w:tc>
          <w:tcPr>
            <w:tcW w:w="622" w:type="pct"/>
            <w:shd w:val="clear" w:color="auto" w:fill="auto"/>
            <w:vAlign w:val="center"/>
          </w:tcPr>
          <w:p w14:paraId="357B3613" w14:textId="11B51845" w:rsidR="002F61B2" w:rsidRPr="00903F9D" w:rsidRDefault="002F61B2" w:rsidP="00E744E2">
            <w:pPr>
              <w:pStyle w:val="TableText"/>
              <w:jc w:val="center"/>
            </w:pPr>
            <w:r w:rsidRPr="00903F9D">
              <w:t>-</w:t>
            </w:r>
          </w:p>
        </w:tc>
      </w:tr>
      <w:tr w:rsidR="00D06D1C" w:rsidRPr="00903F9D" w14:paraId="27C64746" w14:textId="3FA9F3E7" w:rsidTr="0092090E">
        <w:trPr>
          <w:trHeight w:val="170"/>
        </w:trPr>
        <w:tc>
          <w:tcPr>
            <w:tcW w:w="5000" w:type="pct"/>
            <w:gridSpan w:val="6"/>
            <w:shd w:val="clear" w:color="auto" w:fill="auto"/>
            <w:vAlign w:val="center"/>
          </w:tcPr>
          <w:p w14:paraId="7EA8AB73" w14:textId="286B83BF" w:rsidR="00D06D1C" w:rsidRPr="00903F9D" w:rsidRDefault="00D06D1C" w:rsidP="0092090E">
            <w:pPr>
              <w:pStyle w:val="TableText"/>
              <w:rPr>
                <w:b/>
                <w:bCs/>
              </w:rPr>
            </w:pPr>
            <w:r w:rsidRPr="00903F9D">
              <w:rPr>
                <w:b/>
                <w:bCs/>
              </w:rPr>
              <w:t xml:space="preserve">AUC of T-score ROC curve for discriminating between groups with/without previous osteoporotic </w:t>
            </w:r>
            <w:proofErr w:type="spellStart"/>
            <w:r w:rsidRPr="00903F9D">
              <w:rPr>
                <w:b/>
                <w:bCs/>
              </w:rPr>
              <w:t>fractures</w:t>
            </w:r>
            <w:r w:rsidR="00AE6D88" w:rsidRPr="00903F9D">
              <w:rPr>
                <w:b/>
                <w:bCs/>
                <w:vertAlign w:val="superscript"/>
              </w:rPr>
              <w:t>c</w:t>
            </w:r>
            <w:proofErr w:type="spellEnd"/>
          </w:p>
        </w:tc>
      </w:tr>
      <w:tr w:rsidR="001D036A" w:rsidRPr="00903F9D" w14:paraId="6585BAEB" w14:textId="16303AD2" w:rsidTr="001D3A38">
        <w:trPr>
          <w:trHeight w:val="170"/>
        </w:trPr>
        <w:tc>
          <w:tcPr>
            <w:tcW w:w="1718" w:type="pct"/>
            <w:shd w:val="clear" w:color="auto" w:fill="auto"/>
            <w:vAlign w:val="center"/>
          </w:tcPr>
          <w:p w14:paraId="7CA922DD" w14:textId="49A3C1BE" w:rsidR="001D036A" w:rsidRPr="00903F9D" w:rsidRDefault="001D036A" w:rsidP="001D036A">
            <w:pPr>
              <w:pStyle w:val="TableText"/>
              <w:ind w:left="306"/>
            </w:pPr>
            <w:r w:rsidRPr="00903F9D">
              <w:t>DXA</w:t>
            </w:r>
          </w:p>
        </w:tc>
        <w:tc>
          <w:tcPr>
            <w:tcW w:w="704" w:type="pct"/>
            <w:shd w:val="clear" w:color="auto" w:fill="auto"/>
            <w:vAlign w:val="center"/>
          </w:tcPr>
          <w:p w14:paraId="7FAB81B3" w14:textId="5177C270" w:rsidR="001D036A" w:rsidRPr="00903F9D" w:rsidRDefault="001D036A" w:rsidP="001D036A">
            <w:pPr>
              <w:pStyle w:val="TableText"/>
              <w:jc w:val="center"/>
            </w:pPr>
            <w:r w:rsidRPr="00903F9D">
              <w:t>0.603***</w:t>
            </w:r>
          </w:p>
        </w:tc>
        <w:tc>
          <w:tcPr>
            <w:tcW w:w="720" w:type="pct"/>
            <w:shd w:val="clear" w:color="auto" w:fill="auto"/>
            <w:vAlign w:val="center"/>
          </w:tcPr>
          <w:p w14:paraId="719BB552" w14:textId="7D6853B9" w:rsidR="001D036A" w:rsidRPr="00903F9D" w:rsidRDefault="001D036A" w:rsidP="001D036A">
            <w:pPr>
              <w:pStyle w:val="TableText"/>
              <w:jc w:val="center"/>
            </w:pPr>
            <w:r w:rsidRPr="00903F9D">
              <w:t>NR</w:t>
            </w:r>
          </w:p>
        </w:tc>
        <w:tc>
          <w:tcPr>
            <w:tcW w:w="608" w:type="pct"/>
            <w:shd w:val="clear" w:color="auto" w:fill="auto"/>
            <w:vAlign w:val="center"/>
          </w:tcPr>
          <w:p w14:paraId="7D881062" w14:textId="6F14DC4D" w:rsidR="001D036A" w:rsidRPr="00903F9D" w:rsidRDefault="001D036A" w:rsidP="001D036A">
            <w:pPr>
              <w:pStyle w:val="TableText"/>
              <w:jc w:val="center"/>
            </w:pPr>
            <w:r w:rsidRPr="00903F9D">
              <w:t>0.631*</w:t>
            </w:r>
          </w:p>
        </w:tc>
        <w:tc>
          <w:tcPr>
            <w:tcW w:w="628" w:type="pct"/>
            <w:shd w:val="clear" w:color="auto" w:fill="auto"/>
            <w:vAlign w:val="center"/>
          </w:tcPr>
          <w:p w14:paraId="67E97AB5" w14:textId="56BFAB44" w:rsidR="001D036A" w:rsidRPr="00903F9D" w:rsidRDefault="001D036A" w:rsidP="001D036A">
            <w:pPr>
              <w:pStyle w:val="TableText"/>
              <w:jc w:val="center"/>
            </w:pPr>
            <w:r w:rsidRPr="00903F9D">
              <w:t>NR</w:t>
            </w:r>
          </w:p>
        </w:tc>
        <w:tc>
          <w:tcPr>
            <w:tcW w:w="622" w:type="pct"/>
            <w:shd w:val="clear" w:color="auto" w:fill="auto"/>
            <w:vAlign w:val="center"/>
          </w:tcPr>
          <w:p w14:paraId="03155C62" w14:textId="13B808A4" w:rsidR="001D036A" w:rsidRPr="00903F9D" w:rsidRDefault="001D036A" w:rsidP="001D036A">
            <w:pPr>
              <w:pStyle w:val="TableText"/>
              <w:jc w:val="center"/>
            </w:pPr>
            <w:r w:rsidRPr="00903F9D">
              <w:t>-</w:t>
            </w:r>
          </w:p>
        </w:tc>
      </w:tr>
      <w:tr w:rsidR="001D036A" w:rsidRPr="00903F9D" w14:paraId="29FADE03" w14:textId="35E96B9E" w:rsidTr="001D3A38">
        <w:trPr>
          <w:trHeight w:val="170"/>
        </w:trPr>
        <w:tc>
          <w:tcPr>
            <w:tcW w:w="1718" w:type="pct"/>
            <w:shd w:val="clear" w:color="auto" w:fill="auto"/>
            <w:vAlign w:val="center"/>
          </w:tcPr>
          <w:p w14:paraId="5660C6BA" w14:textId="5707C5B3" w:rsidR="001D036A" w:rsidRPr="00903F9D" w:rsidRDefault="001D036A" w:rsidP="001D036A">
            <w:pPr>
              <w:pStyle w:val="TableText"/>
              <w:ind w:left="306"/>
            </w:pPr>
            <w:r w:rsidRPr="00903F9D">
              <w:t>REMS</w:t>
            </w:r>
          </w:p>
        </w:tc>
        <w:tc>
          <w:tcPr>
            <w:tcW w:w="704" w:type="pct"/>
            <w:shd w:val="clear" w:color="auto" w:fill="auto"/>
            <w:vAlign w:val="center"/>
          </w:tcPr>
          <w:p w14:paraId="59B4B9FE" w14:textId="69FD700F" w:rsidR="001D036A" w:rsidRPr="00903F9D" w:rsidRDefault="001D036A" w:rsidP="001D036A">
            <w:pPr>
              <w:pStyle w:val="TableText"/>
              <w:jc w:val="center"/>
            </w:pPr>
            <w:r w:rsidRPr="00903F9D">
              <w:t>0.640***</w:t>
            </w:r>
          </w:p>
        </w:tc>
        <w:tc>
          <w:tcPr>
            <w:tcW w:w="720" w:type="pct"/>
            <w:shd w:val="clear" w:color="auto" w:fill="auto"/>
            <w:vAlign w:val="center"/>
          </w:tcPr>
          <w:p w14:paraId="055018BF" w14:textId="12C2D8DE" w:rsidR="001D036A" w:rsidRPr="00903F9D" w:rsidRDefault="001D036A" w:rsidP="001D036A">
            <w:pPr>
              <w:pStyle w:val="TableText"/>
              <w:jc w:val="center"/>
            </w:pPr>
            <w:r w:rsidRPr="00903F9D">
              <w:t>NR</w:t>
            </w:r>
          </w:p>
        </w:tc>
        <w:tc>
          <w:tcPr>
            <w:tcW w:w="608" w:type="pct"/>
            <w:shd w:val="clear" w:color="auto" w:fill="auto"/>
            <w:vAlign w:val="center"/>
          </w:tcPr>
          <w:p w14:paraId="6CD21833" w14:textId="08E31A7E" w:rsidR="001D036A" w:rsidRPr="00903F9D" w:rsidRDefault="001D036A" w:rsidP="001D036A">
            <w:pPr>
              <w:pStyle w:val="TableText"/>
              <w:jc w:val="center"/>
            </w:pPr>
            <w:r w:rsidRPr="00903F9D">
              <w:t>0.638*</w:t>
            </w:r>
          </w:p>
        </w:tc>
        <w:tc>
          <w:tcPr>
            <w:tcW w:w="628" w:type="pct"/>
            <w:shd w:val="clear" w:color="auto" w:fill="auto"/>
            <w:vAlign w:val="center"/>
          </w:tcPr>
          <w:p w14:paraId="52F73AF0" w14:textId="2FDE778B" w:rsidR="001D036A" w:rsidRPr="00903F9D" w:rsidRDefault="001D036A" w:rsidP="001D036A">
            <w:pPr>
              <w:pStyle w:val="TableText"/>
              <w:jc w:val="center"/>
            </w:pPr>
            <w:r w:rsidRPr="00903F9D">
              <w:t>NR</w:t>
            </w:r>
          </w:p>
        </w:tc>
        <w:tc>
          <w:tcPr>
            <w:tcW w:w="622" w:type="pct"/>
            <w:shd w:val="clear" w:color="auto" w:fill="auto"/>
            <w:vAlign w:val="center"/>
          </w:tcPr>
          <w:p w14:paraId="719CDDEE" w14:textId="12AA9A2D" w:rsidR="001D036A" w:rsidRPr="00903F9D" w:rsidRDefault="001D036A" w:rsidP="001D036A">
            <w:pPr>
              <w:pStyle w:val="TableText"/>
              <w:jc w:val="center"/>
            </w:pPr>
            <w:r w:rsidRPr="00903F9D">
              <w:t>-</w:t>
            </w:r>
          </w:p>
        </w:tc>
      </w:tr>
    </w:tbl>
    <w:p w14:paraId="1823D7F5" w14:textId="4C67E498" w:rsidR="001D036A" w:rsidRPr="00903F9D" w:rsidRDefault="001D036A" w:rsidP="008D2E96">
      <w:pPr>
        <w:pStyle w:val="TableFigureFooter"/>
      </w:pPr>
      <w:r w:rsidRPr="00903F9D">
        <w:t>Source:</w:t>
      </w:r>
      <w:r w:rsidR="00C9055A" w:rsidRPr="00903F9D">
        <w:t xml:space="preserve"> Table 6, p38 of the </w:t>
      </w:r>
      <w:r w:rsidR="004247E4" w:rsidRPr="00903F9D">
        <w:t xml:space="preserve">MSAC 1665 </w:t>
      </w:r>
      <w:r w:rsidR="00C9055A" w:rsidRPr="00903F9D">
        <w:t>ADAR</w:t>
      </w:r>
      <w:r w:rsidR="001D3A38" w:rsidRPr="00903F9D">
        <w:t xml:space="preserve">; Additional data from </w:t>
      </w:r>
      <w:proofErr w:type="spellStart"/>
      <w:r w:rsidR="001D3A38" w:rsidRPr="00903F9D">
        <w:t>EchoLight</w:t>
      </w:r>
      <w:proofErr w:type="spellEnd"/>
      <w:r w:rsidR="001D3A38" w:rsidRPr="00903F9D">
        <w:t xml:space="preserve"> Italy, Total Femur, Nov 2017</w:t>
      </w:r>
      <w:r w:rsidR="004247E4" w:rsidRPr="00903F9D">
        <w:t xml:space="preserve"> (unpublished)</w:t>
      </w:r>
    </w:p>
    <w:p w14:paraId="322094B1" w14:textId="348191A8" w:rsidR="002F61B2" w:rsidRPr="00903F9D" w:rsidRDefault="001D036A" w:rsidP="0092090E">
      <w:pPr>
        <w:pStyle w:val="TableFigureFooter"/>
      </w:pPr>
      <w:r w:rsidRPr="00903F9D">
        <w:t xml:space="preserve">AUC= area under the curve; BMD= bone mineral density; </w:t>
      </w:r>
      <w:r w:rsidR="00243CE1" w:rsidRPr="00903F9D">
        <w:t xml:space="preserve">DXA= </w:t>
      </w:r>
      <w:r w:rsidR="006A6CBC" w:rsidRPr="00903F9D">
        <w:t xml:space="preserve">dual energy </w:t>
      </w:r>
      <w:r w:rsidR="00316C71" w:rsidRPr="00903F9D">
        <w:t>x-r</w:t>
      </w:r>
      <w:r w:rsidR="006A6CBC" w:rsidRPr="00903F9D">
        <w:t>ay absorptiometry</w:t>
      </w:r>
      <w:r w:rsidR="00243CE1" w:rsidRPr="00903F9D">
        <w:t xml:space="preserve">; </w:t>
      </w:r>
      <w:r w:rsidR="002F61B2" w:rsidRPr="00903F9D">
        <w:t>IQR</w:t>
      </w:r>
      <w:r w:rsidR="00243CE1" w:rsidRPr="00903F9D">
        <w:t>=</w:t>
      </w:r>
      <w:r w:rsidR="002F61B2" w:rsidRPr="00903F9D">
        <w:t xml:space="preserve"> interquartile ratio; </w:t>
      </w:r>
      <w:r w:rsidRPr="00903F9D">
        <w:t>NR= not reported;</w:t>
      </w:r>
      <w:r w:rsidR="00243CE1" w:rsidRPr="00903F9D">
        <w:t xml:space="preserve"> REMS=</w:t>
      </w:r>
      <w:r w:rsidR="006A6CBC" w:rsidRPr="00903F9D">
        <w:t xml:space="preserve"> radiofrequency echographic multi spectrometry</w:t>
      </w:r>
      <w:r w:rsidR="00243CE1" w:rsidRPr="00903F9D">
        <w:t xml:space="preserve">; </w:t>
      </w:r>
      <w:r w:rsidR="002F61B2" w:rsidRPr="00903F9D">
        <w:t>ROC</w:t>
      </w:r>
      <w:r w:rsidR="00243CE1" w:rsidRPr="00903F9D">
        <w:t>=</w:t>
      </w:r>
      <w:r w:rsidR="002F61B2" w:rsidRPr="00903F9D">
        <w:t xml:space="preserve"> receiver operating characteristic</w:t>
      </w:r>
      <w:r w:rsidRPr="00903F9D">
        <w:t>.</w:t>
      </w:r>
    </w:p>
    <w:p w14:paraId="26F5171B" w14:textId="0420132F" w:rsidR="002F61B2" w:rsidRPr="00903F9D" w:rsidRDefault="002F61B2" w:rsidP="00AE6D88">
      <w:pPr>
        <w:pStyle w:val="TableFigureFooter"/>
        <w:contextualSpacing/>
      </w:pPr>
      <w:r w:rsidRPr="00903F9D">
        <w:t xml:space="preserve">Notes: </w:t>
      </w:r>
    </w:p>
    <w:p w14:paraId="23842141" w14:textId="50DD11F5" w:rsidR="002F61B2" w:rsidRPr="00903F9D" w:rsidRDefault="002F61B2" w:rsidP="00AE6D88">
      <w:pPr>
        <w:pStyle w:val="TableFigureFooter"/>
        <w:contextualSpacing/>
      </w:pPr>
      <w:r w:rsidRPr="00903F9D">
        <w:t>a. Osteoporosis (T-score ≤-2.5), Without Osteoporosis includes Osteopenia (T-score -2.5 &lt; to &lt;-1.0), Healthy (T-score</w:t>
      </w:r>
      <w:r w:rsidR="00604E4A" w:rsidRPr="00903F9D">
        <w:t xml:space="preserve"> </w:t>
      </w:r>
      <w:r w:rsidRPr="00903F9D">
        <w:t>&gt;-1.0)</w:t>
      </w:r>
    </w:p>
    <w:p w14:paraId="25E2EC88" w14:textId="1537EDDB" w:rsidR="00AE6D88" w:rsidRPr="00903F9D" w:rsidRDefault="0051341B" w:rsidP="00AE6D88">
      <w:pPr>
        <w:pStyle w:val="Tablenotes0"/>
        <w:spacing w:before="0" w:after="0"/>
        <w:rPr>
          <w:i/>
          <w:iCs/>
        </w:rPr>
      </w:pPr>
      <w:r w:rsidRPr="00903F9D">
        <w:t>b</w:t>
      </w:r>
      <w:r w:rsidR="00AE6D88" w:rsidRPr="00903F9D">
        <w:t xml:space="preserve">. The diagnostic concordance was assessed as the percentage of patients classified in the same diagnostic category (osteoporotic, </w:t>
      </w:r>
      <w:proofErr w:type="spellStart"/>
      <w:r w:rsidR="00AE6D88" w:rsidRPr="00903F9D">
        <w:t>osteopenic</w:t>
      </w:r>
      <w:proofErr w:type="spellEnd"/>
      <w:r w:rsidR="00AE6D88" w:rsidRPr="00903F9D">
        <w:t>, or healthy) by both DXA and REMS and by Cohen’s kappa (k).</w:t>
      </w:r>
    </w:p>
    <w:p w14:paraId="67357147" w14:textId="677CFDCF" w:rsidR="0051341B" w:rsidRPr="00903F9D" w:rsidRDefault="00AE6D88" w:rsidP="00AE6D88">
      <w:pPr>
        <w:pStyle w:val="Tablenotes0"/>
        <w:spacing w:before="0" w:after="0"/>
      </w:pPr>
      <w:r w:rsidRPr="00903F9D">
        <w:t>c. The reference standard for the ROC curve was previous fracture as confirmed by patient clinical history</w:t>
      </w:r>
      <w:r w:rsidR="00432FC4" w:rsidRPr="00903F9D">
        <w:t>. AUCROC values below 0.7 but more than 0.5 indicate ‘low test accuracy’.</w:t>
      </w:r>
    </w:p>
    <w:p w14:paraId="1EFC882B" w14:textId="4C06B274" w:rsidR="002F61B2" w:rsidRPr="00903F9D" w:rsidRDefault="002F61B2" w:rsidP="00AE6D88">
      <w:pPr>
        <w:pStyle w:val="TableFigureFooter"/>
        <w:contextualSpacing/>
      </w:pPr>
      <w:r w:rsidRPr="00903F9D">
        <w:t>*</w:t>
      </w:r>
      <w:r w:rsidR="00604E4A" w:rsidRPr="00903F9D">
        <w:t xml:space="preserve"> </w:t>
      </w:r>
      <w:r w:rsidRPr="00903F9D">
        <w:t>p&lt;0.001</w:t>
      </w:r>
    </w:p>
    <w:p w14:paraId="59008D05" w14:textId="4B9001D1" w:rsidR="002F61B2" w:rsidRPr="00903F9D" w:rsidRDefault="002F61B2" w:rsidP="0092090E">
      <w:pPr>
        <w:pStyle w:val="TableFigureFooter"/>
      </w:pPr>
      <w:r w:rsidRPr="00903F9D">
        <w:t>** p&lt;0.0001 for comparisons with and without osteoporotic fractures</w:t>
      </w:r>
    </w:p>
    <w:p w14:paraId="052EE9E3" w14:textId="0C5AFF8D" w:rsidR="002F61B2" w:rsidRPr="00903F9D" w:rsidRDefault="002F61B2" w:rsidP="00716903">
      <w:pPr>
        <w:pStyle w:val="TableFigureFooter"/>
        <w:keepNext w:val="0"/>
      </w:pPr>
      <w:r w:rsidRPr="00903F9D">
        <w:t>*** p=0.0002</w:t>
      </w:r>
    </w:p>
    <w:p w14:paraId="12E2A014" w14:textId="65551E78" w:rsidR="005B0A9F" w:rsidRPr="00903F9D" w:rsidRDefault="00111856" w:rsidP="00DF08CE">
      <w:r w:rsidRPr="00903F9D">
        <w:fldChar w:fldCharType="begin"/>
      </w:r>
      <w:r w:rsidRPr="00903F9D">
        <w:instrText xml:space="preserve"> REF _Ref99630543 \h </w:instrText>
      </w:r>
      <w:r w:rsidR="00F97C0B" w:rsidRPr="00903F9D">
        <w:instrText xml:space="preserve"> \* MERGEFORMAT </w:instrText>
      </w:r>
      <w:r w:rsidRPr="00903F9D">
        <w:fldChar w:fldCharType="separate"/>
      </w:r>
      <w:r w:rsidR="00DF3307" w:rsidRPr="00903F9D">
        <w:t xml:space="preserve">Table </w:t>
      </w:r>
      <w:r w:rsidR="00DF3307" w:rsidRPr="00903F9D">
        <w:rPr>
          <w:noProof/>
        </w:rPr>
        <w:t>7</w:t>
      </w:r>
      <w:r w:rsidRPr="00903F9D">
        <w:fldChar w:fldCharType="end"/>
      </w:r>
      <w:r w:rsidRPr="00903F9D">
        <w:t xml:space="preserve"> also</w:t>
      </w:r>
      <w:r w:rsidR="00107168" w:rsidRPr="00903F9D">
        <w:t xml:space="preserve"> </w:t>
      </w:r>
      <w:r w:rsidR="005B0A9F" w:rsidRPr="00903F9D">
        <w:t xml:space="preserve">includes the additional total femur </w:t>
      </w:r>
      <w:r w:rsidR="00D87B03" w:rsidRPr="00903F9D">
        <w:t xml:space="preserve">score </w:t>
      </w:r>
      <w:r w:rsidR="005B0A9F" w:rsidRPr="00903F9D">
        <w:t xml:space="preserve">results </w:t>
      </w:r>
      <w:r w:rsidR="00D27DB9" w:rsidRPr="00903F9D">
        <w:t xml:space="preserve">from </w:t>
      </w:r>
      <w:proofErr w:type="spellStart"/>
      <w:r w:rsidR="00D27DB9" w:rsidRPr="00903F9D">
        <w:t>EchoLight</w:t>
      </w:r>
      <w:proofErr w:type="spellEnd"/>
      <w:r w:rsidR="00D27DB9" w:rsidRPr="00903F9D">
        <w:t xml:space="preserve"> Italy </w:t>
      </w:r>
      <w:r w:rsidR="005B0A9F" w:rsidRPr="00903F9D">
        <w:t xml:space="preserve">provided by the applicant post-submission of the ADAR. </w:t>
      </w:r>
      <w:r w:rsidR="00324B96" w:rsidRPr="00903F9D">
        <w:t>This data was provided to address the concerns raised in the PICO confirmation that REMS is not able to provide a BMD measurement for the TPF. Instead</w:t>
      </w:r>
      <w:r w:rsidR="00BF51FF" w:rsidRPr="00903F9D">
        <w:t>,</w:t>
      </w:r>
      <w:r w:rsidR="00324B96" w:rsidRPr="00903F9D">
        <w:t xml:space="preserve"> the </w:t>
      </w:r>
      <w:r w:rsidR="007E6C45" w:rsidRPr="00903F9D">
        <w:t>a</w:t>
      </w:r>
      <w:r w:rsidR="00324B96" w:rsidRPr="00903F9D">
        <w:t xml:space="preserve">pplicant claimed that the REMS total femur score (a composite of the femoral neck and upper trochanter) can be considered equivalent to the DXA TPF measurement. </w:t>
      </w:r>
      <w:r w:rsidR="000520E6" w:rsidRPr="00903F9D">
        <w:t xml:space="preserve">In the </w:t>
      </w:r>
      <w:proofErr w:type="spellStart"/>
      <w:r w:rsidR="00324B96" w:rsidRPr="00903F9D">
        <w:t>EchoLight</w:t>
      </w:r>
      <w:proofErr w:type="spellEnd"/>
      <w:r w:rsidR="00324B96" w:rsidRPr="00903F9D">
        <w:t xml:space="preserve"> Italy report</w:t>
      </w:r>
      <w:r w:rsidR="000520E6" w:rsidRPr="00903F9D">
        <w:t>, the</w:t>
      </w:r>
      <w:r w:rsidR="005B0A9F" w:rsidRPr="00903F9D">
        <w:t xml:space="preserve"> correlation of </w:t>
      </w:r>
      <w:r w:rsidR="00D87B03" w:rsidRPr="00903F9D">
        <w:t xml:space="preserve">the </w:t>
      </w:r>
      <w:r w:rsidR="005B0A9F" w:rsidRPr="00903F9D">
        <w:t xml:space="preserve">REMS </w:t>
      </w:r>
      <w:r w:rsidR="0087308F" w:rsidRPr="00903F9D">
        <w:t xml:space="preserve">total femur </w:t>
      </w:r>
      <w:r w:rsidR="00D87B03" w:rsidRPr="00903F9D">
        <w:t xml:space="preserve">score </w:t>
      </w:r>
      <w:r w:rsidR="005B0A9F" w:rsidRPr="00903F9D">
        <w:t xml:space="preserve">and </w:t>
      </w:r>
      <w:r w:rsidR="00D87B03" w:rsidRPr="00903F9D">
        <w:t xml:space="preserve">the </w:t>
      </w:r>
      <w:r w:rsidR="005B0A9F" w:rsidRPr="00903F9D">
        <w:t xml:space="preserve">DXA </w:t>
      </w:r>
      <w:r w:rsidR="000520E6" w:rsidRPr="00903F9D">
        <w:t>TPF</w:t>
      </w:r>
      <w:r w:rsidR="0087308F" w:rsidRPr="00903F9D">
        <w:t xml:space="preserve"> </w:t>
      </w:r>
      <w:r w:rsidR="005B0A9F" w:rsidRPr="00903F9D">
        <w:t>BMD regression line slope was not reported</w:t>
      </w:r>
      <w:r w:rsidR="00C254D6" w:rsidRPr="00903F9D">
        <w:t>,</w:t>
      </w:r>
      <w:r w:rsidR="005B0A9F" w:rsidRPr="00903F9D">
        <w:t xml:space="preserve"> but the r</w:t>
      </w:r>
      <w:r w:rsidR="005B0A9F" w:rsidRPr="00903F9D">
        <w:rPr>
          <w:vertAlign w:val="superscript"/>
        </w:rPr>
        <w:t>2</w:t>
      </w:r>
      <w:r w:rsidR="005B0A9F" w:rsidRPr="00903F9D">
        <w:t xml:space="preserve"> was 0.94 (p&lt;0.001), indicating statistically significant high correlation for </w:t>
      </w:r>
      <w:r w:rsidR="00D87B03" w:rsidRPr="00903F9D">
        <w:t xml:space="preserve">the REMS </w:t>
      </w:r>
      <w:r w:rsidR="005B0A9F" w:rsidRPr="00903F9D">
        <w:t>total femur</w:t>
      </w:r>
      <w:r w:rsidR="00D87B03" w:rsidRPr="00903F9D">
        <w:t xml:space="preserve"> score</w:t>
      </w:r>
      <w:r w:rsidR="005B0A9F" w:rsidRPr="00903F9D">
        <w:t xml:space="preserve">. The diagnostic concordance between </w:t>
      </w:r>
      <w:r w:rsidR="00D87B03" w:rsidRPr="00903F9D">
        <w:t xml:space="preserve">the </w:t>
      </w:r>
      <w:r w:rsidR="005B0A9F" w:rsidRPr="00903F9D">
        <w:t xml:space="preserve">REMS </w:t>
      </w:r>
      <w:r w:rsidR="0087308F" w:rsidRPr="00903F9D">
        <w:t xml:space="preserve">total femur </w:t>
      </w:r>
      <w:r w:rsidR="00D87B03" w:rsidRPr="00903F9D">
        <w:t xml:space="preserve">score </w:t>
      </w:r>
      <w:r w:rsidR="005B0A9F" w:rsidRPr="00903F9D">
        <w:t xml:space="preserve">and </w:t>
      </w:r>
      <w:r w:rsidR="00D87B03" w:rsidRPr="00903F9D">
        <w:t xml:space="preserve">the </w:t>
      </w:r>
      <w:r w:rsidR="005B0A9F" w:rsidRPr="00903F9D">
        <w:t xml:space="preserve">DXA </w:t>
      </w:r>
      <w:r w:rsidR="000520E6" w:rsidRPr="00903F9D">
        <w:t>TPF</w:t>
      </w:r>
      <w:r w:rsidR="0087308F" w:rsidRPr="00903F9D">
        <w:t xml:space="preserve"> </w:t>
      </w:r>
      <w:r w:rsidR="005B0A9F" w:rsidRPr="00903F9D">
        <w:t>in diagnosing osteoporosis/osteopenia/healthy was 84.7% (with Cohen’s K not reported).</w:t>
      </w:r>
      <w:r w:rsidR="008A70AD" w:rsidRPr="00903F9D">
        <w:t xml:space="preserve"> Overall, </w:t>
      </w:r>
      <w:r w:rsidR="00823C6E" w:rsidRPr="00903F9D">
        <w:t xml:space="preserve">the commentary considered </w:t>
      </w:r>
      <w:r w:rsidR="008A70AD" w:rsidRPr="00903F9D">
        <w:t xml:space="preserve">the unpublished </w:t>
      </w:r>
      <w:proofErr w:type="spellStart"/>
      <w:r w:rsidR="008A70AD" w:rsidRPr="00903F9D">
        <w:t>EchoLight</w:t>
      </w:r>
      <w:proofErr w:type="spellEnd"/>
      <w:r w:rsidR="008A70AD" w:rsidRPr="00903F9D">
        <w:t xml:space="preserve"> Italy results of the total femur </w:t>
      </w:r>
      <w:r w:rsidR="00D87B03" w:rsidRPr="00903F9D">
        <w:t>score</w:t>
      </w:r>
      <w:r w:rsidR="008A70AD" w:rsidRPr="00903F9D">
        <w:t xml:space="preserve"> appear to be consistent with the Di Paola 2019 femoral neck data</w:t>
      </w:r>
      <w:r w:rsidR="000520E6" w:rsidRPr="00903F9D">
        <w:t xml:space="preserve"> and appeared to provide support for the use of REMS for proximal femur assuming MSAC consider this evidence demonstrates equivalence to </w:t>
      </w:r>
      <w:r w:rsidR="00D87B03" w:rsidRPr="00903F9D">
        <w:t xml:space="preserve">the </w:t>
      </w:r>
      <w:r w:rsidR="00823C6E" w:rsidRPr="00903F9D">
        <w:t>DXA TPF</w:t>
      </w:r>
      <w:r w:rsidR="000520E6" w:rsidRPr="00903F9D">
        <w:t>. However, only a quality checked primary analysis was conducted and hence, the real-world supplementary analysis comparison could not be conducted.</w:t>
      </w:r>
    </w:p>
    <w:p w14:paraId="02114584" w14:textId="3D957E8A" w:rsidR="001B2493" w:rsidRPr="00903F9D" w:rsidRDefault="00B445C4" w:rsidP="00F54EEE">
      <w:pPr>
        <w:pStyle w:val="Heading4"/>
      </w:pPr>
      <w:r w:rsidRPr="00903F9D">
        <w:t xml:space="preserve">Comparison of test accuracy (key studies) – </w:t>
      </w:r>
      <w:r w:rsidR="00547B5A" w:rsidRPr="00903F9D">
        <w:t xml:space="preserve">supplementary </w:t>
      </w:r>
      <w:r w:rsidRPr="00903F9D">
        <w:t xml:space="preserve">unchecked “real-life” scenario </w:t>
      </w:r>
      <w:r w:rsidR="001B2493" w:rsidRPr="00903F9D">
        <w:t>(</w:t>
      </w:r>
      <w:proofErr w:type="gramStart"/>
      <w:r w:rsidR="003D12A0" w:rsidRPr="00903F9D">
        <w:t>i.e.</w:t>
      </w:r>
      <w:proofErr w:type="gramEnd"/>
      <w:r w:rsidR="003D12A0" w:rsidRPr="00903F9D">
        <w:t xml:space="preserve"> only </w:t>
      </w:r>
      <w:r w:rsidR="001B2493" w:rsidRPr="00903F9D">
        <w:t>excluding</w:t>
      </w:r>
      <w:r w:rsidR="003D12A0" w:rsidRPr="00903F9D">
        <w:t xml:space="preserve"> </w:t>
      </w:r>
      <w:r w:rsidR="002445AE" w:rsidRPr="00903F9D">
        <w:t>DXA</w:t>
      </w:r>
      <w:r w:rsidRPr="00903F9D">
        <w:t xml:space="preserve"> </w:t>
      </w:r>
      <w:r w:rsidR="001B2493" w:rsidRPr="00903F9D">
        <w:t>scans</w:t>
      </w:r>
      <w:r w:rsidR="002445AE" w:rsidRPr="00903F9D">
        <w:t xml:space="preserve"> </w:t>
      </w:r>
      <w:r w:rsidR="003D12A0" w:rsidRPr="00903F9D">
        <w:t>with quality errors</w:t>
      </w:r>
      <w:r w:rsidR="001B2493" w:rsidRPr="00903F9D">
        <w:t>)</w:t>
      </w:r>
    </w:p>
    <w:p w14:paraId="437CD071" w14:textId="341C17F9" w:rsidR="00044738" w:rsidRPr="00903F9D" w:rsidRDefault="00DF08CE" w:rsidP="0092090E">
      <w:r w:rsidRPr="00903F9D">
        <w:t>Supplementary analyses of both key studies provide</w:t>
      </w:r>
      <w:r w:rsidR="00575845" w:rsidRPr="00903F9D">
        <w:t>d</w:t>
      </w:r>
      <w:r w:rsidRPr="00903F9D">
        <w:t xml:space="preserve"> results for an expanded analysis that re-include</w:t>
      </w:r>
      <w:r w:rsidR="00575845" w:rsidRPr="00903F9D">
        <w:t>d</w:t>
      </w:r>
      <w:r w:rsidRPr="00903F9D">
        <w:t xml:space="preserve"> </w:t>
      </w:r>
      <w:r w:rsidR="002445AE" w:rsidRPr="00903F9D">
        <w:t xml:space="preserve">REMS </w:t>
      </w:r>
      <w:r w:rsidRPr="00903F9D">
        <w:t xml:space="preserve">scans </w:t>
      </w:r>
      <w:r w:rsidR="003D12A0" w:rsidRPr="00903F9D">
        <w:t xml:space="preserve">with quality errors </w:t>
      </w:r>
      <w:r w:rsidRPr="00903F9D">
        <w:t xml:space="preserve">that were </w:t>
      </w:r>
      <w:r w:rsidR="00854197" w:rsidRPr="00903F9D">
        <w:t xml:space="preserve">initially </w:t>
      </w:r>
      <w:r w:rsidRPr="00903F9D">
        <w:t>removed from the primary dataset. Th</w:t>
      </w:r>
      <w:r w:rsidR="002445AE" w:rsidRPr="00903F9D">
        <w:t xml:space="preserve">e studies and ADAR stated </w:t>
      </w:r>
      <w:r w:rsidR="00854197" w:rsidRPr="00903F9D">
        <w:t xml:space="preserve">that </w:t>
      </w:r>
      <w:r w:rsidR="002445AE" w:rsidRPr="00903F9D">
        <w:t>th</w:t>
      </w:r>
      <w:r w:rsidRPr="00903F9D">
        <w:t>is provide</w:t>
      </w:r>
      <w:r w:rsidR="00575845" w:rsidRPr="00903F9D">
        <w:t>d</w:t>
      </w:r>
      <w:r w:rsidRPr="00903F9D">
        <w:t xml:space="preserve"> a more “real world” population analysis</w:t>
      </w:r>
      <w:r w:rsidR="00680410" w:rsidRPr="00903F9D">
        <w:t xml:space="preserve"> (Table 8)</w:t>
      </w:r>
      <w:r w:rsidRPr="00903F9D">
        <w:t xml:space="preserve">. </w:t>
      </w:r>
      <w:r w:rsidR="00044738" w:rsidRPr="00903F9D">
        <w:t xml:space="preserve">The additional data </w:t>
      </w:r>
      <w:r w:rsidR="004B360E" w:rsidRPr="00903F9D">
        <w:t xml:space="preserve">from </w:t>
      </w:r>
      <w:proofErr w:type="spellStart"/>
      <w:r w:rsidR="004B360E" w:rsidRPr="00903F9D">
        <w:t>EchoLight</w:t>
      </w:r>
      <w:proofErr w:type="spellEnd"/>
      <w:r w:rsidR="004B360E" w:rsidRPr="00903F9D">
        <w:t xml:space="preserve"> Italy </w:t>
      </w:r>
      <w:r w:rsidR="00044738" w:rsidRPr="00903F9D">
        <w:t xml:space="preserve">provided post-ADAR submission did not include a supplementary analysis for </w:t>
      </w:r>
      <w:r w:rsidR="00D87B03" w:rsidRPr="00903F9D">
        <w:t xml:space="preserve">the </w:t>
      </w:r>
      <w:r w:rsidR="00044738" w:rsidRPr="00903F9D">
        <w:t>total femur</w:t>
      </w:r>
      <w:r w:rsidR="00D87B03" w:rsidRPr="00903F9D">
        <w:t xml:space="preserve"> score</w:t>
      </w:r>
      <w:r w:rsidR="00044738" w:rsidRPr="00903F9D">
        <w:t>.</w:t>
      </w:r>
    </w:p>
    <w:p w14:paraId="265556CB" w14:textId="729277F0" w:rsidR="006844EA" w:rsidRPr="00903F9D" w:rsidRDefault="00286066" w:rsidP="00DF08CE">
      <w:r w:rsidRPr="00903F9D">
        <w:t xml:space="preserve">The results of the supplementary dataset were similar </w:t>
      </w:r>
      <w:r w:rsidR="006E70F3" w:rsidRPr="00903F9D">
        <w:t>across</w:t>
      </w:r>
      <w:r w:rsidRPr="00903F9D">
        <w:t xml:space="preserve"> </w:t>
      </w:r>
      <w:proofErr w:type="spellStart"/>
      <w:r w:rsidRPr="00903F9D">
        <w:t>Cortet</w:t>
      </w:r>
      <w:proofErr w:type="spellEnd"/>
      <w:r w:rsidRPr="00903F9D">
        <w:t xml:space="preserve"> 2021 and Di Paola 2019 in that correlation, diagnostic concordance of sensitivity and specificity and disease classification were lower compared to the </w:t>
      </w:r>
      <w:r w:rsidR="00547B5A" w:rsidRPr="00903F9D">
        <w:t xml:space="preserve">related </w:t>
      </w:r>
      <w:r w:rsidRPr="00903F9D">
        <w:t xml:space="preserve">primary analysis. </w:t>
      </w:r>
      <w:r w:rsidR="006844EA" w:rsidRPr="00903F9D">
        <w:t>In Di Paola 2019, when the “supplementary dataset” was considered, the diagnostic concordance</w:t>
      </w:r>
      <w:r w:rsidR="009F6B65" w:rsidRPr="00903F9D">
        <w:t xml:space="preserve"> was</w:t>
      </w:r>
      <w:r w:rsidR="006844EA" w:rsidRPr="00903F9D">
        <w:t xml:space="preserve"> 76.4% (</w:t>
      </w:r>
      <w:proofErr w:type="gramStart"/>
      <w:r w:rsidR="00463DEC" w:rsidRPr="00903F9D">
        <w:t>Cohens</w:t>
      </w:r>
      <w:proofErr w:type="gramEnd"/>
      <w:r w:rsidR="00463DEC" w:rsidRPr="00903F9D">
        <w:t xml:space="preserve"> </w:t>
      </w:r>
      <w:r w:rsidR="006844EA" w:rsidRPr="00903F9D">
        <w:t>k</w:t>
      </w:r>
      <w:r w:rsidR="006844EA" w:rsidRPr="00903F9D">
        <w:rPr>
          <w:rFonts w:ascii="Arial" w:hAnsi="Arial" w:cs="Arial"/>
        </w:rPr>
        <w:t> </w:t>
      </w:r>
      <w:r w:rsidR="006844EA" w:rsidRPr="00903F9D">
        <w:t>=</w:t>
      </w:r>
      <w:r w:rsidR="006844EA" w:rsidRPr="00903F9D">
        <w:rPr>
          <w:rFonts w:ascii="Arial" w:hAnsi="Arial" w:cs="Arial"/>
        </w:rPr>
        <w:t> </w:t>
      </w:r>
      <w:r w:rsidR="006844EA" w:rsidRPr="00903F9D">
        <w:t>0.629, p</w:t>
      </w:r>
      <w:r w:rsidR="006844EA" w:rsidRPr="00903F9D">
        <w:rPr>
          <w:rFonts w:ascii="Arial" w:hAnsi="Arial" w:cs="Arial"/>
        </w:rPr>
        <w:t> </w:t>
      </w:r>
      <w:r w:rsidR="006844EA" w:rsidRPr="00903F9D">
        <w:t>&lt;</w:t>
      </w:r>
      <w:r w:rsidR="006844EA" w:rsidRPr="00903F9D">
        <w:rPr>
          <w:rFonts w:ascii="Arial" w:hAnsi="Arial" w:cs="Arial"/>
        </w:rPr>
        <w:t> </w:t>
      </w:r>
      <w:r w:rsidR="006844EA" w:rsidRPr="00903F9D">
        <w:t>0.001) for lumbar spine and 81.9% (</w:t>
      </w:r>
      <w:r w:rsidR="00463DEC" w:rsidRPr="00903F9D">
        <w:t xml:space="preserve">Cohens </w:t>
      </w:r>
      <w:r w:rsidR="006844EA" w:rsidRPr="00903F9D">
        <w:t>k</w:t>
      </w:r>
      <w:r w:rsidR="006844EA" w:rsidRPr="00903F9D">
        <w:rPr>
          <w:rFonts w:ascii="Arial" w:hAnsi="Arial" w:cs="Arial"/>
        </w:rPr>
        <w:t> </w:t>
      </w:r>
      <w:r w:rsidR="006844EA" w:rsidRPr="00903F9D">
        <w:t>=</w:t>
      </w:r>
      <w:r w:rsidR="006844EA" w:rsidRPr="00903F9D">
        <w:rPr>
          <w:rFonts w:ascii="Arial" w:hAnsi="Arial" w:cs="Arial"/>
        </w:rPr>
        <w:t> </w:t>
      </w:r>
      <w:r w:rsidR="006844EA" w:rsidRPr="00903F9D">
        <w:t>0.691, p</w:t>
      </w:r>
      <w:r w:rsidR="006844EA" w:rsidRPr="00903F9D">
        <w:rPr>
          <w:rFonts w:ascii="Arial" w:hAnsi="Arial" w:cs="Arial"/>
        </w:rPr>
        <w:t> </w:t>
      </w:r>
      <w:r w:rsidR="006844EA" w:rsidRPr="00903F9D">
        <w:t>&lt;</w:t>
      </w:r>
      <w:r w:rsidR="006844EA" w:rsidRPr="00903F9D">
        <w:rPr>
          <w:rFonts w:ascii="Arial" w:hAnsi="Arial" w:cs="Arial"/>
        </w:rPr>
        <w:t> </w:t>
      </w:r>
      <w:r w:rsidR="006844EA" w:rsidRPr="00903F9D">
        <w:t>0.001) for femoral neck.</w:t>
      </w:r>
    </w:p>
    <w:p w14:paraId="18FE39D2" w14:textId="5DB7F881" w:rsidR="007735E8" w:rsidRPr="00903F9D" w:rsidRDefault="007735E8" w:rsidP="007735E8">
      <w:r w:rsidRPr="00903F9D">
        <w:t xml:space="preserve">MSAC noted that the pre-MSAC response stated that the unchecked/real life scenario is more consistent with clinical practice and </w:t>
      </w:r>
      <w:r w:rsidR="00AA5E86" w:rsidRPr="00903F9D">
        <w:t xml:space="preserve">that the REMS software can still process and produce results when the scans are considered as “low-quality” (that is, the scan was not centralised), but that “invalid” scans (that is, the scan did not lock on to a region of interest) are not reported. Therefore, </w:t>
      </w:r>
      <w:r w:rsidRPr="00903F9D">
        <w:t>MSAC considered the unchecked real-life scenario when evaluating the comparative effectiveness of REMS vs DXA.</w:t>
      </w:r>
    </w:p>
    <w:p w14:paraId="27E016F4" w14:textId="2DDFA5EC" w:rsidR="00BE0AA4" w:rsidRPr="00903F9D" w:rsidRDefault="00BE0AA4" w:rsidP="00B833CE">
      <w:pPr>
        <w:pStyle w:val="Caption"/>
      </w:pPr>
      <w:r w:rsidRPr="00903F9D">
        <w:lastRenderedPageBreak/>
        <w:t xml:space="preserve">Table </w:t>
      </w:r>
      <w:r w:rsidR="008D0E73">
        <w:fldChar w:fldCharType="begin"/>
      </w:r>
      <w:r w:rsidR="008D0E73">
        <w:instrText xml:space="preserve"> </w:instrText>
      </w:r>
      <w:r w:rsidR="008D0E73">
        <w:instrText xml:space="preserve">SEQ Table \* ARABIC </w:instrText>
      </w:r>
      <w:r w:rsidR="008D0E73">
        <w:fldChar w:fldCharType="separate"/>
      </w:r>
      <w:r w:rsidR="00DF3307" w:rsidRPr="00903F9D">
        <w:rPr>
          <w:noProof/>
        </w:rPr>
        <w:t>8</w:t>
      </w:r>
      <w:r w:rsidR="008D0E73">
        <w:rPr>
          <w:noProof/>
        </w:rPr>
        <w:fldChar w:fldCharType="end"/>
      </w:r>
      <w:r w:rsidR="00C10D16">
        <w:tab/>
      </w:r>
      <w:r w:rsidRPr="00903F9D">
        <w:t xml:space="preserve"> Key study results: </w:t>
      </w:r>
      <w:r w:rsidR="00A563C2" w:rsidRPr="00903F9D">
        <w:t>U</w:t>
      </w:r>
      <w:r w:rsidRPr="00903F9D">
        <w:t xml:space="preserve">nchecked ‘real-world’ scenario results </w:t>
      </w:r>
    </w:p>
    <w:tbl>
      <w:tblPr>
        <w:tblStyle w:val="TableGrid"/>
        <w:tblpPr w:leftFromText="180" w:rightFromText="180" w:vertAnchor="text" w:tblpY="1"/>
        <w:tblOverlap w:val="never"/>
        <w:tblW w:w="8926" w:type="dxa"/>
        <w:tblLayout w:type="fixed"/>
        <w:tblLook w:val="04A0" w:firstRow="1" w:lastRow="0" w:firstColumn="1" w:lastColumn="0" w:noHBand="0" w:noVBand="1"/>
      </w:tblPr>
      <w:tblGrid>
        <w:gridCol w:w="3397"/>
        <w:gridCol w:w="1418"/>
        <w:gridCol w:w="1417"/>
        <w:gridCol w:w="1276"/>
        <w:gridCol w:w="1418"/>
      </w:tblGrid>
      <w:tr w:rsidR="00C4412C" w:rsidRPr="00903F9D" w14:paraId="2B1383B5" w14:textId="77777777" w:rsidTr="00E7545B">
        <w:trPr>
          <w:trHeight w:val="558"/>
        </w:trPr>
        <w:tc>
          <w:tcPr>
            <w:tcW w:w="3397" w:type="dxa"/>
            <w:tcBorders>
              <w:right w:val="double" w:sz="4" w:space="0" w:color="auto"/>
            </w:tcBorders>
            <w:shd w:val="clear" w:color="auto" w:fill="auto"/>
          </w:tcPr>
          <w:p w14:paraId="5ADD5260" w14:textId="77777777" w:rsidR="00C4412C" w:rsidRPr="00903F9D" w:rsidRDefault="00C4412C" w:rsidP="00A563C2">
            <w:pPr>
              <w:pStyle w:val="TableFigureHeading"/>
            </w:pPr>
            <w:bookmarkStart w:id="34" w:name="_Hlk99629981"/>
            <w:r w:rsidRPr="00903F9D">
              <w:t>Outcomes</w:t>
            </w:r>
          </w:p>
        </w:tc>
        <w:tc>
          <w:tcPr>
            <w:tcW w:w="1418" w:type="dxa"/>
            <w:tcBorders>
              <w:left w:val="double" w:sz="4" w:space="0" w:color="auto"/>
              <w:right w:val="single" w:sz="4" w:space="0" w:color="auto"/>
            </w:tcBorders>
            <w:shd w:val="clear" w:color="auto" w:fill="auto"/>
          </w:tcPr>
          <w:p w14:paraId="6B6F5EB3" w14:textId="2FA10174" w:rsidR="00C4412C" w:rsidRPr="00903F9D" w:rsidRDefault="00C4412C" w:rsidP="00A563C2">
            <w:pPr>
              <w:pStyle w:val="TableFigureHeading"/>
              <w:jc w:val="center"/>
            </w:pPr>
            <w:proofErr w:type="spellStart"/>
            <w:r w:rsidRPr="00903F9D">
              <w:t>Cortet</w:t>
            </w:r>
            <w:proofErr w:type="spellEnd"/>
            <w:r w:rsidRPr="00903F9D">
              <w:t xml:space="preserve"> 2021 – Lumbar spine</w:t>
            </w:r>
          </w:p>
        </w:tc>
        <w:tc>
          <w:tcPr>
            <w:tcW w:w="1417" w:type="dxa"/>
            <w:tcBorders>
              <w:left w:val="single" w:sz="4" w:space="0" w:color="auto"/>
              <w:right w:val="single" w:sz="4" w:space="0" w:color="auto"/>
            </w:tcBorders>
            <w:shd w:val="clear" w:color="auto" w:fill="auto"/>
          </w:tcPr>
          <w:p w14:paraId="15ADAA15" w14:textId="78406924" w:rsidR="00C4412C" w:rsidRPr="00903F9D" w:rsidRDefault="00C4412C" w:rsidP="00A563C2">
            <w:pPr>
              <w:pStyle w:val="TableFigureHeading"/>
              <w:jc w:val="center"/>
            </w:pPr>
            <w:r w:rsidRPr="00903F9D">
              <w:t>Di Paola 2019 – Lumbar spine</w:t>
            </w:r>
          </w:p>
        </w:tc>
        <w:tc>
          <w:tcPr>
            <w:tcW w:w="1276" w:type="dxa"/>
            <w:tcBorders>
              <w:left w:val="single" w:sz="4" w:space="0" w:color="auto"/>
              <w:right w:val="single" w:sz="4" w:space="0" w:color="auto"/>
            </w:tcBorders>
            <w:shd w:val="clear" w:color="auto" w:fill="auto"/>
          </w:tcPr>
          <w:p w14:paraId="5C32C8FD" w14:textId="4441D992" w:rsidR="00C4412C" w:rsidRPr="00903F9D" w:rsidRDefault="00C4412C" w:rsidP="00A563C2">
            <w:pPr>
              <w:pStyle w:val="TableFigureHeading"/>
              <w:jc w:val="center"/>
            </w:pPr>
            <w:proofErr w:type="spellStart"/>
            <w:r w:rsidRPr="00903F9D">
              <w:t>Cortet</w:t>
            </w:r>
            <w:proofErr w:type="spellEnd"/>
            <w:r w:rsidRPr="00903F9D">
              <w:t xml:space="preserve"> 2021 – Femoral neck</w:t>
            </w:r>
          </w:p>
        </w:tc>
        <w:tc>
          <w:tcPr>
            <w:tcW w:w="1418" w:type="dxa"/>
            <w:tcBorders>
              <w:left w:val="single" w:sz="4" w:space="0" w:color="auto"/>
            </w:tcBorders>
            <w:shd w:val="clear" w:color="auto" w:fill="auto"/>
          </w:tcPr>
          <w:p w14:paraId="1F94D09B" w14:textId="111AEE6C" w:rsidR="00C4412C" w:rsidRPr="00903F9D" w:rsidRDefault="00C4412C" w:rsidP="00A563C2">
            <w:pPr>
              <w:pStyle w:val="TableFigureHeading"/>
              <w:jc w:val="center"/>
            </w:pPr>
            <w:r w:rsidRPr="00903F9D">
              <w:t>Di Paola 2019 – Femoral neck</w:t>
            </w:r>
          </w:p>
        </w:tc>
      </w:tr>
      <w:tr w:rsidR="00D20FD9" w:rsidRPr="00903F9D" w14:paraId="3E3B09E8" w14:textId="77777777" w:rsidTr="00E7545B">
        <w:tc>
          <w:tcPr>
            <w:tcW w:w="3397" w:type="dxa"/>
            <w:tcBorders>
              <w:right w:val="double" w:sz="4" w:space="0" w:color="auto"/>
            </w:tcBorders>
            <w:vAlign w:val="center"/>
          </w:tcPr>
          <w:p w14:paraId="6E49993A" w14:textId="77777777" w:rsidR="00BE0AA4" w:rsidRPr="00903F9D" w:rsidRDefault="00BE0AA4" w:rsidP="00A563C2">
            <w:pPr>
              <w:pStyle w:val="TableText"/>
            </w:pPr>
            <w:r w:rsidRPr="00903F9D">
              <w:t>Enrolled patients, N</w:t>
            </w:r>
          </w:p>
        </w:tc>
        <w:tc>
          <w:tcPr>
            <w:tcW w:w="1418" w:type="dxa"/>
            <w:tcBorders>
              <w:left w:val="double" w:sz="4" w:space="0" w:color="auto"/>
            </w:tcBorders>
          </w:tcPr>
          <w:p w14:paraId="188825C2" w14:textId="77777777" w:rsidR="00BE0AA4" w:rsidRPr="00903F9D" w:rsidRDefault="00BE0AA4" w:rsidP="00A563C2">
            <w:pPr>
              <w:pStyle w:val="TableText"/>
              <w:jc w:val="center"/>
            </w:pPr>
            <w:r w:rsidRPr="00903F9D">
              <w:t>4307</w:t>
            </w:r>
          </w:p>
        </w:tc>
        <w:tc>
          <w:tcPr>
            <w:tcW w:w="1417" w:type="dxa"/>
          </w:tcPr>
          <w:p w14:paraId="3A1D354E" w14:textId="77777777" w:rsidR="00BE0AA4" w:rsidRPr="00903F9D" w:rsidRDefault="00BE0AA4" w:rsidP="00A563C2">
            <w:pPr>
              <w:pStyle w:val="TableText"/>
              <w:jc w:val="center"/>
            </w:pPr>
            <w:r w:rsidRPr="00903F9D">
              <w:t>1914</w:t>
            </w:r>
          </w:p>
        </w:tc>
        <w:tc>
          <w:tcPr>
            <w:tcW w:w="1276" w:type="dxa"/>
            <w:tcBorders>
              <w:right w:val="single" w:sz="4" w:space="0" w:color="auto"/>
            </w:tcBorders>
          </w:tcPr>
          <w:p w14:paraId="0D92C329" w14:textId="77777777" w:rsidR="00BE0AA4" w:rsidRPr="00903F9D" w:rsidRDefault="00BE0AA4" w:rsidP="00A563C2">
            <w:pPr>
              <w:pStyle w:val="TableText"/>
              <w:jc w:val="center"/>
            </w:pPr>
            <w:r w:rsidRPr="00903F9D">
              <w:t>4307</w:t>
            </w:r>
          </w:p>
        </w:tc>
        <w:tc>
          <w:tcPr>
            <w:tcW w:w="1418" w:type="dxa"/>
            <w:tcBorders>
              <w:left w:val="single" w:sz="4" w:space="0" w:color="auto"/>
            </w:tcBorders>
          </w:tcPr>
          <w:p w14:paraId="5255BCDB" w14:textId="77777777" w:rsidR="00BE0AA4" w:rsidRPr="00903F9D" w:rsidRDefault="00BE0AA4" w:rsidP="00A563C2">
            <w:pPr>
              <w:pStyle w:val="TableText"/>
              <w:jc w:val="center"/>
            </w:pPr>
            <w:r w:rsidRPr="00903F9D">
              <w:t>1914</w:t>
            </w:r>
          </w:p>
        </w:tc>
      </w:tr>
      <w:tr w:rsidR="00D20FD9" w:rsidRPr="00903F9D" w14:paraId="39A13719" w14:textId="77777777" w:rsidTr="00E7545B">
        <w:tc>
          <w:tcPr>
            <w:tcW w:w="3397" w:type="dxa"/>
            <w:tcBorders>
              <w:right w:val="double" w:sz="4" w:space="0" w:color="auto"/>
            </w:tcBorders>
            <w:vAlign w:val="center"/>
          </w:tcPr>
          <w:p w14:paraId="79F7D5C8" w14:textId="77777777" w:rsidR="00BE0AA4" w:rsidRPr="00903F9D" w:rsidRDefault="00BE0AA4" w:rsidP="00A563C2">
            <w:pPr>
              <w:pStyle w:val="TableText"/>
            </w:pPr>
            <w:r w:rsidRPr="00903F9D">
              <w:t>Total scans, N</w:t>
            </w:r>
          </w:p>
        </w:tc>
        <w:tc>
          <w:tcPr>
            <w:tcW w:w="1418" w:type="dxa"/>
            <w:tcBorders>
              <w:left w:val="double" w:sz="4" w:space="0" w:color="auto"/>
            </w:tcBorders>
          </w:tcPr>
          <w:p w14:paraId="33D144F4" w14:textId="77777777" w:rsidR="00BE0AA4" w:rsidRPr="00903F9D" w:rsidRDefault="00BE0AA4" w:rsidP="00A563C2">
            <w:pPr>
              <w:pStyle w:val="TableText"/>
              <w:jc w:val="center"/>
            </w:pPr>
            <w:r w:rsidRPr="00903F9D">
              <w:t>4,245 (99%)</w:t>
            </w:r>
          </w:p>
        </w:tc>
        <w:tc>
          <w:tcPr>
            <w:tcW w:w="1417" w:type="dxa"/>
          </w:tcPr>
          <w:p w14:paraId="7E4F22AC" w14:textId="77777777" w:rsidR="00BE0AA4" w:rsidRPr="00903F9D" w:rsidRDefault="00BE0AA4" w:rsidP="00A563C2">
            <w:pPr>
              <w:pStyle w:val="TableText"/>
              <w:jc w:val="center"/>
            </w:pPr>
            <w:r w:rsidRPr="00903F9D">
              <w:t>1,553 (81%)</w:t>
            </w:r>
          </w:p>
        </w:tc>
        <w:tc>
          <w:tcPr>
            <w:tcW w:w="1276" w:type="dxa"/>
            <w:tcBorders>
              <w:right w:val="single" w:sz="4" w:space="0" w:color="auto"/>
            </w:tcBorders>
          </w:tcPr>
          <w:p w14:paraId="3CF21F1D" w14:textId="77777777" w:rsidR="00BE0AA4" w:rsidRPr="00903F9D" w:rsidRDefault="00BE0AA4" w:rsidP="00A563C2">
            <w:pPr>
              <w:pStyle w:val="TableText"/>
              <w:jc w:val="center"/>
            </w:pPr>
            <w:r w:rsidRPr="00903F9D">
              <w:t>4,271 (99%)</w:t>
            </w:r>
          </w:p>
        </w:tc>
        <w:tc>
          <w:tcPr>
            <w:tcW w:w="1418" w:type="dxa"/>
            <w:tcBorders>
              <w:left w:val="single" w:sz="4" w:space="0" w:color="auto"/>
            </w:tcBorders>
          </w:tcPr>
          <w:p w14:paraId="2FA0747A" w14:textId="77777777" w:rsidR="00BE0AA4" w:rsidRPr="00903F9D" w:rsidRDefault="00BE0AA4" w:rsidP="00A563C2">
            <w:pPr>
              <w:pStyle w:val="TableText"/>
              <w:jc w:val="center"/>
            </w:pPr>
            <w:r w:rsidRPr="00903F9D">
              <w:t>1,637 (86%)</w:t>
            </w:r>
          </w:p>
        </w:tc>
      </w:tr>
      <w:tr w:rsidR="00A563C2" w:rsidRPr="00903F9D" w14:paraId="45691A7E" w14:textId="77777777" w:rsidTr="00E7545B">
        <w:tc>
          <w:tcPr>
            <w:tcW w:w="3397" w:type="dxa"/>
            <w:tcBorders>
              <w:right w:val="double" w:sz="4" w:space="0" w:color="auto"/>
            </w:tcBorders>
            <w:vAlign w:val="center"/>
          </w:tcPr>
          <w:p w14:paraId="78CB9E8F" w14:textId="77777777" w:rsidR="00A563C2" w:rsidRPr="00903F9D" w:rsidRDefault="00A563C2" w:rsidP="00A563C2">
            <w:pPr>
              <w:pStyle w:val="TableText"/>
            </w:pPr>
            <w:r w:rsidRPr="00903F9D">
              <w:rPr>
                <w:iCs/>
              </w:rPr>
              <w:t>Excluded DXA scans, N (%)</w:t>
            </w:r>
          </w:p>
        </w:tc>
        <w:tc>
          <w:tcPr>
            <w:tcW w:w="1418" w:type="dxa"/>
            <w:tcBorders>
              <w:left w:val="double" w:sz="4" w:space="0" w:color="auto"/>
            </w:tcBorders>
          </w:tcPr>
          <w:p w14:paraId="1E03A9A6" w14:textId="26A1D283" w:rsidR="00A563C2" w:rsidRPr="00903F9D" w:rsidRDefault="00A563C2" w:rsidP="00C4412C">
            <w:pPr>
              <w:pStyle w:val="TableText"/>
              <w:jc w:val="center"/>
            </w:pPr>
            <w:r w:rsidRPr="00903F9D">
              <w:t>408 (10%)</w:t>
            </w:r>
          </w:p>
        </w:tc>
        <w:tc>
          <w:tcPr>
            <w:tcW w:w="1417" w:type="dxa"/>
          </w:tcPr>
          <w:p w14:paraId="67C37CC4" w14:textId="7B82087B" w:rsidR="00A563C2" w:rsidRPr="00903F9D" w:rsidRDefault="00A563C2" w:rsidP="00E7545B">
            <w:pPr>
              <w:pStyle w:val="TableText"/>
              <w:jc w:val="center"/>
            </w:pPr>
            <w:r w:rsidRPr="00903F9D">
              <w:t>78 (5%)</w:t>
            </w:r>
          </w:p>
        </w:tc>
        <w:tc>
          <w:tcPr>
            <w:tcW w:w="1276" w:type="dxa"/>
            <w:tcBorders>
              <w:right w:val="single" w:sz="4" w:space="0" w:color="auto"/>
            </w:tcBorders>
          </w:tcPr>
          <w:p w14:paraId="0F02D03B" w14:textId="72E85076" w:rsidR="00A563C2" w:rsidRPr="00903F9D" w:rsidRDefault="00A563C2" w:rsidP="00E7545B">
            <w:pPr>
              <w:pStyle w:val="TableText"/>
              <w:jc w:val="center"/>
            </w:pPr>
            <w:r w:rsidRPr="00903F9D">
              <w:t>340 (8%)</w:t>
            </w:r>
          </w:p>
        </w:tc>
        <w:tc>
          <w:tcPr>
            <w:tcW w:w="1418" w:type="dxa"/>
            <w:tcBorders>
              <w:left w:val="single" w:sz="4" w:space="0" w:color="auto"/>
            </w:tcBorders>
          </w:tcPr>
          <w:p w14:paraId="2F756324" w14:textId="622C0510" w:rsidR="00A563C2" w:rsidRPr="00903F9D" w:rsidRDefault="00A563C2" w:rsidP="00E7545B">
            <w:pPr>
              <w:pStyle w:val="TableText"/>
              <w:jc w:val="center"/>
            </w:pPr>
            <w:r w:rsidRPr="00903F9D">
              <w:t>59 (4%)</w:t>
            </w:r>
          </w:p>
        </w:tc>
      </w:tr>
      <w:tr w:rsidR="00A563C2" w:rsidRPr="00903F9D" w14:paraId="7326E5E6" w14:textId="77777777" w:rsidTr="00E7545B">
        <w:tc>
          <w:tcPr>
            <w:tcW w:w="3397" w:type="dxa"/>
            <w:tcBorders>
              <w:right w:val="double" w:sz="4" w:space="0" w:color="auto"/>
            </w:tcBorders>
            <w:vAlign w:val="center"/>
          </w:tcPr>
          <w:p w14:paraId="6C2A3960" w14:textId="77777777" w:rsidR="00A563C2" w:rsidRPr="00903F9D" w:rsidRDefault="00A563C2" w:rsidP="00A563C2">
            <w:pPr>
              <w:pStyle w:val="TableText"/>
            </w:pPr>
            <w:r w:rsidRPr="00903F9D">
              <w:rPr>
                <w:iCs/>
              </w:rPr>
              <w:t>Excluded REMS scans, N (%)</w:t>
            </w:r>
          </w:p>
        </w:tc>
        <w:tc>
          <w:tcPr>
            <w:tcW w:w="1418" w:type="dxa"/>
            <w:tcBorders>
              <w:left w:val="double" w:sz="4" w:space="0" w:color="auto"/>
            </w:tcBorders>
          </w:tcPr>
          <w:p w14:paraId="20F1370E" w14:textId="2915A1C4" w:rsidR="00A563C2" w:rsidRPr="00903F9D" w:rsidRDefault="00A563C2" w:rsidP="00C4412C">
            <w:pPr>
              <w:pStyle w:val="TableText"/>
              <w:jc w:val="center"/>
            </w:pPr>
            <w:r w:rsidRPr="00903F9D">
              <w:t>0</w:t>
            </w:r>
          </w:p>
        </w:tc>
        <w:tc>
          <w:tcPr>
            <w:tcW w:w="1417" w:type="dxa"/>
          </w:tcPr>
          <w:p w14:paraId="202835B3" w14:textId="468C47D3" w:rsidR="00A563C2" w:rsidRPr="00903F9D" w:rsidRDefault="00A563C2" w:rsidP="00E7545B">
            <w:pPr>
              <w:pStyle w:val="TableText"/>
              <w:jc w:val="center"/>
            </w:pPr>
            <w:r w:rsidRPr="00903F9D">
              <w:t>0</w:t>
            </w:r>
          </w:p>
        </w:tc>
        <w:tc>
          <w:tcPr>
            <w:tcW w:w="1276" w:type="dxa"/>
            <w:tcBorders>
              <w:right w:val="single" w:sz="4" w:space="0" w:color="auto"/>
            </w:tcBorders>
          </w:tcPr>
          <w:p w14:paraId="51ECBC32" w14:textId="5563BCBF" w:rsidR="00A563C2" w:rsidRPr="00903F9D" w:rsidRDefault="00A563C2" w:rsidP="00E7545B">
            <w:pPr>
              <w:pStyle w:val="TableText"/>
              <w:jc w:val="center"/>
            </w:pPr>
            <w:r w:rsidRPr="00903F9D">
              <w:t>0</w:t>
            </w:r>
          </w:p>
        </w:tc>
        <w:tc>
          <w:tcPr>
            <w:tcW w:w="1418" w:type="dxa"/>
            <w:tcBorders>
              <w:left w:val="single" w:sz="4" w:space="0" w:color="auto"/>
            </w:tcBorders>
          </w:tcPr>
          <w:p w14:paraId="55B09A93" w14:textId="4DCB3105" w:rsidR="00A563C2" w:rsidRPr="00903F9D" w:rsidRDefault="00A563C2" w:rsidP="00E7545B">
            <w:pPr>
              <w:pStyle w:val="TableText"/>
              <w:jc w:val="center"/>
            </w:pPr>
            <w:r w:rsidRPr="00903F9D">
              <w:t>0</w:t>
            </w:r>
          </w:p>
        </w:tc>
      </w:tr>
      <w:tr w:rsidR="00A563C2" w:rsidRPr="00903F9D" w14:paraId="48435A07" w14:textId="77777777" w:rsidTr="00E7545B">
        <w:tc>
          <w:tcPr>
            <w:tcW w:w="3397" w:type="dxa"/>
            <w:tcBorders>
              <w:right w:val="double" w:sz="4" w:space="0" w:color="auto"/>
            </w:tcBorders>
          </w:tcPr>
          <w:p w14:paraId="364E99FF" w14:textId="77777777" w:rsidR="00A563C2" w:rsidRPr="00903F9D" w:rsidRDefault="00A563C2" w:rsidP="00A563C2">
            <w:pPr>
              <w:pStyle w:val="TableText"/>
            </w:pPr>
            <w:r w:rsidRPr="00903F9D">
              <w:t>Retained cases, N (%)</w:t>
            </w:r>
          </w:p>
        </w:tc>
        <w:tc>
          <w:tcPr>
            <w:tcW w:w="1418" w:type="dxa"/>
            <w:tcBorders>
              <w:left w:val="double" w:sz="4" w:space="0" w:color="auto"/>
            </w:tcBorders>
          </w:tcPr>
          <w:p w14:paraId="62C28A79" w14:textId="3DEB9C31" w:rsidR="00A563C2" w:rsidRPr="00903F9D" w:rsidRDefault="00A563C2" w:rsidP="00C4412C">
            <w:pPr>
              <w:pStyle w:val="TableText"/>
              <w:jc w:val="center"/>
            </w:pPr>
            <w:r w:rsidRPr="00903F9D">
              <w:t>3837 (89%)</w:t>
            </w:r>
          </w:p>
        </w:tc>
        <w:tc>
          <w:tcPr>
            <w:tcW w:w="1417" w:type="dxa"/>
          </w:tcPr>
          <w:p w14:paraId="32851342" w14:textId="0EAC4E49" w:rsidR="00A563C2" w:rsidRPr="00903F9D" w:rsidRDefault="00A563C2" w:rsidP="00E7545B">
            <w:pPr>
              <w:pStyle w:val="TableText"/>
              <w:jc w:val="center"/>
            </w:pPr>
            <w:r w:rsidRPr="00903F9D">
              <w:t>1475 (77%)</w:t>
            </w:r>
          </w:p>
        </w:tc>
        <w:tc>
          <w:tcPr>
            <w:tcW w:w="1276" w:type="dxa"/>
            <w:tcBorders>
              <w:right w:val="single" w:sz="4" w:space="0" w:color="auto"/>
            </w:tcBorders>
          </w:tcPr>
          <w:p w14:paraId="695313D8" w14:textId="6E4CCB38" w:rsidR="00A563C2" w:rsidRPr="00903F9D" w:rsidRDefault="00A563C2" w:rsidP="00E7545B">
            <w:pPr>
              <w:pStyle w:val="TableText"/>
              <w:jc w:val="center"/>
            </w:pPr>
            <w:r w:rsidRPr="00903F9D">
              <w:t>3931 (91%)</w:t>
            </w:r>
          </w:p>
        </w:tc>
        <w:tc>
          <w:tcPr>
            <w:tcW w:w="1418" w:type="dxa"/>
            <w:tcBorders>
              <w:left w:val="single" w:sz="4" w:space="0" w:color="auto"/>
            </w:tcBorders>
          </w:tcPr>
          <w:p w14:paraId="6A1BD18F" w14:textId="0724707A" w:rsidR="00A563C2" w:rsidRPr="00903F9D" w:rsidRDefault="00A563C2" w:rsidP="00E7545B">
            <w:pPr>
              <w:pStyle w:val="TableText"/>
              <w:jc w:val="center"/>
            </w:pPr>
            <w:r w:rsidRPr="00903F9D">
              <w:t>1578 (82%)</w:t>
            </w:r>
          </w:p>
        </w:tc>
      </w:tr>
      <w:tr w:rsidR="00BE0AA4" w:rsidRPr="00903F9D" w14:paraId="1BFBB523" w14:textId="77777777" w:rsidTr="00E7545B">
        <w:tc>
          <w:tcPr>
            <w:tcW w:w="8926" w:type="dxa"/>
            <w:gridSpan w:val="5"/>
            <w:shd w:val="clear" w:color="auto" w:fill="auto"/>
          </w:tcPr>
          <w:p w14:paraId="5AE19AC7" w14:textId="77777777" w:rsidR="00BE0AA4" w:rsidRPr="00903F9D" w:rsidRDefault="00BE0AA4" w:rsidP="00A563C2">
            <w:pPr>
              <w:pStyle w:val="TableText"/>
              <w:jc w:val="both"/>
            </w:pPr>
            <w:r w:rsidRPr="00903F9D">
              <w:rPr>
                <w:b/>
                <w:bCs/>
              </w:rPr>
              <w:t>Correlation/agreement (BMD values)</w:t>
            </w:r>
          </w:p>
        </w:tc>
      </w:tr>
      <w:tr w:rsidR="00A563C2" w:rsidRPr="00903F9D" w14:paraId="61163A06" w14:textId="77777777" w:rsidTr="00E7545B">
        <w:tc>
          <w:tcPr>
            <w:tcW w:w="3397" w:type="dxa"/>
            <w:tcBorders>
              <w:right w:val="double" w:sz="4" w:space="0" w:color="auto"/>
            </w:tcBorders>
            <w:shd w:val="clear" w:color="auto" w:fill="auto"/>
          </w:tcPr>
          <w:p w14:paraId="2260C853" w14:textId="77777777" w:rsidR="00A563C2" w:rsidRPr="00903F9D" w:rsidRDefault="00A563C2" w:rsidP="00A563C2">
            <w:pPr>
              <w:pStyle w:val="TableText"/>
            </w:pPr>
            <w:r w:rsidRPr="00903F9D">
              <w:t>Regression line slope</w:t>
            </w:r>
          </w:p>
        </w:tc>
        <w:tc>
          <w:tcPr>
            <w:tcW w:w="1418" w:type="dxa"/>
            <w:tcBorders>
              <w:left w:val="double" w:sz="4" w:space="0" w:color="auto"/>
            </w:tcBorders>
            <w:shd w:val="clear" w:color="auto" w:fill="auto"/>
          </w:tcPr>
          <w:p w14:paraId="582C1083" w14:textId="12D3E24A" w:rsidR="00A563C2" w:rsidRPr="00903F9D" w:rsidRDefault="00A563C2" w:rsidP="00C4412C">
            <w:pPr>
              <w:pStyle w:val="TableText"/>
              <w:jc w:val="center"/>
            </w:pPr>
            <w:r w:rsidRPr="00903F9D">
              <w:t>0.82</w:t>
            </w:r>
          </w:p>
        </w:tc>
        <w:tc>
          <w:tcPr>
            <w:tcW w:w="1417" w:type="dxa"/>
            <w:shd w:val="clear" w:color="auto" w:fill="auto"/>
          </w:tcPr>
          <w:p w14:paraId="7D2F6EA0" w14:textId="0343F7D4" w:rsidR="00A563C2" w:rsidRPr="00903F9D" w:rsidRDefault="00A563C2" w:rsidP="00E7545B">
            <w:pPr>
              <w:pStyle w:val="TableText"/>
              <w:jc w:val="center"/>
            </w:pPr>
            <w:r w:rsidRPr="00903F9D">
              <w:t>0.78</w:t>
            </w:r>
          </w:p>
        </w:tc>
        <w:tc>
          <w:tcPr>
            <w:tcW w:w="1276" w:type="dxa"/>
            <w:tcBorders>
              <w:right w:val="single" w:sz="4" w:space="0" w:color="auto"/>
            </w:tcBorders>
            <w:shd w:val="clear" w:color="auto" w:fill="auto"/>
          </w:tcPr>
          <w:p w14:paraId="557953DD" w14:textId="131D0966" w:rsidR="00A563C2" w:rsidRPr="00903F9D" w:rsidRDefault="00A563C2" w:rsidP="00E7545B">
            <w:pPr>
              <w:pStyle w:val="TableText"/>
              <w:jc w:val="center"/>
            </w:pPr>
            <w:r w:rsidRPr="00903F9D">
              <w:t>0.90</w:t>
            </w:r>
          </w:p>
        </w:tc>
        <w:tc>
          <w:tcPr>
            <w:tcW w:w="1418" w:type="dxa"/>
            <w:tcBorders>
              <w:left w:val="single" w:sz="4" w:space="0" w:color="auto"/>
            </w:tcBorders>
            <w:shd w:val="clear" w:color="auto" w:fill="auto"/>
          </w:tcPr>
          <w:p w14:paraId="6C179E06" w14:textId="1BFB9BC4" w:rsidR="00A563C2" w:rsidRPr="00903F9D" w:rsidRDefault="00A563C2" w:rsidP="00E7545B">
            <w:pPr>
              <w:pStyle w:val="TableText"/>
              <w:jc w:val="center"/>
            </w:pPr>
            <w:r w:rsidRPr="00903F9D">
              <w:t>0.86</w:t>
            </w:r>
          </w:p>
        </w:tc>
      </w:tr>
      <w:tr w:rsidR="00A563C2" w:rsidRPr="00903F9D" w14:paraId="0BADE6DA" w14:textId="77777777" w:rsidTr="00E7545B">
        <w:tc>
          <w:tcPr>
            <w:tcW w:w="3397" w:type="dxa"/>
            <w:tcBorders>
              <w:right w:val="double" w:sz="4" w:space="0" w:color="auto"/>
            </w:tcBorders>
            <w:shd w:val="clear" w:color="auto" w:fill="auto"/>
          </w:tcPr>
          <w:p w14:paraId="2CBCDD1C" w14:textId="77777777" w:rsidR="00A563C2" w:rsidRPr="00903F9D" w:rsidRDefault="00A563C2" w:rsidP="00A563C2">
            <w:pPr>
              <w:pStyle w:val="TableText"/>
            </w:pPr>
            <w:r w:rsidRPr="00903F9D">
              <w:t>Pearson correlation coefficient (r)</w:t>
            </w:r>
          </w:p>
        </w:tc>
        <w:tc>
          <w:tcPr>
            <w:tcW w:w="1418" w:type="dxa"/>
            <w:tcBorders>
              <w:left w:val="double" w:sz="4" w:space="0" w:color="auto"/>
            </w:tcBorders>
            <w:shd w:val="clear" w:color="auto" w:fill="auto"/>
          </w:tcPr>
          <w:p w14:paraId="68935B9E" w14:textId="659CE63B" w:rsidR="00A563C2" w:rsidRPr="00903F9D" w:rsidRDefault="00A563C2" w:rsidP="00C4412C">
            <w:pPr>
              <w:pStyle w:val="TableText"/>
              <w:jc w:val="center"/>
            </w:pPr>
            <w:r w:rsidRPr="00903F9D">
              <w:t>0.90</w:t>
            </w:r>
          </w:p>
        </w:tc>
        <w:tc>
          <w:tcPr>
            <w:tcW w:w="1417" w:type="dxa"/>
            <w:shd w:val="clear" w:color="auto" w:fill="auto"/>
          </w:tcPr>
          <w:p w14:paraId="2F184A64" w14:textId="6187210F" w:rsidR="00A563C2" w:rsidRPr="00903F9D" w:rsidRDefault="00A563C2" w:rsidP="00E7545B">
            <w:pPr>
              <w:pStyle w:val="TableText"/>
              <w:jc w:val="center"/>
            </w:pPr>
            <w:r w:rsidRPr="00903F9D">
              <w:t>0.80*</w:t>
            </w:r>
          </w:p>
        </w:tc>
        <w:tc>
          <w:tcPr>
            <w:tcW w:w="1276" w:type="dxa"/>
            <w:tcBorders>
              <w:right w:val="single" w:sz="4" w:space="0" w:color="auto"/>
            </w:tcBorders>
            <w:shd w:val="clear" w:color="auto" w:fill="auto"/>
          </w:tcPr>
          <w:p w14:paraId="35829177" w14:textId="5BFE50D0" w:rsidR="00A563C2" w:rsidRPr="00903F9D" w:rsidRDefault="00A563C2" w:rsidP="00E7545B">
            <w:pPr>
              <w:pStyle w:val="TableText"/>
              <w:jc w:val="center"/>
            </w:pPr>
            <w:r w:rsidRPr="00903F9D">
              <w:t>0.88</w:t>
            </w:r>
          </w:p>
        </w:tc>
        <w:tc>
          <w:tcPr>
            <w:tcW w:w="1418" w:type="dxa"/>
            <w:tcBorders>
              <w:left w:val="single" w:sz="4" w:space="0" w:color="auto"/>
            </w:tcBorders>
            <w:shd w:val="clear" w:color="auto" w:fill="auto"/>
          </w:tcPr>
          <w:p w14:paraId="19BD3BDA" w14:textId="1E935E76" w:rsidR="00A563C2" w:rsidRPr="00903F9D" w:rsidRDefault="00A563C2" w:rsidP="00E7545B">
            <w:pPr>
              <w:pStyle w:val="TableText"/>
              <w:jc w:val="center"/>
            </w:pPr>
            <w:r w:rsidRPr="00903F9D">
              <w:t>0.83*</w:t>
            </w:r>
          </w:p>
        </w:tc>
      </w:tr>
      <w:tr w:rsidR="00A563C2" w:rsidRPr="00903F9D" w14:paraId="107A3EF8" w14:textId="77777777" w:rsidTr="00E7545B">
        <w:tc>
          <w:tcPr>
            <w:tcW w:w="3397" w:type="dxa"/>
            <w:tcBorders>
              <w:right w:val="double" w:sz="4" w:space="0" w:color="auto"/>
            </w:tcBorders>
            <w:shd w:val="clear" w:color="auto" w:fill="auto"/>
          </w:tcPr>
          <w:p w14:paraId="297DE5B4" w14:textId="77777777" w:rsidR="00A563C2" w:rsidRPr="00903F9D" w:rsidRDefault="00A563C2" w:rsidP="00A563C2">
            <w:pPr>
              <w:pStyle w:val="TableText"/>
            </w:pPr>
            <w:r w:rsidRPr="00903F9D">
              <w:t>Coefficient of determination (r</w:t>
            </w:r>
            <w:r w:rsidRPr="00903F9D">
              <w:rPr>
                <w:vertAlign w:val="superscript"/>
              </w:rPr>
              <w:t>2</w:t>
            </w:r>
            <w:r w:rsidRPr="00903F9D">
              <w:t>)</w:t>
            </w:r>
          </w:p>
        </w:tc>
        <w:tc>
          <w:tcPr>
            <w:tcW w:w="1418" w:type="dxa"/>
            <w:tcBorders>
              <w:left w:val="double" w:sz="4" w:space="0" w:color="auto"/>
            </w:tcBorders>
            <w:shd w:val="clear" w:color="auto" w:fill="auto"/>
          </w:tcPr>
          <w:p w14:paraId="422DE417" w14:textId="4F394BDC" w:rsidR="00A563C2" w:rsidRPr="00903F9D" w:rsidRDefault="00A563C2" w:rsidP="00C4412C">
            <w:pPr>
              <w:pStyle w:val="TableText"/>
              <w:jc w:val="center"/>
            </w:pPr>
            <w:r w:rsidRPr="00903F9D">
              <w:t>NR</w:t>
            </w:r>
          </w:p>
        </w:tc>
        <w:tc>
          <w:tcPr>
            <w:tcW w:w="1417" w:type="dxa"/>
            <w:shd w:val="clear" w:color="auto" w:fill="auto"/>
          </w:tcPr>
          <w:p w14:paraId="4D6D7DCD" w14:textId="180C1A44" w:rsidR="00A563C2" w:rsidRPr="00903F9D" w:rsidRDefault="00A563C2" w:rsidP="00E7545B">
            <w:pPr>
              <w:pStyle w:val="TableText"/>
              <w:jc w:val="center"/>
            </w:pPr>
            <w:r w:rsidRPr="00903F9D">
              <w:t>0.63*</w:t>
            </w:r>
          </w:p>
        </w:tc>
        <w:tc>
          <w:tcPr>
            <w:tcW w:w="1276" w:type="dxa"/>
            <w:tcBorders>
              <w:right w:val="single" w:sz="4" w:space="0" w:color="auto"/>
            </w:tcBorders>
            <w:shd w:val="clear" w:color="auto" w:fill="auto"/>
          </w:tcPr>
          <w:p w14:paraId="5842D66B" w14:textId="466F35B2" w:rsidR="00A563C2" w:rsidRPr="00903F9D" w:rsidRDefault="00A563C2" w:rsidP="00E7545B">
            <w:pPr>
              <w:pStyle w:val="TableText"/>
              <w:jc w:val="center"/>
            </w:pPr>
            <w:r w:rsidRPr="00903F9D">
              <w:t>NR</w:t>
            </w:r>
          </w:p>
        </w:tc>
        <w:tc>
          <w:tcPr>
            <w:tcW w:w="1418" w:type="dxa"/>
            <w:tcBorders>
              <w:left w:val="single" w:sz="4" w:space="0" w:color="auto"/>
            </w:tcBorders>
            <w:shd w:val="clear" w:color="auto" w:fill="auto"/>
          </w:tcPr>
          <w:p w14:paraId="0E98A18C" w14:textId="169B8772" w:rsidR="00A563C2" w:rsidRPr="00903F9D" w:rsidRDefault="00A563C2" w:rsidP="00E7545B">
            <w:pPr>
              <w:pStyle w:val="TableText"/>
              <w:jc w:val="center"/>
            </w:pPr>
            <w:r w:rsidRPr="00903F9D">
              <w:t>0.70*</w:t>
            </w:r>
          </w:p>
        </w:tc>
      </w:tr>
      <w:tr w:rsidR="00A563C2" w:rsidRPr="00903F9D" w14:paraId="697ECAB8" w14:textId="77777777" w:rsidTr="00E7545B">
        <w:tc>
          <w:tcPr>
            <w:tcW w:w="3397" w:type="dxa"/>
            <w:tcBorders>
              <w:right w:val="double" w:sz="4" w:space="0" w:color="auto"/>
            </w:tcBorders>
            <w:shd w:val="clear" w:color="auto" w:fill="auto"/>
          </w:tcPr>
          <w:p w14:paraId="3CCE7208" w14:textId="77777777" w:rsidR="00A563C2" w:rsidRPr="00903F9D" w:rsidRDefault="00A563C2" w:rsidP="00A563C2">
            <w:pPr>
              <w:pStyle w:val="TableText"/>
            </w:pPr>
            <w:r w:rsidRPr="00903F9D">
              <w:t>Standard error of estimate (SEE), g/cm</w:t>
            </w:r>
            <w:r w:rsidRPr="00903F9D">
              <w:rPr>
                <w:vertAlign w:val="superscript"/>
              </w:rPr>
              <w:t>2</w:t>
            </w:r>
          </w:p>
        </w:tc>
        <w:tc>
          <w:tcPr>
            <w:tcW w:w="1418" w:type="dxa"/>
            <w:tcBorders>
              <w:left w:val="double" w:sz="4" w:space="0" w:color="auto"/>
            </w:tcBorders>
            <w:shd w:val="clear" w:color="auto" w:fill="auto"/>
          </w:tcPr>
          <w:p w14:paraId="3A675968" w14:textId="64201C5F" w:rsidR="00A563C2" w:rsidRPr="00903F9D" w:rsidRDefault="00A563C2" w:rsidP="00C4412C">
            <w:pPr>
              <w:pStyle w:val="TableText"/>
              <w:jc w:val="center"/>
            </w:pPr>
            <w:r w:rsidRPr="00903F9D">
              <w:t>0.052</w:t>
            </w:r>
          </w:p>
        </w:tc>
        <w:tc>
          <w:tcPr>
            <w:tcW w:w="1417" w:type="dxa"/>
            <w:shd w:val="clear" w:color="auto" w:fill="auto"/>
          </w:tcPr>
          <w:p w14:paraId="3965B51C" w14:textId="235856B5" w:rsidR="00A563C2" w:rsidRPr="00903F9D" w:rsidRDefault="00A563C2" w:rsidP="00E7545B">
            <w:pPr>
              <w:pStyle w:val="TableText"/>
              <w:jc w:val="center"/>
            </w:pPr>
            <w:r w:rsidRPr="00903F9D">
              <w:t>0.085 (10.0%)</w:t>
            </w:r>
          </w:p>
        </w:tc>
        <w:tc>
          <w:tcPr>
            <w:tcW w:w="1276" w:type="dxa"/>
            <w:tcBorders>
              <w:right w:val="single" w:sz="4" w:space="0" w:color="auto"/>
            </w:tcBorders>
            <w:shd w:val="clear" w:color="auto" w:fill="auto"/>
          </w:tcPr>
          <w:p w14:paraId="2A603F51" w14:textId="336BCA5A" w:rsidR="00A563C2" w:rsidRPr="00903F9D" w:rsidRDefault="00A563C2" w:rsidP="00E7545B">
            <w:pPr>
              <w:pStyle w:val="TableText"/>
              <w:jc w:val="center"/>
            </w:pPr>
            <w:r w:rsidRPr="00903F9D">
              <w:t>0.054</w:t>
            </w:r>
          </w:p>
        </w:tc>
        <w:tc>
          <w:tcPr>
            <w:tcW w:w="1418" w:type="dxa"/>
            <w:tcBorders>
              <w:left w:val="single" w:sz="4" w:space="0" w:color="auto"/>
            </w:tcBorders>
            <w:shd w:val="clear" w:color="auto" w:fill="auto"/>
          </w:tcPr>
          <w:p w14:paraId="79A5D239" w14:textId="67A7EB31" w:rsidR="00A563C2" w:rsidRPr="00903F9D" w:rsidRDefault="00A563C2" w:rsidP="00E7545B">
            <w:pPr>
              <w:pStyle w:val="TableText"/>
              <w:jc w:val="center"/>
            </w:pPr>
            <w:r w:rsidRPr="00903F9D">
              <w:t>0.064 (9.6%)</w:t>
            </w:r>
          </w:p>
        </w:tc>
      </w:tr>
      <w:tr w:rsidR="00BE0AA4" w:rsidRPr="00903F9D" w14:paraId="1F0B5B8F" w14:textId="77777777" w:rsidTr="00E7545B">
        <w:tc>
          <w:tcPr>
            <w:tcW w:w="8926" w:type="dxa"/>
            <w:gridSpan w:val="5"/>
            <w:shd w:val="clear" w:color="auto" w:fill="auto"/>
          </w:tcPr>
          <w:p w14:paraId="4033D1FB" w14:textId="77777777" w:rsidR="00BE0AA4" w:rsidRPr="00903F9D" w:rsidRDefault="00BE0AA4" w:rsidP="00A563C2">
            <w:pPr>
              <w:pStyle w:val="TableText"/>
            </w:pPr>
            <w:r w:rsidRPr="00903F9D">
              <w:rPr>
                <w:b/>
                <w:bCs/>
              </w:rPr>
              <w:t xml:space="preserve">Diagnostic accuracy/ of REMS vs DXA based on with/without osteoporosis </w:t>
            </w:r>
            <w:proofErr w:type="spellStart"/>
            <w:r w:rsidRPr="00903F9D">
              <w:rPr>
                <w:b/>
                <w:bCs/>
              </w:rPr>
              <w:t>categorisation</w:t>
            </w:r>
            <w:r w:rsidRPr="00903F9D">
              <w:rPr>
                <w:b/>
                <w:bCs/>
                <w:vertAlign w:val="superscript"/>
              </w:rPr>
              <w:t>a</w:t>
            </w:r>
            <w:proofErr w:type="spellEnd"/>
          </w:p>
        </w:tc>
      </w:tr>
      <w:tr w:rsidR="00A563C2" w:rsidRPr="00903F9D" w14:paraId="4826B99A" w14:textId="77777777" w:rsidTr="00E7545B">
        <w:tc>
          <w:tcPr>
            <w:tcW w:w="3397" w:type="dxa"/>
            <w:tcBorders>
              <w:right w:val="double" w:sz="4" w:space="0" w:color="auto"/>
            </w:tcBorders>
            <w:shd w:val="clear" w:color="auto" w:fill="auto"/>
          </w:tcPr>
          <w:p w14:paraId="11C43A78" w14:textId="77777777" w:rsidR="00A563C2" w:rsidRPr="00903F9D" w:rsidRDefault="00A563C2" w:rsidP="00A563C2">
            <w:pPr>
              <w:pStyle w:val="TableText"/>
            </w:pPr>
            <w:r w:rsidRPr="00903F9D">
              <w:t>Sensitivity</w:t>
            </w:r>
          </w:p>
        </w:tc>
        <w:tc>
          <w:tcPr>
            <w:tcW w:w="1418" w:type="dxa"/>
            <w:tcBorders>
              <w:left w:val="double" w:sz="4" w:space="0" w:color="auto"/>
            </w:tcBorders>
            <w:shd w:val="clear" w:color="auto" w:fill="auto"/>
          </w:tcPr>
          <w:p w14:paraId="1BCD78CF" w14:textId="3EED6677" w:rsidR="00A563C2" w:rsidRPr="00903F9D" w:rsidRDefault="00A563C2" w:rsidP="00C4412C">
            <w:pPr>
              <w:pStyle w:val="TableText"/>
              <w:jc w:val="center"/>
            </w:pPr>
            <w:r w:rsidRPr="00903F9D">
              <w:t>89.0%</w:t>
            </w:r>
          </w:p>
        </w:tc>
        <w:tc>
          <w:tcPr>
            <w:tcW w:w="1417" w:type="dxa"/>
            <w:shd w:val="clear" w:color="auto" w:fill="auto"/>
          </w:tcPr>
          <w:p w14:paraId="054C6E23" w14:textId="0F03137B" w:rsidR="00A563C2" w:rsidRPr="00903F9D" w:rsidRDefault="00A563C2" w:rsidP="00E7545B">
            <w:pPr>
              <w:pStyle w:val="TableText"/>
              <w:jc w:val="center"/>
            </w:pPr>
            <w:r w:rsidRPr="00903F9D">
              <w:t>81.0%</w:t>
            </w:r>
          </w:p>
        </w:tc>
        <w:tc>
          <w:tcPr>
            <w:tcW w:w="1276" w:type="dxa"/>
            <w:tcBorders>
              <w:right w:val="single" w:sz="4" w:space="0" w:color="auto"/>
            </w:tcBorders>
            <w:shd w:val="clear" w:color="auto" w:fill="auto"/>
          </w:tcPr>
          <w:p w14:paraId="40D1E796" w14:textId="493EAC9F" w:rsidR="00A563C2" w:rsidRPr="00903F9D" w:rsidRDefault="00A563C2" w:rsidP="00E7545B">
            <w:pPr>
              <w:pStyle w:val="TableText"/>
              <w:jc w:val="center"/>
            </w:pPr>
            <w:r w:rsidRPr="00903F9D">
              <w:t>85.5%</w:t>
            </w:r>
          </w:p>
        </w:tc>
        <w:tc>
          <w:tcPr>
            <w:tcW w:w="1418" w:type="dxa"/>
            <w:tcBorders>
              <w:left w:val="single" w:sz="4" w:space="0" w:color="auto"/>
            </w:tcBorders>
            <w:shd w:val="clear" w:color="auto" w:fill="auto"/>
          </w:tcPr>
          <w:p w14:paraId="6CCE79E2" w14:textId="2FF69B48" w:rsidR="00A563C2" w:rsidRPr="00903F9D" w:rsidRDefault="00A563C2" w:rsidP="00E7545B">
            <w:pPr>
              <w:pStyle w:val="TableText"/>
              <w:jc w:val="center"/>
            </w:pPr>
            <w:r w:rsidRPr="00903F9D">
              <w:t>81.7%</w:t>
            </w:r>
          </w:p>
        </w:tc>
      </w:tr>
      <w:tr w:rsidR="00A563C2" w:rsidRPr="00903F9D" w14:paraId="01A6BEBA" w14:textId="77777777" w:rsidTr="00E7545B">
        <w:tc>
          <w:tcPr>
            <w:tcW w:w="3397" w:type="dxa"/>
            <w:tcBorders>
              <w:bottom w:val="single" w:sz="4" w:space="0" w:color="auto"/>
              <w:right w:val="double" w:sz="4" w:space="0" w:color="auto"/>
            </w:tcBorders>
            <w:shd w:val="clear" w:color="auto" w:fill="auto"/>
          </w:tcPr>
          <w:p w14:paraId="10AB355F" w14:textId="77777777" w:rsidR="00A563C2" w:rsidRPr="00903F9D" w:rsidRDefault="00A563C2" w:rsidP="00A563C2">
            <w:pPr>
              <w:pStyle w:val="TableText"/>
            </w:pPr>
            <w:r w:rsidRPr="00903F9D">
              <w:t>Specificity</w:t>
            </w:r>
          </w:p>
        </w:tc>
        <w:tc>
          <w:tcPr>
            <w:tcW w:w="1418" w:type="dxa"/>
            <w:tcBorders>
              <w:left w:val="double" w:sz="4" w:space="0" w:color="auto"/>
              <w:bottom w:val="single" w:sz="4" w:space="0" w:color="auto"/>
            </w:tcBorders>
            <w:shd w:val="clear" w:color="auto" w:fill="auto"/>
          </w:tcPr>
          <w:p w14:paraId="7A0ED692" w14:textId="3480CA08" w:rsidR="00A563C2" w:rsidRPr="00903F9D" w:rsidRDefault="00A563C2" w:rsidP="00C4412C">
            <w:pPr>
              <w:pStyle w:val="TableText"/>
              <w:jc w:val="center"/>
            </w:pPr>
            <w:r w:rsidRPr="00903F9D">
              <w:t>94.3%</w:t>
            </w:r>
          </w:p>
        </w:tc>
        <w:tc>
          <w:tcPr>
            <w:tcW w:w="1417" w:type="dxa"/>
            <w:tcBorders>
              <w:bottom w:val="single" w:sz="4" w:space="0" w:color="auto"/>
            </w:tcBorders>
            <w:shd w:val="clear" w:color="auto" w:fill="auto"/>
          </w:tcPr>
          <w:p w14:paraId="187B374F" w14:textId="040F123B" w:rsidR="00A563C2" w:rsidRPr="00903F9D" w:rsidRDefault="00A563C2" w:rsidP="00E7545B">
            <w:pPr>
              <w:pStyle w:val="TableText"/>
              <w:jc w:val="center"/>
            </w:pPr>
            <w:r w:rsidRPr="00903F9D">
              <w:t>84.3%</w:t>
            </w:r>
          </w:p>
        </w:tc>
        <w:tc>
          <w:tcPr>
            <w:tcW w:w="1276" w:type="dxa"/>
            <w:tcBorders>
              <w:bottom w:val="single" w:sz="4" w:space="0" w:color="auto"/>
              <w:right w:val="single" w:sz="4" w:space="0" w:color="auto"/>
            </w:tcBorders>
            <w:shd w:val="clear" w:color="auto" w:fill="auto"/>
          </w:tcPr>
          <w:p w14:paraId="5353E42E" w14:textId="04712602" w:rsidR="00A563C2" w:rsidRPr="00903F9D" w:rsidRDefault="00A563C2" w:rsidP="00E7545B">
            <w:pPr>
              <w:pStyle w:val="TableText"/>
              <w:jc w:val="center"/>
            </w:pPr>
            <w:r w:rsidRPr="00903F9D">
              <w:t>94.5%</w:t>
            </w:r>
          </w:p>
        </w:tc>
        <w:tc>
          <w:tcPr>
            <w:tcW w:w="1418" w:type="dxa"/>
            <w:tcBorders>
              <w:left w:val="single" w:sz="4" w:space="0" w:color="auto"/>
              <w:bottom w:val="single" w:sz="4" w:space="0" w:color="auto"/>
            </w:tcBorders>
            <w:shd w:val="clear" w:color="auto" w:fill="auto"/>
          </w:tcPr>
          <w:p w14:paraId="57E4DAB2" w14:textId="22AFE2E3" w:rsidR="00A563C2" w:rsidRPr="00903F9D" w:rsidRDefault="00A563C2" w:rsidP="00E7545B">
            <w:pPr>
              <w:pStyle w:val="TableText"/>
              <w:jc w:val="center"/>
            </w:pPr>
            <w:r w:rsidRPr="00903F9D">
              <w:t>89.7%</w:t>
            </w:r>
          </w:p>
        </w:tc>
      </w:tr>
      <w:tr w:rsidR="00A563C2" w:rsidRPr="00903F9D" w14:paraId="6BD34C69" w14:textId="77777777" w:rsidTr="00E7545B">
        <w:tc>
          <w:tcPr>
            <w:tcW w:w="3397" w:type="dxa"/>
            <w:tcBorders>
              <w:bottom w:val="single" w:sz="4" w:space="0" w:color="auto"/>
              <w:right w:val="double" w:sz="4" w:space="0" w:color="auto"/>
            </w:tcBorders>
            <w:shd w:val="clear" w:color="auto" w:fill="auto"/>
            <w:vAlign w:val="center"/>
          </w:tcPr>
          <w:p w14:paraId="74EF93CC" w14:textId="77777777" w:rsidR="00A563C2" w:rsidRPr="00903F9D" w:rsidRDefault="00A563C2" w:rsidP="00A563C2">
            <w:pPr>
              <w:pStyle w:val="TableText"/>
            </w:pPr>
            <w:r w:rsidRPr="00903F9D">
              <w:t>Positive predictive value (PPV)</w:t>
            </w:r>
          </w:p>
        </w:tc>
        <w:tc>
          <w:tcPr>
            <w:tcW w:w="1418" w:type="dxa"/>
            <w:tcBorders>
              <w:left w:val="double" w:sz="4" w:space="0" w:color="auto"/>
              <w:bottom w:val="single" w:sz="4" w:space="0" w:color="auto"/>
            </w:tcBorders>
            <w:shd w:val="clear" w:color="auto" w:fill="auto"/>
          </w:tcPr>
          <w:p w14:paraId="4EA4AA7D" w14:textId="4BD376D6" w:rsidR="00A563C2" w:rsidRPr="00903F9D" w:rsidRDefault="00A563C2" w:rsidP="00C4412C">
            <w:pPr>
              <w:pStyle w:val="TableText"/>
              <w:jc w:val="center"/>
            </w:pPr>
            <w:r w:rsidRPr="00903F9D">
              <w:t>NR</w:t>
            </w:r>
          </w:p>
        </w:tc>
        <w:tc>
          <w:tcPr>
            <w:tcW w:w="1417" w:type="dxa"/>
            <w:tcBorders>
              <w:bottom w:val="single" w:sz="4" w:space="0" w:color="auto"/>
            </w:tcBorders>
            <w:shd w:val="clear" w:color="auto" w:fill="auto"/>
          </w:tcPr>
          <w:p w14:paraId="4C64E4D4" w14:textId="513B0BEB" w:rsidR="00A563C2" w:rsidRPr="00903F9D" w:rsidRDefault="00A563C2" w:rsidP="00E7545B">
            <w:pPr>
              <w:pStyle w:val="TableText"/>
              <w:jc w:val="center"/>
            </w:pPr>
            <w:r w:rsidRPr="00903F9D">
              <w:t>NR</w:t>
            </w:r>
          </w:p>
        </w:tc>
        <w:tc>
          <w:tcPr>
            <w:tcW w:w="1276" w:type="dxa"/>
            <w:tcBorders>
              <w:bottom w:val="single" w:sz="4" w:space="0" w:color="auto"/>
              <w:right w:val="single" w:sz="4" w:space="0" w:color="auto"/>
            </w:tcBorders>
            <w:shd w:val="clear" w:color="auto" w:fill="auto"/>
          </w:tcPr>
          <w:p w14:paraId="2BE3BE6F" w14:textId="03CBD0D4" w:rsidR="00A563C2" w:rsidRPr="00903F9D" w:rsidRDefault="00A563C2" w:rsidP="00E7545B">
            <w:pPr>
              <w:pStyle w:val="TableText"/>
              <w:jc w:val="center"/>
            </w:pPr>
            <w:r w:rsidRPr="00903F9D">
              <w:t>NR</w:t>
            </w:r>
          </w:p>
        </w:tc>
        <w:tc>
          <w:tcPr>
            <w:tcW w:w="1418" w:type="dxa"/>
            <w:tcBorders>
              <w:left w:val="single" w:sz="4" w:space="0" w:color="auto"/>
              <w:bottom w:val="single" w:sz="4" w:space="0" w:color="auto"/>
            </w:tcBorders>
            <w:shd w:val="clear" w:color="auto" w:fill="auto"/>
          </w:tcPr>
          <w:p w14:paraId="2C1CE6E9" w14:textId="509FEE1D" w:rsidR="00A563C2" w:rsidRPr="00903F9D" w:rsidRDefault="00A563C2" w:rsidP="00E7545B">
            <w:pPr>
              <w:pStyle w:val="TableText"/>
              <w:jc w:val="center"/>
            </w:pPr>
            <w:r w:rsidRPr="00903F9D">
              <w:t>NR</w:t>
            </w:r>
          </w:p>
        </w:tc>
      </w:tr>
      <w:tr w:rsidR="00A563C2" w:rsidRPr="00903F9D" w14:paraId="7C598FFF" w14:textId="77777777" w:rsidTr="00E7545B">
        <w:tc>
          <w:tcPr>
            <w:tcW w:w="3397" w:type="dxa"/>
            <w:tcBorders>
              <w:bottom w:val="single" w:sz="4" w:space="0" w:color="auto"/>
              <w:right w:val="double" w:sz="4" w:space="0" w:color="auto"/>
            </w:tcBorders>
            <w:shd w:val="clear" w:color="auto" w:fill="auto"/>
            <w:vAlign w:val="center"/>
          </w:tcPr>
          <w:p w14:paraId="24275B32" w14:textId="77777777" w:rsidR="00A563C2" w:rsidRPr="00903F9D" w:rsidRDefault="00A563C2" w:rsidP="00A563C2">
            <w:pPr>
              <w:pStyle w:val="TableText"/>
            </w:pPr>
            <w:r w:rsidRPr="00903F9D">
              <w:t>Negative predictive value (NPV)</w:t>
            </w:r>
          </w:p>
        </w:tc>
        <w:tc>
          <w:tcPr>
            <w:tcW w:w="1418" w:type="dxa"/>
            <w:tcBorders>
              <w:left w:val="double" w:sz="4" w:space="0" w:color="auto"/>
              <w:bottom w:val="single" w:sz="4" w:space="0" w:color="auto"/>
            </w:tcBorders>
            <w:shd w:val="clear" w:color="auto" w:fill="auto"/>
          </w:tcPr>
          <w:p w14:paraId="4AD03778" w14:textId="0A82D918" w:rsidR="00A563C2" w:rsidRPr="00903F9D" w:rsidRDefault="00A563C2" w:rsidP="00C4412C">
            <w:pPr>
              <w:pStyle w:val="TableText"/>
              <w:jc w:val="center"/>
            </w:pPr>
            <w:r w:rsidRPr="00903F9D">
              <w:t>NR</w:t>
            </w:r>
          </w:p>
        </w:tc>
        <w:tc>
          <w:tcPr>
            <w:tcW w:w="1417" w:type="dxa"/>
            <w:tcBorders>
              <w:bottom w:val="single" w:sz="4" w:space="0" w:color="auto"/>
            </w:tcBorders>
            <w:shd w:val="clear" w:color="auto" w:fill="auto"/>
          </w:tcPr>
          <w:p w14:paraId="07CB8696" w14:textId="61450FD5" w:rsidR="00A563C2" w:rsidRPr="00903F9D" w:rsidRDefault="00A563C2" w:rsidP="00E7545B">
            <w:pPr>
              <w:pStyle w:val="TableText"/>
              <w:jc w:val="center"/>
            </w:pPr>
            <w:r w:rsidRPr="00903F9D">
              <w:t>NR</w:t>
            </w:r>
          </w:p>
        </w:tc>
        <w:tc>
          <w:tcPr>
            <w:tcW w:w="1276" w:type="dxa"/>
            <w:tcBorders>
              <w:bottom w:val="single" w:sz="4" w:space="0" w:color="auto"/>
              <w:right w:val="single" w:sz="4" w:space="0" w:color="auto"/>
            </w:tcBorders>
            <w:shd w:val="clear" w:color="auto" w:fill="auto"/>
          </w:tcPr>
          <w:p w14:paraId="0B2AC1B7" w14:textId="3D170E09" w:rsidR="00A563C2" w:rsidRPr="00903F9D" w:rsidRDefault="00A563C2" w:rsidP="00E7545B">
            <w:pPr>
              <w:pStyle w:val="TableText"/>
              <w:jc w:val="center"/>
            </w:pPr>
            <w:r w:rsidRPr="00903F9D">
              <w:t>NR</w:t>
            </w:r>
          </w:p>
        </w:tc>
        <w:tc>
          <w:tcPr>
            <w:tcW w:w="1418" w:type="dxa"/>
            <w:tcBorders>
              <w:left w:val="single" w:sz="4" w:space="0" w:color="auto"/>
              <w:bottom w:val="single" w:sz="4" w:space="0" w:color="auto"/>
            </w:tcBorders>
            <w:shd w:val="clear" w:color="auto" w:fill="auto"/>
          </w:tcPr>
          <w:p w14:paraId="441F35A3" w14:textId="227EAB99" w:rsidR="00A563C2" w:rsidRPr="00903F9D" w:rsidRDefault="00A563C2" w:rsidP="00E7545B">
            <w:pPr>
              <w:pStyle w:val="TableText"/>
              <w:jc w:val="center"/>
            </w:pPr>
            <w:r w:rsidRPr="00903F9D">
              <w:t>NR</w:t>
            </w:r>
          </w:p>
        </w:tc>
      </w:tr>
      <w:tr w:rsidR="00BE0AA4" w:rsidRPr="00903F9D" w14:paraId="069F06A7" w14:textId="77777777" w:rsidTr="00E7545B">
        <w:tc>
          <w:tcPr>
            <w:tcW w:w="8926" w:type="dxa"/>
            <w:gridSpan w:val="5"/>
            <w:shd w:val="clear" w:color="auto" w:fill="auto"/>
          </w:tcPr>
          <w:p w14:paraId="12F61C0E" w14:textId="6B92F21A" w:rsidR="00BE0AA4" w:rsidRPr="00903F9D" w:rsidRDefault="00BE0AA4" w:rsidP="00A563C2">
            <w:pPr>
              <w:pStyle w:val="TableText"/>
            </w:pPr>
            <w:r w:rsidRPr="00903F9D">
              <w:rPr>
                <w:b/>
                <w:bCs/>
              </w:rPr>
              <w:t xml:space="preserve">T-score based </w:t>
            </w:r>
            <w:proofErr w:type="spellStart"/>
            <w:r w:rsidRPr="00903F9D">
              <w:rPr>
                <w:b/>
                <w:bCs/>
              </w:rPr>
              <w:t>analysis</w:t>
            </w:r>
            <w:r w:rsidR="005B04CF" w:rsidRPr="00903F9D">
              <w:rPr>
                <w:b/>
                <w:bCs/>
                <w:vertAlign w:val="superscript"/>
              </w:rPr>
              <w:t>b</w:t>
            </w:r>
            <w:proofErr w:type="spellEnd"/>
          </w:p>
        </w:tc>
      </w:tr>
      <w:tr w:rsidR="00A563C2" w:rsidRPr="00903F9D" w14:paraId="49002B00" w14:textId="77777777" w:rsidTr="00E7545B">
        <w:tc>
          <w:tcPr>
            <w:tcW w:w="3397" w:type="dxa"/>
            <w:tcBorders>
              <w:right w:val="double" w:sz="4" w:space="0" w:color="auto"/>
            </w:tcBorders>
          </w:tcPr>
          <w:p w14:paraId="1DCEE5AC" w14:textId="77777777" w:rsidR="00A563C2" w:rsidRPr="00903F9D" w:rsidRDefault="00A563C2" w:rsidP="00A563C2">
            <w:pPr>
              <w:pStyle w:val="TableText"/>
            </w:pPr>
            <w:r w:rsidRPr="00903F9D">
              <w:t xml:space="preserve">Diagnostic concordance (with osteoporosis / </w:t>
            </w:r>
            <w:proofErr w:type="spellStart"/>
            <w:r w:rsidRPr="00903F9D">
              <w:t>osteopenic</w:t>
            </w:r>
            <w:proofErr w:type="spellEnd"/>
            <w:r w:rsidRPr="00903F9D">
              <w:t xml:space="preserve"> / </w:t>
            </w:r>
            <w:proofErr w:type="spellStart"/>
            <w:r w:rsidRPr="00903F9D">
              <w:t>healthy</w:t>
            </w:r>
            <w:r w:rsidRPr="00903F9D">
              <w:rPr>
                <w:vertAlign w:val="superscript"/>
              </w:rPr>
              <w:t>a</w:t>
            </w:r>
            <w:proofErr w:type="spellEnd"/>
            <w:r w:rsidRPr="00903F9D">
              <w:t>)</w:t>
            </w:r>
          </w:p>
        </w:tc>
        <w:tc>
          <w:tcPr>
            <w:tcW w:w="1418" w:type="dxa"/>
            <w:tcBorders>
              <w:left w:val="double" w:sz="4" w:space="0" w:color="auto"/>
            </w:tcBorders>
          </w:tcPr>
          <w:p w14:paraId="34337C89" w14:textId="58CF3007" w:rsidR="00A563C2" w:rsidRPr="00903F9D" w:rsidRDefault="00A563C2" w:rsidP="00C4412C">
            <w:pPr>
              <w:pStyle w:val="TableText"/>
              <w:jc w:val="center"/>
            </w:pPr>
            <w:r w:rsidRPr="00903F9D">
              <w:t>83.4%</w:t>
            </w:r>
          </w:p>
        </w:tc>
        <w:tc>
          <w:tcPr>
            <w:tcW w:w="1417" w:type="dxa"/>
          </w:tcPr>
          <w:p w14:paraId="6A0AF4BA" w14:textId="317D59F0" w:rsidR="00A563C2" w:rsidRPr="00903F9D" w:rsidRDefault="00A563C2" w:rsidP="00E7545B">
            <w:pPr>
              <w:pStyle w:val="TableText"/>
              <w:jc w:val="center"/>
            </w:pPr>
            <w:r w:rsidRPr="00903F9D">
              <w:t>76.4%</w:t>
            </w:r>
          </w:p>
        </w:tc>
        <w:tc>
          <w:tcPr>
            <w:tcW w:w="1276" w:type="dxa"/>
            <w:tcBorders>
              <w:right w:val="single" w:sz="4" w:space="0" w:color="auto"/>
            </w:tcBorders>
          </w:tcPr>
          <w:p w14:paraId="6B31FEC2" w14:textId="388251E0" w:rsidR="00A563C2" w:rsidRPr="00903F9D" w:rsidRDefault="00A563C2" w:rsidP="00E7545B">
            <w:pPr>
              <w:pStyle w:val="TableText"/>
              <w:jc w:val="center"/>
            </w:pPr>
            <w:r w:rsidRPr="00903F9D">
              <w:t>82.7%</w:t>
            </w:r>
          </w:p>
        </w:tc>
        <w:tc>
          <w:tcPr>
            <w:tcW w:w="1418" w:type="dxa"/>
            <w:tcBorders>
              <w:left w:val="single" w:sz="4" w:space="0" w:color="auto"/>
            </w:tcBorders>
          </w:tcPr>
          <w:p w14:paraId="4CED5C71" w14:textId="7089D6FC" w:rsidR="00A563C2" w:rsidRPr="00903F9D" w:rsidRDefault="00A563C2" w:rsidP="00E7545B">
            <w:pPr>
              <w:pStyle w:val="TableText"/>
              <w:jc w:val="center"/>
            </w:pPr>
            <w:r w:rsidRPr="00903F9D">
              <w:t>81.9%</w:t>
            </w:r>
          </w:p>
        </w:tc>
      </w:tr>
      <w:tr w:rsidR="00A563C2" w:rsidRPr="00903F9D" w14:paraId="22F43B00" w14:textId="77777777" w:rsidTr="00E7545B">
        <w:tc>
          <w:tcPr>
            <w:tcW w:w="3397" w:type="dxa"/>
            <w:tcBorders>
              <w:right w:val="double" w:sz="4" w:space="0" w:color="auto"/>
            </w:tcBorders>
          </w:tcPr>
          <w:p w14:paraId="267E7193" w14:textId="77777777" w:rsidR="00A563C2" w:rsidRPr="00903F9D" w:rsidRDefault="00A563C2" w:rsidP="00A563C2">
            <w:pPr>
              <w:pStyle w:val="TableText"/>
            </w:pPr>
            <w:r w:rsidRPr="00903F9D">
              <w:t xml:space="preserve">Cohens k (with osteoporosis / </w:t>
            </w:r>
            <w:proofErr w:type="spellStart"/>
            <w:r w:rsidRPr="00903F9D">
              <w:t>osteopenic</w:t>
            </w:r>
            <w:proofErr w:type="spellEnd"/>
            <w:r w:rsidRPr="00903F9D">
              <w:t xml:space="preserve"> / </w:t>
            </w:r>
            <w:proofErr w:type="spellStart"/>
            <w:r w:rsidRPr="00903F9D">
              <w:t>healthy</w:t>
            </w:r>
            <w:r w:rsidRPr="00903F9D">
              <w:rPr>
                <w:vertAlign w:val="superscript"/>
              </w:rPr>
              <w:t>a</w:t>
            </w:r>
            <w:proofErr w:type="spellEnd"/>
            <w:r w:rsidRPr="00903F9D">
              <w:t>)</w:t>
            </w:r>
          </w:p>
        </w:tc>
        <w:tc>
          <w:tcPr>
            <w:tcW w:w="1418" w:type="dxa"/>
            <w:tcBorders>
              <w:left w:val="double" w:sz="4" w:space="0" w:color="auto"/>
            </w:tcBorders>
          </w:tcPr>
          <w:p w14:paraId="0113094B" w14:textId="1F72733B" w:rsidR="00A563C2" w:rsidRPr="00903F9D" w:rsidRDefault="00A563C2" w:rsidP="00C4412C">
            <w:pPr>
              <w:pStyle w:val="TableText"/>
              <w:jc w:val="center"/>
            </w:pPr>
            <w:r w:rsidRPr="00903F9D">
              <w:t>0.81</w:t>
            </w:r>
          </w:p>
        </w:tc>
        <w:tc>
          <w:tcPr>
            <w:tcW w:w="1417" w:type="dxa"/>
          </w:tcPr>
          <w:p w14:paraId="1BA1DC70" w14:textId="63D80FF0" w:rsidR="00A563C2" w:rsidRPr="00903F9D" w:rsidRDefault="00A563C2" w:rsidP="00E7545B">
            <w:pPr>
              <w:pStyle w:val="TableText"/>
              <w:jc w:val="center"/>
            </w:pPr>
            <w:r w:rsidRPr="00903F9D">
              <w:t>0.629*</w:t>
            </w:r>
          </w:p>
        </w:tc>
        <w:tc>
          <w:tcPr>
            <w:tcW w:w="1276" w:type="dxa"/>
            <w:tcBorders>
              <w:right w:val="single" w:sz="4" w:space="0" w:color="auto"/>
            </w:tcBorders>
          </w:tcPr>
          <w:p w14:paraId="2AE98279" w14:textId="7A8BD9B6" w:rsidR="00A563C2" w:rsidRPr="00903F9D" w:rsidRDefault="00A563C2" w:rsidP="00E7545B">
            <w:pPr>
              <w:pStyle w:val="TableText"/>
              <w:jc w:val="center"/>
            </w:pPr>
            <w:r w:rsidRPr="00903F9D">
              <w:t>0.77</w:t>
            </w:r>
          </w:p>
        </w:tc>
        <w:tc>
          <w:tcPr>
            <w:tcW w:w="1418" w:type="dxa"/>
            <w:tcBorders>
              <w:left w:val="single" w:sz="4" w:space="0" w:color="auto"/>
            </w:tcBorders>
          </w:tcPr>
          <w:p w14:paraId="22B20846" w14:textId="187E9204" w:rsidR="00A563C2" w:rsidRPr="00903F9D" w:rsidRDefault="00A563C2" w:rsidP="00E7545B">
            <w:pPr>
              <w:pStyle w:val="TableText"/>
              <w:jc w:val="center"/>
            </w:pPr>
            <w:r w:rsidRPr="00903F9D">
              <w:t>0.691*</w:t>
            </w:r>
          </w:p>
        </w:tc>
      </w:tr>
    </w:tbl>
    <w:bookmarkEnd w:id="34"/>
    <w:p w14:paraId="0E88331D" w14:textId="7D769169" w:rsidR="00B11664" w:rsidRPr="00903F9D" w:rsidRDefault="00B11664" w:rsidP="0092090E">
      <w:pPr>
        <w:pStyle w:val="TableFigureFooter"/>
        <w:tabs>
          <w:tab w:val="left" w:pos="1114"/>
        </w:tabs>
      </w:pPr>
      <w:r w:rsidRPr="00903F9D">
        <w:t>Source:</w:t>
      </w:r>
      <w:r w:rsidR="00C314A2" w:rsidRPr="00903F9D">
        <w:t xml:space="preserve"> </w:t>
      </w:r>
      <w:r w:rsidR="00A563C2" w:rsidRPr="00903F9D">
        <w:t xml:space="preserve">Adapted from </w:t>
      </w:r>
      <w:r w:rsidR="00C314A2" w:rsidRPr="00903F9D">
        <w:t xml:space="preserve">Table 9, p48 of the </w:t>
      </w:r>
      <w:r w:rsidR="000D492D" w:rsidRPr="00903F9D">
        <w:t xml:space="preserve">MSAC 1665 </w:t>
      </w:r>
      <w:r w:rsidR="00C314A2" w:rsidRPr="00903F9D">
        <w:t>ADAR.</w:t>
      </w:r>
      <w:r w:rsidR="00C4412C" w:rsidRPr="00903F9D">
        <w:t xml:space="preserve"> Data sources (publications): </w:t>
      </w:r>
      <w:proofErr w:type="spellStart"/>
      <w:r w:rsidR="00C4412C" w:rsidRPr="00903F9D">
        <w:t>Cortet</w:t>
      </w:r>
      <w:proofErr w:type="spellEnd"/>
      <w:r w:rsidR="00C4412C" w:rsidRPr="00903F9D">
        <w:t xml:space="preserve"> 2021 p. 3-6; Di Paola 2019 p. 396-398, Supplementary appendix Table S1</w:t>
      </w:r>
    </w:p>
    <w:p w14:paraId="1A1D9749" w14:textId="2D768603" w:rsidR="00B11664" w:rsidRPr="00903F9D" w:rsidRDefault="00B11664" w:rsidP="00B11664">
      <w:pPr>
        <w:pStyle w:val="TableFigureFooter"/>
      </w:pPr>
      <w:r w:rsidRPr="00903F9D">
        <w:t xml:space="preserve">BMD= bone mineral density; DXA= </w:t>
      </w:r>
      <w:r w:rsidR="00C314A2" w:rsidRPr="00903F9D">
        <w:t xml:space="preserve">dual energy </w:t>
      </w:r>
      <w:r w:rsidR="00316C71" w:rsidRPr="00903F9D">
        <w:t>x-r</w:t>
      </w:r>
      <w:r w:rsidR="00C314A2" w:rsidRPr="00903F9D">
        <w:t>ay absorptiometry</w:t>
      </w:r>
      <w:r w:rsidRPr="00903F9D">
        <w:t>; NR= not reported; REMS=</w:t>
      </w:r>
      <w:r w:rsidR="00C314A2" w:rsidRPr="00903F9D">
        <w:t xml:space="preserve"> radiofrequency echographic multi spectrometry</w:t>
      </w:r>
      <w:r w:rsidRPr="00903F9D">
        <w:t>.</w:t>
      </w:r>
    </w:p>
    <w:p w14:paraId="7C418463" w14:textId="40CBCEFF" w:rsidR="00BE0AA4" w:rsidRPr="00903F9D" w:rsidRDefault="00BE0AA4" w:rsidP="0092090E">
      <w:pPr>
        <w:pStyle w:val="TableFigureFooter"/>
      </w:pPr>
      <w:r w:rsidRPr="00903F9D">
        <w:t>a. Osteoporosis (T-score ≤-2.5), Without Osteoporosis includes Osteopenia (T-score -2.5 &lt; to &lt;-1.0), Healthy (T-score&gt;-1.0)</w:t>
      </w:r>
    </w:p>
    <w:p w14:paraId="4B3D0065" w14:textId="77777777" w:rsidR="00C4412C" w:rsidRPr="00903F9D" w:rsidRDefault="0087308F" w:rsidP="00C4412C">
      <w:pPr>
        <w:pStyle w:val="TableFigureFooter"/>
        <w:keepNext w:val="0"/>
      </w:pPr>
      <w:r w:rsidRPr="00903F9D">
        <w:t xml:space="preserve">b. The diagnostic concordance was assessed as the percentage of patients classified in the same diagnostic category (osteoporotic, </w:t>
      </w:r>
      <w:proofErr w:type="spellStart"/>
      <w:r w:rsidRPr="00903F9D">
        <w:t>osteopenic</w:t>
      </w:r>
      <w:proofErr w:type="spellEnd"/>
      <w:r w:rsidRPr="00903F9D">
        <w:t>, or healthy) by both DXA and REMS and by Cohen’s kappa (k).</w:t>
      </w:r>
    </w:p>
    <w:p w14:paraId="045162FE" w14:textId="77777777" w:rsidR="00C4412C" w:rsidRPr="00903F9D" w:rsidRDefault="00BE0AA4" w:rsidP="0092090E">
      <w:pPr>
        <w:pStyle w:val="TableFigureFooter"/>
      </w:pPr>
      <w:r w:rsidRPr="00903F9D">
        <w:t>*</w:t>
      </w:r>
      <w:r w:rsidR="00C4412C" w:rsidRPr="00903F9D">
        <w:t xml:space="preserve"> </w:t>
      </w:r>
      <w:r w:rsidRPr="00903F9D">
        <w:t>p&lt;0.001.</w:t>
      </w:r>
    </w:p>
    <w:p w14:paraId="15031A42" w14:textId="071FBA04" w:rsidR="00585482" w:rsidRPr="00903F9D" w:rsidRDefault="0084563D" w:rsidP="00F54EEE">
      <w:pPr>
        <w:pStyle w:val="Heading4"/>
      </w:pPr>
      <w:r w:rsidRPr="00903F9D">
        <w:t>Comparison of test accuracy (</w:t>
      </w:r>
      <w:r w:rsidR="00407F8E" w:rsidRPr="00903F9D">
        <w:t>su</w:t>
      </w:r>
      <w:r w:rsidR="00F54EEE" w:rsidRPr="00903F9D">
        <w:t>pplementary</w:t>
      </w:r>
      <w:r w:rsidR="00585482" w:rsidRPr="00903F9D">
        <w:t xml:space="preserve"> studies</w:t>
      </w:r>
      <w:r w:rsidRPr="00903F9D">
        <w:t>)</w:t>
      </w:r>
      <w:r w:rsidR="00585482" w:rsidRPr="00903F9D">
        <w:t xml:space="preserve"> </w:t>
      </w:r>
      <w:r w:rsidRPr="00903F9D">
        <w:t>-</w:t>
      </w:r>
      <w:r w:rsidR="00585482" w:rsidRPr="00903F9D">
        <w:t xml:space="preserve"> use</w:t>
      </w:r>
      <w:r w:rsidR="00A646A1" w:rsidRPr="00903F9D">
        <w:t xml:space="preserve"> of REMS</w:t>
      </w:r>
      <w:r w:rsidR="00585482" w:rsidRPr="00903F9D">
        <w:t xml:space="preserve"> </w:t>
      </w:r>
      <w:r w:rsidRPr="00903F9D">
        <w:t xml:space="preserve">for </w:t>
      </w:r>
      <w:r w:rsidR="00B84E38" w:rsidRPr="00903F9D">
        <w:rPr>
          <w:rFonts w:eastAsia="Calibri" w:cs="Times New Roman"/>
        </w:rPr>
        <w:t>patient groups within the proposed eligible population</w:t>
      </w:r>
    </w:p>
    <w:p w14:paraId="33130FF9" w14:textId="54290BC3" w:rsidR="00AF62EB" w:rsidRPr="00903F9D" w:rsidRDefault="0084563D" w:rsidP="00AF62EB">
      <w:r w:rsidRPr="00903F9D">
        <w:rPr>
          <w:iCs/>
        </w:rPr>
        <w:t>The ADA</w:t>
      </w:r>
      <w:r w:rsidR="00B95B59" w:rsidRPr="00903F9D">
        <w:rPr>
          <w:iCs/>
        </w:rPr>
        <w:t xml:space="preserve">R </w:t>
      </w:r>
      <w:r w:rsidRPr="00903F9D">
        <w:rPr>
          <w:iCs/>
        </w:rPr>
        <w:t xml:space="preserve">presented </w:t>
      </w:r>
      <w:r w:rsidR="00D25B4D" w:rsidRPr="00903F9D">
        <w:rPr>
          <w:iCs/>
        </w:rPr>
        <w:t xml:space="preserve">data from Amorim 2021 and </w:t>
      </w:r>
      <w:proofErr w:type="spellStart"/>
      <w:r w:rsidR="00D25B4D" w:rsidRPr="00903F9D">
        <w:rPr>
          <w:iCs/>
        </w:rPr>
        <w:t>Nowakowska</w:t>
      </w:r>
      <w:proofErr w:type="spellEnd"/>
      <w:r w:rsidR="00D25B4D" w:rsidRPr="00903F9D">
        <w:rPr>
          <w:iCs/>
        </w:rPr>
        <w:t xml:space="preserve">-Plaza 2021 as </w:t>
      </w:r>
      <w:r w:rsidRPr="00903F9D">
        <w:rPr>
          <w:iCs/>
        </w:rPr>
        <w:t>supplementary evidence for test accuracy</w:t>
      </w:r>
      <w:r w:rsidR="00B95B59" w:rsidRPr="00903F9D">
        <w:rPr>
          <w:iCs/>
        </w:rPr>
        <w:t xml:space="preserve"> of</w:t>
      </w:r>
      <w:r w:rsidRPr="00903F9D">
        <w:rPr>
          <w:iCs/>
        </w:rPr>
        <w:t xml:space="preserve"> REMS compared to DXA in a greater range of ethnicities and some men</w:t>
      </w:r>
      <w:r w:rsidR="00B95B59" w:rsidRPr="00903F9D">
        <w:rPr>
          <w:iCs/>
        </w:rPr>
        <w:t xml:space="preserve"> </w:t>
      </w:r>
      <w:r w:rsidR="00D25B4D" w:rsidRPr="00903F9D">
        <w:rPr>
          <w:iCs/>
        </w:rPr>
        <w:t>(</w:t>
      </w:r>
      <w:r w:rsidRPr="00903F9D">
        <w:rPr>
          <w:iCs/>
        </w:rPr>
        <w:fldChar w:fldCharType="begin"/>
      </w:r>
      <w:r w:rsidRPr="00903F9D">
        <w:rPr>
          <w:iCs/>
        </w:rPr>
        <w:instrText xml:space="preserve"> REF _Ref101019111 \h </w:instrText>
      </w:r>
      <w:r w:rsidR="00F97C0B" w:rsidRPr="00903F9D">
        <w:rPr>
          <w:iCs/>
        </w:rPr>
        <w:instrText xml:space="preserve"> \* MERGEFORMAT </w:instrText>
      </w:r>
      <w:r w:rsidRPr="00903F9D">
        <w:rPr>
          <w:iCs/>
        </w:rPr>
      </w:r>
      <w:r w:rsidRPr="00903F9D">
        <w:rPr>
          <w:iCs/>
        </w:rPr>
        <w:fldChar w:fldCharType="separate"/>
      </w:r>
      <w:r w:rsidR="00DF3307" w:rsidRPr="00903F9D">
        <w:t xml:space="preserve">Table </w:t>
      </w:r>
      <w:r w:rsidR="00DF3307" w:rsidRPr="00903F9D">
        <w:rPr>
          <w:noProof/>
        </w:rPr>
        <w:t>9</w:t>
      </w:r>
      <w:r w:rsidRPr="00903F9D">
        <w:rPr>
          <w:iCs/>
        </w:rPr>
        <w:fldChar w:fldCharType="end"/>
      </w:r>
      <w:r w:rsidRPr="00903F9D">
        <w:rPr>
          <w:iCs/>
        </w:rPr>
        <w:t>)</w:t>
      </w:r>
      <w:r w:rsidRPr="00903F9D">
        <w:t xml:space="preserve">. </w:t>
      </w:r>
      <w:r w:rsidR="00D25B4D" w:rsidRPr="00903F9D">
        <w:rPr>
          <w:iCs/>
        </w:rPr>
        <w:t xml:space="preserve">Amorim 2021 recruited </w:t>
      </w:r>
      <w:r w:rsidR="00532B36" w:rsidRPr="00903F9D">
        <w:rPr>
          <w:iCs/>
        </w:rPr>
        <w:t xml:space="preserve">343 </w:t>
      </w:r>
      <w:r w:rsidR="00D25B4D" w:rsidRPr="00903F9D">
        <w:rPr>
          <w:iCs/>
        </w:rPr>
        <w:t>women aged 30-80 years (59.9 ± 10.2 years) and included women who self-reported</w:t>
      </w:r>
      <w:r w:rsidR="00532B36" w:rsidRPr="00903F9D">
        <w:rPr>
          <w:iCs/>
        </w:rPr>
        <w:t xml:space="preserve"> their ethnicity</w:t>
      </w:r>
      <w:r w:rsidR="00D25B4D" w:rsidRPr="00903F9D">
        <w:rPr>
          <w:iCs/>
        </w:rPr>
        <w:t xml:space="preserve"> as </w:t>
      </w:r>
      <w:r w:rsidR="00532B36" w:rsidRPr="00903F9D">
        <w:rPr>
          <w:iCs/>
        </w:rPr>
        <w:t>A</w:t>
      </w:r>
      <w:r w:rsidR="00D25B4D" w:rsidRPr="00903F9D">
        <w:rPr>
          <w:iCs/>
        </w:rPr>
        <w:t xml:space="preserve">sian (8.4%), </w:t>
      </w:r>
      <w:r w:rsidR="00532B36" w:rsidRPr="00903F9D">
        <w:rPr>
          <w:iCs/>
        </w:rPr>
        <w:t>Caucasian (69.6%), A</w:t>
      </w:r>
      <w:r w:rsidR="00D25B4D" w:rsidRPr="00903F9D">
        <w:rPr>
          <w:iCs/>
        </w:rPr>
        <w:t xml:space="preserve">frican </w:t>
      </w:r>
      <w:r w:rsidR="00532B36" w:rsidRPr="00903F9D">
        <w:rPr>
          <w:iCs/>
        </w:rPr>
        <w:t>descendent (</w:t>
      </w:r>
      <w:r w:rsidR="00D25B4D" w:rsidRPr="00903F9D">
        <w:rPr>
          <w:iCs/>
        </w:rPr>
        <w:t>14.9%</w:t>
      </w:r>
      <w:r w:rsidR="00532B36" w:rsidRPr="00903F9D">
        <w:rPr>
          <w:iCs/>
        </w:rPr>
        <w:t>)</w:t>
      </w:r>
      <w:r w:rsidR="00D25B4D" w:rsidRPr="00903F9D">
        <w:rPr>
          <w:iCs/>
        </w:rPr>
        <w:t xml:space="preserve"> </w:t>
      </w:r>
      <w:r w:rsidR="00532B36" w:rsidRPr="00903F9D">
        <w:rPr>
          <w:iCs/>
        </w:rPr>
        <w:t>or</w:t>
      </w:r>
      <w:r w:rsidR="00D25B4D" w:rsidRPr="00903F9D">
        <w:rPr>
          <w:iCs/>
        </w:rPr>
        <w:t xml:space="preserve"> </w:t>
      </w:r>
      <w:r w:rsidR="00532B36" w:rsidRPr="00903F9D">
        <w:rPr>
          <w:iCs/>
        </w:rPr>
        <w:t>miscegenated (</w:t>
      </w:r>
      <w:r w:rsidR="00D25B4D" w:rsidRPr="00903F9D">
        <w:rPr>
          <w:iCs/>
        </w:rPr>
        <w:t>7.1%</w:t>
      </w:r>
      <w:r w:rsidR="00532B36" w:rsidRPr="00903F9D">
        <w:rPr>
          <w:iCs/>
        </w:rPr>
        <w:t>).</w:t>
      </w:r>
      <w:r w:rsidR="00D25B4D" w:rsidRPr="00903F9D">
        <w:rPr>
          <w:iCs/>
        </w:rPr>
        <w:t xml:space="preserve"> </w:t>
      </w:r>
      <w:proofErr w:type="spellStart"/>
      <w:r w:rsidR="00532B36" w:rsidRPr="00903F9D">
        <w:rPr>
          <w:iCs/>
        </w:rPr>
        <w:t>Nowakowska</w:t>
      </w:r>
      <w:proofErr w:type="spellEnd"/>
      <w:r w:rsidR="00532B36" w:rsidRPr="00903F9D">
        <w:rPr>
          <w:iCs/>
        </w:rPr>
        <w:t>-Plaza 2021 included 116 participants</w:t>
      </w:r>
      <w:r w:rsidR="00C57DDF" w:rsidRPr="00903F9D">
        <w:rPr>
          <w:iCs/>
        </w:rPr>
        <w:t xml:space="preserve"> aged 40-87 years</w:t>
      </w:r>
      <w:r w:rsidR="00532B36" w:rsidRPr="00903F9D">
        <w:rPr>
          <w:iCs/>
        </w:rPr>
        <w:t xml:space="preserve">, of which 18 participants were male. </w:t>
      </w:r>
      <w:bookmarkStart w:id="35" w:name="_Hlk99629820"/>
      <w:r w:rsidR="00C403E9" w:rsidRPr="00903F9D">
        <w:t>T</w:t>
      </w:r>
      <w:r w:rsidR="00AF62EB" w:rsidRPr="00903F9D">
        <w:t xml:space="preserve">he diagnostic concordance </w:t>
      </w:r>
      <w:r w:rsidR="00C403E9" w:rsidRPr="00903F9D">
        <w:t xml:space="preserve">in Amorim 2021 was </w:t>
      </w:r>
      <w:r w:rsidR="00AF62EB" w:rsidRPr="00903F9D">
        <w:t xml:space="preserve">lower than the key studies </w:t>
      </w:r>
      <w:bookmarkStart w:id="36" w:name="_Hlk99629833"/>
      <w:r w:rsidR="00AF62EB" w:rsidRPr="00903F9D">
        <w:t>with 67.1%</w:t>
      </w:r>
      <w:r w:rsidR="00C403E9" w:rsidRPr="00903F9D">
        <w:t xml:space="preserve"> (Cohens k =0.47)</w:t>
      </w:r>
      <w:r w:rsidR="00AF62EB" w:rsidRPr="00903F9D">
        <w:t xml:space="preserve"> and 71.4% </w:t>
      </w:r>
      <w:r w:rsidR="00C403E9" w:rsidRPr="00903F9D">
        <w:t xml:space="preserve">(Cohens k =0.53) </w:t>
      </w:r>
      <w:r w:rsidR="00AF62EB" w:rsidRPr="00903F9D">
        <w:t>for lumbar spine and femoral neck, respectively</w:t>
      </w:r>
      <w:bookmarkEnd w:id="35"/>
      <w:bookmarkEnd w:id="36"/>
      <w:r w:rsidR="00DF08CE" w:rsidRPr="00903F9D">
        <w:t>.</w:t>
      </w:r>
      <w:r w:rsidR="00AF62EB" w:rsidRPr="00903F9D">
        <w:t xml:space="preserve"> The authors noted that non-concordant diagnoses were concentrated on those DXA classified as normal and REMS classified as osteopenia. </w:t>
      </w:r>
      <w:r w:rsidR="007F1521" w:rsidRPr="00903F9D">
        <w:t xml:space="preserve">The correlation of BMD scores was high and statistically significant for both Amorim 2021 and </w:t>
      </w:r>
      <w:proofErr w:type="spellStart"/>
      <w:r w:rsidR="007F1521" w:rsidRPr="00903F9D">
        <w:t>Nowakowska</w:t>
      </w:r>
      <w:proofErr w:type="spellEnd"/>
      <w:r w:rsidR="007F1521" w:rsidRPr="00903F9D">
        <w:t xml:space="preserve">-Plaza 2021. The sensitivity and specificity for the subgroup of over 40 years in </w:t>
      </w:r>
      <w:proofErr w:type="spellStart"/>
      <w:r w:rsidR="007F1521" w:rsidRPr="00903F9D">
        <w:t>Amorin</w:t>
      </w:r>
      <w:proofErr w:type="spellEnd"/>
      <w:r w:rsidR="007F1521" w:rsidRPr="00903F9D">
        <w:t xml:space="preserve"> 2021 was high (not reported in </w:t>
      </w:r>
      <w:proofErr w:type="spellStart"/>
      <w:r w:rsidR="007F1521" w:rsidRPr="00903F9D">
        <w:t>Nowakowska</w:t>
      </w:r>
      <w:proofErr w:type="spellEnd"/>
      <w:r w:rsidR="007F1521" w:rsidRPr="00903F9D">
        <w:t>-Plaza 2021).</w:t>
      </w:r>
    </w:p>
    <w:p w14:paraId="7D588D8F" w14:textId="60C45ADD" w:rsidR="00DD046B" w:rsidRPr="00903F9D" w:rsidRDefault="00C2331A" w:rsidP="00B833CE">
      <w:pPr>
        <w:pStyle w:val="Caption"/>
      </w:pPr>
      <w:bookmarkStart w:id="37" w:name="_Ref101019111"/>
      <w:r w:rsidRPr="00903F9D">
        <w:lastRenderedPageBreak/>
        <w:t xml:space="preserve">Table </w:t>
      </w:r>
      <w:r w:rsidR="008D0E73">
        <w:fldChar w:fldCharType="begin"/>
      </w:r>
      <w:r w:rsidR="008D0E73">
        <w:instrText xml:space="preserve"> SEQ Table \* ARABIC </w:instrText>
      </w:r>
      <w:r w:rsidR="008D0E73">
        <w:fldChar w:fldCharType="separate"/>
      </w:r>
      <w:r w:rsidR="00DF3307" w:rsidRPr="00903F9D">
        <w:rPr>
          <w:noProof/>
        </w:rPr>
        <w:t>9</w:t>
      </w:r>
      <w:r w:rsidR="008D0E73">
        <w:rPr>
          <w:noProof/>
        </w:rPr>
        <w:fldChar w:fldCharType="end"/>
      </w:r>
      <w:bookmarkEnd w:id="37"/>
      <w:r w:rsidR="00C10D16">
        <w:tab/>
      </w:r>
      <w:r w:rsidRPr="00903F9D">
        <w:t xml:space="preserve"> </w:t>
      </w:r>
      <w:r w:rsidR="0084563D" w:rsidRPr="00903F9D">
        <w:t>Supplementary test accura</w:t>
      </w:r>
      <w:r w:rsidR="001D779A" w:rsidRPr="00903F9D">
        <w:t>c</w:t>
      </w:r>
      <w:r w:rsidR="0084563D" w:rsidRPr="00903F9D">
        <w:t>y</w:t>
      </w:r>
      <w:r w:rsidRPr="00903F9D">
        <w:t xml:space="preserve"> results (Amorim 2021, </w:t>
      </w:r>
      <w:proofErr w:type="spellStart"/>
      <w:r w:rsidRPr="00903F9D">
        <w:t>Nowakowska</w:t>
      </w:r>
      <w:proofErr w:type="spellEnd"/>
      <w:r w:rsidRPr="00903F9D">
        <w:t>-Plaza 2021)</w:t>
      </w:r>
    </w:p>
    <w:tbl>
      <w:tblPr>
        <w:tblStyle w:val="TableGrid"/>
        <w:tblW w:w="4950" w:type="pct"/>
        <w:tblLayout w:type="fixed"/>
        <w:tblLook w:val="04A0" w:firstRow="1" w:lastRow="0" w:firstColumn="1" w:lastColumn="0" w:noHBand="0" w:noVBand="1"/>
      </w:tblPr>
      <w:tblGrid>
        <w:gridCol w:w="4113"/>
        <w:gridCol w:w="985"/>
        <w:gridCol w:w="1228"/>
        <w:gridCol w:w="1325"/>
        <w:gridCol w:w="1275"/>
      </w:tblGrid>
      <w:tr w:rsidR="001D779A" w:rsidRPr="00903F9D" w14:paraId="1C85A242" w14:textId="77777777" w:rsidTr="00694AFE">
        <w:trPr>
          <w:trHeight w:val="222"/>
        </w:trPr>
        <w:tc>
          <w:tcPr>
            <w:tcW w:w="2304" w:type="pct"/>
            <w:vMerge w:val="restart"/>
            <w:shd w:val="clear" w:color="auto" w:fill="auto"/>
            <w:vAlign w:val="center"/>
          </w:tcPr>
          <w:p w14:paraId="493B9970" w14:textId="77777777" w:rsidR="00C2331A" w:rsidRPr="00903F9D" w:rsidRDefault="00C2331A" w:rsidP="004B4F38">
            <w:pPr>
              <w:pStyle w:val="TableFigureHeading"/>
            </w:pPr>
            <w:r w:rsidRPr="00903F9D">
              <w:t>Outcomes</w:t>
            </w:r>
          </w:p>
        </w:tc>
        <w:tc>
          <w:tcPr>
            <w:tcW w:w="1240" w:type="pct"/>
            <w:gridSpan w:val="2"/>
            <w:shd w:val="clear" w:color="auto" w:fill="auto"/>
            <w:vAlign w:val="center"/>
          </w:tcPr>
          <w:p w14:paraId="0E7A4C83" w14:textId="77777777" w:rsidR="00C2331A" w:rsidRPr="00903F9D" w:rsidRDefault="00C2331A" w:rsidP="004B4F38">
            <w:pPr>
              <w:pStyle w:val="TableFigureHeading"/>
              <w:jc w:val="center"/>
            </w:pPr>
            <w:r w:rsidRPr="00903F9D">
              <w:t>Amorim 2021</w:t>
            </w:r>
          </w:p>
        </w:tc>
        <w:tc>
          <w:tcPr>
            <w:tcW w:w="1456" w:type="pct"/>
            <w:gridSpan w:val="2"/>
            <w:shd w:val="clear" w:color="auto" w:fill="auto"/>
            <w:vAlign w:val="center"/>
          </w:tcPr>
          <w:p w14:paraId="04D5E382" w14:textId="77777777" w:rsidR="00C2331A" w:rsidRPr="00903F9D" w:rsidRDefault="00C2331A" w:rsidP="004B4F38">
            <w:pPr>
              <w:pStyle w:val="TableFigureHeading"/>
              <w:jc w:val="center"/>
            </w:pPr>
            <w:proofErr w:type="spellStart"/>
            <w:r w:rsidRPr="00903F9D">
              <w:t>Nowakowska</w:t>
            </w:r>
            <w:proofErr w:type="spellEnd"/>
            <w:r w:rsidRPr="00903F9D">
              <w:t>-Plaza 2021</w:t>
            </w:r>
          </w:p>
        </w:tc>
      </w:tr>
      <w:tr w:rsidR="001D779A" w:rsidRPr="00903F9D" w14:paraId="744BEFB7" w14:textId="77777777" w:rsidTr="000D492D">
        <w:trPr>
          <w:trHeight w:val="445"/>
        </w:trPr>
        <w:tc>
          <w:tcPr>
            <w:tcW w:w="2304" w:type="pct"/>
            <w:vMerge/>
            <w:shd w:val="clear" w:color="auto" w:fill="auto"/>
            <w:vAlign w:val="center"/>
          </w:tcPr>
          <w:p w14:paraId="4DAE8203" w14:textId="77777777" w:rsidR="00C2331A" w:rsidRPr="00903F9D" w:rsidRDefault="00C2331A" w:rsidP="004B4F38">
            <w:pPr>
              <w:pStyle w:val="TableFigureHeading"/>
            </w:pPr>
          </w:p>
        </w:tc>
        <w:tc>
          <w:tcPr>
            <w:tcW w:w="552" w:type="pct"/>
            <w:shd w:val="clear" w:color="auto" w:fill="auto"/>
            <w:vAlign w:val="center"/>
          </w:tcPr>
          <w:p w14:paraId="3ABE843B" w14:textId="77777777" w:rsidR="00C2331A" w:rsidRPr="00903F9D" w:rsidRDefault="00C2331A" w:rsidP="004B4F38">
            <w:pPr>
              <w:pStyle w:val="TableFigureHeading"/>
              <w:jc w:val="center"/>
            </w:pPr>
            <w:r w:rsidRPr="00903F9D">
              <w:t>Lumbar spine</w:t>
            </w:r>
          </w:p>
        </w:tc>
        <w:tc>
          <w:tcPr>
            <w:tcW w:w="688" w:type="pct"/>
            <w:shd w:val="clear" w:color="auto" w:fill="auto"/>
            <w:vAlign w:val="center"/>
          </w:tcPr>
          <w:p w14:paraId="39E3AECA" w14:textId="77777777" w:rsidR="00C2331A" w:rsidRPr="00903F9D" w:rsidRDefault="00C2331A" w:rsidP="004B4F38">
            <w:pPr>
              <w:pStyle w:val="TableFigureHeading"/>
              <w:jc w:val="center"/>
            </w:pPr>
            <w:r w:rsidRPr="00903F9D">
              <w:t>Femoral neck</w:t>
            </w:r>
          </w:p>
        </w:tc>
        <w:tc>
          <w:tcPr>
            <w:tcW w:w="742" w:type="pct"/>
            <w:shd w:val="clear" w:color="auto" w:fill="auto"/>
            <w:vAlign w:val="center"/>
          </w:tcPr>
          <w:p w14:paraId="6EB54FAD" w14:textId="77777777" w:rsidR="00C2331A" w:rsidRPr="00903F9D" w:rsidRDefault="00C2331A" w:rsidP="004B4F38">
            <w:pPr>
              <w:pStyle w:val="TableFigureHeading"/>
              <w:jc w:val="center"/>
            </w:pPr>
            <w:r w:rsidRPr="00903F9D">
              <w:t>Lumbar spine</w:t>
            </w:r>
          </w:p>
        </w:tc>
        <w:tc>
          <w:tcPr>
            <w:tcW w:w="714" w:type="pct"/>
            <w:shd w:val="clear" w:color="auto" w:fill="auto"/>
            <w:vAlign w:val="center"/>
          </w:tcPr>
          <w:p w14:paraId="3CBE86F3" w14:textId="77777777" w:rsidR="00C2331A" w:rsidRPr="00903F9D" w:rsidRDefault="00C2331A" w:rsidP="004B4F38">
            <w:pPr>
              <w:pStyle w:val="TableFigureHeading"/>
              <w:jc w:val="center"/>
            </w:pPr>
            <w:r w:rsidRPr="00903F9D">
              <w:t>Femoral neck</w:t>
            </w:r>
          </w:p>
        </w:tc>
      </w:tr>
      <w:tr w:rsidR="001D779A" w:rsidRPr="00903F9D" w14:paraId="183896D8" w14:textId="77777777" w:rsidTr="000D492D">
        <w:trPr>
          <w:trHeight w:val="300"/>
        </w:trPr>
        <w:tc>
          <w:tcPr>
            <w:tcW w:w="2304" w:type="pct"/>
            <w:shd w:val="clear" w:color="auto" w:fill="auto"/>
            <w:vAlign w:val="center"/>
          </w:tcPr>
          <w:p w14:paraId="20383EB6" w14:textId="77777777" w:rsidR="00C2331A" w:rsidRPr="00903F9D" w:rsidRDefault="00C2331A" w:rsidP="004B4F38">
            <w:pPr>
              <w:pStyle w:val="TableText"/>
            </w:pPr>
            <w:r w:rsidRPr="00903F9D">
              <w:t>Total scans, N</w:t>
            </w:r>
          </w:p>
        </w:tc>
        <w:tc>
          <w:tcPr>
            <w:tcW w:w="552" w:type="pct"/>
            <w:shd w:val="clear" w:color="auto" w:fill="auto"/>
            <w:vAlign w:val="center"/>
          </w:tcPr>
          <w:p w14:paraId="28CA9014" w14:textId="77777777" w:rsidR="00C2331A" w:rsidRPr="00903F9D" w:rsidRDefault="00C2331A" w:rsidP="004B4F38">
            <w:pPr>
              <w:pStyle w:val="TableText"/>
              <w:jc w:val="center"/>
            </w:pPr>
            <w:r w:rsidRPr="00903F9D">
              <w:t>333</w:t>
            </w:r>
          </w:p>
        </w:tc>
        <w:tc>
          <w:tcPr>
            <w:tcW w:w="688" w:type="pct"/>
            <w:shd w:val="clear" w:color="auto" w:fill="auto"/>
            <w:vAlign w:val="center"/>
          </w:tcPr>
          <w:p w14:paraId="7E061F6F" w14:textId="77777777" w:rsidR="00C2331A" w:rsidRPr="00903F9D" w:rsidRDefault="00C2331A" w:rsidP="004B4F38">
            <w:pPr>
              <w:pStyle w:val="TableText"/>
              <w:jc w:val="center"/>
            </w:pPr>
            <w:r w:rsidRPr="00903F9D">
              <w:t>331</w:t>
            </w:r>
          </w:p>
        </w:tc>
        <w:tc>
          <w:tcPr>
            <w:tcW w:w="742" w:type="pct"/>
            <w:shd w:val="clear" w:color="auto" w:fill="auto"/>
            <w:vAlign w:val="center"/>
          </w:tcPr>
          <w:p w14:paraId="4BF0F32A" w14:textId="77777777" w:rsidR="00C2331A" w:rsidRPr="00903F9D" w:rsidRDefault="00C2331A" w:rsidP="004B4F38">
            <w:pPr>
              <w:pStyle w:val="TableText"/>
              <w:jc w:val="center"/>
            </w:pPr>
            <w:r w:rsidRPr="00903F9D">
              <w:t>115</w:t>
            </w:r>
          </w:p>
        </w:tc>
        <w:tc>
          <w:tcPr>
            <w:tcW w:w="714" w:type="pct"/>
            <w:shd w:val="clear" w:color="auto" w:fill="auto"/>
            <w:vAlign w:val="center"/>
          </w:tcPr>
          <w:p w14:paraId="75AD6640" w14:textId="77777777" w:rsidR="00C2331A" w:rsidRPr="00903F9D" w:rsidRDefault="00C2331A" w:rsidP="004B4F38">
            <w:pPr>
              <w:pStyle w:val="TableText"/>
              <w:jc w:val="center"/>
            </w:pPr>
            <w:r w:rsidRPr="00903F9D">
              <w:t>111</w:t>
            </w:r>
          </w:p>
        </w:tc>
      </w:tr>
      <w:tr w:rsidR="001D779A" w:rsidRPr="00903F9D" w14:paraId="343F1288" w14:textId="77777777" w:rsidTr="000D492D">
        <w:trPr>
          <w:trHeight w:val="288"/>
        </w:trPr>
        <w:tc>
          <w:tcPr>
            <w:tcW w:w="2304" w:type="pct"/>
            <w:shd w:val="clear" w:color="auto" w:fill="auto"/>
            <w:vAlign w:val="center"/>
          </w:tcPr>
          <w:p w14:paraId="4DFF9E08" w14:textId="77777777" w:rsidR="00C2331A" w:rsidRPr="00903F9D" w:rsidRDefault="00C2331A" w:rsidP="004B4F38">
            <w:pPr>
              <w:pStyle w:val="TableText"/>
            </w:pPr>
            <w:r w:rsidRPr="00903F9D">
              <w:t>Retained cases, N</w:t>
            </w:r>
          </w:p>
        </w:tc>
        <w:tc>
          <w:tcPr>
            <w:tcW w:w="552" w:type="pct"/>
            <w:shd w:val="clear" w:color="auto" w:fill="auto"/>
            <w:vAlign w:val="center"/>
          </w:tcPr>
          <w:p w14:paraId="625E7045" w14:textId="77777777" w:rsidR="00C2331A" w:rsidRPr="00903F9D" w:rsidRDefault="00C2331A" w:rsidP="004B4F38">
            <w:pPr>
              <w:pStyle w:val="TableText"/>
              <w:jc w:val="center"/>
            </w:pPr>
            <w:r w:rsidRPr="00903F9D">
              <w:t>227</w:t>
            </w:r>
          </w:p>
        </w:tc>
        <w:tc>
          <w:tcPr>
            <w:tcW w:w="688" w:type="pct"/>
            <w:shd w:val="clear" w:color="auto" w:fill="auto"/>
            <w:vAlign w:val="center"/>
          </w:tcPr>
          <w:p w14:paraId="5C05FF53" w14:textId="77777777" w:rsidR="00C2331A" w:rsidRPr="00903F9D" w:rsidRDefault="00C2331A" w:rsidP="004B4F38">
            <w:pPr>
              <w:pStyle w:val="TableText"/>
              <w:jc w:val="center"/>
            </w:pPr>
            <w:r w:rsidRPr="00903F9D">
              <w:t>238</w:t>
            </w:r>
          </w:p>
        </w:tc>
        <w:tc>
          <w:tcPr>
            <w:tcW w:w="742" w:type="pct"/>
            <w:shd w:val="clear" w:color="auto" w:fill="auto"/>
            <w:vAlign w:val="center"/>
          </w:tcPr>
          <w:p w14:paraId="6D210172" w14:textId="77777777" w:rsidR="00C2331A" w:rsidRPr="00903F9D" w:rsidRDefault="00C2331A" w:rsidP="004B4F38">
            <w:pPr>
              <w:pStyle w:val="TableText"/>
              <w:jc w:val="center"/>
            </w:pPr>
            <w:r w:rsidRPr="00903F9D">
              <w:t>66</w:t>
            </w:r>
          </w:p>
        </w:tc>
        <w:tc>
          <w:tcPr>
            <w:tcW w:w="714" w:type="pct"/>
            <w:shd w:val="clear" w:color="auto" w:fill="auto"/>
            <w:vAlign w:val="center"/>
          </w:tcPr>
          <w:p w14:paraId="26415AA4" w14:textId="77777777" w:rsidR="00C2331A" w:rsidRPr="00903F9D" w:rsidRDefault="00C2331A" w:rsidP="004B4F38">
            <w:pPr>
              <w:pStyle w:val="TableText"/>
              <w:jc w:val="center"/>
            </w:pPr>
            <w:r w:rsidRPr="00903F9D">
              <w:t>58</w:t>
            </w:r>
          </w:p>
        </w:tc>
      </w:tr>
      <w:tr w:rsidR="001D779A" w:rsidRPr="00903F9D" w14:paraId="662A150B" w14:textId="77777777" w:rsidTr="00694AFE">
        <w:trPr>
          <w:trHeight w:val="300"/>
        </w:trPr>
        <w:tc>
          <w:tcPr>
            <w:tcW w:w="2304" w:type="pct"/>
            <w:shd w:val="clear" w:color="auto" w:fill="auto"/>
            <w:vAlign w:val="center"/>
          </w:tcPr>
          <w:p w14:paraId="72B6B3C9" w14:textId="77777777" w:rsidR="009A512C" w:rsidRPr="00903F9D" w:rsidRDefault="009A512C" w:rsidP="004B4F38">
            <w:pPr>
              <w:pStyle w:val="TableText"/>
            </w:pPr>
            <w:r w:rsidRPr="00903F9D">
              <w:t>Female, n (%)</w:t>
            </w:r>
          </w:p>
        </w:tc>
        <w:tc>
          <w:tcPr>
            <w:tcW w:w="1240" w:type="pct"/>
            <w:gridSpan w:val="2"/>
            <w:shd w:val="clear" w:color="auto" w:fill="auto"/>
            <w:vAlign w:val="center"/>
          </w:tcPr>
          <w:p w14:paraId="661C11B1" w14:textId="7F5EB8CA" w:rsidR="009A512C" w:rsidRPr="00903F9D" w:rsidRDefault="009A512C" w:rsidP="004B4F38">
            <w:pPr>
              <w:pStyle w:val="TableText"/>
              <w:jc w:val="center"/>
            </w:pPr>
            <w:r w:rsidRPr="00903F9D">
              <w:t>343 (100%)</w:t>
            </w:r>
          </w:p>
        </w:tc>
        <w:tc>
          <w:tcPr>
            <w:tcW w:w="742" w:type="pct"/>
            <w:shd w:val="clear" w:color="auto" w:fill="auto"/>
            <w:vAlign w:val="center"/>
          </w:tcPr>
          <w:p w14:paraId="5DDF8DE3" w14:textId="77777777" w:rsidR="009A512C" w:rsidRPr="00903F9D" w:rsidRDefault="009A512C" w:rsidP="004B4F38">
            <w:pPr>
              <w:pStyle w:val="TableText"/>
              <w:jc w:val="center"/>
            </w:pPr>
            <w:r w:rsidRPr="00903F9D">
              <w:t>53 (91.4%)</w:t>
            </w:r>
          </w:p>
        </w:tc>
        <w:tc>
          <w:tcPr>
            <w:tcW w:w="714" w:type="pct"/>
            <w:shd w:val="clear" w:color="auto" w:fill="auto"/>
            <w:vAlign w:val="center"/>
          </w:tcPr>
          <w:p w14:paraId="64532E74" w14:textId="77777777" w:rsidR="009A512C" w:rsidRPr="00903F9D" w:rsidRDefault="009A512C" w:rsidP="004B4F38">
            <w:pPr>
              <w:pStyle w:val="TableText"/>
              <w:jc w:val="center"/>
            </w:pPr>
            <w:r w:rsidRPr="00903F9D">
              <w:t>53 (80.3%)</w:t>
            </w:r>
          </w:p>
        </w:tc>
      </w:tr>
      <w:tr w:rsidR="001D779A" w:rsidRPr="00903F9D" w14:paraId="4BDB722D" w14:textId="77777777" w:rsidTr="00694AFE">
        <w:trPr>
          <w:trHeight w:val="288"/>
        </w:trPr>
        <w:tc>
          <w:tcPr>
            <w:tcW w:w="2304" w:type="pct"/>
            <w:shd w:val="clear" w:color="auto" w:fill="auto"/>
            <w:vAlign w:val="center"/>
          </w:tcPr>
          <w:p w14:paraId="77763F54" w14:textId="77777777" w:rsidR="009A512C" w:rsidRPr="00903F9D" w:rsidRDefault="009A512C" w:rsidP="004B4F38">
            <w:pPr>
              <w:pStyle w:val="TableText"/>
            </w:pPr>
            <w:r w:rsidRPr="00903F9D">
              <w:t>Caucasian, n (%)</w:t>
            </w:r>
          </w:p>
        </w:tc>
        <w:tc>
          <w:tcPr>
            <w:tcW w:w="1240" w:type="pct"/>
            <w:gridSpan w:val="2"/>
            <w:shd w:val="clear" w:color="auto" w:fill="auto"/>
            <w:vAlign w:val="center"/>
          </w:tcPr>
          <w:p w14:paraId="0E686EC8" w14:textId="77777777" w:rsidR="009A512C" w:rsidRPr="00903F9D" w:rsidRDefault="009A512C" w:rsidP="004B4F38">
            <w:pPr>
              <w:pStyle w:val="TableText"/>
              <w:jc w:val="center"/>
            </w:pPr>
            <w:r w:rsidRPr="00903F9D">
              <w:t>224 (69.6%)</w:t>
            </w:r>
          </w:p>
        </w:tc>
        <w:tc>
          <w:tcPr>
            <w:tcW w:w="1456" w:type="pct"/>
            <w:gridSpan w:val="2"/>
            <w:shd w:val="clear" w:color="auto" w:fill="auto"/>
            <w:vAlign w:val="center"/>
          </w:tcPr>
          <w:p w14:paraId="576EAC79" w14:textId="6FE42C91" w:rsidR="009A512C" w:rsidRPr="00903F9D" w:rsidRDefault="009A512C" w:rsidP="004B4F38">
            <w:pPr>
              <w:pStyle w:val="TableText"/>
              <w:jc w:val="center"/>
            </w:pPr>
            <w:r w:rsidRPr="00903F9D">
              <w:t>116 (100%)</w:t>
            </w:r>
          </w:p>
        </w:tc>
      </w:tr>
      <w:tr w:rsidR="001D779A" w:rsidRPr="00903F9D" w14:paraId="11C5997A" w14:textId="77777777" w:rsidTr="000D492D">
        <w:trPr>
          <w:trHeight w:val="300"/>
        </w:trPr>
        <w:tc>
          <w:tcPr>
            <w:tcW w:w="2304" w:type="pct"/>
            <w:shd w:val="clear" w:color="auto" w:fill="auto"/>
            <w:vAlign w:val="center"/>
          </w:tcPr>
          <w:p w14:paraId="3CB8087B" w14:textId="77777777" w:rsidR="00C2331A" w:rsidRPr="00903F9D" w:rsidRDefault="00C2331A" w:rsidP="004B4F38">
            <w:pPr>
              <w:pStyle w:val="TableText"/>
              <w:rPr>
                <w:b/>
                <w:bCs/>
              </w:rPr>
            </w:pPr>
            <w:r w:rsidRPr="00903F9D">
              <w:rPr>
                <w:b/>
                <w:bCs/>
              </w:rPr>
              <w:t>Correlation/agreement (BMD analysis)</w:t>
            </w:r>
          </w:p>
        </w:tc>
        <w:tc>
          <w:tcPr>
            <w:tcW w:w="552" w:type="pct"/>
            <w:shd w:val="clear" w:color="auto" w:fill="auto"/>
            <w:vAlign w:val="center"/>
          </w:tcPr>
          <w:p w14:paraId="7B2A323E" w14:textId="77777777" w:rsidR="00C2331A" w:rsidRPr="00903F9D" w:rsidRDefault="00C2331A" w:rsidP="004B4F38">
            <w:pPr>
              <w:pStyle w:val="TableText"/>
              <w:jc w:val="center"/>
            </w:pPr>
          </w:p>
        </w:tc>
        <w:tc>
          <w:tcPr>
            <w:tcW w:w="688" w:type="pct"/>
            <w:shd w:val="clear" w:color="auto" w:fill="auto"/>
            <w:vAlign w:val="center"/>
          </w:tcPr>
          <w:p w14:paraId="1CD67361" w14:textId="77777777" w:rsidR="00C2331A" w:rsidRPr="00903F9D" w:rsidRDefault="00C2331A" w:rsidP="004B4F38">
            <w:pPr>
              <w:pStyle w:val="TableText"/>
              <w:jc w:val="center"/>
            </w:pPr>
          </w:p>
        </w:tc>
        <w:tc>
          <w:tcPr>
            <w:tcW w:w="742" w:type="pct"/>
            <w:shd w:val="clear" w:color="auto" w:fill="auto"/>
            <w:vAlign w:val="center"/>
          </w:tcPr>
          <w:p w14:paraId="6A1517A5" w14:textId="77777777" w:rsidR="00C2331A" w:rsidRPr="00903F9D" w:rsidRDefault="00C2331A" w:rsidP="004B4F38">
            <w:pPr>
              <w:pStyle w:val="TableText"/>
              <w:jc w:val="center"/>
            </w:pPr>
          </w:p>
        </w:tc>
        <w:tc>
          <w:tcPr>
            <w:tcW w:w="714" w:type="pct"/>
            <w:shd w:val="clear" w:color="auto" w:fill="auto"/>
            <w:vAlign w:val="center"/>
          </w:tcPr>
          <w:p w14:paraId="4638F2C0" w14:textId="77777777" w:rsidR="00C2331A" w:rsidRPr="00903F9D" w:rsidRDefault="00C2331A" w:rsidP="004B4F38">
            <w:pPr>
              <w:pStyle w:val="TableText"/>
              <w:jc w:val="center"/>
            </w:pPr>
          </w:p>
        </w:tc>
      </w:tr>
      <w:tr w:rsidR="001D779A" w:rsidRPr="00903F9D" w14:paraId="248A48BD" w14:textId="77777777" w:rsidTr="000D492D">
        <w:trPr>
          <w:trHeight w:val="288"/>
        </w:trPr>
        <w:tc>
          <w:tcPr>
            <w:tcW w:w="2304" w:type="pct"/>
            <w:shd w:val="clear" w:color="auto" w:fill="auto"/>
            <w:vAlign w:val="center"/>
          </w:tcPr>
          <w:p w14:paraId="649D9C1C" w14:textId="77777777" w:rsidR="00C2331A" w:rsidRPr="00903F9D" w:rsidRDefault="00C2331A" w:rsidP="004B4F38">
            <w:pPr>
              <w:pStyle w:val="TableText"/>
            </w:pPr>
            <w:r w:rsidRPr="00903F9D">
              <w:t>Regression line slope</w:t>
            </w:r>
          </w:p>
        </w:tc>
        <w:tc>
          <w:tcPr>
            <w:tcW w:w="552" w:type="pct"/>
            <w:shd w:val="clear" w:color="auto" w:fill="auto"/>
            <w:vAlign w:val="center"/>
          </w:tcPr>
          <w:p w14:paraId="0D7AC042" w14:textId="77777777" w:rsidR="00C2331A" w:rsidRPr="00903F9D" w:rsidRDefault="00C2331A" w:rsidP="004B4F38">
            <w:pPr>
              <w:pStyle w:val="TableText"/>
              <w:jc w:val="center"/>
            </w:pPr>
            <w:r w:rsidRPr="00903F9D">
              <w:t>-</w:t>
            </w:r>
          </w:p>
        </w:tc>
        <w:tc>
          <w:tcPr>
            <w:tcW w:w="688" w:type="pct"/>
            <w:shd w:val="clear" w:color="auto" w:fill="auto"/>
            <w:vAlign w:val="center"/>
          </w:tcPr>
          <w:p w14:paraId="392E4E89" w14:textId="77777777" w:rsidR="00C2331A" w:rsidRPr="00903F9D" w:rsidRDefault="00C2331A" w:rsidP="004B4F38">
            <w:pPr>
              <w:pStyle w:val="TableText"/>
              <w:jc w:val="center"/>
            </w:pPr>
            <w:r w:rsidRPr="00903F9D">
              <w:t>-</w:t>
            </w:r>
          </w:p>
        </w:tc>
        <w:tc>
          <w:tcPr>
            <w:tcW w:w="742" w:type="pct"/>
            <w:shd w:val="clear" w:color="auto" w:fill="auto"/>
            <w:vAlign w:val="center"/>
          </w:tcPr>
          <w:p w14:paraId="4087BE34" w14:textId="77777777" w:rsidR="00C2331A" w:rsidRPr="00903F9D" w:rsidRDefault="00C2331A" w:rsidP="004B4F38">
            <w:pPr>
              <w:pStyle w:val="TableText"/>
              <w:jc w:val="center"/>
            </w:pPr>
            <w:r w:rsidRPr="00903F9D">
              <w:t>-</w:t>
            </w:r>
          </w:p>
        </w:tc>
        <w:tc>
          <w:tcPr>
            <w:tcW w:w="714" w:type="pct"/>
            <w:shd w:val="clear" w:color="auto" w:fill="auto"/>
            <w:vAlign w:val="center"/>
          </w:tcPr>
          <w:p w14:paraId="3298A1F7" w14:textId="77777777" w:rsidR="00C2331A" w:rsidRPr="00903F9D" w:rsidRDefault="00C2331A" w:rsidP="004B4F38">
            <w:pPr>
              <w:pStyle w:val="TableText"/>
              <w:jc w:val="center"/>
            </w:pPr>
            <w:r w:rsidRPr="00903F9D">
              <w:t>-</w:t>
            </w:r>
          </w:p>
        </w:tc>
      </w:tr>
      <w:tr w:rsidR="001D779A" w:rsidRPr="00903F9D" w14:paraId="1F7BDBBF" w14:textId="77777777" w:rsidTr="000D492D">
        <w:trPr>
          <w:trHeight w:val="300"/>
        </w:trPr>
        <w:tc>
          <w:tcPr>
            <w:tcW w:w="2304" w:type="pct"/>
            <w:shd w:val="clear" w:color="auto" w:fill="auto"/>
            <w:vAlign w:val="center"/>
          </w:tcPr>
          <w:p w14:paraId="6815437D" w14:textId="77777777" w:rsidR="00C2331A" w:rsidRPr="00903F9D" w:rsidRDefault="00C2331A" w:rsidP="004B4F38">
            <w:pPr>
              <w:pStyle w:val="TableText"/>
            </w:pPr>
            <w:r w:rsidRPr="00903F9D">
              <w:t>Pearson correlation coefficient (r)</w:t>
            </w:r>
          </w:p>
        </w:tc>
        <w:tc>
          <w:tcPr>
            <w:tcW w:w="552" w:type="pct"/>
            <w:shd w:val="clear" w:color="auto" w:fill="auto"/>
            <w:vAlign w:val="center"/>
          </w:tcPr>
          <w:p w14:paraId="12CB0188" w14:textId="77777777" w:rsidR="00C2331A" w:rsidRPr="00903F9D" w:rsidRDefault="00C2331A" w:rsidP="004B4F38">
            <w:pPr>
              <w:pStyle w:val="TableText"/>
              <w:jc w:val="center"/>
            </w:pPr>
            <w:r w:rsidRPr="00903F9D">
              <w:t>0.75*</w:t>
            </w:r>
          </w:p>
        </w:tc>
        <w:tc>
          <w:tcPr>
            <w:tcW w:w="688" w:type="pct"/>
            <w:shd w:val="clear" w:color="auto" w:fill="auto"/>
            <w:vAlign w:val="center"/>
          </w:tcPr>
          <w:p w14:paraId="11068032" w14:textId="77777777" w:rsidR="00C2331A" w:rsidRPr="00903F9D" w:rsidRDefault="00C2331A" w:rsidP="004B4F38">
            <w:pPr>
              <w:pStyle w:val="TableText"/>
              <w:jc w:val="center"/>
            </w:pPr>
            <w:r w:rsidRPr="00903F9D">
              <w:t>0.78*</w:t>
            </w:r>
          </w:p>
        </w:tc>
        <w:tc>
          <w:tcPr>
            <w:tcW w:w="742" w:type="pct"/>
            <w:shd w:val="clear" w:color="auto" w:fill="auto"/>
            <w:vAlign w:val="center"/>
          </w:tcPr>
          <w:p w14:paraId="4170C413" w14:textId="77777777" w:rsidR="00C2331A" w:rsidRPr="00903F9D" w:rsidRDefault="00C2331A" w:rsidP="004B4F38">
            <w:pPr>
              <w:pStyle w:val="TableText"/>
              <w:jc w:val="center"/>
            </w:pPr>
            <w:r w:rsidRPr="00903F9D">
              <w:t>-</w:t>
            </w:r>
          </w:p>
        </w:tc>
        <w:tc>
          <w:tcPr>
            <w:tcW w:w="714" w:type="pct"/>
            <w:shd w:val="clear" w:color="auto" w:fill="auto"/>
            <w:vAlign w:val="center"/>
          </w:tcPr>
          <w:p w14:paraId="1E1ED270" w14:textId="77777777" w:rsidR="00C2331A" w:rsidRPr="00903F9D" w:rsidRDefault="00C2331A" w:rsidP="004B4F38">
            <w:pPr>
              <w:pStyle w:val="TableText"/>
              <w:jc w:val="center"/>
            </w:pPr>
            <w:r w:rsidRPr="00903F9D">
              <w:t>-</w:t>
            </w:r>
          </w:p>
        </w:tc>
      </w:tr>
      <w:tr w:rsidR="001D779A" w:rsidRPr="00903F9D" w14:paraId="3661FF09" w14:textId="77777777" w:rsidTr="000D492D">
        <w:trPr>
          <w:trHeight w:val="288"/>
        </w:trPr>
        <w:tc>
          <w:tcPr>
            <w:tcW w:w="2304" w:type="pct"/>
            <w:shd w:val="clear" w:color="auto" w:fill="auto"/>
            <w:vAlign w:val="center"/>
          </w:tcPr>
          <w:p w14:paraId="6DA9E5AE" w14:textId="77777777" w:rsidR="00C2331A" w:rsidRPr="00903F9D" w:rsidRDefault="00C2331A" w:rsidP="004B4F38">
            <w:pPr>
              <w:pStyle w:val="TableText"/>
            </w:pPr>
            <w:r w:rsidRPr="00903F9D">
              <w:t>Spearman’s coefficient</w:t>
            </w:r>
          </w:p>
        </w:tc>
        <w:tc>
          <w:tcPr>
            <w:tcW w:w="552" w:type="pct"/>
            <w:shd w:val="clear" w:color="auto" w:fill="auto"/>
            <w:vAlign w:val="center"/>
          </w:tcPr>
          <w:p w14:paraId="29DD465D" w14:textId="77777777" w:rsidR="00C2331A" w:rsidRPr="00903F9D" w:rsidRDefault="00C2331A" w:rsidP="004B4F38">
            <w:pPr>
              <w:pStyle w:val="TableText"/>
              <w:jc w:val="center"/>
            </w:pPr>
            <w:r w:rsidRPr="00903F9D">
              <w:t>-</w:t>
            </w:r>
          </w:p>
        </w:tc>
        <w:tc>
          <w:tcPr>
            <w:tcW w:w="688" w:type="pct"/>
            <w:shd w:val="clear" w:color="auto" w:fill="auto"/>
            <w:vAlign w:val="center"/>
          </w:tcPr>
          <w:p w14:paraId="28E124E5" w14:textId="77777777" w:rsidR="00C2331A" w:rsidRPr="00903F9D" w:rsidRDefault="00C2331A" w:rsidP="004B4F38">
            <w:pPr>
              <w:pStyle w:val="TableText"/>
              <w:jc w:val="center"/>
            </w:pPr>
            <w:r w:rsidRPr="00903F9D">
              <w:t>-</w:t>
            </w:r>
          </w:p>
        </w:tc>
        <w:tc>
          <w:tcPr>
            <w:tcW w:w="742" w:type="pct"/>
            <w:shd w:val="clear" w:color="auto" w:fill="auto"/>
            <w:vAlign w:val="center"/>
          </w:tcPr>
          <w:p w14:paraId="60512720" w14:textId="77777777" w:rsidR="00C2331A" w:rsidRPr="00903F9D" w:rsidRDefault="00C2331A" w:rsidP="004B4F38">
            <w:pPr>
              <w:pStyle w:val="TableText"/>
              <w:jc w:val="center"/>
            </w:pPr>
            <w:r w:rsidRPr="00903F9D">
              <w:t>0.8</w:t>
            </w:r>
            <w:r w:rsidR="00CB6A6A" w:rsidRPr="00903F9D">
              <w:t>39</w:t>
            </w:r>
            <w:r w:rsidRPr="00903F9D">
              <w:t>*</w:t>
            </w:r>
          </w:p>
        </w:tc>
        <w:tc>
          <w:tcPr>
            <w:tcW w:w="714" w:type="pct"/>
            <w:shd w:val="clear" w:color="auto" w:fill="auto"/>
            <w:vAlign w:val="center"/>
          </w:tcPr>
          <w:p w14:paraId="2456F0D6" w14:textId="77777777" w:rsidR="00C2331A" w:rsidRPr="00903F9D" w:rsidRDefault="00C2331A" w:rsidP="004B4F38">
            <w:pPr>
              <w:pStyle w:val="TableText"/>
              <w:jc w:val="center"/>
            </w:pPr>
            <w:r w:rsidRPr="00903F9D">
              <w:t>0.867*</w:t>
            </w:r>
          </w:p>
        </w:tc>
      </w:tr>
      <w:tr w:rsidR="001D779A" w:rsidRPr="00903F9D" w14:paraId="1457CEF4" w14:textId="77777777" w:rsidTr="000D492D">
        <w:trPr>
          <w:trHeight w:val="300"/>
        </w:trPr>
        <w:tc>
          <w:tcPr>
            <w:tcW w:w="2304" w:type="pct"/>
            <w:shd w:val="clear" w:color="auto" w:fill="auto"/>
            <w:vAlign w:val="center"/>
          </w:tcPr>
          <w:p w14:paraId="6881C612" w14:textId="77777777" w:rsidR="00C2331A" w:rsidRPr="00903F9D" w:rsidRDefault="00C2331A" w:rsidP="004B4F38">
            <w:pPr>
              <w:pStyle w:val="TableText"/>
            </w:pPr>
            <w:r w:rsidRPr="00903F9D">
              <w:t>Coefficient of determination (r</w:t>
            </w:r>
            <w:r w:rsidRPr="00903F9D">
              <w:rPr>
                <w:vertAlign w:val="superscript"/>
              </w:rPr>
              <w:t>2</w:t>
            </w:r>
            <w:r w:rsidRPr="00903F9D">
              <w:t>)</w:t>
            </w:r>
          </w:p>
        </w:tc>
        <w:tc>
          <w:tcPr>
            <w:tcW w:w="552" w:type="pct"/>
            <w:shd w:val="clear" w:color="auto" w:fill="auto"/>
            <w:vAlign w:val="center"/>
          </w:tcPr>
          <w:p w14:paraId="55989D85" w14:textId="77777777" w:rsidR="00C2331A" w:rsidRPr="00903F9D" w:rsidRDefault="00C2331A" w:rsidP="004B4F38">
            <w:pPr>
              <w:pStyle w:val="TableText"/>
              <w:jc w:val="center"/>
            </w:pPr>
            <w:r w:rsidRPr="00903F9D">
              <w:t>-</w:t>
            </w:r>
          </w:p>
        </w:tc>
        <w:tc>
          <w:tcPr>
            <w:tcW w:w="688" w:type="pct"/>
            <w:shd w:val="clear" w:color="auto" w:fill="auto"/>
            <w:vAlign w:val="center"/>
          </w:tcPr>
          <w:p w14:paraId="5ADFD041" w14:textId="77777777" w:rsidR="00C2331A" w:rsidRPr="00903F9D" w:rsidRDefault="00C2331A" w:rsidP="004B4F38">
            <w:pPr>
              <w:pStyle w:val="TableText"/>
              <w:jc w:val="center"/>
            </w:pPr>
            <w:r w:rsidRPr="00903F9D">
              <w:t>-</w:t>
            </w:r>
          </w:p>
        </w:tc>
        <w:tc>
          <w:tcPr>
            <w:tcW w:w="742" w:type="pct"/>
            <w:shd w:val="clear" w:color="auto" w:fill="auto"/>
            <w:vAlign w:val="center"/>
          </w:tcPr>
          <w:p w14:paraId="57453EC1" w14:textId="77777777" w:rsidR="00C2331A" w:rsidRPr="00903F9D" w:rsidRDefault="00C2331A" w:rsidP="004B4F38">
            <w:pPr>
              <w:pStyle w:val="TableText"/>
              <w:jc w:val="center"/>
            </w:pPr>
            <w:r w:rsidRPr="00903F9D">
              <w:t>-</w:t>
            </w:r>
          </w:p>
        </w:tc>
        <w:tc>
          <w:tcPr>
            <w:tcW w:w="714" w:type="pct"/>
            <w:shd w:val="clear" w:color="auto" w:fill="auto"/>
            <w:vAlign w:val="center"/>
          </w:tcPr>
          <w:p w14:paraId="16855698" w14:textId="77777777" w:rsidR="00C2331A" w:rsidRPr="00903F9D" w:rsidRDefault="00C2331A" w:rsidP="004B4F38">
            <w:pPr>
              <w:pStyle w:val="TableText"/>
              <w:jc w:val="center"/>
            </w:pPr>
            <w:r w:rsidRPr="00903F9D">
              <w:t>-</w:t>
            </w:r>
          </w:p>
        </w:tc>
      </w:tr>
      <w:tr w:rsidR="001D779A" w:rsidRPr="00903F9D" w14:paraId="06019F82" w14:textId="77777777" w:rsidTr="000D492D">
        <w:trPr>
          <w:trHeight w:val="288"/>
        </w:trPr>
        <w:tc>
          <w:tcPr>
            <w:tcW w:w="2304" w:type="pct"/>
            <w:shd w:val="clear" w:color="auto" w:fill="auto"/>
            <w:vAlign w:val="center"/>
          </w:tcPr>
          <w:p w14:paraId="07AB0FEE" w14:textId="77777777" w:rsidR="00C2331A" w:rsidRPr="00903F9D" w:rsidRDefault="00C2331A" w:rsidP="004B4F38">
            <w:pPr>
              <w:pStyle w:val="TableText"/>
            </w:pPr>
            <w:r w:rsidRPr="00903F9D">
              <w:t>Standard error of estimate (SEE), g/cm</w:t>
            </w:r>
            <w:r w:rsidRPr="00903F9D">
              <w:rPr>
                <w:vertAlign w:val="superscript"/>
              </w:rPr>
              <w:t>2</w:t>
            </w:r>
          </w:p>
        </w:tc>
        <w:tc>
          <w:tcPr>
            <w:tcW w:w="552" w:type="pct"/>
            <w:shd w:val="clear" w:color="auto" w:fill="auto"/>
            <w:vAlign w:val="center"/>
          </w:tcPr>
          <w:p w14:paraId="488ED429" w14:textId="77777777" w:rsidR="00C2331A" w:rsidRPr="00903F9D" w:rsidRDefault="00C2331A" w:rsidP="004B4F38">
            <w:pPr>
              <w:pStyle w:val="TableText"/>
              <w:jc w:val="center"/>
            </w:pPr>
            <w:r w:rsidRPr="00903F9D">
              <w:t>-</w:t>
            </w:r>
          </w:p>
        </w:tc>
        <w:tc>
          <w:tcPr>
            <w:tcW w:w="688" w:type="pct"/>
            <w:shd w:val="clear" w:color="auto" w:fill="auto"/>
            <w:vAlign w:val="center"/>
          </w:tcPr>
          <w:p w14:paraId="2A6DF34D" w14:textId="77777777" w:rsidR="00C2331A" w:rsidRPr="00903F9D" w:rsidRDefault="00C2331A" w:rsidP="004B4F38">
            <w:pPr>
              <w:pStyle w:val="TableText"/>
              <w:jc w:val="center"/>
            </w:pPr>
            <w:r w:rsidRPr="00903F9D">
              <w:t>-</w:t>
            </w:r>
          </w:p>
        </w:tc>
        <w:tc>
          <w:tcPr>
            <w:tcW w:w="742" w:type="pct"/>
            <w:shd w:val="clear" w:color="auto" w:fill="auto"/>
            <w:vAlign w:val="center"/>
          </w:tcPr>
          <w:p w14:paraId="571B929C" w14:textId="77777777" w:rsidR="00C2331A" w:rsidRPr="00903F9D" w:rsidRDefault="00C2331A" w:rsidP="004B4F38">
            <w:pPr>
              <w:pStyle w:val="TableText"/>
              <w:jc w:val="center"/>
            </w:pPr>
            <w:r w:rsidRPr="00903F9D">
              <w:t>-</w:t>
            </w:r>
          </w:p>
        </w:tc>
        <w:tc>
          <w:tcPr>
            <w:tcW w:w="714" w:type="pct"/>
            <w:shd w:val="clear" w:color="auto" w:fill="auto"/>
            <w:vAlign w:val="center"/>
          </w:tcPr>
          <w:p w14:paraId="57D44901" w14:textId="77777777" w:rsidR="00C2331A" w:rsidRPr="00903F9D" w:rsidRDefault="00C2331A" w:rsidP="004B4F38">
            <w:pPr>
              <w:pStyle w:val="TableText"/>
              <w:jc w:val="center"/>
            </w:pPr>
            <w:r w:rsidRPr="00903F9D">
              <w:t>-</w:t>
            </w:r>
          </w:p>
        </w:tc>
      </w:tr>
      <w:tr w:rsidR="001D779A" w:rsidRPr="00903F9D" w14:paraId="63AAC089" w14:textId="77777777" w:rsidTr="000D492D">
        <w:trPr>
          <w:trHeight w:val="421"/>
        </w:trPr>
        <w:tc>
          <w:tcPr>
            <w:tcW w:w="2304" w:type="pct"/>
            <w:shd w:val="clear" w:color="auto" w:fill="auto"/>
            <w:vAlign w:val="center"/>
          </w:tcPr>
          <w:p w14:paraId="0750E02C" w14:textId="3E9F79CB" w:rsidR="00C2331A" w:rsidRPr="00903F9D" w:rsidRDefault="00C2331A" w:rsidP="004B4F38">
            <w:pPr>
              <w:pStyle w:val="TableText"/>
              <w:rPr>
                <w:b/>
                <w:bCs/>
              </w:rPr>
            </w:pPr>
            <w:r w:rsidRPr="00903F9D">
              <w:rPr>
                <w:b/>
                <w:bCs/>
              </w:rPr>
              <w:t xml:space="preserve">Diagnostic accuracy of REMS vs DXA based on with/without osteoporosis </w:t>
            </w:r>
            <w:proofErr w:type="spellStart"/>
            <w:r w:rsidRPr="00903F9D">
              <w:rPr>
                <w:b/>
                <w:bCs/>
              </w:rPr>
              <w:t>categorisation</w:t>
            </w:r>
            <w:r w:rsidRPr="00903F9D">
              <w:rPr>
                <w:b/>
                <w:bCs/>
                <w:vertAlign w:val="superscript"/>
              </w:rPr>
              <w:t>a</w:t>
            </w:r>
            <w:proofErr w:type="spellEnd"/>
          </w:p>
        </w:tc>
        <w:tc>
          <w:tcPr>
            <w:tcW w:w="552" w:type="pct"/>
            <w:shd w:val="clear" w:color="auto" w:fill="auto"/>
            <w:vAlign w:val="center"/>
          </w:tcPr>
          <w:p w14:paraId="44B4B653" w14:textId="77777777" w:rsidR="00C2331A" w:rsidRPr="00903F9D" w:rsidRDefault="00C2331A" w:rsidP="004B4F38">
            <w:pPr>
              <w:pStyle w:val="TableText"/>
              <w:jc w:val="center"/>
            </w:pPr>
            <w:r w:rsidRPr="00903F9D">
              <w:rPr>
                <w:b/>
                <w:bCs/>
              </w:rPr>
              <w:t>(&gt;40 years)</w:t>
            </w:r>
          </w:p>
        </w:tc>
        <w:tc>
          <w:tcPr>
            <w:tcW w:w="688" w:type="pct"/>
            <w:shd w:val="clear" w:color="auto" w:fill="auto"/>
            <w:vAlign w:val="center"/>
          </w:tcPr>
          <w:p w14:paraId="63C36CC9" w14:textId="77777777" w:rsidR="00C2331A" w:rsidRPr="00903F9D" w:rsidRDefault="00C2331A" w:rsidP="004B4F38">
            <w:pPr>
              <w:pStyle w:val="TableText"/>
              <w:jc w:val="center"/>
            </w:pPr>
            <w:r w:rsidRPr="00903F9D">
              <w:rPr>
                <w:b/>
                <w:bCs/>
              </w:rPr>
              <w:t>(&gt;40 years)</w:t>
            </w:r>
          </w:p>
        </w:tc>
        <w:tc>
          <w:tcPr>
            <w:tcW w:w="742" w:type="pct"/>
            <w:shd w:val="clear" w:color="auto" w:fill="auto"/>
            <w:vAlign w:val="center"/>
          </w:tcPr>
          <w:p w14:paraId="5B3144AB" w14:textId="77777777" w:rsidR="00C2331A" w:rsidRPr="00903F9D" w:rsidRDefault="00C2331A" w:rsidP="004B4F38">
            <w:pPr>
              <w:pStyle w:val="TableText"/>
              <w:jc w:val="center"/>
            </w:pPr>
          </w:p>
        </w:tc>
        <w:tc>
          <w:tcPr>
            <w:tcW w:w="714" w:type="pct"/>
            <w:shd w:val="clear" w:color="auto" w:fill="auto"/>
            <w:vAlign w:val="center"/>
          </w:tcPr>
          <w:p w14:paraId="0C24324F" w14:textId="77777777" w:rsidR="00C2331A" w:rsidRPr="00903F9D" w:rsidRDefault="00C2331A" w:rsidP="004B4F38">
            <w:pPr>
              <w:pStyle w:val="TableText"/>
              <w:jc w:val="center"/>
            </w:pPr>
          </w:p>
        </w:tc>
      </w:tr>
      <w:tr w:rsidR="001D779A" w:rsidRPr="00903F9D" w14:paraId="53EA7404" w14:textId="77777777" w:rsidTr="000D492D">
        <w:trPr>
          <w:trHeight w:val="288"/>
        </w:trPr>
        <w:tc>
          <w:tcPr>
            <w:tcW w:w="2304" w:type="pct"/>
            <w:shd w:val="clear" w:color="auto" w:fill="auto"/>
            <w:vAlign w:val="center"/>
          </w:tcPr>
          <w:p w14:paraId="28A93EAF" w14:textId="77777777" w:rsidR="00C2331A" w:rsidRPr="00903F9D" w:rsidRDefault="00C2331A" w:rsidP="004B4F38">
            <w:pPr>
              <w:pStyle w:val="TableText"/>
            </w:pPr>
            <w:r w:rsidRPr="00903F9D">
              <w:t>Sensitivity</w:t>
            </w:r>
          </w:p>
        </w:tc>
        <w:tc>
          <w:tcPr>
            <w:tcW w:w="552" w:type="pct"/>
            <w:shd w:val="clear" w:color="auto" w:fill="auto"/>
            <w:vAlign w:val="center"/>
          </w:tcPr>
          <w:p w14:paraId="7FD67D29" w14:textId="77777777" w:rsidR="00C2331A" w:rsidRPr="00903F9D" w:rsidRDefault="00C2331A" w:rsidP="004B4F38">
            <w:pPr>
              <w:pStyle w:val="TableText"/>
              <w:jc w:val="center"/>
            </w:pPr>
            <w:r w:rsidRPr="00903F9D">
              <w:t>80%</w:t>
            </w:r>
          </w:p>
        </w:tc>
        <w:tc>
          <w:tcPr>
            <w:tcW w:w="688" w:type="pct"/>
            <w:shd w:val="clear" w:color="auto" w:fill="auto"/>
            <w:vAlign w:val="center"/>
          </w:tcPr>
          <w:p w14:paraId="628C99EF" w14:textId="77777777" w:rsidR="00C2331A" w:rsidRPr="00903F9D" w:rsidRDefault="00C2331A" w:rsidP="004B4F38">
            <w:pPr>
              <w:pStyle w:val="TableText"/>
              <w:jc w:val="center"/>
            </w:pPr>
            <w:r w:rsidRPr="00903F9D">
              <w:t>85%</w:t>
            </w:r>
          </w:p>
        </w:tc>
        <w:tc>
          <w:tcPr>
            <w:tcW w:w="742" w:type="pct"/>
            <w:shd w:val="clear" w:color="auto" w:fill="auto"/>
            <w:vAlign w:val="center"/>
          </w:tcPr>
          <w:p w14:paraId="46FA5265" w14:textId="77777777" w:rsidR="00C2331A" w:rsidRPr="00903F9D" w:rsidRDefault="00C2331A" w:rsidP="004B4F38">
            <w:pPr>
              <w:pStyle w:val="TableText"/>
              <w:jc w:val="center"/>
            </w:pPr>
            <w:r w:rsidRPr="00903F9D">
              <w:t>-</w:t>
            </w:r>
          </w:p>
        </w:tc>
        <w:tc>
          <w:tcPr>
            <w:tcW w:w="714" w:type="pct"/>
            <w:shd w:val="clear" w:color="auto" w:fill="auto"/>
            <w:vAlign w:val="center"/>
          </w:tcPr>
          <w:p w14:paraId="0C37CE1A" w14:textId="77777777" w:rsidR="00C2331A" w:rsidRPr="00903F9D" w:rsidRDefault="00C2331A" w:rsidP="004B4F38">
            <w:pPr>
              <w:pStyle w:val="TableText"/>
              <w:jc w:val="center"/>
            </w:pPr>
            <w:r w:rsidRPr="00903F9D">
              <w:t>-</w:t>
            </w:r>
          </w:p>
        </w:tc>
      </w:tr>
      <w:tr w:rsidR="001D779A" w:rsidRPr="00903F9D" w14:paraId="39F987AB" w14:textId="77777777" w:rsidTr="000D492D">
        <w:trPr>
          <w:trHeight w:val="300"/>
        </w:trPr>
        <w:tc>
          <w:tcPr>
            <w:tcW w:w="2304" w:type="pct"/>
            <w:tcBorders>
              <w:bottom w:val="single" w:sz="4" w:space="0" w:color="auto"/>
            </w:tcBorders>
            <w:shd w:val="clear" w:color="auto" w:fill="auto"/>
            <w:vAlign w:val="center"/>
          </w:tcPr>
          <w:p w14:paraId="64719C9C" w14:textId="77777777" w:rsidR="00C2331A" w:rsidRPr="00903F9D" w:rsidRDefault="00C2331A" w:rsidP="004B4F38">
            <w:pPr>
              <w:pStyle w:val="TableText"/>
            </w:pPr>
            <w:r w:rsidRPr="00903F9D">
              <w:t>Specificity</w:t>
            </w:r>
          </w:p>
        </w:tc>
        <w:tc>
          <w:tcPr>
            <w:tcW w:w="552" w:type="pct"/>
            <w:tcBorders>
              <w:bottom w:val="single" w:sz="4" w:space="0" w:color="auto"/>
            </w:tcBorders>
            <w:shd w:val="clear" w:color="auto" w:fill="auto"/>
            <w:vAlign w:val="center"/>
          </w:tcPr>
          <w:p w14:paraId="759200BC" w14:textId="77777777" w:rsidR="00C2331A" w:rsidRPr="00903F9D" w:rsidRDefault="00C2331A" w:rsidP="004B4F38">
            <w:pPr>
              <w:pStyle w:val="TableText"/>
              <w:jc w:val="center"/>
            </w:pPr>
            <w:r w:rsidRPr="00903F9D">
              <w:t>94%</w:t>
            </w:r>
          </w:p>
        </w:tc>
        <w:tc>
          <w:tcPr>
            <w:tcW w:w="688" w:type="pct"/>
            <w:tcBorders>
              <w:bottom w:val="single" w:sz="4" w:space="0" w:color="auto"/>
            </w:tcBorders>
            <w:shd w:val="clear" w:color="auto" w:fill="auto"/>
            <w:vAlign w:val="center"/>
          </w:tcPr>
          <w:p w14:paraId="7D3313FF" w14:textId="77777777" w:rsidR="00C2331A" w:rsidRPr="00903F9D" w:rsidRDefault="00C2331A" w:rsidP="004B4F38">
            <w:pPr>
              <w:pStyle w:val="TableText"/>
              <w:jc w:val="center"/>
            </w:pPr>
            <w:r w:rsidRPr="00903F9D">
              <w:t>93%</w:t>
            </w:r>
          </w:p>
        </w:tc>
        <w:tc>
          <w:tcPr>
            <w:tcW w:w="742" w:type="pct"/>
            <w:tcBorders>
              <w:bottom w:val="single" w:sz="4" w:space="0" w:color="auto"/>
            </w:tcBorders>
            <w:shd w:val="clear" w:color="auto" w:fill="auto"/>
            <w:vAlign w:val="center"/>
          </w:tcPr>
          <w:p w14:paraId="2B930677" w14:textId="77777777" w:rsidR="00C2331A" w:rsidRPr="00903F9D" w:rsidRDefault="00C2331A" w:rsidP="004B4F38">
            <w:pPr>
              <w:pStyle w:val="TableText"/>
              <w:jc w:val="center"/>
            </w:pPr>
            <w:r w:rsidRPr="00903F9D">
              <w:t>-</w:t>
            </w:r>
          </w:p>
        </w:tc>
        <w:tc>
          <w:tcPr>
            <w:tcW w:w="714" w:type="pct"/>
            <w:tcBorders>
              <w:bottom w:val="single" w:sz="4" w:space="0" w:color="auto"/>
            </w:tcBorders>
            <w:shd w:val="clear" w:color="auto" w:fill="auto"/>
            <w:vAlign w:val="center"/>
          </w:tcPr>
          <w:p w14:paraId="426BBB34" w14:textId="77777777" w:rsidR="00C2331A" w:rsidRPr="00903F9D" w:rsidRDefault="00C2331A" w:rsidP="004B4F38">
            <w:pPr>
              <w:pStyle w:val="TableText"/>
              <w:jc w:val="center"/>
            </w:pPr>
            <w:r w:rsidRPr="00903F9D">
              <w:t>-</w:t>
            </w:r>
          </w:p>
        </w:tc>
      </w:tr>
      <w:tr w:rsidR="001D779A" w:rsidRPr="00903F9D" w14:paraId="79548CA3" w14:textId="77777777" w:rsidTr="000D492D">
        <w:trPr>
          <w:trHeight w:val="288"/>
        </w:trPr>
        <w:tc>
          <w:tcPr>
            <w:tcW w:w="2304" w:type="pct"/>
            <w:shd w:val="clear" w:color="auto" w:fill="auto"/>
            <w:vAlign w:val="center"/>
          </w:tcPr>
          <w:p w14:paraId="34D6736E" w14:textId="77777777" w:rsidR="00C2331A" w:rsidRPr="00903F9D" w:rsidRDefault="00C2331A" w:rsidP="004B4F38">
            <w:pPr>
              <w:pStyle w:val="TableText"/>
            </w:pPr>
            <w:r w:rsidRPr="00903F9D">
              <w:t>Positive predictive value (PPV)</w:t>
            </w:r>
          </w:p>
        </w:tc>
        <w:tc>
          <w:tcPr>
            <w:tcW w:w="552" w:type="pct"/>
            <w:shd w:val="clear" w:color="auto" w:fill="auto"/>
            <w:vAlign w:val="center"/>
          </w:tcPr>
          <w:p w14:paraId="2217014E" w14:textId="77777777" w:rsidR="00C2331A" w:rsidRPr="00903F9D" w:rsidRDefault="00C2331A" w:rsidP="004B4F38">
            <w:pPr>
              <w:pStyle w:val="TableText"/>
              <w:jc w:val="center"/>
            </w:pPr>
            <w:r w:rsidRPr="00903F9D">
              <w:t>-</w:t>
            </w:r>
          </w:p>
        </w:tc>
        <w:tc>
          <w:tcPr>
            <w:tcW w:w="688" w:type="pct"/>
            <w:shd w:val="clear" w:color="auto" w:fill="auto"/>
            <w:vAlign w:val="center"/>
          </w:tcPr>
          <w:p w14:paraId="6799C59B" w14:textId="77777777" w:rsidR="00C2331A" w:rsidRPr="00903F9D" w:rsidRDefault="00C2331A" w:rsidP="004B4F38">
            <w:pPr>
              <w:pStyle w:val="TableText"/>
              <w:jc w:val="center"/>
            </w:pPr>
            <w:r w:rsidRPr="00903F9D">
              <w:t>-</w:t>
            </w:r>
          </w:p>
        </w:tc>
        <w:tc>
          <w:tcPr>
            <w:tcW w:w="742" w:type="pct"/>
            <w:shd w:val="clear" w:color="auto" w:fill="auto"/>
            <w:vAlign w:val="center"/>
          </w:tcPr>
          <w:p w14:paraId="113EB4F6" w14:textId="77777777" w:rsidR="00C2331A" w:rsidRPr="00903F9D" w:rsidRDefault="00C2331A" w:rsidP="004B4F38">
            <w:pPr>
              <w:pStyle w:val="TableText"/>
              <w:jc w:val="center"/>
            </w:pPr>
            <w:r w:rsidRPr="00903F9D">
              <w:t>-</w:t>
            </w:r>
          </w:p>
        </w:tc>
        <w:tc>
          <w:tcPr>
            <w:tcW w:w="714" w:type="pct"/>
            <w:shd w:val="clear" w:color="auto" w:fill="auto"/>
            <w:vAlign w:val="center"/>
          </w:tcPr>
          <w:p w14:paraId="2DB0F931" w14:textId="77777777" w:rsidR="00C2331A" w:rsidRPr="00903F9D" w:rsidRDefault="00C2331A" w:rsidP="004B4F38">
            <w:pPr>
              <w:pStyle w:val="TableText"/>
              <w:jc w:val="center"/>
            </w:pPr>
            <w:r w:rsidRPr="00903F9D">
              <w:t>-</w:t>
            </w:r>
          </w:p>
        </w:tc>
      </w:tr>
      <w:tr w:rsidR="001D779A" w:rsidRPr="00903F9D" w14:paraId="4130F009" w14:textId="77777777" w:rsidTr="000D492D">
        <w:trPr>
          <w:trHeight w:val="300"/>
        </w:trPr>
        <w:tc>
          <w:tcPr>
            <w:tcW w:w="2304" w:type="pct"/>
            <w:shd w:val="clear" w:color="auto" w:fill="auto"/>
            <w:vAlign w:val="center"/>
          </w:tcPr>
          <w:p w14:paraId="3BA44020" w14:textId="77777777" w:rsidR="00C2331A" w:rsidRPr="00903F9D" w:rsidRDefault="00C2331A" w:rsidP="004B4F38">
            <w:pPr>
              <w:pStyle w:val="TableText"/>
            </w:pPr>
            <w:r w:rsidRPr="00903F9D">
              <w:t>Negative predictive value (NPV)</w:t>
            </w:r>
          </w:p>
        </w:tc>
        <w:tc>
          <w:tcPr>
            <w:tcW w:w="552" w:type="pct"/>
            <w:shd w:val="clear" w:color="auto" w:fill="auto"/>
            <w:vAlign w:val="center"/>
          </w:tcPr>
          <w:p w14:paraId="273CEFA8" w14:textId="77777777" w:rsidR="00C2331A" w:rsidRPr="00903F9D" w:rsidRDefault="00C2331A" w:rsidP="004B4F38">
            <w:pPr>
              <w:pStyle w:val="TableText"/>
              <w:jc w:val="center"/>
            </w:pPr>
            <w:r w:rsidRPr="00903F9D">
              <w:t>-</w:t>
            </w:r>
          </w:p>
        </w:tc>
        <w:tc>
          <w:tcPr>
            <w:tcW w:w="688" w:type="pct"/>
            <w:shd w:val="clear" w:color="auto" w:fill="auto"/>
            <w:vAlign w:val="center"/>
          </w:tcPr>
          <w:p w14:paraId="67C2C650" w14:textId="77777777" w:rsidR="00C2331A" w:rsidRPr="00903F9D" w:rsidRDefault="00C2331A" w:rsidP="004B4F38">
            <w:pPr>
              <w:pStyle w:val="TableText"/>
              <w:jc w:val="center"/>
            </w:pPr>
            <w:r w:rsidRPr="00903F9D">
              <w:t>-</w:t>
            </w:r>
          </w:p>
        </w:tc>
        <w:tc>
          <w:tcPr>
            <w:tcW w:w="742" w:type="pct"/>
            <w:shd w:val="clear" w:color="auto" w:fill="auto"/>
            <w:vAlign w:val="center"/>
          </w:tcPr>
          <w:p w14:paraId="363ED370" w14:textId="77777777" w:rsidR="00C2331A" w:rsidRPr="00903F9D" w:rsidRDefault="00C2331A" w:rsidP="004B4F38">
            <w:pPr>
              <w:pStyle w:val="TableText"/>
              <w:jc w:val="center"/>
            </w:pPr>
            <w:r w:rsidRPr="00903F9D">
              <w:t>-</w:t>
            </w:r>
          </w:p>
        </w:tc>
        <w:tc>
          <w:tcPr>
            <w:tcW w:w="714" w:type="pct"/>
            <w:shd w:val="clear" w:color="auto" w:fill="auto"/>
            <w:vAlign w:val="center"/>
          </w:tcPr>
          <w:p w14:paraId="23424A81" w14:textId="77777777" w:rsidR="00C2331A" w:rsidRPr="00903F9D" w:rsidRDefault="00C2331A" w:rsidP="004B4F38">
            <w:pPr>
              <w:pStyle w:val="TableText"/>
              <w:jc w:val="center"/>
            </w:pPr>
            <w:r w:rsidRPr="00903F9D">
              <w:t>-</w:t>
            </w:r>
          </w:p>
        </w:tc>
      </w:tr>
      <w:tr w:rsidR="001D779A" w:rsidRPr="00903F9D" w14:paraId="655CA67A" w14:textId="77777777" w:rsidTr="000D492D">
        <w:trPr>
          <w:trHeight w:val="288"/>
        </w:trPr>
        <w:tc>
          <w:tcPr>
            <w:tcW w:w="2304" w:type="pct"/>
            <w:shd w:val="clear" w:color="auto" w:fill="auto"/>
            <w:vAlign w:val="center"/>
          </w:tcPr>
          <w:p w14:paraId="0D755374" w14:textId="5E323C90" w:rsidR="00C2331A" w:rsidRPr="00903F9D" w:rsidRDefault="00C2331A" w:rsidP="004B4F38">
            <w:pPr>
              <w:pStyle w:val="TableText"/>
              <w:rPr>
                <w:b/>
                <w:bCs/>
              </w:rPr>
            </w:pPr>
            <w:r w:rsidRPr="00903F9D">
              <w:rPr>
                <w:b/>
                <w:bCs/>
              </w:rPr>
              <w:t xml:space="preserve">T-score based </w:t>
            </w:r>
            <w:proofErr w:type="spellStart"/>
            <w:r w:rsidRPr="00903F9D">
              <w:rPr>
                <w:b/>
                <w:bCs/>
              </w:rPr>
              <w:t>analysis</w:t>
            </w:r>
            <w:r w:rsidR="005B04CF" w:rsidRPr="00903F9D">
              <w:rPr>
                <w:b/>
                <w:bCs/>
                <w:vertAlign w:val="superscript"/>
              </w:rPr>
              <w:t>b</w:t>
            </w:r>
            <w:proofErr w:type="spellEnd"/>
          </w:p>
        </w:tc>
        <w:tc>
          <w:tcPr>
            <w:tcW w:w="552" w:type="pct"/>
            <w:shd w:val="clear" w:color="auto" w:fill="auto"/>
            <w:vAlign w:val="center"/>
          </w:tcPr>
          <w:p w14:paraId="690F35DF" w14:textId="77777777" w:rsidR="00C2331A" w:rsidRPr="00903F9D" w:rsidRDefault="00C2331A" w:rsidP="004B4F38">
            <w:pPr>
              <w:pStyle w:val="TableText"/>
              <w:jc w:val="center"/>
            </w:pPr>
          </w:p>
        </w:tc>
        <w:tc>
          <w:tcPr>
            <w:tcW w:w="688" w:type="pct"/>
            <w:shd w:val="clear" w:color="auto" w:fill="auto"/>
            <w:vAlign w:val="center"/>
          </w:tcPr>
          <w:p w14:paraId="079296B7" w14:textId="77777777" w:rsidR="00C2331A" w:rsidRPr="00903F9D" w:rsidRDefault="00C2331A" w:rsidP="004B4F38">
            <w:pPr>
              <w:pStyle w:val="TableText"/>
              <w:jc w:val="center"/>
            </w:pPr>
          </w:p>
        </w:tc>
        <w:tc>
          <w:tcPr>
            <w:tcW w:w="742" w:type="pct"/>
            <w:shd w:val="clear" w:color="auto" w:fill="auto"/>
            <w:vAlign w:val="center"/>
          </w:tcPr>
          <w:p w14:paraId="1DAC90C5" w14:textId="77777777" w:rsidR="00C2331A" w:rsidRPr="00903F9D" w:rsidRDefault="00C2331A" w:rsidP="004B4F38">
            <w:pPr>
              <w:pStyle w:val="TableText"/>
              <w:jc w:val="center"/>
            </w:pPr>
          </w:p>
        </w:tc>
        <w:tc>
          <w:tcPr>
            <w:tcW w:w="714" w:type="pct"/>
            <w:shd w:val="clear" w:color="auto" w:fill="auto"/>
            <w:vAlign w:val="center"/>
          </w:tcPr>
          <w:p w14:paraId="003AA871" w14:textId="77777777" w:rsidR="00C2331A" w:rsidRPr="00903F9D" w:rsidRDefault="00C2331A" w:rsidP="004B4F38">
            <w:pPr>
              <w:pStyle w:val="TableText"/>
              <w:jc w:val="center"/>
            </w:pPr>
          </w:p>
        </w:tc>
      </w:tr>
      <w:tr w:rsidR="001D779A" w:rsidRPr="00903F9D" w14:paraId="675E31B7" w14:textId="77777777" w:rsidTr="000D492D">
        <w:trPr>
          <w:trHeight w:val="523"/>
        </w:trPr>
        <w:tc>
          <w:tcPr>
            <w:tcW w:w="2304" w:type="pct"/>
            <w:shd w:val="clear" w:color="auto" w:fill="auto"/>
            <w:vAlign w:val="center"/>
          </w:tcPr>
          <w:p w14:paraId="2E6B95B4" w14:textId="29870ADC" w:rsidR="00C2331A" w:rsidRPr="00903F9D" w:rsidRDefault="00C2331A" w:rsidP="004B4F38">
            <w:pPr>
              <w:pStyle w:val="TableText"/>
            </w:pPr>
            <w:r w:rsidRPr="00903F9D">
              <w:t xml:space="preserve">Diagnostic </w:t>
            </w:r>
            <w:r w:rsidR="00AA2A5D" w:rsidRPr="00903F9D">
              <w:t xml:space="preserve">accuracy </w:t>
            </w:r>
            <w:r w:rsidRPr="00903F9D">
              <w:t xml:space="preserve">(with osteoporosis / </w:t>
            </w:r>
            <w:proofErr w:type="spellStart"/>
            <w:r w:rsidRPr="00903F9D">
              <w:t>osteopenic</w:t>
            </w:r>
            <w:proofErr w:type="spellEnd"/>
            <w:r w:rsidRPr="00903F9D">
              <w:t xml:space="preserve"> / </w:t>
            </w:r>
            <w:proofErr w:type="spellStart"/>
            <w:r w:rsidRPr="00903F9D">
              <w:t>healthy</w:t>
            </w:r>
            <w:r w:rsidRPr="00903F9D">
              <w:rPr>
                <w:vertAlign w:val="superscript"/>
              </w:rPr>
              <w:t>a</w:t>
            </w:r>
            <w:proofErr w:type="spellEnd"/>
            <w:r w:rsidRPr="00903F9D">
              <w:t>)</w:t>
            </w:r>
          </w:p>
        </w:tc>
        <w:tc>
          <w:tcPr>
            <w:tcW w:w="552" w:type="pct"/>
            <w:shd w:val="clear" w:color="auto" w:fill="auto"/>
            <w:vAlign w:val="center"/>
          </w:tcPr>
          <w:p w14:paraId="705AD428" w14:textId="77777777" w:rsidR="00C2331A" w:rsidRPr="00903F9D" w:rsidRDefault="00C2331A" w:rsidP="004B4F38">
            <w:pPr>
              <w:pStyle w:val="TableText"/>
              <w:jc w:val="center"/>
            </w:pPr>
            <w:r w:rsidRPr="00903F9D">
              <w:t>67.1%</w:t>
            </w:r>
          </w:p>
        </w:tc>
        <w:tc>
          <w:tcPr>
            <w:tcW w:w="688" w:type="pct"/>
            <w:shd w:val="clear" w:color="auto" w:fill="auto"/>
            <w:vAlign w:val="center"/>
          </w:tcPr>
          <w:p w14:paraId="678A0474" w14:textId="77777777" w:rsidR="00C2331A" w:rsidRPr="00903F9D" w:rsidRDefault="00C2331A" w:rsidP="004B4F38">
            <w:pPr>
              <w:pStyle w:val="TableText"/>
              <w:jc w:val="center"/>
            </w:pPr>
            <w:r w:rsidRPr="00903F9D">
              <w:t>71.4%</w:t>
            </w:r>
          </w:p>
        </w:tc>
        <w:tc>
          <w:tcPr>
            <w:tcW w:w="742" w:type="pct"/>
            <w:shd w:val="clear" w:color="auto" w:fill="auto"/>
            <w:vAlign w:val="center"/>
          </w:tcPr>
          <w:p w14:paraId="34D9D525" w14:textId="77777777" w:rsidR="00C2331A" w:rsidRPr="00903F9D" w:rsidRDefault="00C2331A" w:rsidP="004B4F38">
            <w:pPr>
              <w:pStyle w:val="TableText"/>
              <w:jc w:val="center"/>
            </w:pPr>
            <w:r w:rsidRPr="00903F9D">
              <w:t>82.8%</w:t>
            </w:r>
          </w:p>
        </w:tc>
        <w:tc>
          <w:tcPr>
            <w:tcW w:w="714" w:type="pct"/>
            <w:shd w:val="clear" w:color="auto" w:fill="auto"/>
            <w:vAlign w:val="center"/>
          </w:tcPr>
          <w:p w14:paraId="23D2C1B6" w14:textId="77777777" w:rsidR="00C2331A" w:rsidRPr="00903F9D" w:rsidRDefault="00C2331A" w:rsidP="004B4F38">
            <w:pPr>
              <w:pStyle w:val="TableText"/>
              <w:jc w:val="center"/>
            </w:pPr>
            <w:r w:rsidRPr="00903F9D">
              <w:t>84.8%</w:t>
            </w:r>
          </w:p>
        </w:tc>
      </w:tr>
      <w:tr w:rsidR="001D779A" w:rsidRPr="00903F9D" w14:paraId="1EAE7501" w14:textId="77777777" w:rsidTr="000D492D">
        <w:trPr>
          <w:trHeight w:val="288"/>
        </w:trPr>
        <w:tc>
          <w:tcPr>
            <w:tcW w:w="2304" w:type="pct"/>
            <w:tcBorders>
              <w:bottom w:val="single" w:sz="4" w:space="0" w:color="auto"/>
            </w:tcBorders>
            <w:vAlign w:val="center"/>
          </w:tcPr>
          <w:p w14:paraId="23A62814" w14:textId="77777777" w:rsidR="00C2331A" w:rsidRPr="00903F9D" w:rsidRDefault="00C2331A" w:rsidP="004B4F38">
            <w:pPr>
              <w:pStyle w:val="TableText"/>
            </w:pPr>
            <w:r w:rsidRPr="00903F9D">
              <w:t xml:space="preserve">Cohens k (with osteoporosis / </w:t>
            </w:r>
            <w:proofErr w:type="spellStart"/>
            <w:r w:rsidRPr="00903F9D">
              <w:t>osteopenic</w:t>
            </w:r>
            <w:proofErr w:type="spellEnd"/>
            <w:r w:rsidRPr="00903F9D">
              <w:t xml:space="preserve"> / </w:t>
            </w:r>
            <w:proofErr w:type="spellStart"/>
            <w:r w:rsidRPr="00903F9D">
              <w:t>healthy</w:t>
            </w:r>
            <w:r w:rsidRPr="00903F9D">
              <w:rPr>
                <w:vertAlign w:val="superscript"/>
              </w:rPr>
              <w:t>a</w:t>
            </w:r>
            <w:proofErr w:type="spellEnd"/>
            <w:r w:rsidRPr="00903F9D">
              <w:t>)</w:t>
            </w:r>
          </w:p>
        </w:tc>
        <w:tc>
          <w:tcPr>
            <w:tcW w:w="552" w:type="pct"/>
            <w:tcBorders>
              <w:bottom w:val="single" w:sz="4" w:space="0" w:color="auto"/>
            </w:tcBorders>
            <w:vAlign w:val="center"/>
          </w:tcPr>
          <w:p w14:paraId="385C3EA3" w14:textId="77777777" w:rsidR="00C2331A" w:rsidRPr="00903F9D" w:rsidRDefault="00C2331A" w:rsidP="004B4F38">
            <w:pPr>
              <w:pStyle w:val="TableText"/>
              <w:jc w:val="center"/>
            </w:pPr>
            <w:r w:rsidRPr="00903F9D">
              <w:t>0.47</w:t>
            </w:r>
          </w:p>
        </w:tc>
        <w:tc>
          <w:tcPr>
            <w:tcW w:w="688" w:type="pct"/>
            <w:tcBorders>
              <w:bottom w:val="single" w:sz="4" w:space="0" w:color="auto"/>
            </w:tcBorders>
            <w:vAlign w:val="center"/>
          </w:tcPr>
          <w:p w14:paraId="45DBD5F8" w14:textId="77777777" w:rsidR="00C2331A" w:rsidRPr="00903F9D" w:rsidRDefault="00C2331A" w:rsidP="004B4F38">
            <w:pPr>
              <w:pStyle w:val="TableText"/>
              <w:jc w:val="center"/>
            </w:pPr>
            <w:r w:rsidRPr="00903F9D">
              <w:t>0.53</w:t>
            </w:r>
          </w:p>
        </w:tc>
        <w:tc>
          <w:tcPr>
            <w:tcW w:w="742" w:type="pct"/>
            <w:tcBorders>
              <w:bottom w:val="single" w:sz="4" w:space="0" w:color="auto"/>
            </w:tcBorders>
            <w:vAlign w:val="center"/>
          </w:tcPr>
          <w:p w14:paraId="1DAC745F" w14:textId="77777777" w:rsidR="00C2331A" w:rsidRPr="00903F9D" w:rsidRDefault="00C2331A" w:rsidP="004B4F38">
            <w:pPr>
              <w:pStyle w:val="TableText"/>
              <w:jc w:val="center"/>
            </w:pPr>
            <w:r w:rsidRPr="00903F9D">
              <w:t>0.611</w:t>
            </w:r>
          </w:p>
        </w:tc>
        <w:tc>
          <w:tcPr>
            <w:tcW w:w="714" w:type="pct"/>
            <w:tcBorders>
              <w:bottom w:val="single" w:sz="4" w:space="0" w:color="auto"/>
            </w:tcBorders>
            <w:vAlign w:val="center"/>
          </w:tcPr>
          <w:p w14:paraId="7BF91BDA" w14:textId="77777777" w:rsidR="00C2331A" w:rsidRPr="00903F9D" w:rsidRDefault="00C2331A" w:rsidP="004B4F38">
            <w:pPr>
              <w:pStyle w:val="TableText"/>
              <w:jc w:val="center"/>
            </w:pPr>
            <w:r w:rsidRPr="00903F9D">
              <w:t>0.667</w:t>
            </w:r>
          </w:p>
        </w:tc>
      </w:tr>
    </w:tbl>
    <w:p w14:paraId="25D1CD7D" w14:textId="3C9D85F2" w:rsidR="000D492D" w:rsidRPr="00903F9D" w:rsidRDefault="000D492D">
      <w:pPr>
        <w:pStyle w:val="TableFigureFooter"/>
      </w:pPr>
      <w:r w:rsidRPr="00903F9D">
        <w:t>Source: Table 16, MSAC 1665 ADAR</w:t>
      </w:r>
    </w:p>
    <w:p w14:paraId="25CB761D" w14:textId="184BF85E" w:rsidR="00C2331A" w:rsidRPr="00903F9D" w:rsidRDefault="00C2331A">
      <w:pPr>
        <w:pStyle w:val="TableFigureFooter"/>
      </w:pPr>
      <w:r w:rsidRPr="00903F9D">
        <w:t>*</w:t>
      </w:r>
      <w:r w:rsidR="00604E4A" w:rsidRPr="00903F9D">
        <w:t xml:space="preserve"> </w:t>
      </w:r>
      <w:r w:rsidRPr="00903F9D">
        <w:t>p&lt;0.001</w:t>
      </w:r>
    </w:p>
    <w:p w14:paraId="6A172AE2" w14:textId="635C14A7" w:rsidR="00C2331A" w:rsidRPr="00903F9D" w:rsidRDefault="00C2331A">
      <w:pPr>
        <w:pStyle w:val="TableFigureFooter"/>
      </w:pPr>
      <w:r w:rsidRPr="00903F9D">
        <w:t>Notes:</w:t>
      </w:r>
    </w:p>
    <w:p w14:paraId="15D5039C" w14:textId="34D731D5" w:rsidR="00C2331A" w:rsidRPr="00903F9D" w:rsidRDefault="00C2331A" w:rsidP="007A7CC3">
      <w:pPr>
        <w:pStyle w:val="TableFigureFooter"/>
        <w:contextualSpacing/>
      </w:pPr>
      <w:r w:rsidRPr="00903F9D">
        <w:t>a. Osteoporosis (T-score ≤-2.5), Without Osteoporosis includes Osteopenia (T-score -2.5 &lt; to &lt;-1.0), Healthy (T-score</w:t>
      </w:r>
      <w:r w:rsidR="00604E4A" w:rsidRPr="00903F9D">
        <w:t xml:space="preserve"> </w:t>
      </w:r>
      <w:r w:rsidRPr="00903F9D">
        <w:t>&gt;-1.0)</w:t>
      </w:r>
    </w:p>
    <w:p w14:paraId="77DE13FD" w14:textId="54305C85" w:rsidR="00C2331A" w:rsidRPr="00903F9D" w:rsidRDefault="005B04CF" w:rsidP="006E55D0">
      <w:pPr>
        <w:pStyle w:val="Tablenotes0"/>
        <w:keepLines/>
        <w:spacing w:before="0"/>
      </w:pPr>
      <w:r w:rsidRPr="00903F9D">
        <w:t xml:space="preserve">b. The diagnostic concordance was assessed as the percentage of patients classified in the same diagnostic category (osteoporotic, </w:t>
      </w:r>
      <w:proofErr w:type="spellStart"/>
      <w:r w:rsidRPr="00903F9D">
        <w:t>osteopenic</w:t>
      </w:r>
      <w:proofErr w:type="spellEnd"/>
      <w:r w:rsidRPr="00903F9D">
        <w:t>, or healthy) by both DXA and REMS and by the Cohen’s kappa (k).</w:t>
      </w:r>
    </w:p>
    <w:p w14:paraId="1DB1CF77" w14:textId="4CACD336" w:rsidR="004B360E" w:rsidRPr="00903F9D" w:rsidRDefault="004B360E" w:rsidP="00F54EEE">
      <w:pPr>
        <w:pStyle w:val="Heading4"/>
      </w:pPr>
      <w:r w:rsidRPr="00903F9D">
        <w:t>Predicting incident fragility fractures</w:t>
      </w:r>
    </w:p>
    <w:p w14:paraId="4970DA20" w14:textId="77777777" w:rsidR="004B360E" w:rsidRPr="00903F9D" w:rsidRDefault="004B360E" w:rsidP="00C2331A">
      <w:pPr>
        <w:pStyle w:val="TableFigureFooter"/>
        <w:rPr>
          <w:rFonts w:ascii="Franklin Gothic Book" w:eastAsiaTheme="minorHAnsi" w:hAnsi="Franklin Gothic Book" w:cstheme="minorBidi"/>
          <w:snapToGrid/>
          <w:sz w:val="22"/>
          <w:lang w:eastAsia="en-US"/>
        </w:rPr>
      </w:pPr>
      <w:r w:rsidRPr="00903F9D">
        <w:rPr>
          <w:rFonts w:ascii="Franklin Gothic Book" w:eastAsiaTheme="minorHAnsi" w:hAnsi="Franklin Gothic Book" w:cstheme="minorBidi"/>
          <w:snapToGrid/>
          <w:sz w:val="22"/>
          <w:lang w:eastAsia="en-US"/>
        </w:rPr>
        <w:t xml:space="preserve">A longitudinal study by </w:t>
      </w:r>
      <w:proofErr w:type="spellStart"/>
      <w:r w:rsidRPr="00903F9D">
        <w:rPr>
          <w:rFonts w:ascii="Franklin Gothic Book" w:eastAsiaTheme="minorHAnsi" w:hAnsi="Franklin Gothic Book" w:cstheme="minorBidi"/>
          <w:snapToGrid/>
          <w:sz w:val="22"/>
          <w:lang w:eastAsia="en-US"/>
        </w:rPr>
        <w:t>Adami</w:t>
      </w:r>
      <w:proofErr w:type="spellEnd"/>
      <w:r w:rsidRPr="00903F9D">
        <w:rPr>
          <w:rFonts w:ascii="Franklin Gothic Book" w:eastAsiaTheme="minorHAnsi" w:hAnsi="Franklin Gothic Book" w:cstheme="minorBidi"/>
          <w:snapToGrid/>
          <w:sz w:val="22"/>
          <w:lang w:eastAsia="en-US"/>
        </w:rPr>
        <w:t xml:space="preserve"> 2020 with a mean follow-up of 3.7 ± 0.8 years (median ± interquartile range: 3.5 ± 1.7 years; range: 1.9–5.0 years), </w:t>
      </w:r>
      <w:r w:rsidR="004723F2" w:rsidRPr="00903F9D">
        <w:rPr>
          <w:rFonts w:ascii="Franklin Gothic Book" w:eastAsiaTheme="minorHAnsi" w:hAnsi="Franklin Gothic Book" w:cstheme="minorBidi"/>
          <w:snapToGrid/>
          <w:sz w:val="22"/>
          <w:lang w:eastAsia="en-US"/>
        </w:rPr>
        <w:t xml:space="preserve">showed that </w:t>
      </w:r>
      <w:r w:rsidRPr="00903F9D">
        <w:rPr>
          <w:rFonts w:ascii="Franklin Gothic Book" w:eastAsiaTheme="minorHAnsi" w:hAnsi="Franklin Gothic Book" w:cstheme="minorBidi"/>
          <w:snapToGrid/>
          <w:sz w:val="22"/>
          <w:lang w:eastAsia="en-US"/>
        </w:rPr>
        <w:t>the incidence of clinical fragility fractures was 14.0%.</w:t>
      </w:r>
      <w:r w:rsidR="00A96E13" w:rsidRPr="00903F9D">
        <w:rPr>
          <w:rFonts w:ascii="Franklin Gothic Book" w:eastAsiaTheme="minorHAnsi" w:hAnsi="Franklin Gothic Book" w:cstheme="minorBidi"/>
          <w:snapToGrid/>
          <w:sz w:val="22"/>
          <w:lang w:eastAsia="en-US"/>
        </w:rPr>
        <w:t xml:space="preserve"> </w:t>
      </w:r>
      <w:bookmarkStart w:id="38" w:name="_Hlk100125829"/>
      <w:r w:rsidR="00A96E13" w:rsidRPr="00903F9D">
        <w:rPr>
          <w:rFonts w:ascii="Franklin Gothic Book" w:eastAsiaTheme="minorHAnsi" w:hAnsi="Franklin Gothic Book" w:cstheme="minorBidi"/>
          <w:snapToGrid/>
          <w:sz w:val="22"/>
          <w:lang w:eastAsia="en-US"/>
        </w:rPr>
        <w:t xml:space="preserve">It was not reported if </w:t>
      </w:r>
      <w:proofErr w:type="spellStart"/>
      <w:r w:rsidR="00A96E13" w:rsidRPr="00903F9D">
        <w:rPr>
          <w:rFonts w:ascii="Franklin Gothic Book" w:eastAsiaTheme="minorHAnsi" w:hAnsi="Franklin Gothic Book" w:cstheme="minorBidi"/>
          <w:snapToGrid/>
          <w:sz w:val="22"/>
          <w:lang w:eastAsia="en-US"/>
        </w:rPr>
        <w:t>Adami</w:t>
      </w:r>
      <w:proofErr w:type="spellEnd"/>
      <w:r w:rsidR="00A96E13" w:rsidRPr="00903F9D">
        <w:rPr>
          <w:rFonts w:ascii="Franklin Gothic Book" w:eastAsiaTheme="minorHAnsi" w:hAnsi="Franklin Gothic Book" w:cstheme="minorBidi"/>
          <w:snapToGrid/>
          <w:sz w:val="22"/>
          <w:lang w:eastAsia="en-US"/>
        </w:rPr>
        <w:t xml:space="preserve"> 2020 was powered to detect a difference in fracture rate at the follow-up time point.</w:t>
      </w:r>
      <w:bookmarkEnd w:id="38"/>
    </w:p>
    <w:p w14:paraId="096CEBEC" w14:textId="1BD28CE8" w:rsidR="00650C05" w:rsidRPr="00903F9D" w:rsidRDefault="00AF62EB" w:rsidP="00AF62EB">
      <w:pPr>
        <w:pStyle w:val="Instructionaltext"/>
        <w:rPr>
          <w:color w:val="auto"/>
        </w:rPr>
      </w:pPr>
      <w:r w:rsidRPr="00903F9D">
        <w:rPr>
          <w:color w:val="auto"/>
        </w:rPr>
        <w:t xml:space="preserve">REMS and DXA </w:t>
      </w:r>
      <w:r w:rsidR="00CB6A6A" w:rsidRPr="00903F9D">
        <w:rPr>
          <w:color w:val="auto"/>
        </w:rPr>
        <w:t>reported statistically significant</w:t>
      </w:r>
      <w:r w:rsidRPr="00903F9D">
        <w:rPr>
          <w:color w:val="auto"/>
        </w:rPr>
        <w:t xml:space="preserve"> odds ratios (OR) </w:t>
      </w:r>
      <w:r w:rsidR="00CB6A6A" w:rsidRPr="00903F9D">
        <w:rPr>
          <w:color w:val="auto"/>
        </w:rPr>
        <w:t>for lumbar spine DXA (1.7, p=0.0032) and REMS (2.6, p&lt;0.001); and femoral neck DXA (2.68, p&lt;0.001) and REMS (2.81, p&lt;0.001)</w:t>
      </w:r>
      <w:r w:rsidRPr="00903F9D">
        <w:rPr>
          <w:color w:val="auto"/>
        </w:rPr>
        <w:t xml:space="preserve"> (</w:t>
      </w:r>
      <w:r w:rsidRPr="00903F9D">
        <w:rPr>
          <w:color w:val="auto"/>
        </w:rPr>
        <w:fldChar w:fldCharType="begin"/>
      </w:r>
      <w:r w:rsidRPr="00903F9D">
        <w:rPr>
          <w:color w:val="auto"/>
        </w:rPr>
        <w:instrText xml:space="preserve"> REF _Ref99629495 \h </w:instrText>
      </w:r>
      <w:r w:rsidR="008A70AD" w:rsidRPr="00903F9D">
        <w:rPr>
          <w:color w:val="auto"/>
        </w:rPr>
        <w:instrText xml:space="preserve"> \* MERGEFORMAT </w:instrText>
      </w:r>
      <w:r w:rsidRPr="00903F9D">
        <w:rPr>
          <w:color w:val="auto"/>
        </w:rPr>
      </w:r>
      <w:r w:rsidRPr="00903F9D">
        <w:rPr>
          <w:color w:val="auto"/>
        </w:rPr>
        <w:fldChar w:fldCharType="separate"/>
      </w:r>
      <w:r w:rsidR="00DF3307" w:rsidRPr="00903F9D">
        <w:rPr>
          <w:color w:val="auto"/>
        </w:rPr>
        <w:t>Table 10</w:t>
      </w:r>
      <w:r w:rsidRPr="00903F9D">
        <w:rPr>
          <w:color w:val="auto"/>
        </w:rPr>
        <w:fldChar w:fldCharType="end"/>
      </w:r>
      <w:r w:rsidRPr="00903F9D">
        <w:rPr>
          <w:color w:val="auto"/>
        </w:rPr>
        <w:t xml:space="preserve">). The results from this study should be interpreted with caution given the sensitivity was low for REMS (65.1% lumbar spine and 40.2% femoral neck) and DXA (57.1% lumbar spine and 42.3% femoral neck). </w:t>
      </w:r>
      <w:r w:rsidR="00650C05" w:rsidRPr="00903F9D">
        <w:rPr>
          <w:color w:val="auto"/>
        </w:rPr>
        <w:t xml:space="preserve">Although REMS may provide consistent BMD scores to the gold standard DXA, the use of BMD (measured by DXA or REMS) may not be sufficient to predict fracture risk. Therefore, </w:t>
      </w:r>
      <w:r w:rsidR="00823C6E" w:rsidRPr="00903F9D">
        <w:rPr>
          <w:color w:val="auto"/>
        </w:rPr>
        <w:t xml:space="preserve">the commentary considered </w:t>
      </w:r>
      <w:r w:rsidR="00650C05" w:rsidRPr="00903F9D">
        <w:rPr>
          <w:color w:val="auto"/>
        </w:rPr>
        <w:t>the reliance of a longitudinal accuracy study to support the claim of BMD test and longer-term fracture risk should be interpreted with caution.</w:t>
      </w:r>
    </w:p>
    <w:p w14:paraId="32A37E99" w14:textId="68FFA7F1" w:rsidR="00C2331A" w:rsidRPr="00903F9D" w:rsidRDefault="00C2331A" w:rsidP="00E64C7E">
      <w:pPr>
        <w:pStyle w:val="TableHeading0"/>
        <w:keepNext/>
        <w:keepLines/>
      </w:pPr>
      <w:bookmarkStart w:id="39" w:name="_Ref99629495"/>
      <w:r w:rsidRPr="00903F9D">
        <w:lastRenderedPageBreak/>
        <w:t xml:space="preserve">Table </w:t>
      </w:r>
      <w:r w:rsidR="008D0E73">
        <w:fldChar w:fldCharType="begin"/>
      </w:r>
      <w:r w:rsidR="008D0E73">
        <w:instrText xml:space="preserve"> SEQ Table \* ARABIC </w:instrText>
      </w:r>
      <w:r w:rsidR="008D0E73">
        <w:fldChar w:fldCharType="separate"/>
      </w:r>
      <w:r w:rsidR="00DF3307" w:rsidRPr="00903F9D">
        <w:rPr>
          <w:noProof/>
        </w:rPr>
        <w:t>10</w:t>
      </w:r>
      <w:r w:rsidR="008D0E73">
        <w:rPr>
          <w:noProof/>
        </w:rPr>
        <w:fldChar w:fldCharType="end"/>
      </w:r>
      <w:bookmarkEnd w:id="39"/>
      <w:r w:rsidR="00C10D16">
        <w:rPr>
          <w:noProof/>
        </w:rPr>
        <w:tab/>
      </w:r>
      <w:r w:rsidRPr="00903F9D">
        <w:t xml:space="preserve"> Predicting incident fragility fractures based on osteoporotic/non-osteoporotic classification (</w:t>
      </w:r>
      <w:proofErr w:type="spellStart"/>
      <w:r w:rsidRPr="00903F9D">
        <w:t>Adami</w:t>
      </w:r>
      <w:proofErr w:type="spellEnd"/>
      <w:r w:rsidRPr="00903F9D">
        <w:t xml:space="preserve"> 2020)</w:t>
      </w:r>
    </w:p>
    <w:tbl>
      <w:tblPr>
        <w:tblStyle w:val="TableGrid"/>
        <w:tblW w:w="5000" w:type="pct"/>
        <w:tblLook w:val="04A0" w:firstRow="1" w:lastRow="0" w:firstColumn="1" w:lastColumn="0" w:noHBand="0" w:noVBand="1"/>
      </w:tblPr>
      <w:tblGrid>
        <w:gridCol w:w="1611"/>
        <w:gridCol w:w="1214"/>
        <w:gridCol w:w="941"/>
        <w:gridCol w:w="1976"/>
        <w:gridCol w:w="1361"/>
        <w:gridCol w:w="1913"/>
      </w:tblGrid>
      <w:tr w:rsidR="00C2331A" w:rsidRPr="00903F9D" w14:paraId="644A2BA1" w14:textId="77777777" w:rsidTr="00694AFE">
        <w:tc>
          <w:tcPr>
            <w:tcW w:w="1566" w:type="pct"/>
            <w:gridSpan w:val="2"/>
            <w:shd w:val="clear" w:color="auto" w:fill="auto"/>
            <w:vAlign w:val="center"/>
          </w:tcPr>
          <w:p w14:paraId="453C8075" w14:textId="5D3A16F0" w:rsidR="00C2331A" w:rsidRPr="00903F9D" w:rsidRDefault="00C2331A" w:rsidP="00E64C7E">
            <w:pPr>
              <w:pStyle w:val="TableText"/>
              <w:keepNext/>
              <w:keepLines/>
              <w:rPr>
                <w:b/>
                <w:bCs/>
              </w:rPr>
            </w:pPr>
            <w:r w:rsidRPr="00903F9D">
              <w:rPr>
                <w:b/>
                <w:bCs/>
              </w:rPr>
              <w:t>Outcome</w:t>
            </w:r>
          </w:p>
        </w:tc>
        <w:tc>
          <w:tcPr>
            <w:tcW w:w="1618" w:type="pct"/>
            <w:gridSpan w:val="2"/>
            <w:shd w:val="clear" w:color="auto" w:fill="auto"/>
            <w:vAlign w:val="center"/>
          </w:tcPr>
          <w:p w14:paraId="3D18F048" w14:textId="77777777" w:rsidR="00C2331A" w:rsidRPr="00903F9D" w:rsidRDefault="00C2331A" w:rsidP="00E64C7E">
            <w:pPr>
              <w:pStyle w:val="TableText"/>
              <w:keepNext/>
              <w:keepLines/>
              <w:jc w:val="center"/>
              <w:rPr>
                <w:b/>
                <w:bCs/>
              </w:rPr>
            </w:pPr>
            <w:r w:rsidRPr="00903F9D">
              <w:rPr>
                <w:b/>
                <w:bCs/>
              </w:rPr>
              <w:t>Lumbar spine / vertebral</w:t>
            </w:r>
          </w:p>
        </w:tc>
        <w:tc>
          <w:tcPr>
            <w:tcW w:w="1817" w:type="pct"/>
            <w:gridSpan w:val="2"/>
            <w:shd w:val="clear" w:color="auto" w:fill="auto"/>
            <w:vAlign w:val="center"/>
          </w:tcPr>
          <w:p w14:paraId="00C6C397" w14:textId="77777777" w:rsidR="00C2331A" w:rsidRPr="00903F9D" w:rsidRDefault="00C2331A" w:rsidP="00E64C7E">
            <w:pPr>
              <w:pStyle w:val="TableText"/>
              <w:keepNext/>
              <w:keepLines/>
              <w:jc w:val="center"/>
              <w:rPr>
                <w:b/>
                <w:bCs/>
              </w:rPr>
            </w:pPr>
            <w:r w:rsidRPr="00903F9D">
              <w:rPr>
                <w:b/>
                <w:bCs/>
              </w:rPr>
              <w:t>Femoral neck</w:t>
            </w:r>
          </w:p>
        </w:tc>
      </w:tr>
      <w:tr w:rsidR="00C2331A" w:rsidRPr="00903F9D" w14:paraId="0C9306A4" w14:textId="77777777" w:rsidTr="00694AFE">
        <w:tc>
          <w:tcPr>
            <w:tcW w:w="5000" w:type="pct"/>
            <w:gridSpan w:val="6"/>
            <w:shd w:val="clear" w:color="auto" w:fill="auto"/>
            <w:vAlign w:val="center"/>
          </w:tcPr>
          <w:p w14:paraId="0C78AD0A" w14:textId="77777777" w:rsidR="00C2331A" w:rsidRPr="00903F9D" w:rsidRDefault="00C2331A" w:rsidP="00E64C7E">
            <w:pPr>
              <w:pStyle w:val="TableText"/>
              <w:keepNext/>
              <w:keepLines/>
            </w:pPr>
            <w:r w:rsidRPr="00903F9D">
              <w:rPr>
                <w:b/>
                <w:bCs/>
              </w:rPr>
              <w:t>Osteoporotic and non-osteoporotic patients</w:t>
            </w:r>
            <w:r w:rsidRPr="00903F9D">
              <w:rPr>
                <w:b/>
                <w:bCs/>
                <w:vertAlign w:val="superscript"/>
              </w:rPr>
              <w:t>+</w:t>
            </w:r>
            <w:r w:rsidRPr="00903F9D">
              <w:rPr>
                <w:b/>
                <w:bCs/>
              </w:rPr>
              <w:t>: identification of incident fragility fracture</w:t>
            </w:r>
            <w:r w:rsidR="00AA07A6" w:rsidRPr="00903F9D">
              <w:rPr>
                <w:b/>
                <w:bCs/>
              </w:rPr>
              <w:t>*</w:t>
            </w:r>
          </w:p>
        </w:tc>
      </w:tr>
      <w:tr w:rsidR="00C2331A" w:rsidRPr="00903F9D" w14:paraId="65448050" w14:textId="77777777" w:rsidTr="00694AFE">
        <w:tc>
          <w:tcPr>
            <w:tcW w:w="893" w:type="pct"/>
            <w:vMerge w:val="restart"/>
            <w:shd w:val="clear" w:color="auto" w:fill="auto"/>
            <w:vAlign w:val="center"/>
          </w:tcPr>
          <w:p w14:paraId="7F728948" w14:textId="77777777" w:rsidR="00C2331A" w:rsidRPr="00903F9D" w:rsidRDefault="00C2331A" w:rsidP="00E64C7E">
            <w:pPr>
              <w:pStyle w:val="TableText"/>
              <w:keepNext/>
              <w:keepLines/>
            </w:pPr>
            <w:r w:rsidRPr="00903F9D">
              <w:t>DXA</w:t>
            </w:r>
          </w:p>
        </w:tc>
        <w:tc>
          <w:tcPr>
            <w:tcW w:w="672" w:type="pct"/>
            <w:shd w:val="clear" w:color="auto" w:fill="auto"/>
            <w:vAlign w:val="center"/>
          </w:tcPr>
          <w:p w14:paraId="680988D6" w14:textId="7FCCF9EE" w:rsidR="00C2331A" w:rsidRPr="00903F9D" w:rsidRDefault="00C2331A" w:rsidP="00E64C7E">
            <w:pPr>
              <w:pStyle w:val="TableText"/>
              <w:keepNext/>
              <w:keepLines/>
            </w:pPr>
            <w:r w:rsidRPr="00903F9D">
              <w:t>Sensitivity</w:t>
            </w:r>
          </w:p>
        </w:tc>
        <w:tc>
          <w:tcPr>
            <w:tcW w:w="522" w:type="pct"/>
            <w:shd w:val="clear" w:color="auto" w:fill="auto"/>
            <w:vAlign w:val="center"/>
          </w:tcPr>
          <w:p w14:paraId="50D37958" w14:textId="77777777" w:rsidR="00C2331A" w:rsidRPr="00903F9D" w:rsidRDefault="00C2331A" w:rsidP="00E64C7E">
            <w:pPr>
              <w:pStyle w:val="TableText"/>
              <w:keepNext/>
              <w:keepLines/>
              <w:jc w:val="center"/>
            </w:pPr>
            <w:r w:rsidRPr="00903F9D">
              <w:t>57.1%</w:t>
            </w:r>
          </w:p>
        </w:tc>
        <w:tc>
          <w:tcPr>
            <w:tcW w:w="1096" w:type="pct"/>
            <w:vMerge w:val="restart"/>
            <w:shd w:val="clear" w:color="auto" w:fill="auto"/>
            <w:vAlign w:val="center"/>
          </w:tcPr>
          <w:p w14:paraId="7BBFF12C" w14:textId="77777777" w:rsidR="006E55D0" w:rsidRPr="00903F9D" w:rsidRDefault="00C2331A" w:rsidP="00E64C7E">
            <w:pPr>
              <w:pStyle w:val="TableText"/>
              <w:keepNext/>
              <w:keepLines/>
              <w:jc w:val="center"/>
              <w:rPr>
                <w:b/>
                <w:bCs/>
              </w:rPr>
            </w:pPr>
            <w:r w:rsidRPr="00903F9D">
              <w:rPr>
                <w:b/>
                <w:bCs/>
              </w:rPr>
              <w:t>OR 1.7; p=0.0032</w:t>
            </w:r>
          </w:p>
          <w:p w14:paraId="5BE30B9E" w14:textId="669BA2C3" w:rsidR="00C2331A" w:rsidRPr="00903F9D" w:rsidRDefault="006E55D0" w:rsidP="00E64C7E">
            <w:pPr>
              <w:pStyle w:val="TableText"/>
              <w:keepNext/>
              <w:keepLines/>
              <w:jc w:val="center"/>
              <w:rPr>
                <w:b/>
                <w:bCs/>
              </w:rPr>
            </w:pPr>
            <w:r w:rsidRPr="00903F9D">
              <w:rPr>
                <w:b/>
                <w:bCs/>
              </w:rPr>
              <w:t>(95% CI 1.20, 2.51)</w:t>
            </w:r>
          </w:p>
        </w:tc>
        <w:tc>
          <w:tcPr>
            <w:tcW w:w="755" w:type="pct"/>
            <w:shd w:val="clear" w:color="auto" w:fill="auto"/>
            <w:vAlign w:val="center"/>
          </w:tcPr>
          <w:p w14:paraId="3041A6C2" w14:textId="77777777" w:rsidR="00C2331A" w:rsidRPr="00903F9D" w:rsidRDefault="00C2331A" w:rsidP="00E64C7E">
            <w:pPr>
              <w:pStyle w:val="TableText"/>
              <w:keepNext/>
              <w:keepLines/>
              <w:jc w:val="center"/>
            </w:pPr>
            <w:r w:rsidRPr="00903F9D">
              <w:t>42.3%</w:t>
            </w:r>
          </w:p>
        </w:tc>
        <w:tc>
          <w:tcPr>
            <w:tcW w:w="1062" w:type="pct"/>
            <w:vMerge w:val="restart"/>
            <w:shd w:val="clear" w:color="auto" w:fill="auto"/>
            <w:vAlign w:val="center"/>
          </w:tcPr>
          <w:p w14:paraId="6261E3D5" w14:textId="77777777" w:rsidR="00C2331A" w:rsidRPr="00903F9D" w:rsidRDefault="00C2331A" w:rsidP="00E64C7E">
            <w:pPr>
              <w:pStyle w:val="TableText"/>
              <w:keepNext/>
              <w:keepLines/>
              <w:jc w:val="center"/>
              <w:rPr>
                <w:b/>
                <w:bCs/>
              </w:rPr>
            </w:pPr>
            <w:r w:rsidRPr="00903F9D">
              <w:rPr>
                <w:b/>
                <w:bCs/>
              </w:rPr>
              <w:t>OR 2.68; p&lt;0.001</w:t>
            </w:r>
          </w:p>
          <w:p w14:paraId="61A72BB4" w14:textId="035EBB9C" w:rsidR="006E55D0" w:rsidRPr="00903F9D" w:rsidRDefault="006E55D0" w:rsidP="00E64C7E">
            <w:pPr>
              <w:pStyle w:val="TableText"/>
              <w:keepNext/>
              <w:keepLines/>
              <w:jc w:val="center"/>
            </w:pPr>
            <w:r w:rsidRPr="00903F9D">
              <w:rPr>
                <w:b/>
                <w:bCs/>
              </w:rPr>
              <w:t>(95% CI 1.71, 4.21)</w:t>
            </w:r>
          </w:p>
        </w:tc>
      </w:tr>
      <w:tr w:rsidR="00C2331A" w:rsidRPr="00903F9D" w14:paraId="77D0BEC9" w14:textId="77777777" w:rsidTr="00694AFE">
        <w:tc>
          <w:tcPr>
            <w:tcW w:w="893" w:type="pct"/>
            <w:vMerge/>
            <w:shd w:val="clear" w:color="auto" w:fill="auto"/>
            <w:vAlign w:val="center"/>
          </w:tcPr>
          <w:p w14:paraId="0FFB7ACC" w14:textId="77777777" w:rsidR="00C2331A" w:rsidRPr="00903F9D" w:rsidRDefault="00C2331A" w:rsidP="00E64C7E">
            <w:pPr>
              <w:pStyle w:val="TableText"/>
              <w:keepNext/>
              <w:keepLines/>
            </w:pPr>
          </w:p>
        </w:tc>
        <w:tc>
          <w:tcPr>
            <w:tcW w:w="672" w:type="pct"/>
            <w:shd w:val="clear" w:color="auto" w:fill="auto"/>
            <w:vAlign w:val="center"/>
          </w:tcPr>
          <w:p w14:paraId="3DA28FA5" w14:textId="77777777" w:rsidR="00C2331A" w:rsidRPr="00903F9D" w:rsidRDefault="00C2331A" w:rsidP="00E64C7E">
            <w:pPr>
              <w:pStyle w:val="TableText"/>
              <w:keepNext/>
              <w:keepLines/>
            </w:pPr>
            <w:r w:rsidRPr="00903F9D">
              <w:t>Specificity</w:t>
            </w:r>
          </w:p>
        </w:tc>
        <w:tc>
          <w:tcPr>
            <w:tcW w:w="522" w:type="pct"/>
            <w:shd w:val="clear" w:color="auto" w:fill="auto"/>
            <w:vAlign w:val="center"/>
          </w:tcPr>
          <w:p w14:paraId="206D74E0" w14:textId="77777777" w:rsidR="00C2331A" w:rsidRPr="00903F9D" w:rsidRDefault="00C2331A" w:rsidP="00E64C7E">
            <w:pPr>
              <w:pStyle w:val="TableText"/>
              <w:keepNext/>
              <w:keepLines/>
              <w:jc w:val="center"/>
            </w:pPr>
            <w:r w:rsidRPr="00903F9D">
              <w:t>56.3%</w:t>
            </w:r>
          </w:p>
        </w:tc>
        <w:tc>
          <w:tcPr>
            <w:tcW w:w="1096" w:type="pct"/>
            <w:vMerge/>
            <w:shd w:val="clear" w:color="auto" w:fill="auto"/>
            <w:vAlign w:val="center"/>
          </w:tcPr>
          <w:p w14:paraId="2229773D" w14:textId="77777777" w:rsidR="00C2331A" w:rsidRPr="00903F9D" w:rsidRDefault="00C2331A" w:rsidP="00E64C7E">
            <w:pPr>
              <w:pStyle w:val="TableText"/>
              <w:keepNext/>
              <w:keepLines/>
              <w:jc w:val="center"/>
              <w:rPr>
                <w:b/>
                <w:bCs/>
              </w:rPr>
            </w:pPr>
          </w:p>
        </w:tc>
        <w:tc>
          <w:tcPr>
            <w:tcW w:w="755" w:type="pct"/>
            <w:shd w:val="clear" w:color="auto" w:fill="auto"/>
            <w:vAlign w:val="center"/>
          </w:tcPr>
          <w:p w14:paraId="2BD02C0A" w14:textId="77777777" w:rsidR="00C2331A" w:rsidRPr="00903F9D" w:rsidRDefault="00C2331A" w:rsidP="00E64C7E">
            <w:pPr>
              <w:pStyle w:val="TableText"/>
              <w:keepNext/>
              <w:keepLines/>
              <w:jc w:val="center"/>
            </w:pPr>
            <w:r w:rsidRPr="00903F9D">
              <w:t>79.3%</w:t>
            </w:r>
          </w:p>
        </w:tc>
        <w:tc>
          <w:tcPr>
            <w:tcW w:w="1062" w:type="pct"/>
            <w:vMerge/>
            <w:shd w:val="clear" w:color="auto" w:fill="auto"/>
            <w:vAlign w:val="center"/>
          </w:tcPr>
          <w:p w14:paraId="6C363D0B" w14:textId="77777777" w:rsidR="00C2331A" w:rsidRPr="00903F9D" w:rsidRDefault="00C2331A" w:rsidP="00E64C7E">
            <w:pPr>
              <w:pStyle w:val="TableText"/>
              <w:keepNext/>
              <w:keepLines/>
              <w:jc w:val="center"/>
            </w:pPr>
          </w:p>
        </w:tc>
      </w:tr>
      <w:tr w:rsidR="00C2331A" w:rsidRPr="00903F9D" w14:paraId="747F3E69" w14:textId="77777777" w:rsidTr="00694AFE">
        <w:tc>
          <w:tcPr>
            <w:tcW w:w="893" w:type="pct"/>
            <w:vMerge w:val="restart"/>
            <w:shd w:val="clear" w:color="auto" w:fill="auto"/>
            <w:vAlign w:val="center"/>
          </w:tcPr>
          <w:p w14:paraId="1E342586" w14:textId="77777777" w:rsidR="00C2331A" w:rsidRPr="00903F9D" w:rsidRDefault="00C2331A" w:rsidP="00E64C7E">
            <w:pPr>
              <w:pStyle w:val="TableText"/>
              <w:keepNext/>
              <w:keepLines/>
            </w:pPr>
            <w:r w:rsidRPr="00903F9D">
              <w:t>REMS</w:t>
            </w:r>
          </w:p>
        </w:tc>
        <w:tc>
          <w:tcPr>
            <w:tcW w:w="672" w:type="pct"/>
            <w:shd w:val="clear" w:color="auto" w:fill="auto"/>
            <w:vAlign w:val="center"/>
          </w:tcPr>
          <w:p w14:paraId="51904CF0" w14:textId="759D0B21" w:rsidR="00C2331A" w:rsidRPr="00903F9D" w:rsidRDefault="00C2331A" w:rsidP="00E64C7E">
            <w:pPr>
              <w:pStyle w:val="TableText"/>
              <w:keepNext/>
              <w:keepLines/>
            </w:pPr>
            <w:r w:rsidRPr="00903F9D">
              <w:t>Sensitivity</w:t>
            </w:r>
          </w:p>
        </w:tc>
        <w:tc>
          <w:tcPr>
            <w:tcW w:w="522" w:type="pct"/>
            <w:shd w:val="clear" w:color="auto" w:fill="auto"/>
            <w:vAlign w:val="center"/>
          </w:tcPr>
          <w:p w14:paraId="27E46310" w14:textId="77777777" w:rsidR="00C2331A" w:rsidRPr="00903F9D" w:rsidRDefault="00C2331A" w:rsidP="00E64C7E">
            <w:pPr>
              <w:pStyle w:val="TableText"/>
              <w:keepNext/>
              <w:keepLines/>
              <w:jc w:val="center"/>
            </w:pPr>
            <w:r w:rsidRPr="00903F9D">
              <w:t>65.1%</w:t>
            </w:r>
          </w:p>
        </w:tc>
        <w:tc>
          <w:tcPr>
            <w:tcW w:w="1096" w:type="pct"/>
            <w:vMerge w:val="restart"/>
            <w:shd w:val="clear" w:color="auto" w:fill="auto"/>
            <w:vAlign w:val="center"/>
          </w:tcPr>
          <w:p w14:paraId="36633D3E" w14:textId="77777777" w:rsidR="00C2331A" w:rsidRPr="00903F9D" w:rsidRDefault="00C2331A" w:rsidP="00E64C7E">
            <w:pPr>
              <w:pStyle w:val="TableText"/>
              <w:keepNext/>
              <w:keepLines/>
              <w:jc w:val="center"/>
              <w:rPr>
                <w:b/>
                <w:bCs/>
              </w:rPr>
            </w:pPr>
            <w:r w:rsidRPr="00903F9D">
              <w:rPr>
                <w:b/>
                <w:bCs/>
              </w:rPr>
              <w:t>OR 2.6; p&lt;0.000</w:t>
            </w:r>
          </w:p>
          <w:p w14:paraId="7FB92869" w14:textId="37DECA09" w:rsidR="006E55D0" w:rsidRPr="00903F9D" w:rsidRDefault="006E55D0" w:rsidP="00E64C7E">
            <w:pPr>
              <w:pStyle w:val="TableText"/>
              <w:keepNext/>
              <w:keepLines/>
              <w:jc w:val="center"/>
              <w:rPr>
                <w:b/>
                <w:bCs/>
              </w:rPr>
            </w:pPr>
            <w:r w:rsidRPr="00903F9D">
              <w:rPr>
                <w:b/>
                <w:bCs/>
              </w:rPr>
              <w:t>(95% CI 1.77, 3.76)</w:t>
            </w:r>
          </w:p>
        </w:tc>
        <w:tc>
          <w:tcPr>
            <w:tcW w:w="755" w:type="pct"/>
            <w:shd w:val="clear" w:color="auto" w:fill="auto"/>
            <w:vAlign w:val="center"/>
          </w:tcPr>
          <w:p w14:paraId="7D504EE9" w14:textId="77777777" w:rsidR="00C2331A" w:rsidRPr="00903F9D" w:rsidRDefault="00C2331A" w:rsidP="00E64C7E">
            <w:pPr>
              <w:pStyle w:val="TableText"/>
              <w:keepNext/>
              <w:keepLines/>
              <w:jc w:val="center"/>
            </w:pPr>
            <w:r w:rsidRPr="00903F9D">
              <w:t>40.2%</w:t>
            </w:r>
          </w:p>
        </w:tc>
        <w:tc>
          <w:tcPr>
            <w:tcW w:w="1062" w:type="pct"/>
            <w:vMerge w:val="restart"/>
            <w:shd w:val="clear" w:color="auto" w:fill="auto"/>
            <w:vAlign w:val="center"/>
          </w:tcPr>
          <w:p w14:paraId="5BAF5796" w14:textId="77777777" w:rsidR="00C2331A" w:rsidRPr="00903F9D" w:rsidRDefault="00C2331A" w:rsidP="00E64C7E">
            <w:pPr>
              <w:pStyle w:val="TableText"/>
              <w:keepNext/>
              <w:keepLines/>
              <w:jc w:val="center"/>
              <w:rPr>
                <w:b/>
                <w:bCs/>
              </w:rPr>
            </w:pPr>
            <w:r w:rsidRPr="00903F9D">
              <w:rPr>
                <w:b/>
                <w:bCs/>
              </w:rPr>
              <w:t>OR 2.81; p&lt;0.001</w:t>
            </w:r>
          </w:p>
          <w:p w14:paraId="0CF029C6" w14:textId="116C7D9A" w:rsidR="006E55D0" w:rsidRPr="00903F9D" w:rsidRDefault="006E55D0" w:rsidP="00E64C7E">
            <w:pPr>
              <w:pStyle w:val="TableText"/>
              <w:keepNext/>
              <w:keepLines/>
              <w:jc w:val="center"/>
            </w:pPr>
            <w:r w:rsidRPr="00903F9D">
              <w:rPr>
                <w:b/>
                <w:bCs/>
              </w:rPr>
              <w:t>(95% CI 1.80, 4.39)</w:t>
            </w:r>
          </w:p>
        </w:tc>
      </w:tr>
      <w:tr w:rsidR="00C2331A" w:rsidRPr="00903F9D" w14:paraId="26635DFB" w14:textId="77777777" w:rsidTr="00694AFE">
        <w:tc>
          <w:tcPr>
            <w:tcW w:w="893" w:type="pct"/>
            <w:vMerge/>
            <w:shd w:val="clear" w:color="auto" w:fill="auto"/>
            <w:vAlign w:val="center"/>
          </w:tcPr>
          <w:p w14:paraId="508A25CC" w14:textId="77777777" w:rsidR="00C2331A" w:rsidRPr="00903F9D" w:rsidRDefault="00C2331A" w:rsidP="00E64C7E">
            <w:pPr>
              <w:pStyle w:val="TableText"/>
              <w:keepNext/>
              <w:keepLines/>
            </w:pPr>
          </w:p>
        </w:tc>
        <w:tc>
          <w:tcPr>
            <w:tcW w:w="672" w:type="pct"/>
            <w:shd w:val="clear" w:color="auto" w:fill="auto"/>
            <w:vAlign w:val="center"/>
          </w:tcPr>
          <w:p w14:paraId="5ED8F36D" w14:textId="77777777" w:rsidR="00C2331A" w:rsidRPr="00903F9D" w:rsidRDefault="00C2331A" w:rsidP="00E64C7E">
            <w:pPr>
              <w:pStyle w:val="TableText"/>
              <w:keepNext/>
              <w:keepLines/>
            </w:pPr>
            <w:r w:rsidRPr="00903F9D">
              <w:t>Specificity</w:t>
            </w:r>
          </w:p>
        </w:tc>
        <w:tc>
          <w:tcPr>
            <w:tcW w:w="522" w:type="pct"/>
            <w:shd w:val="clear" w:color="auto" w:fill="auto"/>
            <w:vAlign w:val="center"/>
          </w:tcPr>
          <w:p w14:paraId="43FF8127" w14:textId="77777777" w:rsidR="00C2331A" w:rsidRPr="00903F9D" w:rsidRDefault="00C2331A" w:rsidP="00E64C7E">
            <w:pPr>
              <w:pStyle w:val="TableText"/>
              <w:keepNext/>
              <w:keepLines/>
              <w:jc w:val="center"/>
            </w:pPr>
            <w:r w:rsidRPr="00903F9D">
              <w:t>57.7%</w:t>
            </w:r>
          </w:p>
        </w:tc>
        <w:tc>
          <w:tcPr>
            <w:tcW w:w="1096" w:type="pct"/>
            <w:vMerge/>
            <w:shd w:val="clear" w:color="auto" w:fill="auto"/>
            <w:vAlign w:val="center"/>
          </w:tcPr>
          <w:p w14:paraId="3C0A85DE" w14:textId="77777777" w:rsidR="00C2331A" w:rsidRPr="00903F9D" w:rsidRDefault="00C2331A" w:rsidP="00E64C7E">
            <w:pPr>
              <w:pStyle w:val="TableText"/>
              <w:keepNext/>
              <w:keepLines/>
              <w:jc w:val="center"/>
            </w:pPr>
          </w:p>
        </w:tc>
        <w:tc>
          <w:tcPr>
            <w:tcW w:w="755" w:type="pct"/>
            <w:shd w:val="clear" w:color="auto" w:fill="auto"/>
            <w:vAlign w:val="center"/>
          </w:tcPr>
          <w:p w14:paraId="7ABE612C" w14:textId="77777777" w:rsidR="00C2331A" w:rsidRPr="00903F9D" w:rsidRDefault="00C2331A" w:rsidP="00E64C7E">
            <w:pPr>
              <w:pStyle w:val="TableText"/>
              <w:keepNext/>
              <w:keepLines/>
              <w:jc w:val="center"/>
            </w:pPr>
            <w:r w:rsidRPr="00903F9D">
              <w:t>79.9%</w:t>
            </w:r>
          </w:p>
        </w:tc>
        <w:tc>
          <w:tcPr>
            <w:tcW w:w="1062" w:type="pct"/>
            <w:vMerge/>
            <w:shd w:val="clear" w:color="auto" w:fill="auto"/>
            <w:vAlign w:val="center"/>
          </w:tcPr>
          <w:p w14:paraId="74A2D8C8" w14:textId="77777777" w:rsidR="00C2331A" w:rsidRPr="00903F9D" w:rsidRDefault="00C2331A" w:rsidP="00E64C7E">
            <w:pPr>
              <w:pStyle w:val="TableText"/>
              <w:keepNext/>
              <w:keepLines/>
              <w:jc w:val="center"/>
            </w:pPr>
          </w:p>
        </w:tc>
      </w:tr>
      <w:tr w:rsidR="00C2331A" w:rsidRPr="00903F9D" w14:paraId="57113908" w14:textId="77777777" w:rsidTr="00694AFE">
        <w:tc>
          <w:tcPr>
            <w:tcW w:w="5000" w:type="pct"/>
            <w:gridSpan w:val="6"/>
            <w:shd w:val="clear" w:color="auto" w:fill="auto"/>
            <w:vAlign w:val="center"/>
          </w:tcPr>
          <w:p w14:paraId="4D191A42" w14:textId="40950D4D" w:rsidR="00C2331A" w:rsidRPr="00903F9D" w:rsidRDefault="00C2331A" w:rsidP="00E64C7E">
            <w:pPr>
              <w:pStyle w:val="TableText"/>
              <w:keepNext/>
              <w:keepLines/>
              <w:rPr>
                <w:b/>
                <w:bCs/>
              </w:rPr>
            </w:pPr>
            <w:r w:rsidRPr="00903F9D">
              <w:rPr>
                <w:b/>
                <w:bCs/>
              </w:rPr>
              <w:t>Identified as “healthy” who did not have a fracture during follow-up</w:t>
            </w:r>
          </w:p>
        </w:tc>
      </w:tr>
      <w:tr w:rsidR="00C2331A" w:rsidRPr="00903F9D" w14:paraId="3E22AE18" w14:textId="77777777" w:rsidTr="00694AFE">
        <w:tc>
          <w:tcPr>
            <w:tcW w:w="893" w:type="pct"/>
            <w:shd w:val="clear" w:color="auto" w:fill="auto"/>
            <w:vAlign w:val="center"/>
          </w:tcPr>
          <w:p w14:paraId="4AC5C6B1" w14:textId="77777777" w:rsidR="00C2331A" w:rsidRPr="00903F9D" w:rsidRDefault="00C2331A" w:rsidP="00E64C7E">
            <w:pPr>
              <w:pStyle w:val="TableText"/>
              <w:keepNext/>
              <w:keepLines/>
              <w:ind w:left="164"/>
            </w:pPr>
            <w:r w:rsidRPr="00903F9D">
              <w:t>DXA</w:t>
            </w:r>
          </w:p>
        </w:tc>
        <w:tc>
          <w:tcPr>
            <w:tcW w:w="672" w:type="pct"/>
            <w:shd w:val="clear" w:color="auto" w:fill="auto"/>
            <w:vAlign w:val="center"/>
          </w:tcPr>
          <w:p w14:paraId="20644586" w14:textId="77777777" w:rsidR="00C2331A" w:rsidRPr="00903F9D" w:rsidRDefault="00C2331A" w:rsidP="00E64C7E">
            <w:pPr>
              <w:pStyle w:val="TableText"/>
              <w:keepNext/>
              <w:keepLines/>
            </w:pPr>
            <w:r w:rsidRPr="00903F9D">
              <w:t xml:space="preserve">% </w:t>
            </w:r>
            <w:proofErr w:type="gramStart"/>
            <w:r w:rsidRPr="00903F9D">
              <w:t>patients</w:t>
            </w:r>
            <w:proofErr w:type="gramEnd"/>
          </w:p>
        </w:tc>
        <w:tc>
          <w:tcPr>
            <w:tcW w:w="522" w:type="pct"/>
            <w:shd w:val="clear" w:color="auto" w:fill="auto"/>
            <w:vAlign w:val="center"/>
          </w:tcPr>
          <w:p w14:paraId="41CBFB9F" w14:textId="77777777" w:rsidR="00C2331A" w:rsidRPr="00903F9D" w:rsidRDefault="00C2331A" w:rsidP="00E64C7E">
            <w:pPr>
              <w:pStyle w:val="TableText"/>
              <w:keepNext/>
              <w:keepLines/>
              <w:jc w:val="center"/>
            </w:pPr>
            <w:r w:rsidRPr="00903F9D">
              <w:t>75.6%</w:t>
            </w:r>
          </w:p>
        </w:tc>
        <w:tc>
          <w:tcPr>
            <w:tcW w:w="1096" w:type="pct"/>
            <w:shd w:val="clear" w:color="auto" w:fill="auto"/>
            <w:vAlign w:val="center"/>
          </w:tcPr>
          <w:p w14:paraId="4980E9B7" w14:textId="77777777" w:rsidR="00C2331A" w:rsidRPr="00903F9D" w:rsidRDefault="00C2331A" w:rsidP="00E64C7E">
            <w:pPr>
              <w:pStyle w:val="TableText"/>
              <w:keepNext/>
              <w:keepLines/>
              <w:jc w:val="center"/>
            </w:pPr>
            <w:r w:rsidRPr="00903F9D">
              <w:t>-</w:t>
            </w:r>
          </w:p>
        </w:tc>
        <w:tc>
          <w:tcPr>
            <w:tcW w:w="755" w:type="pct"/>
            <w:shd w:val="clear" w:color="auto" w:fill="auto"/>
            <w:vAlign w:val="center"/>
          </w:tcPr>
          <w:p w14:paraId="7192DAFC" w14:textId="77777777" w:rsidR="00C2331A" w:rsidRPr="00903F9D" w:rsidRDefault="00C2331A" w:rsidP="00E64C7E">
            <w:pPr>
              <w:pStyle w:val="TableText"/>
              <w:keepNext/>
              <w:keepLines/>
              <w:jc w:val="center"/>
            </w:pPr>
            <w:r w:rsidRPr="00903F9D">
              <w:t>NR</w:t>
            </w:r>
          </w:p>
        </w:tc>
        <w:tc>
          <w:tcPr>
            <w:tcW w:w="1062" w:type="pct"/>
            <w:shd w:val="clear" w:color="auto" w:fill="auto"/>
            <w:vAlign w:val="center"/>
          </w:tcPr>
          <w:p w14:paraId="29E7D6A8" w14:textId="77777777" w:rsidR="00C2331A" w:rsidRPr="00903F9D" w:rsidRDefault="00C2331A" w:rsidP="00E64C7E">
            <w:pPr>
              <w:pStyle w:val="TableText"/>
              <w:keepNext/>
              <w:keepLines/>
              <w:jc w:val="center"/>
            </w:pPr>
            <w:r w:rsidRPr="00903F9D">
              <w:t>-</w:t>
            </w:r>
          </w:p>
        </w:tc>
      </w:tr>
      <w:tr w:rsidR="00C2331A" w:rsidRPr="00903F9D" w14:paraId="31738BD1" w14:textId="77777777" w:rsidTr="00694AFE">
        <w:tc>
          <w:tcPr>
            <w:tcW w:w="893" w:type="pct"/>
            <w:shd w:val="clear" w:color="auto" w:fill="auto"/>
            <w:vAlign w:val="center"/>
          </w:tcPr>
          <w:p w14:paraId="537D97FF" w14:textId="77777777" w:rsidR="00C2331A" w:rsidRPr="00903F9D" w:rsidRDefault="00C2331A" w:rsidP="00E64C7E">
            <w:pPr>
              <w:pStyle w:val="TableText"/>
              <w:keepNext/>
              <w:keepLines/>
              <w:ind w:left="164"/>
            </w:pPr>
            <w:r w:rsidRPr="00903F9D">
              <w:t>REMS</w:t>
            </w:r>
          </w:p>
        </w:tc>
        <w:tc>
          <w:tcPr>
            <w:tcW w:w="672" w:type="pct"/>
            <w:shd w:val="clear" w:color="auto" w:fill="auto"/>
            <w:vAlign w:val="center"/>
          </w:tcPr>
          <w:p w14:paraId="143D0434" w14:textId="77777777" w:rsidR="00C2331A" w:rsidRPr="00903F9D" w:rsidRDefault="00C2331A" w:rsidP="00E64C7E">
            <w:pPr>
              <w:pStyle w:val="TableText"/>
              <w:keepNext/>
              <w:keepLines/>
            </w:pPr>
            <w:r w:rsidRPr="00903F9D">
              <w:t xml:space="preserve">% </w:t>
            </w:r>
            <w:proofErr w:type="gramStart"/>
            <w:r w:rsidRPr="00903F9D">
              <w:t>patients</w:t>
            </w:r>
            <w:proofErr w:type="gramEnd"/>
          </w:p>
        </w:tc>
        <w:tc>
          <w:tcPr>
            <w:tcW w:w="522" w:type="pct"/>
            <w:shd w:val="clear" w:color="auto" w:fill="auto"/>
            <w:vAlign w:val="center"/>
          </w:tcPr>
          <w:p w14:paraId="03D70E52" w14:textId="77777777" w:rsidR="00C2331A" w:rsidRPr="00903F9D" w:rsidRDefault="00C2331A" w:rsidP="00E64C7E">
            <w:pPr>
              <w:pStyle w:val="TableText"/>
              <w:keepNext/>
              <w:keepLines/>
              <w:jc w:val="center"/>
            </w:pPr>
            <w:r w:rsidRPr="00903F9D">
              <w:t>74.5%</w:t>
            </w:r>
          </w:p>
        </w:tc>
        <w:tc>
          <w:tcPr>
            <w:tcW w:w="1096" w:type="pct"/>
            <w:shd w:val="clear" w:color="auto" w:fill="auto"/>
            <w:vAlign w:val="center"/>
          </w:tcPr>
          <w:p w14:paraId="6C4D0194" w14:textId="77777777" w:rsidR="00C2331A" w:rsidRPr="00903F9D" w:rsidRDefault="00C2331A" w:rsidP="00E64C7E">
            <w:pPr>
              <w:pStyle w:val="TableText"/>
              <w:keepNext/>
              <w:keepLines/>
              <w:jc w:val="center"/>
            </w:pPr>
            <w:r w:rsidRPr="00903F9D">
              <w:t>-</w:t>
            </w:r>
          </w:p>
        </w:tc>
        <w:tc>
          <w:tcPr>
            <w:tcW w:w="755" w:type="pct"/>
            <w:shd w:val="clear" w:color="auto" w:fill="auto"/>
            <w:vAlign w:val="center"/>
          </w:tcPr>
          <w:p w14:paraId="614287E5" w14:textId="77777777" w:rsidR="00C2331A" w:rsidRPr="00903F9D" w:rsidRDefault="00C2331A" w:rsidP="00E64C7E">
            <w:pPr>
              <w:pStyle w:val="TableText"/>
              <w:keepNext/>
              <w:keepLines/>
              <w:jc w:val="center"/>
            </w:pPr>
            <w:r w:rsidRPr="00903F9D">
              <w:t>NR</w:t>
            </w:r>
          </w:p>
        </w:tc>
        <w:tc>
          <w:tcPr>
            <w:tcW w:w="1062" w:type="pct"/>
            <w:shd w:val="clear" w:color="auto" w:fill="auto"/>
            <w:vAlign w:val="center"/>
          </w:tcPr>
          <w:p w14:paraId="50644338" w14:textId="77777777" w:rsidR="00C2331A" w:rsidRPr="00903F9D" w:rsidRDefault="00C2331A" w:rsidP="00E64C7E">
            <w:pPr>
              <w:pStyle w:val="TableText"/>
              <w:keepNext/>
              <w:keepLines/>
              <w:jc w:val="center"/>
            </w:pPr>
            <w:r w:rsidRPr="00903F9D">
              <w:t>-</w:t>
            </w:r>
          </w:p>
        </w:tc>
      </w:tr>
      <w:tr w:rsidR="00C2331A" w:rsidRPr="00903F9D" w14:paraId="5F67AD71" w14:textId="77777777" w:rsidTr="00694AFE">
        <w:tc>
          <w:tcPr>
            <w:tcW w:w="5000" w:type="pct"/>
            <w:gridSpan w:val="6"/>
            <w:shd w:val="clear" w:color="auto" w:fill="auto"/>
            <w:vAlign w:val="center"/>
          </w:tcPr>
          <w:p w14:paraId="38C7ADEA" w14:textId="77777777" w:rsidR="00C2331A" w:rsidRPr="00903F9D" w:rsidRDefault="00C2331A" w:rsidP="00E64C7E">
            <w:pPr>
              <w:pStyle w:val="TableText"/>
              <w:keepNext/>
              <w:keepLines/>
              <w:rPr>
                <w:b/>
                <w:bCs/>
              </w:rPr>
            </w:pPr>
            <w:r w:rsidRPr="00903F9D">
              <w:rPr>
                <w:b/>
                <w:bCs/>
              </w:rPr>
              <w:t>Identified as “osteoporotic” who had a fracture during follow-up</w:t>
            </w:r>
          </w:p>
        </w:tc>
      </w:tr>
      <w:tr w:rsidR="00C2331A" w:rsidRPr="00903F9D" w14:paraId="3886B57F" w14:textId="77777777" w:rsidTr="00694AFE">
        <w:tc>
          <w:tcPr>
            <w:tcW w:w="893" w:type="pct"/>
            <w:shd w:val="clear" w:color="auto" w:fill="auto"/>
            <w:vAlign w:val="center"/>
          </w:tcPr>
          <w:p w14:paraId="2775B42D" w14:textId="77777777" w:rsidR="00C2331A" w:rsidRPr="00903F9D" w:rsidRDefault="00C2331A" w:rsidP="00E64C7E">
            <w:pPr>
              <w:pStyle w:val="TableText"/>
              <w:keepNext/>
              <w:keepLines/>
              <w:ind w:left="164"/>
            </w:pPr>
            <w:r w:rsidRPr="00903F9D">
              <w:t>DXA</w:t>
            </w:r>
          </w:p>
        </w:tc>
        <w:tc>
          <w:tcPr>
            <w:tcW w:w="672" w:type="pct"/>
            <w:shd w:val="clear" w:color="auto" w:fill="auto"/>
            <w:vAlign w:val="center"/>
          </w:tcPr>
          <w:p w14:paraId="698DD9F1" w14:textId="77777777" w:rsidR="00C2331A" w:rsidRPr="00903F9D" w:rsidRDefault="00C2331A" w:rsidP="00E64C7E">
            <w:pPr>
              <w:pStyle w:val="TableText"/>
              <w:keepNext/>
              <w:keepLines/>
            </w:pPr>
            <w:r w:rsidRPr="00903F9D">
              <w:t xml:space="preserve">% </w:t>
            </w:r>
            <w:proofErr w:type="gramStart"/>
            <w:r w:rsidRPr="00903F9D">
              <w:t>patients</w:t>
            </w:r>
            <w:proofErr w:type="gramEnd"/>
          </w:p>
        </w:tc>
        <w:tc>
          <w:tcPr>
            <w:tcW w:w="522" w:type="pct"/>
            <w:shd w:val="clear" w:color="auto" w:fill="auto"/>
            <w:vAlign w:val="center"/>
          </w:tcPr>
          <w:p w14:paraId="01EEEA37" w14:textId="77777777" w:rsidR="00C2331A" w:rsidRPr="00903F9D" w:rsidRDefault="00C2331A" w:rsidP="00E64C7E">
            <w:pPr>
              <w:pStyle w:val="TableText"/>
              <w:keepNext/>
              <w:keepLines/>
              <w:jc w:val="center"/>
            </w:pPr>
            <w:r w:rsidRPr="00903F9D">
              <w:t>39.5%</w:t>
            </w:r>
          </w:p>
        </w:tc>
        <w:tc>
          <w:tcPr>
            <w:tcW w:w="1096" w:type="pct"/>
            <w:shd w:val="clear" w:color="auto" w:fill="auto"/>
            <w:vAlign w:val="center"/>
          </w:tcPr>
          <w:p w14:paraId="459BF687" w14:textId="77777777" w:rsidR="00C2331A" w:rsidRPr="00903F9D" w:rsidRDefault="00C2331A" w:rsidP="00E64C7E">
            <w:pPr>
              <w:pStyle w:val="TableText"/>
              <w:keepNext/>
              <w:keepLines/>
              <w:jc w:val="center"/>
            </w:pPr>
          </w:p>
        </w:tc>
        <w:tc>
          <w:tcPr>
            <w:tcW w:w="755" w:type="pct"/>
            <w:shd w:val="clear" w:color="auto" w:fill="auto"/>
            <w:vAlign w:val="center"/>
          </w:tcPr>
          <w:p w14:paraId="0B4D7BE1" w14:textId="77777777" w:rsidR="00C2331A" w:rsidRPr="00903F9D" w:rsidRDefault="00C2331A" w:rsidP="00E64C7E">
            <w:pPr>
              <w:pStyle w:val="TableText"/>
              <w:keepNext/>
              <w:keepLines/>
              <w:jc w:val="center"/>
            </w:pPr>
            <w:r w:rsidRPr="00903F9D">
              <w:t>NR</w:t>
            </w:r>
          </w:p>
        </w:tc>
        <w:tc>
          <w:tcPr>
            <w:tcW w:w="1062" w:type="pct"/>
            <w:shd w:val="clear" w:color="auto" w:fill="auto"/>
            <w:vAlign w:val="center"/>
          </w:tcPr>
          <w:p w14:paraId="36962142" w14:textId="77777777" w:rsidR="00C2331A" w:rsidRPr="00903F9D" w:rsidRDefault="00C2331A" w:rsidP="00E64C7E">
            <w:pPr>
              <w:pStyle w:val="TableText"/>
              <w:keepNext/>
              <w:keepLines/>
              <w:jc w:val="center"/>
            </w:pPr>
          </w:p>
        </w:tc>
      </w:tr>
      <w:tr w:rsidR="00C2331A" w:rsidRPr="00903F9D" w14:paraId="20CDE9E2" w14:textId="77777777" w:rsidTr="00694AFE">
        <w:tc>
          <w:tcPr>
            <w:tcW w:w="893" w:type="pct"/>
            <w:shd w:val="clear" w:color="auto" w:fill="auto"/>
            <w:vAlign w:val="center"/>
          </w:tcPr>
          <w:p w14:paraId="22ED9EC8" w14:textId="77777777" w:rsidR="00C2331A" w:rsidRPr="00903F9D" w:rsidRDefault="00C2331A" w:rsidP="00E64C7E">
            <w:pPr>
              <w:pStyle w:val="TableText"/>
              <w:keepNext/>
              <w:keepLines/>
              <w:ind w:left="164"/>
            </w:pPr>
            <w:r w:rsidRPr="00903F9D">
              <w:t>REMS</w:t>
            </w:r>
          </w:p>
        </w:tc>
        <w:tc>
          <w:tcPr>
            <w:tcW w:w="672" w:type="pct"/>
            <w:shd w:val="clear" w:color="auto" w:fill="auto"/>
            <w:vAlign w:val="center"/>
          </w:tcPr>
          <w:p w14:paraId="10F129BD" w14:textId="77777777" w:rsidR="00C2331A" w:rsidRPr="00903F9D" w:rsidRDefault="00C2331A" w:rsidP="00E64C7E">
            <w:pPr>
              <w:pStyle w:val="TableText"/>
              <w:keepNext/>
              <w:keepLines/>
            </w:pPr>
            <w:r w:rsidRPr="00903F9D">
              <w:t xml:space="preserve">% </w:t>
            </w:r>
            <w:proofErr w:type="gramStart"/>
            <w:r w:rsidRPr="00903F9D">
              <w:t>patients</w:t>
            </w:r>
            <w:proofErr w:type="gramEnd"/>
          </w:p>
        </w:tc>
        <w:tc>
          <w:tcPr>
            <w:tcW w:w="522" w:type="pct"/>
            <w:shd w:val="clear" w:color="auto" w:fill="auto"/>
            <w:vAlign w:val="center"/>
          </w:tcPr>
          <w:p w14:paraId="0EDAEB4A" w14:textId="77777777" w:rsidR="00C2331A" w:rsidRPr="00903F9D" w:rsidRDefault="00C2331A" w:rsidP="00E64C7E">
            <w:pPr>
              <w:pStyle w:val="TableText"/>
              <w:keepNext/>
              <w:keepLines/>
              <w:jc w:val="center"/>
            </w:pPr>
            <w:r w:rsidRPr="00903F9D">
              <w:t>43.7%</w:t>
            </w:r>
          </w:p>
        </w:tc>
        <w:tc>
          <w:tcPr>
            <w:tcW w:w="1096" w:type="pct"/>
            <w:shd w:val="clear" w:color="auto" w:fill="auto"/>
            <w:vAlign w:val="center"/>
          </w:tcPr>
          <w:p w14:paraId="7F812F20" w14:textId="77777777" w:rsidR="00C2331A" w:rsidRPr="00903F9D" w:rsidRDefault="00C2331A" w:rsidP="00E64C7E">
            <w:pPr>
              <w:pStyle w:val="TableText"/>
              <w:keepNext/>
              <w:keepLines/>
              <w:jc w:val="center"/>
            </w:pPr>
          </w:p>
        </w:tc>
        <w:tc>
          <w:tcPr>
            <w:tcW w:w="755" w:type="pct"/>
            <w:shd w:val="clear" w:color="auto" w:fill="auto"/>
            <w:vAlign w:val="center"/>
          </w:tcPr>
          <w:p w14:paraId="19F9D623" w14:textId="77777777" w:rsidR="00C2331A" w:rsidRPr="00903F9D" w:rsidRDefault="00C2331A" w:rsidP="00E64C7E">
            <w:pPr>
              <w:pStyle w:val="TableText"/>
              <w:keepNext/>
              <w:keepLines/>
              <w:jc w:val="center"/>
            </w:pPr>
            <w:r w:rsidRPr="00903F9D">
              <w:t>NR</w:t>
            </w:r>
          </w:p>
        </w:tc>
        <w:tc>
          <w:tcPr>
            <w:tcW w:w="1062" w:type="pct"/>
            <w:shd w:val="clear" w:color="auto" w:fill="auto"/>
            <w:vAlign w:val="center"/>
          </w:tcPr>
          <w:p w14:paraId="2098CBC4" w14:textId="77777777" w:rsidR="00C2331A" w:rsidRPr="00903F9D" w:rsidRDefault="00C2331A" w:rsidP="00E64C7E">
            <w:pPr>
              <w:pStyle w:val="TableText"/>
              <w:keepNext/>
              <w:keepLines/>
              <w:jc w:val="center"/>
            </w:pPr>
          </w:p>
        </w:tc>
      </w:tr>
      <w:tr w:rsidR="00C2331A" w:rsidRPr="00903F9D" w14:paraId="04E53F2E" w14:textId="77777777" w:rsidTr="00694AFE">
        <w:tc>
          <w:tcPr>
            <w:tcW w:w="5000" w:type="pct"/>
            <w:gridSpan w:val="6"/>
            <w:shd w:val="clear" w:color="auto" w:fill="auto"/>
            <w:vAlign w:val="center"/>
          </w:tcPr>
          <w:p w14:paraId="1692481D" w14:textId="77777777" w:rsidR="00C2331A" w:rsidRPr="00903F9D" w:rsidRDefault="00C2331A" w:rsidP="00E64C7E">
            <w:pPr>
              <w:pStyle w:val="TableText"/>
              <w:keepNext/>
              <w:keepLines/>
              <w:rPr>
                <w:b/>
                <w:bCs/>
              </w:rPr>
            </w:pPr>
            <w:r w:rsidRPr="00903F9D">
              <w:rPr>
                <w:b/>
                <w:bCs/>
              </w:rPr>
              <w:t>Identified as “</w:t>
            </w:r>
            <w:proofErr w:type="spellStart"/>
            <w:r w:rsidRPr="00903F9D">
              <w:rPr>
                <w:b/>
                <w:bCs/>
              </w:rPr>
              <w:t>osteopenic</w:t>
            </w:r>
            <w:proofErr w:type="spellEnd"/>
            <w:r w:rsidRPr="00903F9D">
              <w:rPr>
                <w:b/>
                <w:bCs/>
              </w:rPr>
              <w:t>” who had a fracture during follow-up</w:t>
            </w:r>
          </w:p>
        </w:tc>
      </w:tr>
      <w:tr w:rsidR="00C2331A" w:rsidRPr="00903F9D" w14:paraId="19FF9E3C" w14:textId="77777777" w:rsidTr="00694AFE">
        <w:tc>
          <w:tcPr>
            <w:tcW w:w="893" w:type="pct"/>
            <w:shd w:val="clear" w:color="auto" w:fill="auto"/>
            <w:vAlign w:val="center"/>
          </w:tcPr>
          <w:p w14:paraId="69B5757D" w14:textId="77777777" w:rsidR="00C2331A" w:rsidRPr="00903F9D" w:rsidRDefault="00C2331A" w:rsidP="00E64C7E">
            <w:pPr>
              <w:pStyle w:val="TableText"/>
              <w:keepNext/>
              <w:keepLines/>
              <w:ind w:left="164"/>
            </w:pPr>
            <w:r w:rsidRPr="00903F9D">
              <w:t>DXA</w:t>
            </w:r>
          </w:p>
        </w:tc>
        <w:tc>
          <w:tcPr>
            <w:tcW w:w="672" w:type="pct"/>
            <w:shd w:val="clear" w:color="auto" w:fill="auto"/>
            <w:vAlign w:val="center"/>
          </w:tcPr>
          <w:p w14:paraId="71693BEF" w14:textId="77777777" w:rsidR="00C2331A" w:rsidRPr="00903F9D" w:rsidRDefault="00C2331A" w:rsidP="00E64C7E">
            <w:pPr>
              <w:pStyle w:val="TableText"/>
              <w:keepNext/>
              <w:keepLines/>
            </w:pPr>
            <w:r w:rsidRPr="00903F9D">
              <w:t xml:space="preserve">% </w:t>
            </w:r>
            <w:proofErr w:type="gramStart"/>
            <w:r w:rsidRPr="00903F9D">
              <w:t>patients</w:t>
            </w:r>
            <w:proofErr w:type="gramEnd"/>
          </w:p>
        </w:tc>
        <w:tc>
          <w:tcPr>
            <w:tcW w:w="522" w:type="pct"/>
            <w:shd w:val="clear" w:color="auto" w:fill="auto"/>
            <w:vAlign w:val="center"/>
          </w:tcPr>
          <w:p w14:paraId="6D2D45DE" w14:textId="77777777" w:rsidR="00C2331A" w:rsidRPr="00903F9D" w:rsidRDefault="00C2331A" w:rsidP="00E64C7E">
            <w:pPr>
              <w:pStyle w:val="TableText"/>
              <w:keepNext/>
              <w:keepLines/>
              <w:jc w:val="center"/>
            </w:pPr>
            <w:r w:rsidRPr="00903F9D">
              <w:t>29.1%</w:t>
            </w:r>
          </w:p>
        </w:tc>
        <w:tc>
          <w:tcPr>
            <w:tcW w:w="1096" w:type="pct"/>
            <w:shd w:val="clear" w:color="auto" w:fill="auto"/>
            <w:vAlign w:val="center"/>
          </w:tcPr>
          <w:p w14:paraId="7CDE5433" w14:textId="77777777" w:rsidR="00C2331A" w:rsidRPr="00903F9D" w:rsidRDefault="00C2331A" w:rsidP="00E64C7E">
            <w:pPr>
              <w:pStyle w:val="TableText"/>
              <w:keepNext/>
              <w:keepLines/>
              <w:jc w:val="center"/>
            </w:pPr>
            <w:r w:rsidRPr="00903F9D">
              <w:t>-</w:t>
            </w:r>
          </w:p>
        </w:tc>
        <w:tc>
          <w:tcPr>
            <w:tcW w:w="755" w:type="pct"/>
            <w:shd w:val="clear" w:color="auto" w:fill="auto"/>
            <w:vAlign w:val="center"/>
          </w:tcPr>
          <w:p w14:paraId="785120C9" w14:textId="77777777" w:rsidR="00C2331A" w:rsidRPr="00903F9D" w:rsidRDefault="00C2331A" w:rsidP="00E64C7E">
            <w:pPr>
              <w:pStyle w:val="TableText"/>
              <w:keepNext/>
              <w:keepLines/>
              <w:jc w:val="center"/>
            </w:pPr>
            <w:r w:rsidRPr="00903F9D">
              <w:t>NR</w:t>
            </w:r>
          </w:p>
        </w:tc>
        <w:tc>
          <w:tcPr>
            <w:tcW w:w="1062" w:type="pct"/>
            <w:shd w:val="clear" w:color="auto" w:fill="auto"/>
            <w:vAlign w:val="center"/>
          </w:tcPr>
          <w:p w14:paraId="5B63AD63" w14:textId="77777777" w:rsidR="00C2331A" w:rsidRPr="00903F9D" w:rsidRDefault="00C2331A" w:rsidP="00E64C7E">
            <w:pPr>
              <w:pStyle w:val="TableText"/>
              <w:keepNext/>
              <w:keepLines/>
              <w:jc w:val="center"/>
            </w:pPr>
            <w:r w:rsidRPr="00903F9D">
              <w:t>-</w:t>
            </w:r>
          </w:p>
        </w:tc>
      </w:tr>
      <w:tr w:rsidR="00C2331A" w:rsidRPr="00903F9D" w14:paraId="1E41FFAF" w14:textId="77777777" w:rsidTr="00694AFE">
        <w:tc>
          <w:tcPr>
            <w:tcW w:w="893" w:type="pct"/>
            <w:shd w:val="clear" w:color="auto" w:fill="auto"/>
            <w:vAlign w:val="center"/>
          </w:tcPr>
          <w:p w14:paraId="7E663384" w14:textId="77777777" w:rsidR="00C2331A" w:rsidRPr="00903F9D" w:rsidRDefault="00C2331A" w:rsidP="00E64C7E">
            <w:pPr>
              <w:pStyle w:val="TableText"/>
              <w:keepNext/>
              <w:keepLines/>
              <w:ind w:left="164"/>
            </w:pPr>
            <w:r w:rsidRPr="00903F9D">
              <w:t>REMS</w:t>
            </w:r>
          </w:p>
        </w:tc>
        <w:tc>
          <w:tcPr>
            <w:tcW w:w="672" w:type="pct"/>
            <w:shd w:val="clear" w:color="auto" w:fill="auto"/>
            <w:vAlign w:val="center"/>
          </w:tcPr>
          <w:p w14:paraId="31D35959" w14:textId="77777777" w:rsidR="00C2331A" w:rsidRPr="00903F9D" w:rsidRDefault="00C2331A" w:rsidP="00E64C7E">
            <w:pPr>
              <w:pStyle w:val="TableText"/>
              <w:keepNext/>
              <w:keepLines/>
            </w:pPr>
            <w:r w:rsidRPr="00903F9D">
              <w:t xml:space="preserve">% </w:t>
            </w:r>
            <w:proofErr w:type="gramStart"/>
            <w:r w:rsidRPr="00903F9D">
              <w:t>patients</w:t>
            </w:r>
            <w:proofErr w:type="gramEnd"/>
          </w:p>
        </w:tc>
        <w:tc>
          <w:tcPr>
            <w:tcW w:w="522" w:type="pct"/>
            <w:shd w:val="clear" w:color="auto" w:fill="auto"/>
            <w:vAlign w:val="center"/>
          </w:tcPr>
          <w:p w14:paraId="141771B1" w14:textId="77777777" w:rsidR="00C2331A" w:rsidRPr="00903F9D" w:rsidRDefault="00C2331A" w:rsidP="00E64C7E">
            <w:pPr>
              <w:pStyle w:val="TableText"/>
              <w:keepNext/>
              <w:keepLines/>
              <w:jc w:val="center"/>
            </w:pPr>
            <w:r w:rsidRPr="00903F9D">
              <w:t>21.9%</w:t>
            </w:r>
          </w:p>
        </w:tc>
        <w:tc>
          <w:tcPr>
            <w:tcW w:w="1096" w:type="pct"/>
            <w:shd w:val="clear" w:color="auto" w:fill="auto"/>
            <w:vAlign w:val="center"/>
          </w:tcPr>
          <w:p w14:paraId="62715C47" w14:textId="77777777" w:rsidR="00C2331A" w:rsidRPr="00903F9D" w:rsidRDefault="00C2331A" w:rsidP="00E64C7E">
            <w:pPr>
              <w:pStyle w:val="TableText"/>
              <w:keepNext/>
              <w:keepLines/>
              <w:jc w:val="center"/>
            </w:pPr>
            <w:r w:rsidRPr="00903F9D">
              <w:t>-</w:t>
            </w:r>
          </w:p>
        </w:tc>
        <w:tc>
          <w:tcPr>
            <w:tcW w:w="755" w:type="pct"/>
            <w:shd w:val="clear" w:color="auto" w:fill="auto"/>
            <w:vAlign w:val="center"/>
          </w:tcPr>
          <w:p w14:paraId="31EE0CD9" w14:textId="77777777" w:rsidR="00C2331A" w:rsidRPr="00903F9D" w:rsidRDefault="00C2331A" w:rsidP="00E64C7E">
            <w:pPr>
              <w:pStyle w:val="TableText"/>
              <w:keepNext/>
              <w:keepLines/>
              <w:jc w:val="center"/>
            </w:pPr>
            <w:r w:rsidRPr="00903F9D">
              <w:t>NR</w:t>
            </w:r>
          </w:p>
        </w:tc>
        <w:tc>
          <w:tcPr>
            <w:tcW w:w="1062" w:type="pct"/>
            <w:shd w:val="clear" w:color="auto" w:fill="auto"/>
            <w:vAlign w:val="center"/>
          </w:tcPr>
          <w:p w14:paraId="146FC0BE" w14:textId="77777777" w:rsidR="00C2331A" w:rsidRPr="00903F9D" w:rsidRDefault="00C2331A" w:rsidP="00E64C7E">
            <w:pPr>
              <w:pStyle w:val="TableText"/>
              <w:keepNext/>
              <w:keepLines/>
              <w:jc w:val="center"/>
            </w:pPr>
            <w:r w:rsidRPr="00903F9D">
              <w:t>-</w:t>
            </w:r>
          </w:p>
        </w:tc>
      </w:tr>
    </w:tbl>
    <w:p w14:paraId="64FA9B10" w14:textId="74A82EE1" w:rsidR="00D67C8A" w:rsidRPr="00903F9D" w:rsidRDefault="00D67C8A" w:rsidP="00E64C7E">
      <w:pPr>
        <w:pStyle w:val="TableFigureFooter"/>
      </w:pPr>
      <w:r w:rsidRPr="00903F9D">
        <w:t xml:space="preserve">Source: Table 14, </w:t>
      </w:r>
      <w:r w:rsidR="007E6C45" w:rsidRPr="00903F9D">
        <w:t xml:space="preserve">MSAC 1665 </w:t>
      </w:r>
      <w:r w:rsidRPr="00903F9D">
        <w:t>ADAR</w:t>
      </w:r>
    </w:p>
    <w:p w14:paraId="7D1BA161" w14:textId="29B70626" w:rsidR="00C2331A" w:rsidRPr="00903F9D" w:rsidRDefault="00ED5B45" w:rsidP="00E64C7E">
      <w:pPr>
        <w:pStyle w:val="TableFigureFooter"/>
      </w:pPr>
      <w:r w:rsidRPr="00903F9D">
        <w:t xml:space="preserve">CI= confidence intervals; DXA= </w:t>
      </w:r>
      <w:r w:rsidR="00C4412C" w:rsidRPr="00903F9D">
        <w:t>dual energy x-ray absorptiometry</w:t>
      </w:r>
      <w:r w:rsidRPr="00903F9D">
        <w:t xml:space="preserve">; </w:t>
      </w:r>
      <w:r w:rsidR="00C2331A" w:rsidRPr="00903F9D">
        <w:t>NR</w:t>
      </w:r>
      <w:r w:rsidR="00D67C8A" w:rsidRPr="00903F9D">
        <w:t>=</w:t>
      </w:r>
      <w:r w:rsidR="00C2331A" w:rsidRPr="00903F9D">
        <w:t xml:space="preserve"> not reported; OR</w:t>
      </w:r>
      <w:r w:rsidR="00D67C8A" w:rsidRPr="00903F9D">
        <w:t>=</w:t>
      </w:r>
      <w:r w:rsidR="00C2331A" w:rsidRPr="00903F9D">
        <w:t xml:space="preserve"> odds ratio</w:t>
      </w:r>
      <w:r w:rsidRPr="00903F9D">
        <w:t xml:space="preserve">; REMS= </w:t>
      </w:r>
      <w:r w:rsidR="00C4412C" w:rsidRPr="00903F9D">
        <w:t>radiofrequency echographic multi spectrometry</w:t>
      </w:r>
      <w:r w:rsidR="00C2331A" w:rsidRPr="00903F9D">
        <w:t>.</w:t>
      </w:r>
    </w:p>
    <w:p w14:paraId="280B0E03" w14:textId="07102A2E" w:rsidR="00C2331A" w:rsidRPr="00903F9D" w:rsidRDefault="00C2331A" w:rsidP="00E64C7E">
      <w:pPr>
        <w:pStyle w:val="TableFigureFooter"/>
      </w:pPr>
      <w:r w:rsidRPr="00903F9D">
        <w:t>+ Osteoporosis (T-score ≤-2.5), Without Osteoporosis includes Osteopenia (T-score -2.5 &lt; to &lt;-1.0), Healthy (T-score</w:t>
      </w:r>
      <w:r w:rsidR="00604E4A" w:rsidRPr="00903F9D">
        <w:t xml:space="preserve"> </w:t>
      </w:r>
      <w:r w:rsidRPr="00903F9D">
        <w:t>&gt;-1.0)</w:t>
      </w:r>
    </w:p>
    <w:p w14:paraId="23AB484A" w14:textId="122EDA7D" w:rsidR="00C2331A" w:rsidRPr="00903F9D" w:rsidRDefault="00AA07A6" w:rsidP="00E64C7E">
      <w:pPr>
        <w:pStyle w:val="TableFigureFooter"/>
        <w:keepNext w:val="0"/>
      </w:pPr>
      <w:r w:rsidRPr="00903F9D">
        <w:t>*</w:t>
      </w:r>
      <w:r w:rsidR="00604E4A" w:rsidRPr="00903F9D">
        <w:t xml:space="preserve"> </w:t>
      </w:r>
      <w:r w:rsidRPr="00903F9D">
        <w:t xml:space="preserve">Reference standard is identification of incident fragility fracture </w:t>
      </w:r>
      <w:r w:rsidR="005B04CF" w:rsidRPr="00903F9D">
        <w:t xml:space="preserve">(medical imaging investigations) </w:t>
      </w:r>
      <w:r w:rsidRPr="00903F9D">
        <w:t>over the follow-up period.</w:t>
      </w:r>
    </w:p>
    <w:p w14:paraId="7D01004B" w14:textId="39093711" w:rsidR="00806B16" w:rsidRPr="00903F9D" w:rsidRDefault="00806B16" w:rsidP="00806B16">
      <w:r w:rsidRPr="00903F9D">
        <w:t>In the age-matched/adjusted and BMI-adjusted comparisons of the sensitivity/specificity of REMs and DXA to discriminate between groups that subsequently developed or did</w:t>
      </w:r>
      <w:r w:rsidR="00F12523" w:rsidRPr="00903F9D">
        <w:t xml:space="preserve"> not</w:t>
      </w:r>
      <w:r w:rsidR="00B73A51" w:rsidRPr="00903F9D">
        <w:t xml:space="preserve"> </w:t>
      </w:r>
      <w:r w:rsidRPr="00903F9D">
        <w:t>develop fractures, REMS had statistically significantly better discriminatory ability based on the lumbar spine T-score, compared with DXA (</w:t>
      </w:r>
      <w:r w:rsidRPr="00903F9D">
        <w:rPr>
          <w:bCs/>
        </w:rPr>
        <w:t>p≤0.001</w:t>
      </w:r>
      <w:r w:rsidRPr="00903F9D">
        <w:t>) (</w:t>
      </w:r>
      <w:r w:rsidRPr="00903F9D">
        <w:fldChar w:fldCharType="begin"/>
      </w:r>
      <w:r w:rsidRPr="00903F9D">
        <w:instrText xml:space="preserve"> REF _Ref94446799 \h </w:instrText>
      </w:r>
      <w:r w:rsidR="00F97C0B" w:rsidRPr="00903F9D">
        <w:instrText xml:space="preserve"> \* MERGEFORMAT </w:instrText>
      </w:r>
      <w:r w:rsidRPr="00903F9D">
        <w:fldChar w:fldCharType="separate"/>
      </w:r>
      <w:r w:rsidR="00DF3307" w:rsidRPr="00903F9D">
        <w:t>Table 11</w:t>
      </w:r>
      <w:r w:rsidRPr="00903F9D">
        <w:fldChar w:fldCharType="end"/>
      </w:r>
      <w:r w:rsidRPr="00903F9D">
        <w:t xml:space="preserve">). </w:t>
      </w:r>
      <w:r w:rsidR="00FE6CF4" w:rsidRPr="00903F9D">
        <w:t>The ROC curves of sensitivity vs. 1 minus specificity (</w:t>
      </w:r>
      <w:proofErr w:type="gramStart"/>
      <w:r w:rsidR="00FE6CF4" w:rsidRPr="00903F9D">
        <w:t>i.e.</w:t>
      </w:r>
      <w:proofErr w:type="gramEnd"/>
      <w:r w:rsidR="00FE6CF4" w:rsidRPr="00903F9D">
        <w:t xml:space="preserve"> AUC of both REMS and DXA &gt;0.5, signifies discriminatory ability for lumbar spine</w:t>
      </w:r>
      <w:r w:rsidR="009A512C" w:rsidRPr="00903F9D">
        <w:t>)</w:t>
      </w:r>
      <w:r w:rsidR="00FE6CF4" w:rsidRPr="00903F9D">
        <w:t xml:space="preserve">. </w:t>
      </w:r>
      <w:proofErr w:type="gramStart"/>
      <w:r w:rsidR="00C65839" w:rsidRPr="00903F9D">
        <w:t>T</w:t>
      </w:r>
      <w:r w:rsidR="00FE6CF4" w:rsidRPr="00903F9D">
        <w:t>he majority of</w:t>
      </w:r>
      <w:proofErr w:type="gramEnd"/>
      <w:r w:rsidR="00FE6CF4" w:rsidRPr="00903F9D">
        <w:t xml:space="preserve"> the AUC reported in </w:t>
      </w:r>
      <w:r w:rsidR="00FE6CF4" w:rsidRPr="00903F9D">
        <w:fldChar w:fldCharType="begin"/>
      </w:r>
      <w:r w:rsidR="00FE6CF4" w:rsidRPr="00903F9D">
        <w:instrText xml:space="preserve"> REF _Ref94446799 \h  \* MERGEFORMAT </w:instrText>
      </w:r>
      <w:r w:rsidR="00FE6CF4" w:rsidRPr="00903F9D">
        <w:fldChar w:fldCharType="separate"/>
      </w:r>
      <w:r w:rsidR="00DF3307" w:rsidRPr="00903F9D">
        <w:t>Table 11</w:t>
      </w:r>
      <w:r w:rsidR="00FE6CF4" w:rsidRPr="00903F9D">
        <w:fldChar w:fldCharType="end"/>
      </w:r>
      <w:r w:rsidR="00FE6CF4" w:rsidRPr="00903F9D">
        <w:t xml:space="preserve"> </w:t>
      </w:r>
      <w:r w:rsidR="00C65839" w:rsidRPr="00903F9D">
        <w:t xml:space="preserve">was </w:t>
      </w:r>
      <w:r w:rsidR="00FE6CF4" w:rsidRPr="00903F9D">
        <w:t>below 0.7</w:t>
      </w:r>
      <w:r w:rsidR="00BE12DF" w:rsidRPr="00903F9D">
        <w:t>,</w:t>
      </w:r>
      <w:r w:rsidR="00FE6CF4" w:rsidRPr="00903F9D">
        <w:t xml:space="preserve"> indicating a </w:t>
      </w:r>
      <w:r w:rsidR="001A44C5" w:rsidRPr="00903F9D">
        <w:t>low-test</w:t>
      </w:r>
      <w:r w:rsidR="00FE6CF4" w:rsidRPr="00903F9D">
        <w:t xml:space="preserve"> accuracy</w:t>
      </w:r>
      <w:r w:rsidR="00C65839" w:rsidRPr="00903F9D">
        <w:t>,</w:t>
      </w:r>
      <w:r w:rsidR="00FE6CF4" w:rsidRPr="00903F9D">
        <w:t xml:space="preserve"> with the exception of BMI adjusted REMS for lumbar spine</w:t>
      </w:r>
      <w:r w:rsidR="00DC681F" w:rsidRPr="00903F9D">
        <w:t xml:space="preserve"> (0.723)</w:t>
      </w:r>
      <w:r w:rsidR="00FE6CF4" w:rsidRPr="00903F9D">
        <w:t xml:space="preserve">. </w:t>
      </w:r>
      <w:r w:rsidRPr="00903F9D">
        <w:t>There were no statistically significant differences with the femoral neck by fracture sites for REMS compared to DXA.</w:t>
      </w:r>
    </w:p>
    <w:p w14:paraId="2A752D0A" w14:textId="4A319EB9" w:rsidR="00806B16" w:rsidRPr="00903F9D" w:rsidRDefault="00806B16" w:rsidP="00E64C7E">
      <w:pPr>
        <w:pStyle w:val="TableHeading0"/>
        <w:keepNext/>
        <w:keepLines/>
      </w:pPr>
      <w:bookmarkStart w:id="40" w:name="_Ref94446799"/>
      <w:r w:rsidRPr="00903F9D">
        <w:lastRenderedPageBreak/>
        <w:t>Table </w:t>
      </w:r>
      <w:r w:rsidR="008D0E73">
        <w:fldChar w:fldCharType="begin"/>
      </w:r>
      <w:r w:rsidR="008D0E73">
        <w:instrText xml:space="preserve"> SEQ Table \* ARABIC </w:instrText>
      </w:r>
      <w:r w:rsidR="008D0E73">
        <w:fldChar w:fldCharType="separate"/>
      </w:r>
      <w:r w:rsidR="00DF3307" w:rsidRPr="00903F9D">
        <w:rPr>
          <w:noProof/>
        </w:rPr>
        <w:t>11</w:t>
      </w:r>
      <w:r w:rsidR="008D0E73">
        <w:rPr>
          <w:noProof/>
        </w:rPr>
        <w:fldChar w:fldCharType="end"/>
      </w:r>
      <w:bookmarkEnd w:id="40"/>
      <w:r w:rsidRPr="00903F9D">
        <w:tab/>
        <w:t>AUC for lumbar spine and femoral neck DXA and REMS T-score values by all and specific fracture sites (</w:t>
      </w:r>
      <w:proofErr w:type="spellStart"/>
      <w:r w:rsidRPr="00903F9D">
        <w:t>Adami</w:t>
      </w:r>
      <w:proofErr w:type="spellEnd"/>
      <w:r w:rsidRPr="00903F9D">
        <w:t xml:space="preserve"> 2020)</w:t>
      </w:r>
    </w:p>
    <w:tbl>
      <w:tblPr>
        <w:tblStyle w:val="TableGrid"/>
        <w:tblW w:w="5000" w:type="pct"/>
        <w:tblLayout w:type="fixed"/>
        <w:tblLook w:val="04A0" w:firstRow="1" w:lastRow="0" w:firstColumn="1" w:lastColumn="0" w:noHBand="0" w:noVBand="1"/>
      </w:tblPr>
      <w:tblGrid>
        <w:gridCol w:w="1322"/>
        <w:gridCol w:w="1226"/>
        <w:gridCol w:w="1134"/>
        <w:gridCol w:w="1134"/>
        <w:gridCol w:w="1132"/>
        <w:gridCol w:w="994"/>
        <w:gridCol w:w="992"/>
        <w:gridCol w:w="1082"/>
      </w:tblGrid>
      <w:tr w:rsidR="00806B16" w:rsidRPr="00903F9D" w14:paraId="2944C3B0" w14:textId="77777777" w:rsidTr="006E55D0">
        <w:trPr>
          <w:tblHeader/>
        </w:trPr>
        <w:tc>
          <w:tcPr>
            <w:tcW w:w="733" w:type="pct"/>
            <w:vMerge w:val="restart"/>
            <w:shd w:val="clear" w:color="auto" w:fill="auto"/>
            <w:vAlign w:val="center"/>
          </w:tcPr>
          <w:p w14:paraId="6C4DB2C5" w14:textId="77777777" w:rsidR="00806B16" w:rsidRPr="00903F9D" w:rsidRDefault="00806B16" w:rsidP="00E64C7E">
            <w:pPr>
              <w:pStyle w:val="TableHeading0"/>
              <w:keepNext/>
              <w:keepLines/>
            </w:pPr>
            <w:r w:rsidRPr="00903F9D">
              <w:t>Dataset (overall)</w:t>
            </w:r>
          </w:p>
        </w:tc>
        <w:tc>
          <w:tcPr>
            <w:tcW w:w="680" w:type="pct"/>
            <w:vMerge w:val="restart"/>
            <w:shd w:val="clear" w:color="auto" w:fill="auto"/>
            <w:vAlign w:val="center"/>
          </w:tcPr>
          <w:p w14:paraId="7BD01D1C" w14:textId="77777777" w:rsidR="00806B16" w:rsidRPr="00903F9D" w:rsidRDefault="00806B16" w:rsidP="00E64C7E">
            <w:pPr>
              <w:pStyle w:val="TableHeading0"/>
              <w:keepNext/>
              <w:keepLines/>
              <w:jc w:val="center"/>
            </w:pPr>
            <w:r w:rsidRPr="00903F9D">
              <w:t>Fracture site</w:t>
            </w:r>
          </w:p>
        </w:tc>
        <w:tc>
          <w:tcPr>
            <w:tcW w:w="1886" w:type="pct"/>
            <w:gridSpan w:val="3"/>
            <w:shd w:val="clear" w:color="auto" w:fill="auto"/>
            <w:vAlign w:val="center"/>
          </w:tcPr>
          <w:p w14:paraId="79F9AA96" w14:textId="237B4DED" w:rsidR="00806B16" w:rsidRPr="00903F9D" w:rsidRDefault="00B73A51" w:rsidP="00E64C7E">
            <w:pPr>
              <w:pStyle w:val="TableHeading0"/>
              <w:keepNext/>
              <w:keepLines/>
              <w:jc w:val="center"/>
            </w:pPr>
            <w:r w:rsidRPr="00903F9D">
              <w:t xml:space="preserve">AUC for </w:t>
            </w:r>
            <w:r w:rsidR="00E64C7E" w:rsidRPr="00903F9D">
              <w:t>l</w:t>
            </w:r>
            <w:r w:rsidR="00806B16" w:rsidRPr="00903F9D">
              <w:t>umbar spine/vertebral T-score</w:t>
            </w:r>
          </w:p>
        </w:tc>
        <w:tc>
          <w:tcPr>
            <w:tcW w:w="1701" w:type="pct"/>
            <w:gridSpan w:val="3"/>
            <w:shd w:val="clear" w:color="auto" w:fill="auto"/>
            <w:vAlign w:val="center"/>
          </w:tcPr>
          <w:p w14:paraId="7A124096" w14:textId="7B877CEA" w:rsidR="00806B16" w:rsidRPr="00903F9D" w:rsidRDefault="00B73A51" w:rsidP="00E64C7E">
            <w:pPr>
              <w:pStyle w:val="TableHeading0"/>
              <w:keepNext/>
              <w:keepLines/>
              <w:jc w:val="center"/>
            </w:pPr>
            <w:r w:rsidRPr="00903F9D">
              <w:t xml:space="preserve">AUC for </w:t>
            </w:r>
            <w:r w:rsidR="00E64C7E" w:rsidRPr="00903F9D">
              <w:t>f</w:t>
            </w:r>
            <w:r w:rsidR="00806B16" w:rsidRPr="00903F9D">
              <w:t>emoral neck T-score</w:t>
            </w:r>
          </w:p>
        </w:tc>
      </w:tr>
      <w:tr w:rsidR="006E55D0" w:rsidRPr="00903F9D" w14:paraId="00782F6C" w14:textId="77777777" w:rsidTr="006E55D0">
        <w:trPr>
          <w:tblHeader/>
        </w:trPr>
        <w:tc>
          <w:tcPr>
            <w:tcW w:w="733" w:type="pct"/>
            <w:vMerge/>
            <w:shd w:val="clear" w:color="auto" w:fill="auto"/>
            <w:vAlign w:val="center"/>
          </w:tcPr>
          <w:p w14:paraId="4E1400E4" w14:textId="77777777" w:rsidR="00806B16" w:rsidRPr="00903F9D" w:rsidRDefault="00806B16" w:rsidP="00E64C7E">
            <w:pPr>
              <w:pStyle w:val="TableHeading0"/>
              <w:keepNext/>
              <w:keepLines/>
            </w:pPr>
          </w:p>
        </w:tc>
        <w:tc>
          <w:tcPr>
            <w:tcW w:w="680" w:type="pct"/>
            <w:vMerge/>
            <w:shd w:val="clear" w:color="auto" w:fill="auto"/>
            <w:vAlign w:val="center"/>
          </w:tcPr>
          <w:p w14:paraId="70730F61" w14:textId="77777777" w:rsidR="00806B16" w:rsidRPr="00903F9D" w:rsidRDefault="00806B16" w:rsidP="00E64C7E">
            <w:pPr>
              <w:pStyle w:val="TableHeading0"/>
              <w:keepNext/>
              <w:keepLines/>
              <w:jc w:val="center"/>
            </w:pPr>
          </w:p>
        </w:tc>
        <w:tc>
          <w:tcPr>
            <w:tcW w:w="629" w:type="pct"/>
            <w:shd w:val="clear" w:color="auto" w:fill="auto"/>
            <w:vAlign w:val="center"/>
          </w:tcPr>
          <w:p w14:paraId="0921F34E" w14:textId="77777777" w:rsidR="00806B16" w:rsidRPr="00903F9D" w:rsidRDefault="00806B16" w:rsidP="00E64C7E">
            <w:pPr>
              <w:pStyle w:val="TableHeading0"/>
              <w:keepNext/>
              <w:keepLines/>
              <w:jc w:val="center"/>
            </w:pPr>
            <w:r w:rsidRPr="00903F9D">
              <w:t>DXA</w:t>
            </w:r>
          </w:p>
        </w:tc>
        <w:tc>
          <w:tcPr>
            <w:tcW w:w="629" w:type="pct"/>
            <w:shd w:val="clear" w:color="auto" w:fill="auto"/>
            <w:vAlign w:val="center"/>
          </w:tcPr>
          <w:p w14:paraId="767F9C93" w14:textId="77777777" w:rsidR="00806B16" w:rsidRPr="00903F9D" w:rsidRDefault="00806B16" w:rsidP="00E64C7E">
            <w:pPr>
              <w:pStyle w:val="TableHeading0"/>
              <w:keepNext/>
              <w:keepLines/>
              <w:jc w:val="center"/>
            </w:pPr>
            <w:r w:rsidRPr="00903F9D">
              <w:t>REMS</w:t>
            </w:r>
          </w:p>
        </w:tc>
        <w:tc>
          <w:tcPr>
            <w:tcW w:w="628" w:type="pct"/>
            <w:shd w:val="clear" w:color="auto" w:fill="auto"/>
            <w:vAlign w:val="center"/>
          </w:tcPr>
          <w:p w14:paraId="18A697CF" w14:textId="77777777" w:rsidR="00806B16" w:rsidRPr="00903F9D" w:rsidRDefault="00806B16" w:rsidP="00E64C7E">
            <w:pPr>
              <w:pStyle w:val="TableHeading0"/>
              <w:keepNext/>
              <w:keepLines/>
              <w:jc w:val="center"/>
            </w:pPr>
            <w:r w:rsidRPr="00903F9D">
              <w:t>p-value</w:t>
            </w:r>
          </w:p>
        </w:tc>
        <w:tc>
          <w:tcPr>
            <w:tcW w:w="551" w:type="pct"/>
            <w:shd w:val="clear" w:color="auto" w:fill="auto"/>
            <w:vAlign w:val="center"/>
          </w:tcPr>
          <w:p w14:paraId="4A1AA2F6" w14:textId="77777777" w:rsidR="00806B16" w:rsidRPr="00903F9D" w:rsidRDefault="00806B16" w:rsidP="00E64C7E">
            <w:pPr>
              <w:pStyle w:val="TableHeading0"/>
              <w:keepNext/>
              <w:keepLines/>
              <w:jc w:val="center"/>
            </w:pPr>
            <w:r w:rsidRPr="00903F9D">
              <w:t>DXA</w:t>
            </w:r>
          </w:p>
        </w:tc>
        <w:tc>
          <w:tcPr>
            <w:tcW w:w="550" w:type="pct"/>
            <w:shd w:val="clear" w:color="auto" w:fill="auto"/>
            <w:vAlign w:val="center"/>
          </w:tcPr>
          <w:p w14:paraId="7AEA8B22" w14:textId="77777777" w:rsidR="00806B16" w:rsidRPr="00903F9D" w:rsidRDefault="00806B16" w:rsidP="00E64C7E">
            <w:pPr>
              <w:pStyle w:val="TableHeading0"/>
              <w:keepNext/>
              <w:keepLines/>
              <w:jc w:val="center"/>
            </w:pPr>
            <w:r w:rsidRPr="00903F9D">
              <w:t>REMS</w:t>
            </w:r>
          </w:p>
        </w:tc>
        <w:tc>
          <w:tcPr>
            <w:tcW w:w="600" w:type="pct"/>
            <w:shd w:val="clear" w:color="auto" w:fill="auto"/>
            <w:vAlign w:val="center"/>
          </w:tcPr>
          <w:p w14:paraId="12E89A67" w14:textId="77777777" w:rsidR="00806B16" w:rsidRPr="00903F9D" w:rsidRDefault="00806B16" w:rsidP="00E64C7E">
            <w:pPr>
              <w:pStyle w:val="TableHeading0"/>
              <w:keepNext/>
              <w:keepLines/>
              <w:jc w:val="center"/>
            </w:pPr>
            <w:r w:rsidRPr="00903F9D">
              <w:t>p-value</w:t>
            </w:r>
          </w:p>
        </w:tc>
      </w:tr>
      <w:tr w:rsidR="006E55D0" w:rsidRPr="00903F9D" w14:paraId="026E570C" w14:textId="77777777" w:rsidTr="006E55D0">
        <w:tc>
          <w:tcPr>
            <w:tcW w:w="733" w:type="pct"/>
            <w:vAlign w:val="center"/>
          </w:tcPr>
          <w:p w14:paraId="1DBFF916" w14:textId="77777777" w:rsidR="00806B16" w:rsidRPr="00903F9D" w:rsidRDefault="00806B16" w:rsidP="00E64C7E">
            <w:pPr>
              <w:pStyle w:val="TableText"/>
              <w:keepNext/>
              <w:keepLines/>
            </w:pPr>
            <w:r w:rsidRPr="00903F9D">
              <w:t>Age-matched</w:t>
            </w:r>
          </w:p>
        </w:tc>
        <w:tc>
          <w:tcPr>
            <w:tcW w:w="680" w:type="pct"/>
            <w:vAlign w:val="center"/>
          </w:tcPr>
          <w:p w14:paraId="68C372F8" w14:textId="77777777" w:rsidR="00806B16" w:rsidRPr="00903F9D" w:rsidRDefault="00806B16" w:rsidP="00E64C7E">
            <w:pPr>
              <w:pStyle w:val="TableText"/>
              <w:keepNext/>
              <w:keepLines/>
              <w:jc w:val="center"/>
            </w:pPr>
            <w:r w:rsidRPr="00903F9D">
              <w:t>All sites</w:t>
            </w:r>
          </w:p>
        </w:tc>
        <w:tc>
          <w:tcPr>
            <w:tcW w:w="629" w:type="pct"/>
            <w:vAlign w:val="center"/>
          </w:tcPr>
          <w:p w14:paraId="2D1E7F5B" w14:textId="77777777" w:rsidR="00806B16" w:rsidRPr="00903F9D" w:rsidRDefault="00806B16" w:rsidP="00E64C7E">
            <w:pPr>
              <w:pStyle w:val="TableText"/>
              <w:keepNext/>
              <w:keepLines/>
              <w:jc w:val="center"/>
            </w:pPr>
            <w:r w:rsidRPr="00903F9D">
              <w:t>0.614</w:t>
            </w:r>
          </w:p>
        </w:tc>
        <w:tc>
          <w:tcPr>
            <w:tcW w:w="629" w:type="pct"/>
            <w:vAlign w:val="center"/>
          </w:tcPr>
          <w:p w14:paraId="06088D65" w14:textId="77777777" w:rsidR="00806B16" w:rsidRPr="00903F9D" w:rsidRDefault="00806B16" w:rsidP="00E64C7E">
            <w:pPr>
              <w:pStyle w:val="TableText"/>
              <w:keepNext/>
              <w:keepLines/>
              <w:jc w:val="center"/>
            </w:pPr>
            <w:r w:rsidRPr="00903F9D">
              <w:t>0.657</w:t>
            </w:r>
          </w:p>
        </w:tc>
        <w:tc>
          <w:tcPr>
            <w:tcW w:w="628" w:type="pct"/>
            <w:vAlign w:val="center"/>
          </w:tcPr>
          <w:p w14:paraId="11250C2C" w14:textId="77777777" w:rsidR="00806B16" w:rsidRPr="00903F9D" w:rsidRDefault="00806B16" w:rsidP="00E64C7E">
            <w:pPr>
              <w:pStyle w:val="TableText"/>
              <w:keepNext/>
              <w:keepLines/>
              <w:jc w:val="center"/>
              <w:rPr>
                <w:b/>
                <w:bCs/>
              </w:rPr>
            </w:pPr>
            <w:r w:rsidRPr="00903F9D">
              <w:rPr>
                <w:b/>
                <w:bCs/>
              </w:rPr>
              <w:t>0.0002</w:t>
            </w:r>
          </w:p>
        </w:tc>
        <w:tc>
          <w:tcPr>
            <w:tcW w:w="551" w:type="pct"/>
            <w:vAlign w:val="center"/>
          </w:tcPr>
          <w:p w14:paraId="5550BB77" w14:textId="77777777" w:rsidR="00806B16" w:rsidRPr="00903F9D" w:rsidRDefault="00806B16" w:rsidP="00E64C7E">
            <w:pPr>
              <w:pStyle w:val="TableText"/>
              <w:keepNext/>
              <w:keepLines/>
              <w:jc w:val="center"/>
            </w:pPr>
            <w:r w:rsidRPr="00903F9D">
              <w:t>0.65</w:t>
            </w:r>
          </w:p>
        </w:tc>
        <w:tc>
          <w:tcPr>
            <w:tcW w:w="550" w:type="pct"/>
            <w:vAlign w:val="center"/>
          </w:tcPr>
          <w:p w14:paraId="1534A903" w14:textId="77777777" w:rsidR="00806B16" w:rsidRPr="00903F9D" w:rsidRDefault="00806B16" w:rsidP="00E64C7E">
            <w:pPr>
              <w:pStyle w:val="TableText"/>
              <w:keepNext/>
              <w:keepLines/>
              <w:jc w:val="center"/>
            </w:pPr>
            <w:r w:rsidRPr="00903F9D">
              <w:t>0.64</w:t>
            </w:r>
          </w:p>
        </w:tc>
        <w:tc>
          <w:tcPr>
            <w:tcW w:w="600" w:type="pct"/>
            <w:vAlign w:val="center"/>
          </w:tcPr>
          <w:p w14:paraId="20449755" w14:textId="77777777" w:rsidR="00806B16" w:rsidRPr="00903F9D" w:rsidRDefault="00806B16" w:rsidP="00E64C7E">
            <w:pPr>
              <w:pStyle w:val="TableText"/>
              <w:keepNext/>
              <w:keepLines/>
              <w:jc w:val="center"/>
            </w:pPr>
            <w:r w:rsidRPr="00903F9D">
              <w:t>0.38</w:t>
            </w:r>
          </w:p>
        </w:tc>
      </w:tr>
      <w:tr w:rsidR="006E55D0" w:rsidRPr="00903F9D" w14:paraId="5FF4E06E" w14:textId="77777777" w:rsidTr="006E55D0">
        <w:tc>
          <w:tcPr>
            <w:tcW w:w="733" w:type="pct"/>
            <w:vAlign w:val="center"/>
          </w:tcPr>
          <w:p w14:paraId="5E0E1F8E" w14:textId="77777777" w:rsidR="00806B16" w:rsidRPr="00903F9D" w:rsidRDefault="00806B16" w:rsidP="00E64C7E">
            <w:pPr>
              <w:pStyle w:val="TableText"/>
              <w:keepNext/>
              <w:keepLines/>
            </w:pPr>
            <w:r w:rsidRPr="00903F9D">
              <w:t>Age-adjusted</w:t>
            </w:r>
          </w:p>
        </w:tc>
        <w:tc>
          <w:tcPr>
            <w:tcW w:w="680" w:type="pct"/>
            <w:vAlign w:val="center"/>
          </w:tcPr>
          <w:p w14:paraId="5EDD6D44" w14:textId="77777777" w:rsidR="00806B16" w:rsidRPr="00903F9D" w:rsidRDefault="00806B16" w:rsidP="00E64C7E">
            <w:pPr>
              <w:pStyle w:val="TableText"/>
              <w:keepNext/>
              <w:keepLines/>
              <w:jc w:val="center"/>
            </w:pPr>
            <w:r w:rsidRPr="00903F9D">
              <w:t>All sites</w:t>
            </w:r>
          </w:p>
        </w:tc>
        <w:tc>
          <w:tcPr>
            <w:tcW w:w="629" w:type="pct"/>
            <w:vAlign w:val="center"/>
          </w:tcPr>
          <w:p w14:paraId="6FB5C302" w14:textId="77777777" w:rsidR="00806B16" w:rsidRPr="00903F9D" w:rsidRDefault="00806B16" w:rsidP="00E64C7E">
            <w:pPr>
              <w:pStyle w:val="TableText"/>
              <w:keepNext/>
              <w:keepLines/>
              <w:jc w:val="center"/>
            </w:pPr>
            <w:r w:rsidRPr="00903F9D">
              <w:t>0.597</w:t>
            </w:r>
          </w:p>
        </w:tc>
        <w:tc>
          <w:tcPr>
            <w:tcW w:w="629" w:type="pct"/>
            <w:vAlign w:val="center"/>
          </w:tcPr>
          <w:p w14:paraId="2B0726DA" w14:textId="77777777" w:rsidR="00806B16" w:rsidRPr="00903F9D" w:rsidRDefault="00806B16" w:rsidP="00E64C7E">
            <w:pPr>
              <w:pStyle w:val="TableText"/>
              <w:keepNext/>
              <w:keepLines/>
              <w:jc w:val="center"/>
            </w:pPr>
            <w:r w:rsidRPr="00903F9D">
              <w:t>0.631</w:t>
            </w:r>
          </w:p>
        </w:tc>
        <w:tc>
          <w:tcPr>
            <w:tcW w:w="628" w:type="pct"/>
            <w:vAlign w:val="center"/>
          </w:tcPr>
          <w:p w14:paraId="4C6A4E3D" w14:textId="77777777" w:rsidR="00806B16" w:rsidRPr="00903F9D" w:rsidRDefault="00806B16" w:rsidP="00E64C7E">
            <w:pPr>
              <w:pStyle w:val="TableText"/>
              <w:keepNext/>
              <w:keepLines/>
              <w:jc w:val="center"/>
              <w:rPr>
                <w:b/>
                <w:bCs/>
              </w:rPr>
            </w:pPr>
            <w:r w:rsidRPr="00903F9D">
              <w:rPr>
                <w:b/>
                <w:bCs/>
              </w:rPr>
              <w:t>0.001</w:t>
            </w:r>
          </w:p>
        </w:tc>
        <w:tc>
          <w:tcPr>
            <w:tcW w:w="551" w:type="pct"/>
            <w:vAlign w:val="center"/>
          </w:tcPr>
          <w:p w14:paraId="25485A38" w14:textId="77777777" w:rsidR="00806B16" w:rsidRPr="00903F9D" w:rsidRDefault="00806B16" w:rsidP="00E64C7E">
            <w:pPr>
              <w:pStyle w:val="TableText"/>
              <w:keepNext/>
              <w:keepLines/>
              <w:jc w:val="center"/>
            </w:pPr>
            <w:r w:rsidRPr="00903F9D">
              <w:t>0.583</w:t>
            </w:r>
          </w:p>
        </w:tc>
        <w:tc>
          <w:tcPr>
            <w:tcW w:w="550" w:type="pct"/>
            <w:vAlign w:val="center"/>
          </w:tcPr>
          <w:p w14:paraId="63B9EAF0" w14:textId="77777777" w:rsidR="00806B16" w:rsidRPr="00903F9D" w:rsidRDefault="00806B16" w:rsidP="00E64C7E">
            <w:pPr>
              <w:pStyle w:val="TableText"/>
              <w:keepNext/>
              <w:keepLines/>
              <w:jc w:val="center"/>
            </w:pPr>
            <w:r w:rsidRPr="00903F9D">
              <w:t>0.627</w:t>
            </w:r>
          </w:p>
        </w:tc>
        <w:tc>
          <w:tcPr>
            <w:tcW w:w="600" w:type="pct"/>
            <w:vAlign w:val="center"/>
          </w:tcPr>
          <w:p w14:paraId="6E76D5CC" w14:textId="77777777" w:rsidR="00806B16" w:rsidRPr="00903F9D" w:rsidRDefault="00806B16" w:rsidP="00E64C7E">
            <w:pPr>
              <w:pStyle w:val="TableText"/>
              <w:keepNext/>
              <w:keepLines/>
              <w:jc w:val="center"/>
            </w:pPr>
            <w:r w:rsidRPr="00903F9D">
              <w:t>0.06</w:t>
            </w:r>
          </w:p>
        </w:tc>
      </w:tr>
      <w:tr w:rsidR="006E55D0" w:rsidRPr="00903F9D" w14:paraId="05A040BD" w14:textId="77777777" w:rsidTr="006E55D0">
        <w:tc>
          <w:tcPr>
            <w:tcW w:w="733" w:type="pct"/>
            <w:vAlign w:val="center"/>
          </w:tcPr>
          <w:p w14:paraId="5052B666" w14:textId="77777777" w:rsidR="00806B16" w:rsidRPr="00903F9D" w:rsidRDefault="00806B16" w:rsidP="00E64C7E">
            <w:pPr>
              <w:pStyle w:val="TableText"/>
              <w:keepNext/>
              <w:keepLines/>
            </w:pPr>
            <w:r w:rsidRPr="00903F9D">
              <w:t>BMI-adjusted</w:t>
            </w:r>
          </w:p>
        </w:tc>
        <w:tc>
          <w:tcPr>
            <w:tcW w:w="680" w:type="pct"/>
            <w:vAlign w:val="center"/>
          </w:tcPr>
          <w:p w14:paraId="102C4A1D" w14:textId="77777777" w:rsidR="00806B16" w:rsidRPr="00903F9D" w:rsidRDefault="00806B16" w:rsidP="00E64C7E">
            <w:pPr>
              <w:pStyle w:val="TableText"/>
              <w:keepNext/>
              <w:keepLines/>
              <w:jc w:val="center"/>
            </w:pPr>
            <w:r w:rsidRPr="00903F9D">
              <w:t>All sites</w:t>
            </w:r>
          </w:p>
        </w:tc>
        <w:tc>
          <w:tcPr>
            <w:tcW w:w="629" w:type="pct"/>
            <w:vAlign w:val="center"/>
          </w:tcPr>
          <w:p w14:paraId="0E23F2F6" w14:textId="77777777" w:rsidR="00806B16" w:rsidRPr="00903F9D" w:rsidRDefault="00806B16" w:rsidP="00E64C7E">
            <w:pPr>
              <w:pStyle w:val="TableText"/>
              <w:keepNext/>
              <w:keepLines/>
              <w:jc w:val="center"/>
            </w:pPr>
            <w:r w:rsidRPr="00903F9D">
              <w:t>0.692</w:t>
            </w:r>
          </w:p>
        </w:tc>
        <w:tc>
          <w:tcPr>
            <w:tcW w:w="629" w:type="pct"/>
            <w:vAlign w:val="center"/>
          </w:tcPr>
          <w:p w14:paraId="142C723B" w14:textId="77777777" w:rsidR="00806B16" w:rsidRPr="00903F9D" w:rsidRDefault="00806B16" w:rsidP="00E64C7E">
            <w:pPr>
              <w:pStyle w:val="TableText"/>
              <w:keepNext/>
              <w:keepLines/>
              <w:jc w:val="center"/>
            </w:pPr>
            <w:r w:rsidRPr="00903F9D">
              <w:t>0.723</w:t>
            </w:r>
          </w:p>
        </w:tc>
        <w:tc>
          <w:tcPr>
            <w:tcW w:w="628" w:type="pct"/>
            <w:vAlign w:val="center"/>
          </w:tcPr>
          <w:p w14:paraId="0826F104" w14:textId="77777777" w:rsidR="00806B16" w:rsidRPr="00903F9D" w:rsidRDefault="00806B16" w:rsidP="00E64C7E">
            <w:pPr>
              <w:pStyle w:val="TableText"/>
              <w:keepNext/>
              <w:keepLines/>
              <w:jc w:val="center"/>
              <w:rPr>
                <w:b/>
                <w:bCs/>
              </w:rPr>
            </w:pPr>
            <w:r w:rsidRPr="00903F9D">
              <w:rPr>
                <w:b/>
                <w:bCs/>
              </w:rPr>
              <w:t>0.001</w:t>
            </w:r>
          </w:p>
        </w:tc>
        <w:tc>
          <w:tcPr>
            <w:tcW w:w="551" w:type="pct"/>
            <w:vAlign w:val="center"/>
          </w:tcPr>
          <w:p w14:paraId="58F8E70A" w14:textId="77777777" w:rsidR="00806B16" w:rsidRPr="00903F9D" w:rsidRDefault="00806B16" w:rsidP="00E64C7E">
            <w:pPr>
              <w:pStyle w:val="TableText"/>
              <w:keepNext/>
              <w:keepLines/>
              <w:jc w:val="center"/>
            </w:pPr>
            <w:r w:rsidRPr="00903F9D">
              <w:t>0.674</w:t>
            </w:r>
          </w:p>
        </w:tc>
        <w:tc>
          <w:tcPr>
            <w:tcW w:w="550" w:type="pct"/>
            <w:vAlign w:val="center"/>
          </w:tcPr>
          <w:p w14:paraId="5FC45A80" w14:textId="77777777" w:rsidR="00806B16" w:rsidRPr="00903F9D" w:rsidRDefault="00806B16" w:rsidP="00E64C7E">
            <w:pPr>
              <w:pStyle w:val="TableText"/>
              <w:keepNext/>
              <w:keepLines/>
              <w:jc w:val="center"/>
            </w:pPr>
            <w:r w:rsidRPr="00903F9D">
              <w:t>0.695</w:t>
            </w:r>
          </w:p>
        </w:tc>
        <w:tc>
          <w:tcPr>
            <w:tcW w:w="600" w:type="pct"/>
            <w:vAlign w:val="center"/>
          </w:tcPr>
          <w:p w14:paraId="0AD0C19C" w14:textId="77777777" w:rsidR="00806B16" w:rsidRPr="00903F9D" w:rsidRDefault="00806B16" w:rsidP="00E64C7E">
            <w:pPr>
              <w:pStyle w:val="TableText"/>
              <w:keepNext/>
              <w:keepLines/>
              <w:jc w:val="center"/>
            </w:pPr>
            <w:r w:rsidRPr="00903F9D">
              <w:t>0.24</w:t>
            </w:r>
          </w:p>
        </w:tc>
      </w:tr>
      <w:tr w:rsidR="006E55D0" w:rsidRPr="00903F9D" w14:paraId="1751C746" w14:textId="77777777" w:rsidTr="006E55D0">
        <w:tc>
          <w:tcPr>
            <w:tcW w:w="733" w:type="pct"/>
            <w:vMerge w:val="restart"/>
            <w:vAlign w:val="center"/>
          </w:tcPr>
          <w:p w14:paraId="6FE03593" w14:textId="77777777" w:rsidR="00806B16" w:rsidRPr="00903F9D" w:rsidRDefault="00806B16" w:rsidP="00E64C7E">
            <w:pPr>
              <w:pStyle w:val="TableText"/>
              <w:keepNext/>
              <w:keepLines/>
            </w:pPr>
            <w:r w:rsidRPr="00903F9D">
              <w:t>Age and BMI-adjusted</w:t>
            </w:r>
          </w:p>
        </w:tc>
        <w:tc>
          <w:tcPr>
            <w:tcW w:w="680" w:type="pct"/>
            <w:vAlign w:val="center"/>
          </w:tcPr>
          <w:p w14:paraId="07743AF9" w14:textId="77777777" w:rsidR="00806B16" w:rsidRPr="00903F9D" w:rsidRDefault="00806B16" w:rsidP="00E64C7E">
            <w:pPr>
              <w:pStyle w:val="TableText"/>
              <w:keepNext/>
              <w:keepLines/>
              <w:jc w:val="center"/>
            </w:pPr>
            <w:r w:rsidRPr="00903F9D">
              <w:t>All sites</w:t>
            </w:r>
          </w:p>
        </w:tc>
        <w:tc>
          <w:tcPr>
            <w:tcW w:w="629" w:type="pct"/>
            <w:vAlign w:val="center"/>
          </w:tcPr>
          <w:p w14:paraId="11070B99" w14:textId="77777777" w:rsidR="00806B16" w:rsidRPr="00903F9D" w:rsidRDefault="00806B16" w:rsidP="00E64C7E">
            <w:pPr>
              <w:pStyle w:val="TableText"/>
              <w:keepNext/>
              <w:keepLines/>
              <w:jc w:val="center"/>
            </w:pPr>
            <w:r w:rsidRPr="00903F9D">
              <w:t>0.613</w:t>
            </w:r>
          </w:p>
        </w:tc>
        <w:tc>
          <w:tcPr>
            <w:tcW w:w="629" w:type="pct"/>
            <w:vAlign w:val="center"/>
          </w:tcPr>
          <w:p w14:paraId="56549558" w14:textId="77777777" w:rsidR="00806B16" w:rsidRPr="00903F9D" w:rsidRDefault="00806B16" w:rsidP="00E64C7E">
            <w:pPr>
              <w:pStyle w:val="TableText"/>
              <w:keepNext/>
              <w:keepLines/>
              <w:jc w:val="center"/>
            </w:pPr>
            <w:r w:rsidRPr="00903F9D">
              <w:t>0.649</w:t>
            </w:r>
          </w:p>
        </w:tc>
        <w:tc>
          <w:tcPr>
            <w:tcW w:w="628" w:type="pct"/>
            <w:vAlign w:val="center"/>
          </w:tcPr>
          <w:p w14:paraId="05F2239E" w14:textId="77777777" w:rsidR="00806B16" w:rsidRPr="00903F9D" w:rsidRDefault="00806B16" w:rsidP="00E64C7E">
            <w:pPr>
              <w:pStyle w:val="TableText"/>
              <w:keepNext/>
              <w:keepLines/>
              <w:jc w:val="center"/>
              <w:rPr>
                <w:b/>
                <w:bCs/>
              </w:rPr>
            </w:pPr>
            <w:r w:rsidRPr="00903F9D">
              <w:rPr>
                <w:b/>
                <w:bCs/>
              </w:rPr>
              <w:t>0.001</w:t>
            </w:r>
          </w:p>
        </w:tc>
        <w:tc>
          <w:tcPr>
            <w:tcW w:w="551" w:type="pct"/>
            <w:vAlign w:val="center"/>
          </w:tcPr>
          <w:p w14:paraId="354D254A" w14:textId="77777777" w:rsidR="00806B16" w:rsidRPr="00903F9D" w:rsidRDefault="00806B16" w:rsidP="00E64C7E">
            <w:pPr>
              <w:pStyle w:val="TableText"/>
              <w:keepNext/>
              <w:keepLines/>
              <w:jc w:val="center"/>
            </w:pPr>
            <w:r w:rsidRPr="00903F9D">
              <w:t>0.596</w:t>
            </w:r>
          </w:p>
        </w:tc>
        <w:tc>
          <w:tcPr>
            <w:tcW w:w="550" w:type="pct"/>
            <w:vAlign w:val="center"/>
          </w:tcPr>
          <w:p w14:paraId="6B9C46E5" w14:textId="77777777" w:rsidR="00806B16" w:rsidRPr="00903F9D" w:rsidRDefault="00806B16" w:rsidP="00E64C7E">
            <w:pPr>
              <w:pStyle w:val="TableText"/>
              <w:keepNext/>
              <w:keepLines/>
              <w:jc w:val="center"/>
            </w:pPr>
            <w:r w:rsidRPr="00903F9D">
              <w:t>0.632</w:t>
            </w:r>
          </w:p>
        </w:tc>
        <w:tc>
          <w:tcPr>
            <w:tcW w:w="600" w:type="pct"/>
            <w:vAlign w:val="center"/>
          </w:tcPr>
          <w:p w14:paraId="6558B62D" w14:textId="77777777" w:rsidR="00806B16" w:rsidRPr="00903F9D" w:rsidRDefault="00806B16" w:rsidP="00E64C7E">
            <w:pPr>
              <w:pStyle w:val="TableText"/>
              <w:keepNext/>
              <w:keepLines/>
              <w:jc w:val="center"/>
            </w:pPr>
            <w:r w:rsidRPr="00903F9D">
              <w:t>0.08</w:t>
            </w:r>
          </w:p>
        </w:tc>
      </w:tr>
      <w:tr w:rsidR="006E55D0" w:rsidRPr="00903F9D" w14:paraId="103091A9" w14:textId="77777777" w:rsidTr="006E55D0">
        <w:tc>
          <w:tcPr>
            <w:tcW w:w="733" w:type="pct"/>
            <w:vMerge/>
            <w:vAlign w:val="center"/>
          </w:tcPr>
          <w:p w14:paraId="375683A0" w14:textId="77777777" w:rsidR="00806B16" w:rsidRPr="00903F9D" w:rsidRDefault="00806B16" w:rsidP="00E64C7E">
            <w:pPr>
              <w:pStyle w:val="TableText"/>
              <w:keepNext/>
              <w:keepLines/>
            </w:pPr>
          </w:p>
        </w:tc>
        <w:tc>
          <w:tcPr>
            <w:tcW w:w="680" w:type="pct"/>
            <w:vAlign w:val="center"/>
          </w:tcPr>
          <w:p w14:paraId="0D0457A3" w14:textId="77777777" w:rsidR="00806B16" w:rsidRPr="00903F9D" w:rsidRDefault="00806B16" w:rsidP="00E64C7E">
            <w:pPr>
              <w:pStyle w:val="TableText"/>
              <w:keepNext/>
              <w:keepLines/>
              <w:jc w:val="center"/>
            </w:pPr>
            <w:r w:rsidRPr="00903F9D">
              <w:t>Vertebra</w:t>
            </w:r>
          </w:p>
        </w:tc>
        <w:tc>
          <w:tcPr>
            <w:tcW w:w="629" w:type="pct"/>
            <w:vAlign w:val="center"/>
          </w:tcPr>
          <w:p w14:paraId="7AA2B8C4" w14:textId="77777777" w:rsidR="00806B16" w:rsidRPr="00903F9D" w:rsidRDefault="00806B16" w:rsidP="00E64C7E">
            <w:pPr>
              <w:pStyle w:val="TableText"/>
              <w:keepNext/>
              <w:keepLines/>
              <w:jc w:val="center"/>
            </w:pPr>
            <w:r w:rsidRPr="00903F9D">
              <w:t>0.78</w:t>
            </w:r>
          </w:p>
        </w:tc>
        <w:tc>
          <w:tcPr>
            <w:tcW w:w="629" w:type="pct"/>
            <w:vAlign w:val="center"/>
          </w:tcPr>
          <w:p w14:paraId="4F972C04" w14:textId="77777777" w:rsidR="00806B16" w:rsidRPr="00903F9D" w:rsidRDefault="00806B16" w:rsidP="00E64C7E">
            <w:pPr>
              <w:pStyle w:val="TableText"/>
              <w:keepNext/>
              <w:keepLines/>
              <w:jc w:val="center"/>
            </w:pPr>
            <w:r w:rsidRPr="00903F9D">
              <w:t>0.781</w:t>
            </w:r>
          </w:p>
        </w:tc>
        <w:tc>
          <w:tcPr>
            <w:tcW w:w="628" w:type="pct"/>
            <w:vAlign w:val="center"/>
          </w:tcPr>
          <w:p w14:paraId="7580762F" w14:textId="77777777" w:rsidR="00806B16" w:rsidRPr="00903F9D" w:rsidRDefault="00806B16" w:rsidP="00E64C7E">
            <w:pPr>
              <w:pStyle w:val="TableText"/>
              <w:keepNext/>
              <w:keepLines/>
              <w:jc w:val="center"/>
            </w:pPr>
            <w:r w:rsidRPr="00903F9D">
              <w:t>0.99</w:t>
            </w:r>
          </w:p>
        </w:tc>
        <w:tc>
          <w:tcPr>
            <w:tcW w:w="551" w:type="pct"/>
            <w:vAlign w:val="center"/>
          </w:tcPr>
          <w:p w14:paraId="5C42D605" w14:textId="77777777" w:rsidR="00806B16" w:rsidRPr="00903F9D" w:rsidRDefault="00806B16" w:rsidP="00E64C7E">
            <w:pPr>
              <w:pStyle w:val="TableText"/>
              <w:keepNext/>
              <w:keepLines/>
              <w:jc w:val="center"/>
            </w:pPr>
            <w:r w:rsidRPr="00903F9D">
              <w:t>0.590</w:t>
            </w:r>
          </w:p>
        </w:tc>
        <w:tc>
          <w:tcPr>
            <w:tcW w:w="550" w:type="pct"/>
            <w:vAlign w:val="center"/>
          </w:tcPr>
          <w:p w14:paraId="0B195BDB" w14:textId="77777777" w:rsidR="00806B16" w:rsidRPr="00903F9D" w:rsidRDefault="00806B16" w:rsidP="00E64C7E">
            <w:pPr>
              <w:pStyle w:val="TableText"/>
              <w:keepNext/>
              <w:keepLines/>
              <w:jc w:val="center"/>
            </w:pPr>
            <w:r w:rsidRPr="00903F9D">
              <w:t>0.622</w:t>
            </w:r>
          </w:p>
        </w:tc>
        <w:tc>
          <w:tcPr>
            <w:tcW w:w="600" w:type="pct"/>
            <w:vAlign w:val="center"/>
          </w:tcPr>
          <w:p w14:paraId="66E59275" w14:textId="77777777" w:rsidR="00806B16" w:rsidRPr="00903F9D" w:rsidRDefault="00806B16" w:rsidP="00E64C7E">
            <w:pPr>
              <w:pStyle w:val="TableText"/>
              <w:keepNext/>
              <w:keepLines/>
              <w:jc w:val="center"/>
            </w:pPr>
            <w:r w:rsidRPr="00903F9D">
              <w:t>0.60</w:t>
            </w:r>
          </w:p>
        </w:tc>
      </w:tr>
      <w:tr w:rsidR="006E55D0" w:rsidRPr="00903F9D" w14:paraId="19790025" w14:textId="77777777" w:rsidTr="006E55D0">
        <w:tc>
          <w:tcPr>
            <w:tcW w:w="733" w:type="pct"/>
            <w:vMerge/>
            <w:vAlign w:val="center"/>
          </w:tcPr>
          <w:p w14:paraId="3250BD3D" w14:textId="77777777" w:rsidR="00806B16" w:rsidRPr="00903F9D" w:rsidRDefault="00806B16" w:rsidP="00E64C7E">
            <w:pPr>
              <w:pStyle w:val="TableText"/>
              <w:keepNext/>
              <w:keepLines/>
            </w:pPr>
          </w:p>
        </w:tc>
        <w:tc>
          <w:tcPr>
            <w:tcW w:w="680" w:type="pct"/>
            <w:vAlign w:val="center"/>
          </w:tcPr>
          <w:p w14:paraId="5E789384" w14:textId="77777777" w:rsidR="00806B16" w:rsidRPr="00903F9D" w:rsidRDefault="00806B16" w:rsidP="00E64C7E">
            <w:pPr>
              <w:pStyle w:val="TableText"/>
              <w:keepNext/>
              <w:keepLines/>
              <w:jc w:val="center"/>
            </w:pPr>
            <w:r w:rsidRPr="00903F9D">
              <w:t>Hip</w:t>
            </w:r>
          </w:p>
        </w:tc>
        <w:tc>
          <w:tcPr>
            <w:tcW w:w="629" w:type="pct"/>
            <w:vAlign w:val="center"/>
          </w:tcPr>
          <w:p w14:paraId="52C01E4C" w14:textId="77777777" w:rsidR="00806B16" w:rsidRPr="00903F9D" w:rsidRDefault="00806B16" w:rsidP="00E64C7E">
            <w:pPr>
              <w:pStyle w:val="TableText"/>
              <w:keepNext/>
              <w:keepLines/>
              <w:jc w:val="center"/>
            </w:pPr>
            <w:r w:rsidRPr="00903F9D">
              <w:t>0.674</w:t>
            </w:r>
          </w:p>
        </w:tc>
        <w:tc>
          <w:tcPr>
            <w:tcW w:w="629" w:type="pct"/>
            <w:vAlign w:val="center"/>
          </w:tcPr>
          <w:p w14:paraId="2F57204E" w14:textId="77777777" w:rsidR="00806B16" w:rsidRPr="00903F9D" w:rsidRDefault="00806B16" w:rsidP="00E64C7E">
            <w:pPr>
              <w:pStyle w:val="TableText"/>
              <w:keepNext/>
              <w:keepLines/>
              <w:jc w:val="center"/>
            </w:pPr>
            <w:r w:rsidRPr="00903F9D">
              <w:t>0.664</w:t>
            </w:r>
          </w:p>
        </w:tc>
        <w:tc>
          <w:tcPr>
            <w:tcW w:w="628" w:type="pct"/>
            <w:vAlign w:val="center"/>
          </w:tcPr>
          <w:p w14:paraId="3C7F09E2" w14:textId="77777777" w:rsidR="00806B16" w:rsidRPr="00903F9D" w:rsidRDefault="00806B16" w:rsidP="00E64C7E">
            <w:pPr>
              <w:pStyle w:val="TableText"/>
              <w:keepNext/>
              <w:keepLines/>
              <w:jc w:val="center"/>
            </w:pPr>
            <w:r w:rsidRPr="00903F9D">
              <w:t>0.67</w:t>
            </w:r>
          </w:p>
        </w:tc>
        <w:tc>
          <w:tcPr>
            <w:tcW w:w="551" w:type="pct"/>
            <w:vAlign w:val="center"/>
          </w:tcPr>
          <w:p w14:paraId="70AAE9C2" w14:textId="77777777" w:rsidR="00806B16" w:rsidRPr="00903F9D" w:rsidRDefault="00806B16" w:rsidP="00E64C7E">
            <w:pPr>
              <w:pStyle w:val="TableText"/>
              <w:keepNext/>
              <w:keepLines/>
              <w:jc w:val="center"/>
            </w:pPr>
            <w:r w:rsidRPr="00903F9D">
              <w:t>0.616</w:t>
            </w:r>
          </w:p>
        </w:tc>
        <w:tc>
          <w:tcPr>
            <w:tcW w:w="550" w:type="pct"/>
            <w:vAlign w:val="center"/>
          </w:tcPr>
          <w:p w14:paraId="67D69C54" w14:textId="77777777" w:rsidR="00806B16" w:rsidRPr="00903F9D" w:rsidRDefault="00806B16" w:rsidP="00E64C7E">
            <w:pPr>
              <w:pStyle w:val="TableText"/>
              <w:keepNext/>
              <w:keepLines/>
              <w:jc w:val="center"/>
            </w:pPr>
            <w:r w:rsidRPr="00903F9D">
              <w:t>0.602</w:t>
            </w:r>
          </w:p>
        </w:tc>
        <w:tc>
          <w:tcPr>
            <w:tcW w:w="600" w:type="pct"/>
            <w:vAlign w:val="center"/>
          </w:tcPr>
          <w:p w14:paraId="2F382F3D" w14:textId="77777777" w:rsidR="00806B16" w:rsidRPr="00903F9D" w:rsidRDefault="00806B16" w:rsidP="00E64C7E">
            <w:pPr>
              <w:pStyle w:val="TableText"/>
              <w:keepNext/>
              <w:keepLines/>
              <w:jc w:val="center"/>
            </w:pPr>
            <w:r w:rsidRPr="00903F9D">
              <w:t>0.78</w:t>
            </w:r>
          </w:p>
        </w:tc>
      </w:tr>
      <w:tr w:rsidR="006E55D0" w:rsidRPr="00903F9D" w14:paraId="4623CE05" w14:textId="77777777" w:rsidTr="006E55D0">
        <w:tc>
          <w:tcPr>
            <w:tcW w:w="733" w:type="pct"/>
            <w:vMerge/>
            <w:vAlign w:val="center"/>
          </w:tcPr>
          <w:p w14:paraId="52073BC5" w14:textId="77777777" w:rsidR="00806B16" w:rsidRPr="00903F9D" w:rsidRDefault="00806B16" w:rsidP="00E64C7E">
            <w:pPr>
              <w:pStyle w:val="TableText"/>
              <w:keepNext/>
              <w:keepLines/>
            </w:pPr>
          </w:p>
        </w:tc>
        <w:tc>
          <w:tcPr>
            <w:tcW w:w="680" w:type="pct"/>
            <w:vAlign w:val="center"/>
          </w:tcPr>
          <w:p w14:paraId="7A8CD479" w14:textId="77777777" w:rsidR="00806B16" w:rsidRPr="00903F9D" w:rsidRDefault="00806B16" w:rsidP="00E64C7E">
            <w:pPr>
              <w:pStyle w:val="TableText"/>
              <w:keepNext/>
              <w:keepLines/>
              <w:jc w:val="center"/>
            </w:pPr>
            <w:r w:rsidRPr="00903F9D">
              <w:t>Other sites</w:t>
            </w:r>
          </w:p>
        </w:tc>
        <w:tc>
          <w:tcPr>
            <w:tcW w:w="629" w:type="pct"/>
            <w:vAlign w:val="center"/>
          </w:tcPr>
          <w:p w14:paraId="07C012FB" w14:textId="77777777" w:rsidR="00806B16" w:rsidRPr="00903F9D" w:rsidRDefault="00806B16" w:rsidP="00E64C7E">
            <w:pPr>
              <w:pStyle w:val="TableText"/>
              <w:keepNext/>
              <w:keepLines/>
              <w:jc w:val="center"/>
            </w:pPr>
            <w:r w:rsidRPr="00903F9D">
              <w:t>0.545</w:t>
            </w:r>
          </w:p>
        </w:tc>
        <w:tc>
          <w:tcPr>
            <w:tcW w:w="629" w:type="pct"/>
            <w:vAlign w:val="center"/>
          </w:tcPr>
          <w:p w14:paraId="6EA4E5BF" w14:textId="77777777" w:rsidR="00806B16" w:rsidRPr="00903F9D" w:rsidRDefault="00806B16" w:rsidP="00E64C7E">
            <w:pPr>
              <w:pStyle w:val="TableText"/>
              <w:keepNext/>
              <w:keepLines/>
              <w:jc w:val="center"/>
            </w:pPr>
            <w:r w:rsidRPr="00903F9D">
              <w:t>0.594</w:t>
            </w:r>
          </w:p>
        </w:tc>
        <w:tc>
          <w:tcPr>
            <w:tcW w:w="628" w:type="pct"/>
            <w:vAlign w:val="center"/>
          </w:tcPr>
          <w:p w14:paraId="470EC3ED" w14:textId="77777777" w:rsidR="00806B16" w:rsidRPr="00903F9D" w:rsidRDefault="00806B16" w:rsidP="00E64C7E">
            <w:pPr>
              <w:pStyle w:val="TableText"/>
              <w:keepNext/>
              <w:keepLines/>
              <w:jc w:val="center"/>
              <w:rPr>
                <w:b/>
                <w:bCs/>
              </w:rPr>
            </w:pPr>
            <w:r w:rsidRPr="00903F9D">
              <w:rPr>
                <w:b/>
                <w:bCs/>
              </w:rPr>
              <w:t>0.001</w:t>
            </w:r>
          </w:p>
        </w:tc>
        <w:tc>
          <w:tcPr>
            <w:tcW w:w="551" w:type="pct"/>
            <w:vAlign w:val="center"/>
          </w:tcPr>
          <w:p w14:paraId="1C7F3889" w14:textId="77777777" w:rsidR="00806B16" w:rsidRPr="00903F9D" w:rsidRDefault="00806B16" w:rsidP="00E64C7E">
            <w:pPr>
              <w:pStyle w:val="TableText"/>
              <w:keepNext/>
              <w:keepLines/>
              <w:jc w:val="center"/>
            </w:pPr>
            <w:r w:rsidRPr="00903F9D">
              <w:t>0.567</w:t>
            </w:r>
          </w:p>
        </w:tc>
        <w:tc>
          <w:tcPr>
            <w:tcW w:w="550" w:type="pct"/>
            <w:vAlign w:val="center"/>
          </w:tcPr>
          <w:p w14:paraId="57A8A6A7" w14:textId="77777777" w:rsidR="00806B16" w:rsidRPr="00903F9D" w:rsidRDefault="00806B16" w:rsidP="00E64C7E">
            <w:pPr>
              <w:pStyle w:val="TableText"/>
              <w:keepNext/>
              <w:keepLines/>
              <w:jc w:val="center"/>
            </w:pPr>
            <w:r w:rsidRPr="00903F9D">
              <w:t>0.611</w:t>
            </w:r>
          </w:p>
        </w:tc>
        <w:tc>
          <w:tcPr>
            <w:tcW w:w="600" w:type="pct"/>
            <w:vAlign w:val="center"/>
          </w:tcPr>
          <w:p w14:paraId="7C0E280F" w14:textId="77777777" w:rsidR="00806B16" w:rsidRPr="00903F9D" w:rsidRDefault="00806B16" w:rsidP="00E64C7E">
            <w:pPr>
              <w:pStyle w:val="TableText"/>
              <w:keepNext/>
              <w:keepLines/>
              <w:jc w:val="center"/>
            </w:pPr>
            <w:r w:rsidRPr="00903F9D">
              <w:t>0.07</w:t>
            </w:r>
          </w:p>
        </w:tc>
      </w:tr>
    </w:tbl>
    <w:p w14:paraId="66A37858" w14:textId="77777777" w:rsidR="00DC681F" w:rsidRPr="00903F9D" w:rsidRDefault="00DC681F" w:rsidP="00E64C7E">
      <w:pPr>
        <w:pStyle w:val="TableFigureFooter"/>
      </w:pPr>
      <w:r w:rsidRPr="00903F9D">
        <w:t xml:space="preserve">Source: </w:t>
      </w:r>
      <w:proofErr w:type="spellStart"/>
      <w:r w:rsidRPr="00903F9D">
        <w:t>Adami</w:t>
      </w:r>
      <w:proofErr w:type="spellEnd"/>
      <w:r w:rsidRPr="00903F9D">
        <w:t xml:space="preserve"> 2021 p. 5-6, Table 2</w:t>
      </w:r>
    </w:p>
    <w:p w14:paraId="284CC2B4" w14:textId="14D7534F" w:rsidR="00DC681F" w:rsidRPr="00903F9D" w:rsidRDefault="00DC681F" w:rsidP="00E64C7E">
      <w:pPr>
        <w:pStyle w:val="TableFigureFooter"/>
      </w:pPr>
      <w:r w:rsidRPr="00903F9D">
        <w:t xml:space="preserve">AUC= area under the curve; </w:t>
      </w:r>
      <w:r w:rsidR="00D30AC2" w:rsidRPr="00903F9D">
        <w:t xml:space="preserve">BMI= body mass index; DXA= </w:t>
      </w:r>
      <w:r w:rsidR="00C314A2" w:rsidRPr="00903F9D">
        <w:t xml:space="preserve">dual energy </w:t>
      </w:r>
      <w:r w:rsidR="00316C71" w:rsidRPr="00903F9D">
        <w:t>x-r</w:t>
      </w:r>
      <w:r w:rsidR="00C314A2" w:rsidRPr="00903F9D">
        <w:t>ay absorptiometry</w:t>
      </w:r>
      <w:r w:rsidR="00D30AC2" w:rsidRPr="00903F9D">
        <w:t xml:space="preserve">; REMS= </w:t>
      </w:r>
      <w:r w:rsidR="00C314A2" w:rsidRPr="00903F9D">
        <w:t>radiofrequency echographic multi spectrometry</w:t>
      </w:r>
      <w:r w:rsidR="00D30AC2" w:rsidRPr="00903F9D">
        <w:t>.</w:t>
      </w:r>
    </w:p>
    <w:p w14:paraId="23D63B19" w14:textId="3E7C83ED" w:rsidR="00806B16" w:rsidRPr="00903F9D" w:rsidRDefault="00806B16" w:rsidP="00E64C7E">
      <w:pPr>
        <w:pStyle w:val="TableFigureFooter"/>
      </w:pPr>
      <w:r w:rsidRPr="00903F9D">
        <w:t>P-values are from Delong test of equivalence between ROC curves.</w:t>
      </w:r>
    </w:p>
    <w:p w14:paraId="49DDFFCD" w14:textId="3AA325F7" w:rsidR="005B04CF" w:rsidRPr="00903F9D" w:rsidRDefault="005B04CF" w:rsidP="00E64C7E">
      <w:pPr>
        <w:pStyle w:val="TableFigureFooter"/>
      </w:pPr>
      <w:r w:rsidRPr="00903F9D">
        <w:t>The reference standard was incident fragility fractures confirmed by imaging investigations.</w:t>
      </w:r>
    </w:p>
    <w:p w14:paraId="6CA60166" w14:textId="5342B6DE" w:rsidR="00806B16" w:rsidRPr="00903F9D" w:rsidRDefault="00806B16" w:rsidP="00E64C7E">
      <w:pPr>
        <w:pStyle w:val="TableFigureFooter"/>
        <w:keepNext w:val="0"/>
      </w:pPr>
      <w:r w:rsidRPr="00903F9D">
        <w:t>The MSAC Guideline</w:t>
      </w:r>
      <w:r w:rsidR="009F1C02" w:rsidRPr="00903F9D">
        <w:t>s</w:t>
      </w:r>
      <w:r w:rsidRPr="00903F9D">
        <w:t xml:space="preserve"> state that for values above 0.9, test accuracy was high; for values between 0.7 and 0.9, test accuracy is moderate; and for values below 0.7, test accuracy low. An area under the receiver operating characteristic (AUROC) value of ≤0.50 indicates that the test cannot discriminate between true positives and true negatives, with the curve lying on or below the major diagonal” (p.277 MSAC Guidelines, Version 16. Final).</w:t>
      </w:r>
    </w:p>
    <w:p w14:paraId="433004C2" w14:textId="19F7D2BE" w:rsidR="005857DC" w:rsidRPr="00903F9D" w:rsidRDefault="005857DC" w:rsidP="00F54EEE">
      <w:pPr>
        <w:pStyle w:val="Heading4"/>
      </w:pPr>
      <w:r w:rsidRPr="00903F9D">
        <w:t xml:space="preserve">Supplementary data </w:t>
      </w:r>
      <w:r w:rsidR="00F97047" w:rsidRPr="00903F9D">
        <w:t xml:space="preserve">for other </w:t>
      </w:r>
      <w:r w:rsidR="00B84E38" w:rsidRPr="00903F9D">
        <w:rPr>
          <w:rFonts w:eastAsia="Calibri" w:cs="Times New Roman"/>
        </w:rPr>
        <w:t>patient groups within the proposed eligible population</w:t>
      </w:r>
    </w:p>
    <w:p w14:paraId="24336171" w14:textId="11BC1E6B" w:rsidR="005857DC" w:rsidRPr="00903F9D" w:rsidRDefault="00D15F34" w:rsidP="005857DC">
      <w:r w:rsidRPr="00903F9D">
        <w:t xml:space="preserve">Overall, the additional evidence for </w:t>
      </w:r>
      <w:r w:rsidR="00F97047" w:rsidRPr="00903F9D">
        <w:t>o</w:t>
      </w:r>
      <w:r w:rsidRPr="00903F9D">
        <w:t>the</w:t>
      </w:r>
      <w:r w:rsidR="00F97047" w:rsidRPr="00903F9D">
        <w:t>r</w:t>
      </w:r>
      <w:r w:rsidRPr="00903F9D">
        <w:t xml:space="preserve"> </w:t>
      </w:r>
      <w:r w:rsidR="00B84E38" w:rsidRPr="00903F9D">
        <w:rPr>
          <w:rFonts w:eastAsia="Calibri" w:cs="Times New Roman"/>
        </w:rPr>
        <w:t xml:space="preserve">patient groups within the proposed eligible population </w:t>
      </w:r>
      <w:r w:rsidRPr="00903F9D">
        <w:t>was supportive, but not conclusive, of the use of REMS in comparison to DXA. There are important limitations from the evidence, mainly regarding incomplete reporting in conference abstract</w:t>
      </w:r>
      <w:r w:rsidR="00E64C7E" w:rsidRPr="00903F9D">
        <w:t>s</w:t>
      </w:r>
      <w:r w:rsidRPr="00903F9D">
        <w:t xml:space="preserve"> and overall paucity of data.</w:t>
      </w:r>
    </w:p>
    <w:p w14:paraId="77CC130F" w14:textId="77777777" w:rsidR="00772829" w:rsidRPr="00903F9D" w:rsidRDefault="00772829" w:rsidP="00F54EEE">
      <w:pPr>
        <w:pStyle w:val="Heading4"/>
      </w:pPr>
      <w:r w:rsidRPr="00903F9D">
        <w:t>Clinical claim</w:t>
      </w:r>
    </w:p>
    <w:p w14:paraId="6B0420A8" w14:textId="1D83D07B" w:rsidR="00755998" w:rsidRPr="00903F9D" w:rsidRDefault="007671CF" w:rsidP="008131D6">
      <w:r w:rsidRPr="00903F9D">
        <w:t>The ADAR claimed that t</w:t>
      </w:r>
      <w:r w:rsidR="008131D6" w:rsidRPr="00903F9D">
        <w:t xml:space="preserve">he use of REMS </w:t>
      </w:r>
      <w:r w:rsidR="008B5BFF" w:rsidRPr="00903F9D">
        <w:t xml:space="preserve">for BMD measurement for diagnosis of osteoporosis </w:t>
      </w:r>
      <w:r w:rsidR="008131D6" w:rsidRPr="00903F9D">
        <w:t>result</w:t>
      </w:r>
      <w:r w:rsidRPr="00903F9D">
        <w:t>ed</w:t>
      </w:r>
      <w:r w:rsidR="008131D6" w:rsidRPr="00903F9D">
        <w:t xml:space="preserve"> in noninferior effectiveness compared with DXA. </w:t>
      </w:r>
      <w:r w:rsidR="00BF5A7D" w:rsidRPr="00903F9D">
        <w:t xml:space="preserve">Overall, </w:t>
      </w:r>
      <w:r w:rsidR="00FE3BE1" w:rsidRPr="00903F9D">
        <w:t>the commentary considered that the</w:t>
      </w:r>
      <w:r w:rsidR="00BF5A7D" w:rsidRPr="00903F9D">
        <w:t xml:space="preserve"> claim on noninferiority of effectiveness was supported by the data for BMD and T-score at lumbar spine, femoral </w:t>
      </w:r>
      <w:proofErr w:type="gramStart"/>
      <w:r w:rsidR="00BF5A7D" w:rsidRPr="00903F9D">
        <w:t>neck</w:t>
      </w:r>
      <w:proofErr w:type="gramEnd"/>
      <w:r w:rsidR="00BF5A7D" w:rsidRPr="00903F9D">
        <w:t xml:space="preserve"> and total femur (although no real-world scenario reported) sites for post-menopausal women based on the two key studies. </w:t>
      </w:r>
      <w:r w:rsidR="00976893" w:rsidRPr="00903F9D">
        <w:t>However, t</w:t>
      </w:r>
      <w:r w:rsidR="00BF5A7D" w:rsidRPr="00903F9D">
        <w:t xml:space="preserve">here is a paucity of data in certain populations including males, younger women, </w:t>
      </w:r>
      <w:proofErr w:type="gramStart"/>
      <w:r w:rsidR="00BF5A7D" w:rsidRPr="00903F9D">
        <w:t>children</w:t>
      </w:r>
      <w:proofErr w:type="gramEnd"/>
      <w:r w:rsidR="00BF5A7D" w:rsidRPr="00903F9D">
        <w:t xml:space="preserve"> and different ethnicities from Caucasian. These patient populations would require a Z-score analysis which was not provided in the ADAR.</w:t>
      </w:r>
    </w:p>
    <w:p w14:paraId="1865B0C3" w14:textId="38057671" w:rsidR="00755998" w:rsidRPr="00903F9D" w:rsidRDefault="00755998" w:rsidP="008131D6">
      <w:r w:rsidRPr="00903F9D">
        <w:t xml:space="preserve">The </w:t>
      </w:r>
      <w:r w:rsidR="00C65839" w:rsidRPr="00903F9D">
        <w:t xml:space="preserve">key </w:t>
      </w:r>
      <w:r w:rsidRPr="00903F9D">
        <w:t xml:space="preserve">clinical studies highlight that the rate of </w:t>
      </w:r>
      <w:r w:rsidR="005B04CF" w:rsidRPr="00903F9D">
        <w:t>REMS scans with quality errors</w:t>
      </w:r>
      <w:r w:rsidRPr="00903F9D">
        <w:t xml:space="preserve"> is operator-dependent, which has implications for the number of repeat scans. This highlights the need for a rigorous training and possible ongoing quality check</w:t>
      </w:r>
      <w:r w:rsidR="00F12523" w:rsidRPr="00903F9D">
        <w:t>s</w:t>
      </w:r>
      <w:r w:rsidRPr="00903F9D">
        <w:t xml:space="preserve"> for REMS. </w:t>
      </w:r>
      <w:r w:rsidR="00BF5A7D" w:rsidRPr="00903F9D">
        <w:t>Further, t</w:t>
      </w:r>
      <w:r w:rsidR="005B04CF" w:rsidRPr="00903F9D">
        <w:t>he ADAR did not specifically report the rate of unsuccessful</w:t>
      </w:r>
      <w:r w:rsidR="00FE3BE1" w:rsidRPr="00903F9D">
        <w:t xml:space="preserve"> (invalid)</w:t>
      </w:r>
      <w:r w:rsidR="005B04CF" w:rsidRPr="00903F9D">
        <w:t xml:space="preserve"> scans</w:t>
      </w:r>
      <w:r w:rsidR="00BF5A7D" w:rsidRPr="00903F9D">
        <w:t xml:space="preserve"> (failure to complete the scan despite reattempts)</w:t>
      </w:r>
      <w:r w:rsidR="005B04CF" w:rsidRPr="00903F9D">
        <w:t xml:space="preserve"> or the rate of repeat</w:t>
      </w:r>
      <w:r w:rsidR="00BF5A7D" w:rsidRPr="00903F9D">
        <w:t xml:space="preserve">/alternative (DXA or </w:t>
      </w:r>
      <w:proofErr w:type="spellStart"/>
      <w:r w:rsidR="00BF5A7D" w:rsidRPr="00903F9D">
        <w:t>qCT</w:t>
      </w:r>
      <w:proofErr w:type="spellEnd"/>
      <w:r w:rsidR="00BF5A7D" w:rsidRPr="00903F9D">
        <w:rPr>
          <w:rStyle w:val="FootnoteReference"/>
        </w:rPr>
        <w:footnoteReference w:id="21"/>
      </w:r>
      <w:r w:rsidR="00BF5A7D" w:rsidRPr="00903F9D">
        <w:t>)</w:t>
      </w:r>
      <w:r w:rsidR="005B04CF" w:rsidRPr="00903F9D">
        <w:t xml:space="preserve"> scans </w:t>
      </w:r>
      <w:r w:rsidR="00BF5A7D" w:rsidRPr="00903F9D">
        <w:t xml:space="preserve">as a result of unsuccessful REMS scans as specified in the </w:t>
      </w:r>
      <w:hyperlink r:id="rId54" w:history="1">
        <w:r w:rsidR="0057751D" w:rsidRPr="00903F9D">
          <w:rPr>
            <w:rStyle w:val="Hyperlink"/>
          </w:rPr>
          <w:t>PICO confirmation</w:t>
        </w:r>
      </w:hyperlink>
      <w:r w:rsidR="005B04CF" w:rsidRPr="00903F9D">
        <w:t>.</w:t>
      </w:r>
    </w:p>
    <w:p w14:paraId="4189AE67" w14:textId="78E79947" w:rsidR="008131D6" w:rsidRPr="00903F9D" w:rsidRDefault="008131D6" w:rsidP="00E11FA7">
      <w:pPr>
        <w:pStyle w:val="Instructionaltext"/>
        <w:rPr>
          <w:color w:val="auto"/>
        </w:rPr>
      </w:pPr>
      <w:r w:rsidRPr="00903F9D">
        <w:rPr>
          <w:color w:val="auto"/>
        </w:rPr>
        <w:t xml:space="preserve">The </w:t>
      </w:r>
      <w:r w:rsidR="00DF30DC" w:rsidRPr="00903F9D">
        <w:rPr>
          <w:color w:val="auto"/>
        </w:rPr>
        <w:t xml:space="preserve">ADAR claimed that the </w:t>
      </w:r>
      <w:r w:rsidRPr="00903F9D">
        <w:rPr>
          <w:color w:val="auto"/>
        </w:rPr>
        <w:t>use of REMS results in noninferior safety compared with DXA</w:t>
      </w:r>
      <w:r w:rsidR="00F12523" w:rsidRPr="00903F9D">
        <w:rPr>
          <w:color w:val="auto"/>
        </w:rPr>
        <w:t>.</w:t>
      </w:r>
      <w:r w:rsidRPr="00903F9D">
        <w:rPr>
          <w:color w:val="auto"/>
        </w:rPr>
        <w:t xml:space="preserve"> </w:t>
      </w:r>
      <w:bookmarkStart w:id="41" w:name="_Hlk103113506"/>
      <w:r w:rsidR="00823C6E" w:rsidRPr="00903F9D">
        <w:rPr>
          <w:color w:val="auto"/>
        </w:rPr>
        <w:t>The commentary</w:t>
      </w:r>
      <w:r w:rsidR="00E11FA7" w:rsidRPr="00903F9D">
        <w:rPr>
          <w:color w:val="auto"/>
        </w:rPr>
        <w:t xml:space="preserve"> considered </w:t>
      </w:r>
      <w:r w:rsidR="00823C6E" w:rsidRPr="00903F9D">
        <w:rPr>
          <w:color w:val="auto"/>
        </w:rPr>
        <w:t xml:space="preserve">it </w:t>
      </w:r>
      <w:r w:rsidR="00E11FA7" w:rsidRPr="00903F9D">
        <w:rPr>
          <w:color w:val="auto"/>
        </w:rPr>
        <w:t>reasonable that there are no specific harms attributed to differences between REMS and DXA regarding potential for wrong diagnosis.</w:t>
      </w:r>
      <w:bookmarkEnd w:id="41"/>
    </w:p>
    <w:p w14:paraId="59F47A9C" w14:textId="7A1F5B95" w:rsidR="00772829" w:rsidRPr="00903F9D" w:rsidRDefault="00C36633" w:rsidP="002A18BE">
      <w:pPr>
        <w:pStyle w:val="Heading2"/>
        <w:numPr>
          <w:ilvl w:val="0"/>
          <w:numId w:val="0"/>
        </w:numPr>
      </w:pPr>
      <w:bookmarkStart w:id="42" w:name="_Toc69491425"/>
      <w:r w:rsidRPr="00903F9D">
        <w:lastRenderedPageBreak/>
        <w:t>1</w:t>
      </w:r>
      <w:r w:rsidR="00EB62FF" w:rsidRPr="00903F9D">
        <w:t>3</w:t>
      </w:r>
      <w:r w:rsidRPr="00903F9D">
        <w:t>.</w:t>
      </w:r>
      <w:r w:rsidRPr="00903F9D">
        <w:tab/>
      </w:r>
      <w:r w:rsidR="00772829" w:rsidRPr="00903F9D">
        <w:t>Economic evaluation</w:t>
      </w:r>
      <w:bookmarkEnd w:id="42"/>
    </w:p>
    <w:p w14:paraId="3771213E" w14:textId="70AA12F2" w:rsidR="005B5E60" w:rsidRPr="00903F9D" w:rsidRDefault="00862F3A" w:rsidP="00E76AE0">
      <w:pPr>
        <w:pStyle w:val="Instructionaltext"/>
        <w:rPr>
          <w:iCs/>
          <w:color w:val="auto"/>
        </w:rPr>
      </w:pPr>
      <w:r w:rsidRPr="00903F9D">
        <w:rPr>
          <w:color w:val="auto"/>
        </w:rPr>
        <w:t>The ADAR</w:t>
      </w:r>
      <w:r w:rsidR="00976893" w:rsidRPr="00903F9D">
        <w:rPr>
          <w:color w:val="auto"/>
        </w:rPr>
        <w:t xml:space="preserve"> intended to</w:t>
      </w:r>
      <w:r w:rsidRPr="00903F9D">
        <w:rPr>
          <w:color w:val="auto"/>
        </w:rPr>
        <w:t xml:space="preserve"> present a cost</w:t>
      </w:r>
      <w:r w:rsidR="003028C9" w:rsidRPr="00903F9D">
        <w:rPr>
          <w:color w:val="auto"/>
        </w:rPr>
        <w:t>-</w:t>
      </w:r>
      <w:r w:rsidRPr="00903F9D">
        <w:rPr>
          <w:color w:val="auto"/>
        </w:rPr>
        <w:t>minimisation analysis</w:t>
      </w:r>
      <w:r w:rsidR="003028C9" w:rsidRPr="00903F9D">
        <w:rPr>
          <w:color w:val="auto"/>
        </w:rPr>
        <w:t xml:space="preserve"> (CMA)</w:t>
      </w:r>
      <w:r w:rsidRPr="00903F9D">
        <w:rPr>
          <w:color w:val="auto"/>
        </w:rPr>
        <w:t xml:space="preserve"> </w:t>
      </w:r>
      <w:r w:rsidR="008B5BFF" w:rsidRPr="00903F9D">
        <w:rPr>
          <w:color w:val="auto"/>
        </w:rPr>
        <w:t>based on</w:t>
      </w:r>
      <w:r w:rsidRPr="00903F9D">
        <w:rPr>
          <w:color w:val="auto"/>
        </w:rPr>
        <w:t xml:space="preserve"> the clinical claim of </w:t>
      </w:r>
      <w:r w:rsidR="001D76A0" w:rsidRPr="00903F9D">
        <w:rPr>
          <w:color w:val="auto"/>
        </w:rPr>
        <w:t>noninferior</w:t>
      </w:r>
      <w:r w:rsidR="008B5BFF" w:rsidRPr="00903F9D">
        <w:rPr>
          <w:color w:val="auto"/>
        </w:rPr>
        <w:t xml:space="preserve"> safety and effectiveness </w:t>
      </w:r>
      <w:r w:rsidR="00B74A0B" w:rsidRPr="00903F9D">
        <w:rPr>
          <w:color w:val="auto"/>
        </w:rPr>
        <w:t xml:space="preserve">of </w:t>
      </w:r>
      <w:r w:rsidR="008B5BFF" w:rsidRPr="00903F9D">
        <w:rPr>
          <w:color w:val="auto"/>
        </w:rPr>
        <w:t>REMS</w:t>
      </w:r>
      <w:r w:rsidRPr="00903F9D">
        <w:rPr>
          <w:color w:val="auto"/>
        </w:rPr>
        <w:t xml:space="preserve"> compared to DXA</w:t>
      </w:r>
      <w:r w:rsidR="000D658D" w:rsidRPr="00903F9D">
        <w:rPr>
          <w:color w:val="auto"/>
        </w:rPr>
        <w:t xml:space="preserve">; this intention </w:t>
      </w:r>
      <w:r w:rsidR="00201185" w:rsidRPr="00903F9D">
        <w:rPr>
          <w:color w:val="auto"/>
        </w:rPr>
        <w:t xml:space="preserve">was </w:t>
      </w:r>
      <w:r w:rsidR="000D658D" w:rsidRPr="00903F9D">
        <w:rPr>
          <w:color w:val="auto"/>
        </w:rPr>
        <w:t xml:space="preserve">considered </w:t>
      </w:r>
      <w:r w:rsidR="002F7F3B" w:rsidRPr="00903F9D">
        <w:rPr>
          <w:color w:val="auto"/>
        </w:rPr>
        <w:t>appropriat</w:t>
      </w:r>
      <w:r w:rsidR="000D658D" w:rsidRPr="00903F9D">
        <w:rPr>
          <w:color w:val="auto"/>
        </w:rPr>
        <w:t>e</w:t>
      </w:r>
      <w:r w:rsidR="002F7F3B" w:rsidRPr="00903F9D">
        <w:rPr>
          <w:color w:val="auto"/>
        </w:rPr>
        <w:t>.</w:t>
      </w:r>
      <w:r w:rsidRPr="00903F9D">
        <w:rPr>
          <w:color w:val="auto"/>
        </w:rPr>
        <w:t xml:space="preserve"> </w:t>
      </w:r>
      <w:r w:rsidR="000D658D" w:rsidRPr="00903F9D">
        <w:rPr>
          <w:iCs/>
          <w:color w:val="auto"/>
        </w:rPr>
        <w:t xml:space="preserve">The </w:t>
      </w:r>
      <w:r w:rsidR="00FE3BE1" w:rsidRPr="00903F9D">
        <w:rPr>
          <w:iCs/>
          <w:color w:val="auto"/>
        </w:rPr>
        <w:t xml:space="preserve">commentary noted that the </w:t>
      </w:r>
      <w:r w:rsidR="000D658D" w:rsidRPr="00903F9D">
        <w:rPr>
          <w:iCs/>
          <w:color w:val="auto"/>
        </w:rPr>
        <w:t xml:space="preserve">ADAR however appeared to have presented a fee justification rather than a </w:t>
      </w:r>
      <w:r w:rsidR="00D60F2F" w:rsidRPr="00903F9D">
        <w:rPr>
          <w:iCs/>
          <w:color w:val="auto"/>
        </w:rPr>
        <w:t>CMA</w:t>
      </w:r>
      <w:r w:rsidR="000D658D" w:rsidRPr="00903F9D">
        <w:rPr>
          <w:iCs/>
          <w:color w:val="auto"/>
        </w:rPr>
        <w:t xml:space="preserve"> of the total comparative costs for REMS versus DXA.</w:t>
      </w:r>
    </w:p>
    <w:p w14:paraId="7FF08C78" w14:textId="5BA3A3D6" w:rsidR="00FD6138" w:rsidRPr="00903F9D" w:rsidRDefault="007838A0" w:rsidP="00E76AE0">
      <w:pPr>
        <w:pStyle w:val="Instructionaltext"/>
        <w:rPr>
          <w:iCs/>
          <w:color w:val="auto"/>
        </w:rPr>
      </w:pPr>
      <w:r w:rsidRPr="00903F9D">
        <w:rPr>
          <w:color w:val="auto"/>
        </w:rPr>
        <w:fldChar w:fldCharType="begin"/>
      </w:r>
      <w:r w:rsidRPr="00903F9D">
        <w:rPr>
          <w:color w:val="auto"/>
        </w:rPr>
        <w:instrText xml:space="preserve"> REF _Ref95065369 \h </w:instrText>
      </w:r>
      <w:r w:rsidR="00F97C0B" w:rsidRPr="00903F9D">
        <w:rPr>
          <w:color w:val="auto"/>
        </w:rPr>
        <w:instrText xml:space="preserve"> \* MERGEFORMAT </w:instrText>
      </w:r>
      <w:r w:rsidRPr="00903F9D">
        <w:rPr>
          <w:color w:val="auto"/>
        </w:rPr>
      </w:r>
      <w:r w:rsidRPr="00903F9D">
        <w:rPr>
          <w:color w:val="auto"/>
        </w:rPr>
        <w:fldChar w:fldCharType="separate"/>
      </w:r>
      <w:r w:rsidR="00DF3307" w:rsidRPr="00903F9D">
        <w:rPr>
          <w:color w:val="auto"/>
        </w:rPr>
        <w:t xml:space="preserve">Table </w:t>
      </w:r>
      <w:r w:rsidR="00DF3307" w:rsidRPr="00903F9D">
        <w:rPr>
          <w:noProof/>
          <w:color w:val="auto"/>
        </w:rPr>
        <w:t>12</w:t>
      </w:r>
      <w:r w:rsidRPr="00903F9D">
        <w:rPr>
          <w:color w:val="auto"/>
        </w:rPr>
        <w:fldChar w:fldCharType="end"/>
      </w:r>
      <w:r w:rsidR="00543010" w:rsidRPr="00903F9D">
        <w:rPr>
          <w:color w:val="auto"/>
        </w:rPr>
        <w:t xml:space="preserve"> </w:t>
      </w:r>
      <w:r w:rsidR="00FD6138" w:rsidRPr="00903F9D">
        <w:rPr>
          <w:color w:val="auto"/>
        </w:rPr>
        <w:t xml:space="preserve">shows the disaggregated costs </w:t>
      </w:r>
      <w:r w:rsidR="00E30159" w:rsidRPr="00903F9D">
        <w:rPr>
          <w:color w:val="auto"/>
        </w:rPr>
        <w:t xml:space="preserve">to perform and deliver a </w:t>
      </w:r>
      <w:r w:rsidR="00D46E08" w:rsidRPr="00903F9D">
        <w:rPr>
          <w:color w:val="auto"/>
        </w:rPr>
        <w:t xml:space="preserve">bone densitometry </w:t>
      </w:r>
      <w:r w:rsidR="00E30159" w:rsidRPr="00903F9D">
        <w:rPr>
          <w:color w:val="auto"/>
        </w:rPr>
        <w:t>scan using REMS</w:t>
      </w:r>
      <w:r w:rsidR="00E30159" w:rsidRPr="00903F9D" w:rsidDel="00FD6138">
        <w:rPr>
          <w:color w:val="auto"/>
        </w:rPr>
        <w:t xml:space="preserve"> </w:t>
      </w:r>
      <w:r w:rsidR="00FD6138" w:rsidRPr="00903F9D">
        <w:rPr>
          <w:color w:val="auto"/>
        </w:rPr>
        <w:t>which includes</w:t>
      </w:r>
      <w:r w:rsidR="00E30159" w:rsidRPr="00903F9D">
        <w:rPr>
          <w:color w:val="auto"/>
        </w:rPr>
        <w:t xml:space="preserve"> costs for</w:t>
      </w:r>
      <w:r w:rsidR="00FD6138" w:rsidRPr="00903F9D">
        <w:rPr>
          <w:color w:val="auto"/>
        </w:rPr>
        <w:t xml:space="preserve"> the device, operator wages, clinical </w:t>
      </w:r>
      <w:proofErr w:type="gramStart"/>
      <w:r w:rsidR="00FD6138" w:rsidRPr="00903F9D">
        <w:rPr>
          <w:color w:val="auto"/>
        </w:rPr>
        <w:t>space</w:t>
      </w:r>
      <w:proofErr w:type="gramEnd"/>
      <w:r w:rsidR="00E30159" w:rsidRPr="00903F9D">
        <w:rPr>
          <w:color w:val="auto"/>
        </w:rPr>
        <w:t xml:space="preserve"> and physician review</w:t>
      </w:r>
      <w:r w:rsidR="00FD6138" w:rsidRPr="00903F9D">
        <w:rPr>
          <w:color w:val="auto"/>
        </w:rPr>
        <w:t>.</w:t>
      </w:r>
    </w:p>
    <w:p w14:paraId="0E6F98DB" w14:textId="6D986656" w:rsidR="00D76E8A" w:rsidRPr="00903F9D" w:rsidRDefault="00C552BA" w:rsidP="00E64C7E">
      <w:pPr>
        <w:keepNext/>
      </w:pPr>
      <w:r w:rsidRPr="00903F9D">
        <w:t>The time required to provide the service is based on the Cortex Health experience across several instances including</w:t>
      </w:r>
      <w:r w:rsidR="00456D22" w:rsidRPr="00903F9D">
        <w:t>:</w:t>
      </w:r>
    </w:p>
    <w:p w14:paraId="6A47C8A5" w14:textId="54F0DD7A" w:rsidR="00D76E8A" w:rsidRPr="00903F9D" w:rsidRDefault="00976893" w:rsidP="00DC4305">
      <w:pPr>
        <w:pStyle w:val="ListParagraph"/>
        <w:numPr>
          <w:ilvl w:val="0"/>
          <w:numId w:val="20"/>
        </w:numPr>
        <w:jc w:val="both"/>
      </w:pPr>
      <w:r w:rsidRPr="00903F9D">
        <w:t>p</w:t>
      </w:r>
      <w:r w:rsidR="00C552BA" w:rsidRPr="00903F9D">
        <w:t xml:space="preserve">roviding REMS training to </w:t>
      </w:r>
      <w:r w:rsidR="009F1C02" w:rsidRPr="00903F9D">
        <w:t>c</w:t>
      </w:r>
      <w:r w:rsidR="00C552BA" w:rsidRPr="00903F9D">
        <w:t>linicians</w:t>
      </w:r>
    </w:p>
    <w:p w14:paraId="5EE95FE5" w14:textId="56107108" w:rsidR="00D76E8A" w:rsidRPr="00903F9D" w:rsidRDefault="00976893" w:rsidP="00DC4305">
      <w:pPr>
        <w:pStyle w:val="ListParagraph"/>
        <w:numPr>
          <w:ilvl w:val="0"/>
          <w:numId w:val="20"/>
        </w:numPr>
        <w:jc w:val="both"/>
      </w:pPr>
      <w:r w:rsidRPr="00903F9D">
        <w:t>i</w:t>
      </w:r>
      <w:r w:rsidR="00C552BA" w:rsidRPr="00903F9D">
        <w:t>nvitation to a GP clinic to scan several patients</w:t>
      </w:r>
    </w:p>
    <w:p w14:paraId="3A10BAFE" w14:textId="52762304" w:rsidR="00C552BA" w:rsidRPr="00903F9D" w:rsidRDefault="00C552BA" w:rsidP="00DC4305">
      <w:pPr>
        <w:pStyle w:val="ListParagraph"/>
        <w:numPr>
          <w:ilvl w:val="0"/>
          <w:numId w:val="20"/>
        </w:numPr>
        <w:jc w:val="both"/>
      </w:pPr>
      <w:r w:rsidRPr="00903F9D">
        <w:t>REMS patient Clinics in Westmead hospital</w:t>
      </w:r>
    </w:p>
    <w:p w14:paraId="2EE28435" w14:textId="77777777" w:rsidR="00C552BA" w:rsidRPr="00903F9D" w:rsidRDefault="00C552BA" w:rsidP="00DC4305">
      <w:pPr>
        <w:pStyle w:val="ListParagraph"/>
        <w:numPr>
          <w:ilvl w:val="0"/>
          <w:numId w:val="20"/>
        </w:numPr>
        <w:jc w:val="both"/>
      </w:pPr>
      <w:r w:rsidRPr="00903F9D">
        <w:t xml:space="preserve">data provided by </w:t>
      </w:r>
      <w:proofErr w:type="spellStart"/>
      <w:r w:rsidRPr="00903F9D">
        <w:t>Echolight</w:t>
      </w:r>
      <w:proofErr w:type="spellEnd"/>
      <w:r w:rsidRPr="00903F9D">
        <w:t xml:space="preserve"> Italy where the service is now routinely provided.</w:t>
      </w:r>
    </w:p>
    <w:p w14:paraId="1D26293A" w14:textId="0E65A503" w:rsidR="00DB20C9" w:rsidRPr="00903F9D" w:rsidRDefault="002972A6" w:rsidP="00E64C7E">
      <w:pPr>
        <w:pStyle w:val="Caption"/>
        <w:keepLines/>
      </w:pPr>
      <w:bookmarkStart w:id="43" w:name="_Ref95065369"/>
      <w:r w:rsidRPr="00903F9D">
        <w:t xml:space="preserve">Table </w:t>
      </w:r>
      <w:r w:rsidR="008D0E73">
        <w:fldChar w:fldCharType="begin"/>
      </w:r>
      <w:r w:rsidR="008D0E73">
        <w:instrText xml:space="preserve"> SEQ Table \* ARABIC </w:instrText>
      </w:r>
      <w:r w:rsidR="008D0E73">
        <w:fldChar w:fldCharType="separate"/>
      </w:r>
      <w:r w:rsidR="00DF3307" w:rsidRPr="00903F9D">
        <w:rPr>
          <w:noProof/>
        </w:rPr>
        <w:t>12</w:t>
      </w:r>
      <w:r w:rsidR="008D0E73">
        <w:rPr>
          <w:noProof/>
        </w:rPr>
        <w:fldChar w:fldCharType="end"/>
      </w:r>
      <w:bookmarkEnd w:id="43"/>
      <w:r w:rsidR="00C10D16">
        <w:tab/>
      </w:r>
      <w:r w:rsidRPr="00903F9D">
        <w:t xml:space="preserve"> </w:t>
      </w:r>
      <w:r w:rsidR="00FD6138" w:rsidRPr="00903F9D">
        <w:t>Disaggregated costs for the delivery of</w:t>
      </w:r>
      <w:r w:rsidR="00DB20C9" w:rsidRPr="00903F9D">
        <w:t xml:space="preserve"> REMS (per service)</w:t>
      </w:r>
    </w:p>
    <w:tbl>
      <w:tblPr>
        <w:tblStyle w:val="TableGrid1"/>
        <w:tblW w:w="9351" w:type="dxa"/>
        <w:tblLook w:val="04A0" w:firstRow="1" w:lastRow="0" w:firstColumn="1" w:lastColumn="0" w:noHBand="0" w:noVBand="1"/>
      </w:tblPr>
      <w:tblGrid>
        <w:gridCol w:w="2780"/>
        <w:gridCol w:w="1468"/>
        <w:gridCol w:w="1134"/>
        <w:gridCol w:w="3969"/>
      </w:tblGrid>
      <w:tr w:rsidR="00DB20C9" w:rsidRPr="00903F9D" w14:paraId="0D1F6A42" w14:textId="77777777" w:rsidTr="00940FB1">
        <w:trPr>
          <w:cnfStyle w:val="100000000000" w:firstRow="1" w:lastRow="0" w:firstColumn="0" w:lastColumn="0" w:oddVBand="0" w:evenVBand="0" w:oddHBand="0" w:evenHBand="0" w:firstRowFirstColumn="0" w:firstRowLastColumn="0" w:lastRowFirstColumn="0" w:lastRowLastColumn="0"/>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861BF" w14:textId="77777777" w:rsidR="00DB20C9" w:rsidRPr="00903F9D" w:rsidRDefault="00DB20C9" w:rsidP="00E64C7E">
            <w:pPr>
              <w:keepNext/>
              <w:keepLines/>
              <w:spacing w:before="0" w:after="0"/>
              <w:rPr>
                <w:rFonts w:ascii="Arial Narrow" w:eastAsia="Calibri" w:hAnsi="Arial Narrow"/>
                <w:b/>
              </w:rPr>
            </w:pPr>
            <w:r w:rsidRPr="00903F9D">
              <w:rPr>
                <w:rFonts w:ascii="Arial Narrow" w:eastAsia="Calibri" w:hAnsi="Arial Narrow"/>
                <w:b/>
              </w:rPr>
              <w:t>Parameter</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AC7C2" w14:textId="4D46596A" w:rsidR="00DB20C9" w:rsidRPr="00903F9D" w:rsidRDefault="00DB20C9" w:rsidP="00E64C7E">
            <w:pPr>
              <w:keepNext/>
              <w:keepLines/>
              <w:spacing w:before="0" w:after="0"/>
              <w:jc w:val="center"/>
              <w:rPr>
                <w:rFonts w:ascii="Arial Narrow" w:eastAsia="Calibri" w:hAnsi="Arial Narrow"/>
                <w:b/>
              </w:rPr>
            </w:pPr>
            <w:r w:rsidRPr="00903F9D">
              <w:rPr>
                <w:rFonts w:ascii="Arial Narrow" w:eastAsia="Calibri" w:hAnsi="Arial Narrow"/>
                <w:b/>
              </w:rPr>
              <w:t>Time (</w:t>
            </w:r>
            <w:r w:rsidR="00940FB1" w:rsidRPr="00903F9D">
              <w:rPr>
                <w:rFonts w:ascii="Arial Narrow" w:eastAsia="Calibri" w:hAnsi="Arial Narrow"/>
                <w:b/>
              </w:rPr>
              <w:t>m</w:t>
            </w:r>
            <w:r w:rsidRPr="00903F9D">
              <w:rPr>
                <w:rFonts w:ascii="Arial Narrow" w:eastAsia="Calibri" w:hAnsi="Arial Narrow"/>
                <w:b/>
              </w:rPr>
              <w:t>in</w:t>
            </w:r>
            <w:r w:rsidR="00940FB1" w:rsidRPr="00903F9D">
              <w:rPr>
                <w:rFonts w:ascii="Arial Narrow" w:eastAsia="Calibri" w:hAnsi="Arial Narrow"/>
                <w:b/>
              </w:rPr>
              <w:t>ute</w:t>
            </w:r>
            <w:r w:rsidRPr="00903F9D">
              <w:rPr>
                <w:rFonts w:ascii="Arial Narrow" w:eastAsia="Calibri" w:hAnsi="Arial Narrow"/>
                <w:b/>
              </w:rPr>
              <w: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E427A" w14:textId="77777777" w:rsidR="00DB20C9" w:rsidRPr="00903F9D" w:rsidRDefault="00DB20C9" w:rsidP="00E64C7E">
            <w:pPr>
              <w:keepNext/>
              <w:keepLines/>
              <w:spacing w:before="0" w:after="0"/>
              <w:jc w:val="center"/>
              <w:rPr>
                <w:rFonts w:ascii="Arial Narrow" w:eastAsia="Calibri" w:hAnsi="Arial Narrow"/>
                <w:b/>
              </w:rPr>
            </w:pPr>
            <w:r w:rsidRPr="00903F9D">
              <w:rPr>
                <w:rFonts w:ascii="Arial Narrow" w:eastAsia="Calibri" w:hAnsi="Arial Narrow"/>
                <w:b/>
              </w:rPr>
              <w:t>Value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93CD3" w14:textId="7A814367" w:rsidR="00DB20C9" w:rsidRPr="00903F9D" w:rsidRDefault="00DB20C9" w:rsidP="00E64C7E">
            <w:pPr>
              <w:keepNext/>
              <w:keepLines/>
              <w:spacing w:before="0" w:after="0"/>
              <w:rPr>
                <w:rFonts w:ascii="Arial Narrow" w:eastAsia="Calibri" w:hAnsi="Arial Narrow"/>
                <w:b/>
              </w:rPr>
            </w:pPr>
            <w:r w:rsidRPr="00903F9D">
              <w:rPr>
                <w:rFonts w:ascii="Arial Narrow" w:eastAsia="Calibri" w:hAnsi="Arial Narrow"/>
                <w:b/>
              </w:rPr>
              <w:t xml:space="preserve">Description or </w:t>
            </w:r>
            <w:r w:rsidR="00940FB1" w:rsidRPr="00903F9D">
              <w:rPr>
                <w:rFonts w:ascii="Arial Narrow" w:eastAsia="Calibri" w:hAnsi="Arial Narrow"/>
                <w:b/>
              </w:rPr>
              <w:t>s</w:t>
            </w:r>
            <w:r w:rsidRPr="00903F9D">
              <w:rPr>
                <w:rFonts w:ascii="Arial Narrow" w:eastAsia="Calibri" w:hAnsi="Arial Narrow"/>
                <w:b/>
              </w:rPr>
              <w:t>ource</w:t>
            </w:r>
          </w:p>
        </w:tc>
      </w:tr>
      <w:tr w:rsidR="00FD6138" w:rsidRPr="00903F9D" w14:paraId="153375DF" w14:textId="77777777" w:rsidTr="00940FB1">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C2658" w14:textId="77777777" w:rsidR="00FD6138" w:rsidRPr="00903F9D" w:rsidRDefault="00FD6138" w:rsidP="00E64C7E">
            <w:pPr>
              <w:keepNext/>
              <w:keepLines/>
              <w:spacing w:before="0" w:after="0"/>
              <w:rPr>
                <w:rFonts w:ascii="Arial Narrow" w:hAnsi="Arial Narrow"/>
                <w:b/>
                <w:bCs/>
                <w:iCs/>
              </w:rPr>
            </w:pPr>
            <w:r w:rsidRPr="00903F9D">
              <w:rPr>
                <w:rFonts w:ascii="Arial Narrow" w:hAnsi="Arial Narrow"/>
                <w:b/>
                <w:bCs/>
                <w:iCs/>
              </w:rPr>
              <w:t>Capital costs</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6397B291" w14:textId="77777777" w:rsidR="00FD6138" w:rsidRPr="00903F9D" w:rsidRDefault="00FD6138" w:rsidP="00E64C7E">
            <w:pPr>
              <w:keepNext/>
              <w:keepLines/>
              <w:spacing w:before="0" w:after="0"/>
              <w:jc w:val="center"/>
              <w:rPr>
                <w:rFonts w:ascii="Arial Narrow" w:hAnsi="Arial Narrow"/>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AA5225" w14:textId="77777777" w:rsidR="00FD6138" w:rsidRPr="00903F9D" w:rsidRDefault="00FD6138" w:rsidP="00E64C7E">
            <w:pPr>
              <w:keepNext/>
              <w:keepLines/>
              <w:spacing w:before="0" w:after="0"/>
              <w:jc w:val="center"/>
              <w:rPr>
                <w:rFonts w:ascii="Arial Narrow" w:hAnsi="Arial Narrow"/>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A1E3DBF" w14:textId="77777777" w:rsidR="00FD6138" w:rsidRPr="00903F9D" w:rsidRDefault="00FD6138" w:rsidP="00E64C7E">
            <w:pPr>
              <w:keepNext/>
              <w:keepLines/>
              <w:spacing w:before="0" w:after="0"/>
              <w:rPr>
                <w:rFonts w:ascii="Arial Narrow" w:hAnsi="Arial Narrow"/>
              </w:rPr>
            </w:pPr>
          </w:p>
        </w:tc>
      </w:tr>
      <w:tr w:rsidR="00DB20C9" w:rsidRPr="00903F9D" w14:paraId="68836DFA" w14:textId="77777777" w:rsidTr="00940FB1">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DA94D" w14:textId="77777777" w:rsidR="00DB20C9" w:rsidRPr="00903F9D" w:rsidRDefault="00DB20C9" w:rsidP="00E64C7E">
            <w:pPr>
              <w:keepNext/>
              <w:keepLines/>
              <w:spacing w:before="0" w:after="0"/>
              <w:rPr>
                <w:rFonts w:ascii="Arial Narrow" w:hAnsi="Arial Narrow"/>
              </w:rPr>
            </w:pPr>
            <w:r w:rsidRPr="00903F9D">
              <w:rPr>
                <w:rFonts w:ascii="Arial Narrow" w:hAnsi="Arial Narrow"/>
              </w:rPr>
              <w:t>Device cost</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14:paraId="4294DF24" w14:textId="77777777" w:rsidR="00DB20C9" w:rsidRPr="00903F9D" w:rsidRDefault="00DB20C9" w:rsidP="00E64C7E">
            <w:pPr>
              <w:keepNext/>
              <w:keepLines/>
              <w:spacing w:before="0" w:after="0"/>
              <w:jc w:val="center"/>
              <w:rPr>
                <w:rFonts w:ascii="Arial Narrow" w:hAnsi="Arial Narrow"/>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4413EC5" w14:textId="77777777" w:rsidR="00DB20C9" w:rsidRPr="00903F9D" w:rsidRDefault="00DB20C9" w:rsidP="00E64C7E">
            <w:pPr>
              <w:keepNext/>
              <w:keepLines/>
              <w:spacing w:before="0" w:after="0"/>
              <w:jc w:val="center"/>
              <w:rPr>
                <w:rFonts w:ascii="Arial Narrow" w:hAnsi="Arial Narrow"/>
              </w:rPr>
            </w:pPr>
            <w:r w:rsidRPr="00903F9D">
              <w:rPr>
                <w:rFonts w:ascii="Arial Narrow" w:hAnsi="Arial Narrow"/>
              </w:rPr>
              <w:t>$24.00</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611EB7A" w14:textId="756A5A05" w:rsidR="00DB20C9" w:rsidRPr="00903F9D" w:rsidRDefault="00DB20C9" w:rsidP="00E64C7E">
            <w:pPr>
              <w:keepNext/>
              <w:keepLines/>
              <w:spacing w:before="0" w:after="0"/>
              <w:rPr>
                <w:rFonts w:ascii="Arial Narrow" w:hAnsi="Arial Narrow"/>
              </w:rPr>
            </w:pPr>
            <w:proofErr w:type="spellStart"/>
            <w:r w:rsidRPr="00903F9D">
              <w:rPr>
                <w:rFonts w:ascii="Arial Narrow" w:hAnsi="Arial Narrow"/>
              </w:rPr>
              <w:t>EchoStation</w:t>
            </w:r>
            <w:proofErr w:type="spellEnd"/>
            <w:r w:rsidRPr="00903F9D">
              <w:rPr>
                <w:rFonts w:ascii="Arial Narrow" w:hAnsi="Arial Narrow"/>
              </w:rPr>
              <w:t xml:space="preserve"> cost ($72,000) after 3,000 tests</w:t>
            </w:r>
          </w:p>
        </w:tc>
      </w:tr>
      <w:tr w:rsidR="00DB20C9" w:rsidRPr="00903F9D" w14:paraId="7E8FBBE9" w14:textId="77777777" w:rsidTr="00940FB1">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51EF4AD" w14:textId="3F3E908B" w:rsidR="00DB20C9" w:rsidRPr="00903F9D" w:rsidRDefault="00FD6138" w:rsidP="00E64C7E">
            <w:pPr>
              <w:keepNext/>
              <w:keepLines/>
              <w:spacing w:before="0" w:after="0"/>
              <w:rPr>
                <w:rFonts w:ascii="Arial Narrow" w:hAnsi="Arial Narrow"/>
                <w:b/>
                <w:bCs/>
                <w:iCs/>
              </w:rPr>
            </w:pPr>
            <w:r w:rsidRPr="00903F9D">
              <w:rPr>
                <w:rFonts w:ascii="Arial Narrow" w:hAnsi="Arial Narrow"/>
                <w:b/>
                <w:bCs/>
                <w:iCs/>
              </w:rPr>
              <w:t>Service delivery costs</w:t>
            </w:r>
          </w:p>
        </w:tc>
        <w:tc>
          <w:tcPr>
            <w:tcW w:w="1468" w:type="dxa"/>
            <w:tcBorders>
              <w:top w:val="nil"/>
              <w:left w:val="nil"/>
              <w:bottom w:val="single" w:sz="4" w:space="0" w:color="auto"/>
              <w:right w:val="single" w:sz="4" w:space="0" w:color="auto"/>
            </w:tcBorders>
            <w:shd w:val="clear" w:color="auto" w:fill="auto"/>
            <w:noWrap/>
            <w:vAlign w:val="center"/>
            <w:hideMark/>
          </w:tcPr>
          <w:p w14:paraId="5F9D570E" w14:textId="77777777" w:rsidR="00DB20C9" w:rsidRPr="00903F9D" w:rsidRDefault="00DB20C9" w:rsidP="00E64C7E">
            <w:pPr>
              <w:keepNext/>
              <w:keepLines/>
              <w:spacing w:before="0" w:after="0"/>
              <w:jc w:val="center"/>
              <w:rPr>
                <w:rFonts w:ascii="Arial Narrow" w:hAnsi="Arial Narrow"/>
                <w:iCs/>
              </w:rPr>
            </w:pPr>
          </w:p>
        </w:tc>
        <w:tc>
          <w:tcPr>
            <w:tcW w:w="1134" w:type="dxa"/>
            <w:tcBorders>
              <w:top w:val="nil"/>
              <w:left w:val="nil"/>
              <w:bottom w:val="single" w:sz="4" w:space="0" w:color="auto"/>
              <w:right w:val="single" w:sz="4" w:space="0" w:color="auto"/>
            </w:tcBorders>
            <w:shd w:val="clear" w:color="auto" w:fill="auto"/>
            <w:noWrap/>
            <w:vAlign w:val="center"/>
            <w:hideMark/>
          </w:tcPr>
          <w:p w14:paraId="3221957E" w14:textId="77777777" w:rsidR="00DB20C9" w:rsidRPr="00903F9D" w:rsidRDefault="00DB20C9" w:rsidP="00E64C7E">
            <w:pPr>
              <w:keepNext/>
              <w:keepLines/>
              <w:spacing w:before="0" w:after="0"/>
              <w:jc w:val="center"/>
              <w:rPr>
                <w:rFonts w:ascii="Arial Narrow" w:hAnsi="Arial Narrow"/>
              </w:rPr>
            </w:pPr>
          </w:p>
        </w:tc>
        <w:tc>
          <w:tcPr>
            <w:tcW w:w="3969" w:type="dxa"/>
            <w:tcBorders>
              <w:right w:val="single" w:sz="4" w:space="0" w:color="auto"/>
            </w:tcBorders>
            <w:shd w:val="clear" w:color="auto" w:fill="auto"/>
            <w:noWrap/>
            <w:vAlign w:val="center"/>
            <w:hideMark/>
          </w:tcPr>
          <w:p w14:paraId="4D70E1B5" w14:textId="77777777" w:rsidR="00DB20C9" w:rsidRPr="00903F9D" w:rsidRDefault="00DB20C9" w:rsidP="00E64C7E">
            <w:pPr>
              <w:keepNext/>
              <w:keepLines/>
              <w:spacing w:before="0" w:after="0"/>
              <w:rPr>
                <w:rFonts w:ascii="Arial Narrow" w:eastAsia="Calibri" w:hAnsi="Arial Narrow"/>
              </w:rPr>
            </w:pPr>
          </w:p>
        </w:tc>
      </w:tr>
      <w:tr w:rsidR="00DB20C9" w:rsidRPr="00903F9D" w14:paraId="4BBEE82C" w14:textId="77777777" w:rsidTr="00940FB1">
        <w:trPr>
          <w:trHeight w:val="544"/>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6B28CDB5" w14:textId="35D9DD66" w:rsidR="00DB20C9" w:rsidRPr="00903F9D" w:rsidRDefault="00DB20C9" w:rsidP="00E64C7E">
            <w:pPr>
              <w:keepNext/>
              <w:keepLines/>
              <w:spacing w:before="0" w:after="0"/>
              <w:rPr>
                <w:rFonts w:ascii="Arial Narrow" w:hAnsi="Arial Narrow"/>
              </w:rPr>
            </w:pPr>
            <w:r w:rsidRPr="00903F9D">
              <w:rPr>
                <w:rFonts w:ascii="Arial Narrow" w:hAnsi="Arial Narrow"/>
              </w:rPr>
              <w:t>Patient commencement &amp; data entry</w:t>
            </w:r>
            <w:r w:rsidR="00940FB1" w:rsidRPr="00903F9D">
              <w:rPr>
                <w:rFonts w:ascii="Arial Narrow" w:hAnsi="Arial Narrow"/>
              </w:rPr>
              <w:t>,</w:t>
            </w:r>
            <w:r w:rsidRPr="00903F9D">
              <w:rPr>
                <w:rFonts w:ascii="Arial Narrow" w:hAnsi="Arial Narrow"/>
              </w:rPr>
              <w:t xml:space="preserve"> </w:t>
            </w:r>
            <w:r w:rsidR="00940FB1" w:rsidRPr="00903F9D">
              <w:rPr>
                <w:rFonts w:ascii="Arial Narrow" w:hAnsi="Arial Narrow"/>
              </w:rPr>
              <w:t>p</w:t>
            </w:r>
            <w:r w:rsidRPr="00903F9D">
              <w:rPr>
                <w:rFonts w:ascii="Arial Narrow" w:hAnsi="Arial Narrow"/>
              </w:rPr>
              <w:t>ositioning &amp; gel application</w:t>
            </w:r>
          </w:p>
        </w:tc>
        <w:tc>
          <w:tcPr>
            <w:tcW w:w="1468" w:type="dxa"/>
            <w:tcBorders>
              <w:top w:val="nil"/>
              <w:left w:val="nil"/>
              <w:bottom w:val="single" w:sz="4" w:space="0" w:color="auto"/>
              <w:right w:val="single" w:sz="4" w:space="0" w:color="auto"/>
            </w:tcBorders>
            <w:shd w:val="clear" w:color="auto" w:fill="auto"/>
            <w:noWrap/>
            <w:vAlign w:val="center"/>
            <w:hideMark/>
          </w:tcPr>
          <w:p w14:paraId="17688088" w14:textId="77777777" w:rsidR="00DB20C9" w:rsidRPr="00903F9D" w:rsidRDefault="00DB20C9" w:rsidP="00E64C7E">
            <w:pPr>
              <w:keepNext/>
              <w:keepLines/>
              <w:spacing w:before="0" w:after="0"/>
              <w:jc w:val="center"/>
              <w:rPr>
                <w:rFonts w:ascii="Arial Narrow" w:hAnsi="Arial Narrow"/>
              </w:rPr>
            </w:pPr>
            <w:r w:rsidRPr="00903F9D">
              <w:rPr>
                <w:rFonts w:ascii="Arial Narrow" w:hAnsi="Arial Narrow"/>
              </w:rPr>
              <w:t>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17AAEA" w14:textId="77777777" w:rsidR="00DB20C9" w:rsidRPr="00903F9D" w:rsidRDefault="00DB20C9" w:rsidP="00E64C7E">
            <w:pPr>
              <w:keepNext/>
              <w:keepLines/>
              <w:spacing w:before="0" w:after="0"/>
              <w:jc w:val="center"/>
              <w:rPr>
                <w:rFonts w:ascii="Arial Narrow" w:hAnsi="Arial Narrow"/>
              </w:rPr>
            </w:pPr>
            <w:r w:rsidRPr="00903F9D">
              <w:rPr>
                <w:rFonts w:ascii="Arial Narrow" w:hAnsi="Arial Narrow"/>
              </w:rPr>
              <w:t>$30.00</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A048DC0" w14:textId="1F0DF485" w:rsidR="00DB20C9" w:rsidRPr="00903F9D" w:rsidRDefault="00DB20C9" w:rsidP="00E64C7E">
            <w:pPr>
              <w:keepNext/>
              <w:keepLines/>
              <w:spacing w:before="0" w:after="0"/>
              <w:rPr>
                <w:rFonts w:ascii="Arial Narrow" w:hAnsi="Arial Narrow"/>
              </w:rPr>
            </w:pPr>
            <w:r w:rsidRPr="00903F9D">
              <w:rPr>
                <w:rFonts w:ascii="Arial Narrow" w:hAnsi="Arial Narrow"/>
              </w:rPr>
              <w:t>$60/hour</w:t>
            </w:r>
            <w:r w:rsidR="005029EB" w:rsidRPr="00903F9D">
              <w:rPr>
                <w:rFonts w:ascii="Arial Narrow" w:hAnsi="Arial Narrow"/>
              </w:rPr>
              <w:t xml:space="preserve"> assumed equivalent to nurse award</w:t>
            </w:r>
          </w:p>
        </w:tc>
      </w:tr>
      <w:tr w:rsidR="00DB20C9" w:rsidRPr="00903F9D" w14:paraId="7318233A" w14:textId="77777777" w:rsidTr="00940FB1">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75DDCFA0" w14:textId="77777777" w:rsidR="00DB20C9" w:rsidRPr="00903F9D" w:rsidRDefault="00DB20C9" w:rsidP="00E64C7E">
            <w:pPr>
              <w:keepNext/>
              <w:keepLines/>
              <w:spacing w:before="0" w:after="0"/>
              <w:rPr>
                <w:rFonts w:ascii="Arial Narrow" w:hAnsi="Arial Narrow"/>
              </w:rPr>
            </w:pPr>
            <w:r w:rsidRPr="00903F9D">
              <w:rPr>
                <w:rFonts w:ascii="Arial Narrow" w:hAnsi="Arial Narrow"/>
              </w:rPr>
              <w:t>Left femoral neck scan</w:t>
            </w:r>
          </w:p>
        </w:tc>
        <w:tc>
          <w:tcPr>
            <w:tcW w:w="1468" w:type="dxa"/>
            <w:tcBorders>
              <w:top w:val="nil"/>
              <w:left w:val="nil"/>
              <w:bottom w:val="single" w:sz="4" w:space="0" w:color="auto"/>
              <w:right w:val="single" w:sz="4" w:space="0" w:color="auto"/>
            </w:tcBorders>
            <w:shd w:val="clear" w:color="auto" w:fill="auto"/>
            <w:noWrap/>
            <w:vAlign w:val="center"/>
            <w:hideMark/>
          </w:tcPr>
          <w:p w14:paraId="59731FB0" w14:textId="77777777" w:rsidR="00DB20C9" w:rsidRPr="00903F9D" w:rsidRDefault="00DB20C9" w:rsidP="00E64C7E">
            <w:pPr>
              <w:keepNext/>
              <w:keepLines/>
              <w:spacing w:before="0" w:after="0"/>
              <w:jc w:val="center"/>
              <w:rPr>
                <w:rFonts w:ascii="Arial Narrow" w:hAnsi="Arial Narrow"/>
              </w:rPr>
            </w:pPr>
            <w:r w:rsidRPr="00903F9D">
              <w:rPr>
                <w:rFonts w:ascii="Arial Narrow" w:hAnsi="Arial Narrow"/>
              </w:rPr>
              <w:t>5</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309398CD" w14:textId="77777777" w:rsidR="00DB20C9" w:rsidRPr="00903F9D" w:rsidRDefault="00DB20C9" w:rsidP="00E64C7E">
            <w:pPr>
              <w:keepNext/>
              <w:keepLines/>
              <w:spacing w:before="0" w:after="0"/>
              <w:jc w:val="center"/>
              <w:rPr>
                <w:rFonts w:ascii="Arial Narrow" w:eastAsia="Calibri" w:hAnsi="Arial Narrow"/>
              </w:rPr>
            </w:pPr>
          </w:p>
        </w:tc>
        <w:tc>
          <w:tcPr>
            <w:tcW w:w="3969" w:type="dxa"/>
            <w:tcBorders>
              <w:top w:val="nil"/>
              <w:left w:val="nil"/>
              <w:bottom w:val="single" w:sz="4" w:space="0" w:color="auto"/>
              <w:right w:val="single" w:sz="4" w:space="0" w:color="auto"/>
            </w:tcBorders>
            <w:shd w:val="clear" w:color="auto" w:fill="auto"/>
            <w:noWrap/>
            <w:vAlign w:val="center"/>
            <w:hideMark/>
          </w:tcPr>
          <w:p w14:paraId="2959BF99" w14:textId="77777777" w:rsidR="00DB20C9" w:rsidRPr="00903F9D" w:rsidRDefault="00DB20C9" w:rsidP="00E64C7E">
            <w:pPr>
              <w:keepNext/>
              <w:keepLines/>
              <w:spacing w:before="0" w:after="0"/>
              <w:rPr>
                <w:rFonts w:ascii="Arial Narrow" w:hAnsi="Arial Narrow"/>
              </w:rPr>
            </w:pPr>
            <w:r w:rsidRPr="00903F9D">
              <w:rPr>
                <w:rFonts w:ascii="Arial Narrow" w:hAnsi="Arial Narrow"/>
              </w:rPr>
              <w:t xml:space="preserve">Probe placement, adjustments, </w:t>
            </w:r>
            <w:proofErr w:type="gramStart"/>
            <w:r w:rsidRPr="00903F9D">
              <w:rPr>
                <w:rFonts w:ascii="Arial Narrow" w:hAnsi="Arial Narrow"/>
              </w:rPr>
              <w:t>scan</w:t>
            </w:r>
            <w:proofErr w:type="gramEnd"/>
            <w:r w:rsidRPr="00903F9D">
              <w:rPr>
                <w:rFonts w:ascii="Arial Narrow" w:hAnsi="Arial Narrow"/>
              </w:rPr>
              <w:t xml:space="preserve"> and analysis</w:t>
            </w:r>
          </w:p>
        </w:tc>
      </w:tr>
      <w:tr w:rsidR="00DB20C9" w:rsidRPr="00903F9D" w14:paraId="4D9AFC94" w14:textId="77777777" w:rsidTr="00940FB1">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000C4F53" w14:textId="77777777" w:rsidR="00DB20C9" w:rsidRPr="00903F9D" w:rsidRDefault="00DB20C9" w:rsidP="00E64C7E">
            <w:pPr>
              <w:keepNext/>
              <w:keepLines/>
              <w:spacing w:before="0" w:after="0"/>
              <w:rPr>
                <w:rFonts w:ascii="Arial Narrow" w:hAnsi="Arial Narrow"/>
              </w:rPr>
            </w:pPr>
            <w:r w:rsidRPr="00903F9D">
              <w:rPr>
                <w:rFonts w:ascii="Arial Narrow" w:hAnsi="Arial Narrow"/>
              </w:rPr>
              <w:t>Right femoral neck scan</w:t>
            </w:r>
          </w:p>
        </w:tc>
        <w:tc>
          <w:tcPr>
            <w:tcW w:w="1468" w:type="dxa"/>
            <w:tcBorders>
              <w:top w:val="nil"/>
              <w:left w:val="nil"/>
              <w:bottom w:val="single" w:sz="4" w:space="0" w:color="auto"/>
              <w:right w:val="single" w:sz="4" w:space="0" w:color="auto"/>
            </w:tcBorders>
            <w:shd w:val="clear" w:color="auto" w:fill="auto"/>
            <w:noWrap/>
            <w:vAlign w:val="center"/>
            <w:hideMark/>
          </w:tcPr>
          <w:p w14:paraId="734BE250" w14:textId="77777777" w:rsidR="00DB20C9" w:rsidRPr="00903F9D" w:rsidRDefault="00DB20C9" w:rsidP="00E64C7E">
            <w:pPr>
              <w:keepNext/>
              <w:keepLines/>
              <w:spacing w:before="0" w:after="0"/>
              <w:jc w:val="center"/>
              <w:rPr>
                <w:rFonts w:ascii="Arial Narrow" w:hAnsi="Arial Narrow"/>
              </w:rPr>
            </w:pPr>
            <w:r w:rsidRPr="00903F9D">
              <w:rPr>
                <w:rFonts w:ascii="Arial Narrow" w:hAnsi="Arial Narrow"/>
              </w:rPr>
              <w:t>5</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41361BFD" w14:textId="77777777" w:rsidR="00DB20C9" w:rsidRPr="00903F9D" w:rsidRDefault="00DB20C9" w:rsidP="00E64C7E">
            <w:pPr>
              <w:keepNext/>
              <w:keepLines/>
              <w:spacing w:before="0" w:after="0"/>
              <w:jc w:val="center"/>
              <w:rPr>
                <w:rFonts w:ascii="Arial Narrow" w:eastAsia="Calibri" w:hAnsi="Arial Narrow"/>
              </w:rPr>
            </w:pPr>
          </w:p>
        </w:tc>
        <w:tc>
          <w:tcPr>
            <w:tcW w:w="3969" w:type="dxa"/>
            <w:tcBorders>
              <w:top w:val="nil"/>
              <w:left w:val="nil"/>
              <w:bottom w:val="single" w:sz="4" w:space="0" w:color="auto"/>
              <w:right w:val="single" w:sz="4" w:space="0" w:color="auto"/>
            </w:tcBorders>
            <w:shd w:val="clear" w:color="auto" w:fill="auto"/>
            <w:noWrap/>
            <w:vAlign w:val="center"/>
            <w:hideMark/>
          </w:tcPr>
          <w:p w14:paraId="53DC8303" w14:textId="77777777" w:rsidR="00DB20C9" w:rsidRPr="00903F9D" w:rsidRDefault="00DB20C9" w:rsidP="00E64C7E">
            <w:pPr>
              <w:keepNext/>
              <w:keepLines/>
              <w:spacing w:before="0" w:after="0"/>
              <w:rPr>
                <w:rFonts w:ascii="Arial Narrow" w:hAnsi="Arial Narrow"/>
              </w:rPr>
            </w:pPr>
            <w:r w:rsidRPr="00903F9D">
              <w:rPr>
                <w:rFonts w:ascii="Arial Narrow" w:hAnsi="Arial Narrow"/>
              </w:rPr>
              <w:t xml:space="preserve">Probe placement, adjustments, </w:t>
            </w:r>
            <w:proofErr w:type="gramStart"/>
            <w:r w:rsidRPr="00903F9D">
              <w:rPr>
                <w:rFonts w:ascii="Arial Narrow" w:hAnsi="Arial Narrow"/>
              </w:rPr>
              <w:t>scan</w:t>
            </w:r>
            <w:proofErr w:type="gramEnd"/>
            <w:r w:rsidRPr="00903F9D">
              <w:rPr>
                <w:rFonts w:ascii="Arial Narrow" w:hAnsi="Arial Narrow"/>
              </w:rPr>
              <w:t xml:space="preserve"> and analysis</w:t>
            </w:r>
          </w:p>
        </w:tc>
      </w:tr>
      <w:tr w:rsidR="00DB20C9" w:rsidRPr="00903F9D" w14:paraId="5A53BC8F" w14:textId="77777777" w:rsidTr="00940FB1">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4DD8A896" w14:textId="77777777" w:rsidR="00DB20C9" w:rsidRPr="00903F9D" w:rsidRDefault="00DB20C9" w:rsidP="00E64C7E">
            <w:pPr>
              <w:keepNext/>
              <w:keepLines/>
              <w:spacing w:before="0" w:after="0"/>
              <w:rPr>
                <w:rFonts w:ascii="Arial Narrow" w:hAnsi="Arial Narrow"/>
              </w:rPr>
            </w:pPr>
            <w:r w:rsidRPr="00903F9D">
              <w:rPr>
                <w:rFonts w:ascii="Arial Narrow" w:hAnsi="Arial Narrow"/>
              </w:rPr>
              <w:t>L1-L4 lumber spine</w:t>
            </w:r>
          </w:p>
        </w:tc>
        <w:tc>
          <w:tcPr>
            <w:tcW w:w="1468" w:type="dxa"/>
            <w:tcBorders>
              <w:top w:val="nil"/>
              <w:left w:val="nil"/>
              <w:bottom w:val="single" w:sz="4" w:space="0" w:color="auto"/>
              <w:right w:val="single" w:sz="4" w:space="0" w:color="auto"/>
            </w:tcBorders>
            <w:shd w:val="clear" w:color="auto" w:fill="auto"/>
            <w:noWrap/>
            <w:vAlign w:val="center"/>
            <w:hideMark/>
          </w:tcPr>
          <w:p w14:paraId="0BC84EC6" w14:textId="77777777" w:rsidR="00DB20C9" w:rsidRPr="00903F9D" w:rsidRDefault="00DB20C9" w:rsidP="00E64C7E">
            <w:pPr>
              <w:keepNext/>
              <w:keepLines/>
              <w:spacing w:before="0" w:after="0"/>
              <w:jc w:val="center"/>
              <w:rPr>
                <w:rFonts w:ascii="Arial Narrow" w:hAnsi="Arial Narrow"/>
              </w:rPr>
            </w:pPr>
            <w:r w:rsidRPr="00903F9D">
              <w:rPr>
                <w:rFonts w:ascii="Arial Narrow" w:hAnsi="Arial Narrow"/>
              </w:rPr>
              <w:t>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14:paraId="1E82B1F6" w14:textId="77777777" w:rsidR="00DB20C9" w:rsidRPr="00903F9D" w:rsidRDefault="00DB20C9" w:rsidP="00E64C7E">
            <w:pPr>
              <w:keepNext/>
              <w:keepLines/>
              <w:spacing w:before="0" w:after="0"/>
              <w:jc w:val="center"/>
              <w:rPr>
                <w:rFonts w:ascii="Arial Narrow" w:eastAsia="Calibri" w:hAnsi="Arial Narrow"/>
              </w:rPr>
            </w:pPr>
          </w:p>
        </w:tc>
        <w:tc>
          <w:tcPr>
            <w:tcW w:w="3969" w:type="dxa"/>
            <w:tcBorders>
              <w:top w:val="nil"/>
              <w:left w:val="nil"/>
              <w:bottom w:val="single" w:sz="4" w:space="0" w:color="auto"/>
              <w:right w:val="single" w:sz="4" w:space="0" w:color="auto"/>
            </w:tcBorders>
            <w:shd w:val="clear" w:color="auto" w:fill="auto"/>
            <w:noWrap/>
            <w:vAlign w:val="center"/>
            <w:hideMark/>
          </w:tcPr>
          <w:p w14:paraId="16F1EE68" w14:textId="77777777" w:rsidR="00DB20C9" w:rsidRPr="00903F9D" w:rsidRDefault="00DB20C9" w:rsidP="00E64C7E">
            <w:pPr>
              <w:keepNext/>
              <w:keepLines/>
              <w:spacing w:before="0" w:after="0"/>
              <w:rPr>
                <w:rFonts w:ascii="Arial Narrow" w:hAnsi="Arial Narrow"/>
              </w:rPr>
            </w:pPr>
            <w:r w:rsidRPr="00903F9D">
              <w:rPr>
                <w:rFonts w:ascii="Arial Narrow" w:hAnsi="Arial Narrow"/>
              </w:rPr>
              <w:t xml:space="preserve">Probe placement, adjustments, </w:t>
            </w:r>
            <w:proofErr w:type="gramStart"/>
            <w:r w:rsidRPr="00903F9D">
              <w:rPr>
                <w:rFonts w:ascii="Arial Narrow" w:hAnsi="Arial Narrow"/>
              </w:rPr>
              <w:t>scan</w:t>
            </w:r>
            <w:proofErr w:type="gramEnd"/>
            <w:r w:rsidRPr="00903F9D">
              <w:rPr>
                <w:rFonts w:ascii="Arial Narrow" w:hAnsi="Arial Narrow"/>
              </w:rPr>
              <w:t xml:space="preserve"> and analysis</w:t>
            </w:r>
          </w:p>
        </w:tc>
      </w:tr>
      <w:tr w:rsidR="00DB20C9" w:rsidRPr="00903F9D" w14:paraId="0FD3147A" w14:textId="77777777" w:rsidTr="00940FB1">
        <w:trPr>
          <w:trHeight w:val="568"/>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59D4E" w14:textId="77777777" w:rsidR="00DB20C9" w:rsidRPr="00903F9D" w:rsidRDefault="00DB20C9" w:rsidP="00E64C7E">
            <w:pPr>
              <w:keepNext/>
              <w:keepLines/>
              <w:spacing w:before="0" w:after="0"/>
              <w:rPr>
                <w:rFonts w:ascii="Arial Narrow" w:hAnsi="Arial Narrow"/>
              </w:rPr>
            </w:pPr>
            <w:r w:rsidRPr="00903F9D">
              <w:rPr>
                <w:rFonts w:ascii="Arial Narrow" w:hAnsi="Arial Narrow"/>
              </w:rPr>
              <w:t>Final check, reports saved, emailed &amp; prepare for next patient</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14:paraId="10208DA2" w14:textId="77777777" w:rsidR="00DB20C9" w:rsidRPr="00903F9D" w:rsidRDefault="00DB20C9" w:rsidP="00E64C7E">
            <w:pPr>
              <w:keepNext/>
              <w:keepLines/>
              <w:spacing w:before="0" w:after="0"/>
              <w:jc w:val="center"/>
              <w:rPr>
                <w:rFonts w:ascii="Arial Narrow" w:hAnsi="Arial Narrow"/>
              </w:rPr>
            </w:pPr>
            <w:r w:rsidRPr="00903F9D">
              <w:rPr>
                <w:rFonts w:ascii="Arial Narrow" w:hAnsi="Arial Narrow"/>
              </w:rPr>
              <w:t>6</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BE64097" w14:textId="77777777" w:rsidR="00DB20C9" w:rsidRPr="00903F9D" w:rsidRDefault="00DB20C9" w:rsidP="00E64C7E">
            <w:pPr>
              <w:keepNext/>
              <w:keepLines/>
              <w:spacing w:before="0" w:after="0"/>
              <w:jc w:val="center"/>
              <w:rPr>
                <w:rFonts w:ascii="Arial Narrow" w:eastAsia="Calibri" w:hAnsi="Arial Narrow"/>
              </w:rPr>
            </w:pPr>
          </w:p>
        </w:tc>
        <w:tc>
          <w:tcPr>
            <w:tcW w:w="3969" w:type="dxa"/>
            <w:tcBorders>
              <w:top w:val="nil"/>
              <w:left w:val="nil"/>
              <w:bottom w:val="single" w:sz="4" w:space="0" w:color="auto"/>
              <w:right w:val="single" w:sz="4" w:space="0" w:color="auto"/>
            </w:tcBorders>
            <w:shd w:val="clear" w:color="auto" w:fill="auto"/>
            <w:noWrap/>
            <w:vAlign w:val="center"/>
            <w:hideMark/>
          </w:tcPr>
          <w:p w14:paraId="5B48B84C" w14:textId="0C0C6B81" w:rsidR="00DB20C9" w:rsidRPr="00903F9D" w:rsidRDefault="00DB20C9" w:rsidP="00E64C7E">
            <w:pPr>
              <w:keepNext/>
              <w:keepLines/>
              <w:spacing w:before="0" w:after="0"/>
              <w:rPr>
                <w:rFonts w:ascii="Arial Narrow" w:hAnsi="Arial Narrow"/>
              </w:rPr>
            </w:pPr>
          </w:p>
        </w:tc>
      </w:tr>
      <w:tr w:rsidR="00DB20C9" w:rsidRPr="00903F9D" w14:paraId="217FDED6" w14:textId="77777777" w:rsidTr="00940FB1">
        <w:trPr>
          <w:trHeight w:val="600"/>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55022" w14:textId="77777777" w:rsidR="00DB20C9" w:rsidRPr="00903F9D" w:rsidRDefault="00DB20C9" w:rsidP="00E64C7E">
            <w:pPr>
              <w:keepNext/>
              <w:keepLines/>
              <w:spacing w:before="0" w:after="0"/>
              <w:rPr>
                <w:rFonts w:ascii="Arial Narrow" w:hAnsi="Arial Narrow"/>
              </w:rPr>
            </w:pPr>
            <w:r w:rsidRPr="00903F9D">
              <w:rPr>
                <w:rFonts w:ascii="Arial Narrow" w:hAnsi="Arial Narrow"/>
              </w:rPr>
              <w:t>Access to private room &amp; examination bench</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14:paraId="3F9FEA97" w14:textId="77777777" w:rsidR="00DB20C9" w:rsidRPr="00903F9D" w:rsidRDefault="00DB20C9" w:rsidP="00E64C7E">
            <w:pPr>
              <w:keepNext/>
              <w:keepLines/>
              <w:spacing w:before="0" w:after="0"/>
              <w:jc w:val="center"/>
              <w:rPr>
                <w:rFonts w:ascii="Arial Narrow" w:hAnsi="Arial Narrow"/>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F76C35" w14:textId="77777777" w:rsidR="00DB20C9" w:rsidRPr="00903F9D" w:rsidRDefault="00DB20C9" w:rsidP="00E64C7E">
            <w:pPr>
              <w:keepNext/>
              <w:keepLines/>
              <w:spacing w:before="0" w:after="0"/>
              <w:jc w:val="center"/>
              <w:rPr>
                <w:rFonts w:ascii="Arial Narrow" w:hAnsi="Arial Narrow"/>
              </w:rPr>
            </w:pPr>
            <w:r w:rsidRPr="00903F9D">
              <w:rPr>
                <w:rFonts w:ascii="Arial Narrow" w:hAnsi="Arial Narrow"/>
              </w:rPr>
              <w:t>$33.33</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52FF26C9" w14:textId="5384E6BD" w:rsidR="00DB20C9" w:rsidRPr="00903F9D" w:rsidRDefault="00DB20C9" w:rsidP="00E64C7E">
            <w:pPr>
              <w:keepNext/>
              <w:keepLines/>
              <w:spacing w:before="0" w:after="0"/>
              <w:rPr>
                <w:rFonts w:ascii="Arial Narrow" w:hAnsi="Arial Narrow"/>
              </w:rPr>
            </w:pPr>
            <w:r w:rsidRPr="00903F9D">
              <w:rPr>
                <w:rFonts w:ascii="Arial Narrow" w:hAnsi="Arial Narrow"/>
              </w:rPr>
              <w:t>Clinic room hire ($500/day)</w:t>
            </w:r>
          </w:p>
        </w:tc>
      </w:tr>
      <w:tr w:rsidR="00DB20C9" w:rsidRPr="00903F9D" w14:paraId="3C0C40BD" w14:textId="77777777" w:rsidTr="00940FB1">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41948E36" w14:textId="77777777" w:rsidR="00DB20C9" w:rsidRPr="00903F9D" w:rsidRDefault="00DB20C9" w:rsidP="00E64C7E">
            <w:pPr>
              <w:keepNext/>
              <w:keepLines/>
              <w:spacing w:before="0" w:after="0"/>
              <w:rPr>
                <w:rFonts w:ascii="Arial Narrow" w:hAnsi="Arial Narrow"/>
              </w:rPr>
            </w:pPr>
            <w:r w:rsidRPr="00903F9D">
              <w:rPr>
                <w:rFonts w:ascii="Arial Narrow" w:hAnsi="Arial Narrow"/>
              </w:rPr>
              <w:t>Physician review of report</w:t>
            </w:r>
          </w:p>
        </w:tc>
        <w:tc>
          <w:tcPr>
            <w:tcW w:w="1468" w:type="dxa"/>
            <w:tcBorders>
              <w:top w:val="nil"/>
              <w:left w:val="nil"/>
              <w:bottom w:val="single" w:sz="4" w:space="0" w:color="auto"/>
              <w:right w:val="single" w:sz="4" w:space="0" w:color="auto"/>
            </w:tcBorders>
            <w:shd w:val="clear" w:color="auto" w:fill="auto"/>
            <w:noWrap/>
            <w:vAlign w:val="center"/>
            <w:hideMark/>
          </w:tcPr>
          <w:p w14:paraId="7B20789E" w14:textId="598F79E3" w:rsidR="00DB20C9" w:rsidRPr="00903F9D" w:rsidRDefault="00940FB1" w:rsidP="00E64C7E">
            <w:pPr>
              <w:keepNext/>
              <w:keepLines/>
              <w:spacing w:before="0" w:after="0"/>
              <w:jc w:val="center"/>
              <w:rPr>
                <w:rFonts w:ascii="Arial Narrow" w:hAnsi="Arial Narrow"/>
              </w:rPr>
            </w:pPr>
            <w:r w:rsidRPr="00903F9D">
              <w:rPr>
                <w:rFonts w:ascii="Arial Narrow" w:hAnsi="Arial Narrow"/>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7C03EC9" w14:textId="77777777" w:rsidR="00DB20C9" w:rsidRPr="00903F9D" w:rsidRDefault="00DB20C9" w:rsidP="00E64C7E">
            <w:pPr>
              <w:keepNext/>
              <w:keepLines/>
              <w:spacing w:before="0" w:after="0"/>
              <w:jc w:val="center"/>
              <w:rPr>
                <w:rFonts w:ascii="Arial Narrow" w:hAnsi="Arial Narrow"/>
              </w:rPr>
            </w:pPr>
            <w:r w:rsidRPr="00903F9D">
              <w:rPr>
                <w:rFonts w:ascii="Arial Narrow" w:hAnsi="Arial Narrow"/>
              </w:rPr>
              <w:t>$33.33</w:t>
            </w:r>
          </w:p>
        </w:tc>
        <w:tc>
          <w:tcPr>
            <w:tcW w:w="3969" w:type="dxa"/>
            <w:tcBorders>
              <w:top w:val="nil"/>
              <w:left w:val="nil"/>
              <w:bottom w:val="single" w:sz="4" w:space="0" w:color="auto"/>
              <w:right w:val="single" w:sz="4" w:space="0" w:color="auto"/>
            </w:tcBorders>
            <w:shd w:val="clear" w:color="auto" w:fill="auto"/>
            <w:noWrap/>
            <w:vAlign w:val="center"/>
            <w:hideMark/>
          </w:tcPr>
          <w:p w14:paraId="15356264" w14:textId="2C335ED4" w:rsidR="00DB20C9" w:rsidRPr="00903F9D" w:rsidRDefault="00DB20C9" w:rsidP="00E64C7E">
            <w:pPr>
              <w:keepNext/>
              <w:keepLines/>
              <w:spacing w:before="0" w:after="0"/>
              <w:rPr>
                <w:rFonts w:ascii="Arial Narrow" w:hAnsi="Arial Narrow"/>
              </w:rPr>
            </w:pPr>
            <w:r w:rsidRPr="00903F9D">
              <w:rPr>
                <w:rFonts w:ascii="Arial Narrow" w:hAnsi="Arial Narrow"/>
              </w:rPr>
              <w:t>$200/hour</w:t>
            </w:r>
            <w:r w:rsidR="00940FB1" w:rsidRPr="00903F9D">
              <w:rPr>
                <w:rFonts w:ascii="Arial Narrow" w:hAnsi="Arial Narrow"/>
              </w:rPr>
              <w:t xml:space="preserve"> assumed</w:t>
            </w:r>
          </w:p>
        </w:tc>
      </w:tr>
      <w:tr w:rsidR="00DB20C9" w:rsidRPr="00903F9D" w14:paraId="3A9DF109" w14:textId="77777777" w:rsidTr="00940FB1">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3D1C6528" w14:textId="020F50B3" w:rsidR="00DB20C9" w:rsidRPr="00903F9D" w:rsidRDefault="00DB20C9" w:rsidP="00E64C7E">
            <w:pPr>
              <w:keepNext/>
              <w:keepLines/>
              <w:spacing w:before="0" w:after="0"/>
              <w:rPr>
                <w:rFonts w:ascii="Arial Narrow" w:hAnsi="Arial Narrow"/>
              </w:rPr>
            </w:pPr>
            <w:r w:rsidRPr="00903F9D">
              <w:rPr>
                <w:rFonts w:ascii="Arial Narrow" w:hAnsi="Arial Narrow"/>
              </w:rPr>
              <w:t>Ultrasound gel</w:t>
            </w:r>
          </w:p>
        </w:tc>
        <w:tc>
          <w:tcPr>
            <w:tcW w:w="1468" w:type="dxa"/>
            <w:tcBorders>
              <w:top w:val="nil"/>
              <w:left w:val="nil"/>
              <w:bottom w:val="single" w:sz="4" w:space="0" w:color="auto"/>
              <w:right w:val="single" w:sz="4" w:space="0" w:color="auto"/>
            </w:tcBorders>
            <w:shd w:val="clear" w:color="auto" w:fill="auto"/>
            <w:noWrap/>
            <w:vAlign w:val="center"/>
            <w:hideMark/>
          </w:tcPr>
          <w:p w14:paraId="056188DA" w14:textId="77777777" w:rsidR="00DB20C9" w:rsidRPr="00903F9D" w:rsidRDefault="00DB20C9" w:rsidP="00E64C7E">
            <w:pPr>
              <w:keepNext/>
              <w:keepLines/>
              <w:spacing w:before="0" w:after="0"/>
              <w:jc w:val="center"/>
              <w:rPr>
                <w:rFonts w:ascii="Arial Narrow" w:hAnsi="Arial Narrow"/>
              </w:rPr>
            </w:pPr>
          </w:p>
        </w:tc>
        <w:tc>
          <w:tcPr>
            <w:tcW w:w="1134" w:type="dxa"/>
            <w:tcBorders>
              <w:top w:val="nil"/>
              <w:left w:val="nil"/>
              <w:bottom w:val="single" w:sz="4" w:space="0" w:color="auto"/>
              <w:right w:val="single" w:sz="4" w:space="0" w:color="auto"/>
            </w:tcBorders>
            <w:shd w:val="clear" w:color="auto" w:fill="auto"/>
            <w:noWrap/>
            <w:vAlign w:val="center"/>
            <w:hideMark/>
          </w:tcPr>
          <w:p w14:paraId="09CBB418" w14:textId="77777777" w:rsidR="00DB20C9" w:rsidRPr="00903F9D" w:rsidRDefault="00DB20C9" w:rsidP="00E64C7E">
            <w:pPr>
              <w:keepNext/>
              <w:keepLines/>
              <w:spacing w:before="0" w:after="0"/>
              <w:jc w:val="center"/>
              <w:rPr>
                <w:rFonts w:ascii="Arial Narrow" w:hAnsi="Arial Narrow"/>
              </w:rPr>
            </w:pPr>
            <w:r w:rsidRPr="00903F9D">
              <w:rPr>
                <w:rFonts w:ascii="Arial Narrow" w:hAnsi="Arial Narrow"/>
              </w:rPr>
              <w:t>$3.00</w:t>
            </w:r>
          </w:p>
        </w:tc>
        <w:tc>
          <w:tcPr>
            <w:tcW w:w="3969" w:type="dxa"/>
            <w:tcBorders>
              <w:top w:val="nil"/>
              <w:left w:val="nil"/>
              <w:bottom w:val="single" w:sz="4" w:space="0" w:color="auto"/>
              <w:right w:val="single" w:sz="4" w:space="0" w:color="auto"/>
            </w:tcBorders>
            <w:shd w:val="clear" w:color="auto" w:fill="auto"/>
            <w:noWrap/>
            <w:vAlign w:val="center"/>
            <w:hideMark/>
          </w:tcPr>
          <w:p w14:paraId="66C8A63A" w14:textId="209790D0" w:rsidR="00DB20C9" w:rsidRPr="00903F9D" w:rsidRDefault="00DB20C9" w:rsidP="00E64C7E">
            <w:pPr>
              <w:keepNext/>
              <w:keepLines/>
              <w:spacing w:before="0" w:after="0"/>
              <w:rPr>
                <w:rFonts w:ascii="Arial Narrow" w:hAnsi="Arial Narrow"/>
              </w:rPr>
            </w:pPr>
            <w:r w:rsidRPr="00903F9D">
              <w:rPr>
                <w:rFonts w:ascii="Arial Narrow" w:hAnsi="Arial Narrow"/>
              </w:rPr>
              <w:t>$100/5 litres. Use approximately 50ml/site</w:t>
            </w:r>
          </w:p>
        </w:tc>
      </w:tr>
      <w:tr w:rsidR="00DB20C9" w:rsidRPr="00903F9D" w14:paraId="34CCC854" w14:textId="77777777" w:rsidTr="00940FB1">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4CAAC" w14:textId="77777777" w:rsidR="00DB20C9" w:rsidRPr="00903F9D" w:rsidRDefault="00DB20C9" w:rsidP="00E64C7E">
            <w:pPr>
              <w:keepNext/>
              <w:keepLines/>
              <w:spacing w:before="0" w:after="0"/>
              <w:rPr>
                <w:rFonts w:ascii="Arial Narrow" w:hAnsi="Arial Narrow"/>
                <w:b/>
                <w:bCs/>
              </w:rPr>
            </w:pPr>
            <w:r w:rsidRPr="00903F9D">
              <w:rPr>
                <w:rFonts w:ascii="Arial Narrow" w:hAnsi="Arial Narrow"/>
                <w:b/>
                <w:bCs/>
              </w:rPr>
              <w:t>Total</w:t>
            </w:r>
            <w:r w:rsidR="00BF1F91" w:rsidRPr="00903F9D">
              <w:rPr>
                <w:rFonts w:ascii="Arial Narrow" w:hAnsi="Arial Narrow"/>
                <w:b/>
                <w:bCs/>
              </w:rPr>
              <w:t xml:space="preserve"> (including device cost)</w:t>
            </w:r>
          </w:p>
        </w:tc>
        <w:tc>
          <w:tcPr>
            <w:tcW w:w="1468" w:type="dxa"/>
            <w:tcBorders>
              <w:top w:val="single" w:sz="4" w:space="0" w:color="auto"/>
              <w:left w:val="single" w:sz="4" w:space="0" w:color="auto"/>
              <w:bottom w:val="single" w:sz="4" w:space="0" w:color="auto"/>
              <w:right w:val="nil"/>
            </w:tcBorders>
            <w:shd w:val="clear" w:color="auto" w:fill="auto"/>
            <w:noWrap/>
            <w:vAlign w:val="center"/>
            <w:hideMark/>
          </w:tcPr>
          <w:p w14:paraId="7C50119B" w14:textId="77777777" w:rsidR="00DB20C9" w:rsidRPr="00903F9D" w:rsidRDefault="00DB20C9" w:rsidP="00E64C7E">
            <w:pPr>
              <w:keepNext/>
              <w:keepLines/>
              <w:spacing w:before="0" w:after="0"/>
              <w:jc w:val="center"/>
              <w:rPr>
                <w:rFonts w:ascii="Arial Narrow" w:hAnsi="Arial Narrow"/>
                <w:b/>
                <w:bCs/>
              </w:rPr>
            </w:pPr>
            <w:r w:rsidRPr="00903F9D">
              <w:rPr>
                <w:rFonts w:ascii="Arial Narrow" w:hAnsi="Arial Narrow"/>
                <w:b/>
                <w:bCs/>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06172" w14:textId="77777777" w:rsidR="00DB20C9" w:rsidRPr="00903F9D" w:rsidRDefault="00DB20C9" w:rsidP="00E64C7E">
            <w:pPr>
              <w:keepNext/>
              <w:keepLines/>
              <w:spacing w:before="0" w:after="0"/>
              <w:jc w:val="center"/>
              <w:rPr>
                <w:rFonts w:ascii="Arial Narrow" w:hAnsi="Arial Narrow"/>
                <w:b/>
                <w:bCs/>
              </w:rPr>
            </w:pPr>
            <w:r w:rsidRPr="00903F9D">
              <w:rPr>
                <w:rFonts w:ascii="Arial Narrow" w:hAnsi="Arial Narrow"/>
                <w:b/>
                <w:bCs/>
              </w:rPr>
              <w:t>$123.67</w:t>
            </w:r>
          </w:p>
        </w:tc>
        <w:tc>
          <w:tcPr>
            <w:tcW w:w="3969" w:type="dxa"/>
            <w:tcBorders>
              <w:top w:val="single" w:sz="4" w:space="0" w:color="auto"/>
              <w:bottom w:val="single" w:sz="4" w:space="0" w:color="auto"/>
              <w:right w:val="single" w:sz="4" w:space="0" w:color="auto"/>
            </w:tcBorders>
            <w:shd w:val="clear" w:color="auto" w:fill="auto"/>
            <w:noWrap/>
            <w:vAlign w:val="center"/>
            <w:hideMark/>
          </w:tcPr>
          <w:p w14:paraId="3D6708E3" w14:textId="77777777" w:rsidR="00DB20C9" w:rsidRPr="00903F9D" w:rsidRDefault="00DB20C9" w:rsidP="00E64C7E">
            <w:pPr>
              <w:keepNext/>
              <w:keepLines/>
              <w:spacing w:before="0" w:after="0"/>
              <w:rPr>
                <w:rFonts w:ascii="Arial Narrow" w:eastAsia="Calibri" w:hAnsi="Arial Narrow"/>
              </w:rPr>
            </w:pPr>
          </w:p>
        </w:tc>
      </w:tr>
      <w:tr w:rsidR="00BF1F91" w:rsidRPr="00903F9D" w14:paraId="5A5DE1B0" w14:textId="77777777" w:rsidTr="00940FB1">
        <w:trPr>
          <w:trHeight w:val="3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E0C84" w14:textId="77777777" w:rsidR="00BF1F91" w:rsidRPr="00903F9D" w:rsidRDefault="00BF1F91" w:rsidP="00E64C7E">
            <w:pPr>
              <w:keepNext/>
              <w:keepLines/>
              <w:spacing w:before="0" w:after="0"/>
              <w:rPr>
                <w:rFonts w:ascii="Arial Narrow" w:hAnsi="Arial Narrow"/>
                <w:b/>
                <w:bCs/>
                <w:iCs/>
              </w:rPr>
            </w:pPr>
            <w:r w:rsidRPr="00903F9D">
              <w:rPr>
                <w:rFonts w:ascii="Arial Narrow" w:hAnsi="Arial Narrow"/>
                <w:b/>
                <w:bCs/>
                <w:iCs/>
              </w:rPr>
              <w:t>Total (excluding device cost)</w:t>
            </w:r>
          </w:p>
        </w:tc>
        <w:tc>
          <w:tcPr>
            <w:tcW w:w="1468" w:type="dxa"/>
            <w:tcBorders>
              <w:top w:val="single" w:sz="4" w:space="0" w:color="auto"/>
              <w:left w:val="single" w:sz="4" w:space="0" w:color="auto"/>
              <w:bottom w:val="single" w:sz="4" w:space="0" w:color="auto"/>
              <w:right w:val="nil"/>
            </w:tcBorders>
            <w:shd w:val="clear" w:color="auto" w:fill="auto"/>
            <w:noWrap/>
            <w:vAlign w:val="center"/>
          </w:tcPr>
          <w:p w14:paraId="14A3012B" w14:textId="77777777" w:rsidR="00BF1F91" w:rsidRPr="00903F9D" w:rsidRDefault="00BF1F91" w:rsidP="00E64C7E">
            <w:pPr>
              <w:keepNext/>
              <w:keepLines/>
              <w:spacing w:before="0" w:after="0"/>
              <w:jc w:val="center"/>
              <w:rPr>
                <w:rFonts w:ascii="Arial Narrow" w:hAnsi="Arial Narrow"/>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08099" w14:textId="77777777" w:rsidR="00BF1F91" w:rsidRPr="00903F9D" w:rsidRDefault="00F5741D" w:rsidP="00E64C7E">
            <w:pPr>
              <w:keepNext/>
              <w:keepLines/>
              <w:spacing w:before="0" w:after="0"/>
              <w:jc w:val="center"/>
              <w:rPr>
                <w:rFonts w:ascii="Arial Narrow" w:hAnsi="Arial Narrow"/>
                <w:b/>
                <w:bCs/>
                <w:iCs/>
              </w:rPr>
            </w:pPr>
            <w:r w:rsidRPr="00903F9D">
              <w:rPr>
                <w:rFonts w:ascii="Arial Narrow" w:hAnsi="Arial Narrow"/>
                <w:b/>
                <w:bCs/>
                <w:iCs/>
              </w:rPr>
              <w:t>$99.66</w:t>
            </w:r>
          </w:p>
        </w:tc>
        <w:tc>
          <w:tcPr>
            <w:tcW w:w="3969" w:type="dxa"/>
            <w:tcBorders>
              <w:top w:val="single" w:sz="4" w:space="0" w:color="auto"/>
              <w:bottom w:val="single" w:sz="4" w:space="0" w:color="auto"/>
              <w:right w:val="single" w:sz="4" w:space="0" w:color="auto"/>
            </w:tcBorders>
            <w:shd w:val="clear" w:color="auto" w:fill="auto"/>
            <w:noWrap/>
            <w:vAlign w:val="center"/>
          </w:tcPr>
          <w:p w14:paraId="13024D58" w14:textId="77777777" w:rsidR="00BF1F91" w:rsidRPr="00903F9D" w:rsidRDefault="00BF1F91" w:rsidP="00E64C7E">
            <w:pPr>
              <w:keepNext/>
              <w:keepLines/>
              <w:spacing w:before="0" w:after="0"/>
              <w:rPr>
                <w:rFonts w:ascii="Arial Narrow" w:eastAsia="Calibri" w:hAnsi="Arial Narrow"/>
              </w:rPr>
            </w:pPr>
          </w:p>
        </w:tc>
      </w:tr>
    </w:tbl>
    <w:p w14:paraId="5EA80A08" w14:textId="33313DDE" w:rsidR="006D586D" w:rsidRPr="00903F9D" w:rsidRDefault="006D586D" w:rsidP="00E64C7E">
      <w:pPr>
        <w:pStyle w:val="TableFigureFooter"/>
      </w:pPr>
      <w:r w:rsidRPr="00903F9D">
        <w:t xml:space="preserve">Source: </w:t>
      </w:r>
      <w:r w:rsidR="006B55B9" w:rsidRPr="00903F9D">
        <w:t xml:space="preserve">Table 21, p70 of the </w:t>
      </w:r>
      <w:r w:rsidR="007E6C45" w:rsidRPr="00903F9D">
        <w:t xml:space="preserve">MSAC 1665 </w:t>
      </w:r>
      <w:r w:rsidR="006B55B9" w:rsidRPr="00903F9D">
        <w:t>ADAR</w:t>
      </w:r>
    </w:p>
    <w:p w14:paraId="6F95C0BA" w14:textId="5E3BF21F" w:rsidR="00DB20C9" w:rsidRPr="00903F9D" w:rsidRDefault="00DB20C9" w:rsidP="00E64C7E">
      <w:pPr>
        <w:pStyle w:val="TableFigureFooter"/>
        <w:keepNext w:val="0"/>
      </w:pPr>
      <w:r w:rsidRPr="00903F9D">
        <w:t>HCP</w:t>
      </w:r>
      <w:r w:rsidR="006D586D" w:rsidRPr="00903F9D">
        <w:t>=</w:t>
      </w:r>
      <w:r w:rsidRPr="00903F9D">
        <w:t xml:space="preserve"> health care provider</w:t>
      </w:r>
      <w:r w:rsidR="006D586D" w:rsidRPr="00903F9D">
        <w:t xml:space="preserve">; REMS= </w:t>
      </w:r>
      <w:r w:rsidR="00A260A9" w:rsidRPr="00903F9D">
        <w:t>radiofrequency echographic multi spectrometry</w:t>
      </w:r>
      <w:r w:rsidR="008F1824" w:rsidRPr="00903F9D">
        <w:t>.</w:t>
      </w:r>
    </w:p>
    <w:p w14:paraId="3491D07D" w14:textId="4BCD25FF" w:rsidR="00C8233D" w:rsidRPr="00903F9D" w:rsidRDefault="00C8233D" w:rsidP="00C8233D">
      <w:pPr>
        <w:pStyle w:val="Instructionaltext"/>
        <w:rPr>
          <w:color w:val="auto"/>
        </w:rPr>
      </w:pPr>
      <w:r w:rsidRPr="00903F9D">
        <w:rPr>
          <w:color w:val="auto"/>
        </w:rPr>
        <w:t>Including capital device costs, the ADAR estimated the direct cost of REMS per patient as $123.67</w:t>
      </w:r>
      <w:r w:rsidRPr="00903F9D">
        <w:rPr>
          <w:iCs/>
          <w:color w:val="auto"/>
        </w:rPr>
        <w:t>.</w:t>
      </w:r>
      <w:r w:rsidRPr="00903F9D">
        <w:rPr>
          <w:color w:val="auto"/>
        </w:rPr>
        <w:t xml:space="preserve"> REMS was assumed to replace DXA assuming a 1:1 substitution on a per patient basis and no other additional costs or cost-offsets were identified. The ADAR compared the cost of REMS against the cost (MBS schedule fee) of DXA of $106.55. On this basis, the net difference between REMS and DXA is $17.12 ($123.67-$106.55).</w:t>
      </w:r>
    </w:p>
    <w:p w14:paraId="5F0F8805" w14:textId="6C7824C0" w:rsidR="00ED30F1" w:rsidRPr="00903F9D" w:rsidRDefault="00C8233D" w:rsidP="00ED30F1">
      <w:pPr>
        <w:pStyle w:val="Instructionaltext"/>
        <w:rPr>
          <w:iCs/>
          <w:color w:val="auto"/>
        </w:rPr>
      </w:pPr>
      <w:r w:rsidRPr="00903F9D">
        <w:rPr>
          <w:iCs/>
          <w:color w:val="auto"/>
        </w:rPr>
        <w:t>Excluding capital device costs</w:t>
      </w:r>
      <w:r w:rsidR="003643B1" w:rsidRPr="00903F9D">
        <w:rPr>
          <w:iCs/>
          <w:color w:val="auto"/>
        </w:rPr>
        <w:t xml:space="preserve">, </w:t>
      </w:r>
      <w:r w:rsidR="003643B1" w:rsidRPr="00903F9D">
        <w:rPr>
          <w:color w:val="auto"/>
        </w:rPr>
        <w:t>the estimated direct cost of REMS per patient was</w:t>
      </w:r>
      <w:r w:rsidRPr="00903F9D">
        <w:rPr>
          <w:iCs/>
          <w:color w:val="auto"/>
        </w:rPr>
        <w:t xml:space="preserve"> </w:t>
      </w:r>
      <w:r w:rsidR="00ED30F1" w:rsidRPr="00903F9D">
        <w:rPr>
          <w:iCs/>
          <w:color w:val="auto"/>
        </w:rPr>
        <w:t>$99.66</w:t>
      </w:r>
      <w:r w:rsidR="003643B1" w:rsidRPr="00903F9D">
        <w:rPr>
          <w:iCs/>
          <w:color w:val="auto"/>
        </w:rPr>
        <w:t>. This was</w:t>
      </w:r>
      <w:r w:rsidR="00ED30F1" w:rsidRPr="00903F9D">
        <w:rPr>
          <w:iCs/>
          <w:color w:val="auto"/>
        </w:rPr>
        <w:t xml:space="preserve"> less than the proposed MBS fee </w:t>
      </w:r>
      <w:r w:rsidR="00940FB1" w:rsidRPr="00903F9D">
        <w:rPr>
          <w:iCs/>
          <w:color w:val="auto"/>
        </w:rPr>
        <w:t xml:space="preserve">for REMS </w:t>
      </w:r>
      <w:r w:rsidR="00ED30F1" w:rsidRPr="00903F9D">
        <w:rPr>
          <w:iCs/>
          <w:color w:val="auto"/>
        </w:rPr>
        <w:t xml:space="preserve">and </w:t>
      </w:r>
      <w:r w:rsidR="00940FB1" w:rsidRPr="00903F9D">
        <w:rPr>
          <w:iCs/>
          <w:color w:val="auto"/>
        </w:rPr>
        <w:t xml:space="preserve">the existing </w:t>
      </w:r>
      <w:r w:rsidR="00ED30F1" w:rsidRPr="00903F9D">
        <w:rPr>
          <w:iCs/>
          <w:color w:val="auto"/>
        </w:rPr>
        <w:t>MBS fee for DXA of $106.55. However, the</w:t>
      </w:r>
      <w:r w:rsidR="001F56AB" w:rsidRPr="00903F9D">
        <w:rPr>
          <w:iCs/>
          <w:color w:val="auto"/>
        </w:rPr>
        <w:t xml:space="preserve"> ADAR</w:t>
      </w:r>
      <w:r w:rsidR="000131F0" w:rsidRPr="00903F9D">
        <w:rPr>
          <w:iCs/>
          <w:color w:val="auto"/>
        </w:rPr>
        <w:t xml:space="preserve"> may have underestimated the </w:t>
      </w:r>
      <w:r w:rsidR="00ED30F1" w:rsidRPr="00903F9D">
        <w:rPr>
          <w:iCs/>
          <w:color w:val="auto"/>
        </w:rPr>
        <w:t xml:space="preserve">service delivery </w:t>
      </w:r>
      <w:r w:rsidR="000131F0" w:rsidRPr="00903F9D">
        <w:rPr>
          <w:iCs/>
          <w:color w:val="auto"/>
        </w:rPr>
        <w:t>cost</w:t>
      </w:r>
      <w:r w:rsidR="00ED30F1" w:rsidRPr="00903F9D">
        <w:rPr>
          <w:iCs/>
          <w:color w:val="auto"/>
        </w:rPr>
        <w:t>s for REMS</w:t>
      </w:r>
      <w:r w:rsidR="000131F0" w:rsidRPr="00903F9D">
        <w:rPr>
          <w:iCs/>
          <w:color w:val="auto"/>
        </w:rPr>
        <w:t xml:space="preserve"> </w:t>
      </w:r>
      <w:r w:rsidR="00E27A54" w:rsidRPr="00903F9D">
        <w:rPr>
          <w:iCs/>
          <w:color w:val="auto"/>
        </w:rPr>
        <w:t xml:space="preserve">as the times proposed are estimates from the applicant without supporting sources and the applicant acknowledges uncertainties around the time estimates. It is unknown </w:t>
      </w:r>
      <w:proofErr w:type="gramStart"/>
      <w:r w:rsidR="00E27A54" w:rsidRPr="00903F9D">
        <w:rPr>
          <w:iCs/>
          <w:color w:val="auto"/>
        </w:rPr>
        <w:t>whether or not</w:t>
      </w:r>
      <w:proofErr w:type="gramEnd"/>
      <w:r w:rsidR="00E27A54" w:rsidRPr="00903F9D">
        <w:rPr>
          <w:iCs/>
          <w:color w:val="auto"/>
        </w:rPr>
        <w:t xml:space="preserve"> studies reported times for scans</w:t>
      </w:r>
      <w:r w:rsidR="000950B2" w:rsidRPr="00903F9D">
        <w:rPr>
          <w:iCs/>
          <w:color w:val="auto"/>
        </w:rPr>
        <w:t xml:space="preserve"> and</w:t>
      </w:r>
      <w:r w:rsidR="00976893" w:rsidRPr="00903F9D">
        <w:rPr>
          <w:iCs/>
          <w:color w:val="auto"/>
        </w:rPr>
        <w:t xml:space="preserve"> </w:t>
      </w:r>
      <w:r w:rsidR="00E27A54" w:rsidRPr="00903F9D">
        <w:rPr>
          <w:iCs/>
          <w:color w:val="auto"/>
        </w:rPr>
        <w:t xml:space="preserve">that </w:t>
      </w:r>
      <w:r w:rsidR="00940FB1" w:rsidRPr="00903F9D">
        <w:rPr>
          <w:iCs/>
          <w:color w:val="auto"/>
        </w:rPr>
        <w:t xml:space="preserve">the </w:t>
      </w:r>
      <w:r w:rsidR="00E27A54" w:rsidRPr="00903F9D">
        <w:rPr>
          <w:iCs/>
          <w:color w:val="auto"/>
        </w:rPr>
        <w:t xml:space="preserve">time </w:t>
      </w:r>
      <w:r w:rsidR="00940FB1" w:rsidRPr="00903F9D">
        <w:rPr>
          <w:iCs/>
          <w:color w:val="auto"/>
        </w:rPr>
        <w:t xml:space="preserve">to deliver the REMS service </w:t>
      </w:r>
      <w:r w:rsidR="00E27A54" w:rsidRPr="00903F9D">
        <w:rPr>
          <w:iCs/>
          <w:color w:val="auto"/>
        </w:rPr>
        <w:t>may</w:t>
      </w:r>
      <w:r w:rsidR="00940FB1" w:rsidRPr="00903F9D">
        <w:rPr>
          <w:iCs/>
          <w:color w:val="auto"/>
        </w:rPr>
        <w:t xml:space="preserve"> </w:t>
      </w:r>
      <w:r w:rsidR="00E27A54" w:rsidRPr="00903F9D">
        <w:rPr>
          <w:iCs/>
          <w:color w:val="auto"/>
        </w:rPr>
        <w:t xml:space="preserve">be increased if </w:t>
      </w:r>
      <w:r w:rsidR="00E27A54" w:rsidRPr="00903F9D">
        <w:rPr>
          <w:iCs/>
          <w:color w:val="auto"/>
        </w:rPr>
        <w:lastRenderedPageBreak/>
        <w:t>difficulties are encountered locating the</w:t>
      </w:r>
      <w:r w:rsidR="00086B05" w:rsidRPr="00903F9D">
        <w:rPr>
          <w:iCs/>
          <w:color w:val="auto"/>
        </w:rPr>
        <w:t xml:space="preserve"> region of interest</w:t>
      </w:r>
      <w:r w:rsidR="00E27A54" w:rsidRPr="00903F9D">
        <w:rPr>
          <w:iCs/>
          <w:color w:val="auto"/>
        </w:rPr>
        <w:t xml:space="preserve"> for the scan. Therefore, </w:t>
      </w:r>
      <w:r w:rsidR="00FE3BE1" w:rsidRPr="00903F9D">
        <w:rPr>
          <w:iCs/>
          <w:color w:val="auto"/>
        </w:rPr>
        <w:t xml:space="preserve">the commentary considered that </w:t>
      </w:r>
      <w:r w:rsidR="00E27A54" w:rsidRPr="00903F9D">
        <w:rPr>
          <w:iCs/>
          <w:color w:val="auto"/>
        </w:rPr>
        <w:t>the time it takes to conduct a scan is likely more than it takes to conduct a DXA, particularly as there may be a higher failure rate of ultrasound scans at one or more skeletal sites, which may reduce patient utilisation</w:t>
      </w:r>
      <w:r w:rsidR="000D492D" w:rsidRPr="00903F9D">
        <w:rPr>
          <w:iCs/>
          <w:color w:val="auto"/>
        </w:rPr>
        <w:t xml:space="preserve"> (as noted in </w:t>
      </w:r>
      <w:r w:rsidR="00940FB1" w:rsidRPr="00903F9D">
        <w:rPr>
          <w:iCs/>
          <w:color w:val="auto"/>
        </w:rPr>
        <w:t xml:space="preserve">the </w:t>
      </w:r>
      <w:r w:rsidR="000D492D" w:rsidRPr="00903F9D">
        <w:rPr>
          <w:iCs/>
          <w:color w:val="auto"/>
        </w:rPr>
        <w:t>consultation responses).</w:t>
      </w:r>
    </w:p>
    <w:p w14:paraId="71E209BF" w14:textId="073A83B4" w:rsidR="00C80DD5" w:rsidRPr="00903F9D" w:rsidRDefault="00C80DD5" w:rsidP="00C80DD5">
      <w:r w:rsidRPr="00903F9D">
        <w:t>The ADAR estimated the time to conduct the</w:t>
      </w:r>
      <w:r w:rsidR="000950B2" w:rsidRPr="00903F9D">
        <w:t xml:space="preserve"> REMS</w:t>
      </w:r>
      <w:r w:rsidRPr="00903F9D">
        <w:t xml:space="preserve"> scan including patient commencement, three skeletal site scans and final check would take 30 minutes. No additional data was provided for length of consultation if a repeat scan was necessary for one of the skeletal sites. If either a left or right femoral neck scan was unsuccessful, a repeat scan would take an additional 5 minutes. Similarly, if a L1-L4 lumbar spine scan was unsuccessful, an additional 8 minutes would be required. This would have implications for the staffing cost of delivering the scan as well as the clinic room hire.</w:t>
      </w:r>
    </w:p>
    <w:p w14:paraId="77422EE7" w14:textId="42069A5C" w:rsidR="00221774" w:rsidRPr="00903F9D" w:rsidRDefault="00221774" w:rsidP="00221774">
      <w:pPr>
        <w:pStyle w:val="Instructionaltext"/>
        <w:rPr>
          <w:color w:val="auto"/>
        </w:rPr>
      </w:pPr>
      <w:r w:rsidRPr="00903F9D">
        <w:rPr>
          <w:iCs/>
          <w:color w:val="auto"/>
        </w:rPr>
        <w:t>The pre-</w:t>
      </w:r>
      <w:r w:rsidR="00FE3BE1" w:rsidRPr="00903F9D">
        <w:rPr>
          <w:iCs/>
          <w:color w:val="auto"/>
        </w:rPr>
        <w:t>MSAC</w:t>
      </w:r>
      <w:r w:rsidRPr="00903F9D">
        <w:rPr>
          <w:iCs/>
          <w:color w:val="auto"/>
        </w:rPr>
        <w:t xml:space="preserve"> response stated that the time allocation was based on experience at Australian sites and considered the 30 minutes proposed to be </w:t>
      </w:r>
      <w:r w:rsidR="00014FC7" w:rsidRPr="00903F9D">
        <w:rPr>
          <w:iCs/>
          <w:color w:val="auto"/>
        </w:rPr>
        <w:t>an overestimate</w:t>
      </w:r>
      <w:r w:rsidR="003407FE" w:rsidRPr="00903F9D">
        <w:rPr>
          <w:iCs/>
          <w:color w:val="auto"/>
        </w:rPr>
        <w:t xml:space="preserve"> suggesting this time would allow for a non-rushed experience with the operator and patient</w:t>
      </w:r>
      <w:r w:rsidRPr="00903F9D">
        <w:rPr>
          <w:iCs/>
          <w:color w:val="auto"/>
        </w:rPr>
        <w:t>. The pre-</w:t>
      </w:r>
      <w:r w:rsidR="00FE3BE1" w:rsidRPr="00903F9D">
        <w:rPr>
          <w:iCs/>
          <w:color w:val="auto"/>
        </w:rPr>
        <w:t xml:space="preserve">MSAC </w:t>
      </w:r>
      <w:r w:rsidRPr="00903F9D">
        <w:rPr>
          <w:iCs/>
          <w:color w:val="auto"/>
        </w:rPr>
        <w:t>response also highlighted that DXA scans may include partial undressing (if any metal on clothing), positioning and strapping of leg stabilisers, using the motorised overhead, scanning, data entry and waiting for results at each site and countered that the DXA scans of all 3 sites would take at least the same amount of time as for REMS.</w:t>
      </w:r>
    </w:p>
    <w:p w14:paraId="258D8E20" w14:textId="66056009" w:rsidR="00317B99" w:rsidRPr="00903F9D" w:rsidRDefault="00317B99" w:rsidP="00BE1323">
      <w:pPr>
        <w:keepNext/>
      </w:pPr>
      <w:r w:rsidRPr="00903F9D">
        <w:t>The ADAR did not address issues regarding problems with scans that may result in additional BMD testing:</w:t>
      </w:r>
    </w:p>
    <w:p w14:paraId="42921986" w14:textId="231F85FE" w:rsidR="00317B99" w:rsidRPr="00903F9D" w:rsidRDefault="00976893" w:rsidP="00DC4305">
      <w:pPr>
        <w:pStyle w:val="ListParagraph"/>
        <w:numPr>
          <w:ilvl w:val="0"/>
          <w:numId w:val="22"/>
        </w:numPr>
        <w:spacing w:line="256" w:lineRule="auto"/>
        <w:ind w:left="709"/>
      </w:pPr>
      <w:r w:rsidRPr="00903F9D">
        <w:t>T</w:t>
      </w:r>
      <w:r w:rsidR="00317B99" w:rsidRPr="00903F9D">
        <w:t xml:space="preserve">he need for a repeat scan if </w:t>
      </w:r>
      <w:r w:rsidR="00FE3BE1" w:rsidRPr="00903F9D">
        <w:t>the initial REMS scan was considered invalid or low-quality</w:t>
      </w:r>
      <w:r w:rsidRPr="00903F9D">
        <w:t>.</w:t>
      </w:r>
    </w:p>
    <w:p w14:paraId="108917F2" w14:textId="4783B765" w:rsidR="00377A2C" w:rsidRPr="00903F9D" w:rsidRDefault="00976893" w:rsidP="00DC4305">
      <w:pPr>
        <w:pStyle w:val="ListParagraph"/>
        <w:numPr>
          <w:ilvl w:val="0"/>
          <w:numId w:val="22"/>
        </w:numPr>
        <w:spacing w:line="256" w:lineRule="auto"/>
        <w:ind w:left="709"/>
      </w:pPr>
      <w:r w:rsidRPr="00903F9D">
        <w:t>T</w:t>
      </w:r>
      <w:r w:rsidR="00317B99" w:rsidRPr="00903F9D">
        <w:t>he potential for additional DXAs for patients who may receive both scans in a situation where the initial REMS scan was unsuccessful</w:t>
      </w:r>
      <w:r w:rsidR="00DC49AB" w:rsidRPr="00903F9D">
        <w:t xml:space="preserve"> (the rate of unsuccessful scans was not addressed in the ADAR)</w:t>
      </w:r>
      <w:r w:rsidR="00317B99" w:rsidRPr="00903F9D">
        <w:t>.</w:t>
      </w:r>
      <w:r w:rsidR="00377A2C" w:rsidRPr="00903F9D">
        <w:t xml:space="preserve"> The pre-</w:t>
      </w:r>
      <w:r w:rsidR="00FE3BE1" w:rsidRPr="00903F9D">
        <w:t>MSAC</w:t>
      </w:r>
      <w:r w:rsidR="00377A2C" w:rsidRPr="00903F9D">
        <w:t xml:space="preserve"> response noted that patients can be re-scanned immediately if they receive a</w:t>
      </w:r>
      <w:r w:rsidR="00FE3BE1" w:rsidRPr="00903F9D">
        <w:t>n invalid</w:t>
      </w:r>
      <w:r w:rsidR="00377A2C" w:rsidRPr="00903F9D">
        <w:t xml:space="preserve"> </w:t>
      </w:r>
      <w:r w:rsidR="00E64C7E" w:rsidRPr="00903F9D">
        <w:t xml:space="preserve">or </w:t>
      </w:r>
      <w:r w:rsidR="00377A2C" w:rsidRPr="00903F9D">
        <w:t xml:space="preserve">null result and </w:t>
      </w:r>
      <w:r w:rsidR="004B495C" w:rsidRPr="00903F9D">
        <w:t xml:space="preserve">estimated </w:t>
      </w:r>
      <w:r w:rsidR="00377A2C" w:rsidRPr="00903F9D">
        <w:t xml:space="preserve">that </w:t>
      </w:r>
      <w:r w:rsidR="006B0720" w:rsidRPr="00903F9D">
        <w:t xml:space="preserve">&lt;5% of patients would end up needing </w:t>
      </w:r>
      <w:r w:rsidR="00377A2C" w:rsidRPr="00903F9D">
        <w:t xml:space="preserve">a DXA or </w:t>
      </w:r>
      <w:proofErr w:type="spellStart"/>
      <w:r w:rsidR="00377A2C" w:rsidRPr="00903F9D">
        <w:t>qCT</w:t>
      </w:r>
      <w:proofErr w:type="spellEnd"/>
      <w:r w:rsidR="00377A2C" w:rsidRPr="00903F9D">
        <w:t xml:space="preserve"> scan </w:t>
      </w:r>
      <w:r w:rsidR="006B0720" w:rsidRPr="00903F9D">
        <w:t>claiming this would</w:t>
      </w:r>
      <w:r w:rsidR="00377A2C" w:rsidRPr="00903F9D">
        <w:t xml:space="preserve"> only be needed in the case of severe and unexpected osteoporosis.</w:t>
      </w:r>
    </w:p>
    <w:p w14:paraId="1EBBB7D7" w14:textId="50BC73FF" w:rsidR="000131F0" w:rsidRPr="00903F9D" w:rsidRDefault="00ED30F1" w:rsidP="00ED30F1">
      <w:pPr>
        <w:pStyle w:val="Instructionaltext"/>
        <w:rPr>
          <w:color w:val="auto"/>
        </w:rPr>
      </w:pPr>
      <w:r w:rsidRPr="00903F9D">
        <w:rPr>
          <w:iCs/>
          <w:color w:val="auto"/>
        </w:rPr>
        <w:t xml:space="preserve">If the ADAR’s intention was to consider and present the total comparative costs for REMS versus DXA, the </w:t>
      </w:r>
      <w:r w:rsidR="00FE3BE1" w:rsidRPr="00903F9D">
        <w:rPr>
          <w:iCs/>
          <w:color w:val="auto"/>
        </w:rPr>
        <w:t xml:space="preserve">commentary noted that the </w:t>
      </w:r>
      <w:r w:rsidRPr="00903F9D">
        <w:rPr>
          <w:iCs/>
          <w:color w:val="auto"/>
        </w:rPr>
        <w:t>ADAR may have underestimated the total costs of REMS</w:t>
      </w:r>
      <w:r w:rsidR="00D76E8A" w:rsidRPr="00903F9D">
        <w:rPr>
          <w:iCs/>
          <w:color w:val="auto"/>
        </w:rPr>
        <w:t xml:space="preserve">. </w:t>
      </w:r>
      <w:r w:rsidR="00D76E8A" w:rsidRPr="00903F9D">
        <w:rPr>
          <w:color w:val="auto"/>
        </w:rPr>
        <w:t xml:space="preserve">It </w:t>
      </w:r>
      <w:r w:rsidR="00E64C7E" w:rsidRPr="00903F9D">
        <w:rPr>
          <w:color w:val="auto"/>
        </w:rPr>
        <w:t>wa</w:t>
      </w:r>
      <w:r w:rsidR="00D76E8A" w:rsidRPr="00903F9D">
        <w:rPr>
          <w:color w:val="auto"/>
        </w:rPr>
        <w:t>s acknowledged that the MBS fee w</w:t>
      </w:r>
      <w:r w:rsidR="00E64C7E" w:rsidRPr="00903F9D">
        <w:rPr>
          <w:color w:val="auto"/>
        </w:rPr>
        <w:t>ould</w:t>
      </w:r>
      <w:r w:rsidR="00D76E8A" w:rsidRPr="00903F9D">
        <w:rPr>
          <w:color w:val="auto"/>
        </w:rPr>
        <w:t xml:space="preserve"> be fixed, hence, if there are increased cost</w:t>
      </w:r>
      <w:r w:rsidR="00E64C7E" w:rsidRPr="00903F9D">
        <w:rPr>
          <w:color w:val="auto"/>
        </w:rPr>
        <w:t>s</w:t>
      </w:r>
      <w:r w:rsidR="00D76E8A" w:rsidRPr="00903F9D">
        <w:rPr>
          <w:color w:val="auto"/>
        </w:rPr>
        <w:t xml:space="preserve"> of the device including capital, </w:t>
      </w:r>
      <w:proofErr w:type="gramStart"/>
      <w:r w:rsidR="00D76E8A" w:rsidRPr="00903F9D">
        <w:rPr>
          <w:color w:val="auto"/>
        </w:rPr>
        <w:t>transport</w:t>
      </w:r>
      <w:proofErr w:type="gramEnd"/>
      <w:r w:rsidR="00D76E8A" w:rsidRPr="00903F9D">
        <w:rPr>
          <w:color w:val="auto"/>
        </w:rPr>
        <w:t xml:space="preserve"> or training, then this w</w:t>
      </w:r>
      <w:r w:rsidR="00E64C7E" w:rsidRPr="00903F9D">
        <w:rPr>
          <w:color w:val="auto"/>
        </w:rPr>
        <w:t>ould</w:t>
      </w:r>
      <w:r w:rsidR="00D76E8A" w:rsidRPr="00903F9D">
        <w:rPr>
          <w:color w:val="auto"/>
        </w:rPr>
        <w:t xml:space="preserve"> not result in any </w:t>
      </w:r>
      <w:r w:rsidR="00493C19" w:rsidRPr="00903F9D">
        <w:rPr>
          <w:color w:val="auto"/>
        </w:rPr>
        <w:t xml:space="preserve">net change in </w:t>
      </w:r>
      <w:r w:rsidR="00D76E8A" w:rsidRPr="00903F9D">
        <w:rPr>
          <w:color w:val="auto"/>
        </w:rPr>
        <w:t xml:space="preserve">expenditure to the MBS. </w:t>
      </w:r>
      <w:r w:rsidR="00D76E8A" w:rsidRPr="00903F9D">
        <w:rPr>
          <w:iCs/>
          <w:color w:val="auto"/>
        </w:rPr>
        <w:t>T</w:t>
      </w:r>
      <w:r w:rsidR="005B0140" w:rsidRPr="00903F9D">
        <w:rPr>
          <w:iCs/>
          <w:color w:val="auto"/>
        </w:rPr>
        <w:t xml:space="preserve">he </w:t>
      </w:r>
      <w:r w:rsidR="00D76E8A" w:rsidRPr="00903F9D">
        <w:rPr>
          <w:iCs/>
          <w:color w:val="auto"/>
        </w:rPr>
        <w:t xml:space="preserve">underestimation </w:t>
      </w:r>
      <w:r w:rsidR="00B12DFF" w:rsidRPr="00903F9D">
        <w:rPr>
          <w:iCs/>
          <w:color w:val="auto"/>
        </w:rPr>
        <w:t xml:space="preserve">of the costs </w:t>
      </w:r>
      <w:r w:rsidR="00D76E8A" w:rsidRPr="00903F9D">
        <w:rPr>
          <w:iCs/>
          <w:color w:val="auto"/>
        </w:rPr>
        <w:t xml:space="preserve">of REMS </w:t>
      </w:r>
      <w:r w:rsidR="00B12DFF" w:rsidRPr="00903F9D">
        <w:rPr>
          <w:iCs/>
          <w:color w:val="auto"/>
        </w:rPr>
        <w:t xml:space="preserve">(beyond the MBS) </w:t>
      </w:r>
      <w:r w:rsidR="00D76E8A" w:rsidRPr="00903F9D">
        <w:rPr>
          <w:iCs/>
          <w:color w:val="auto"/>
        </w:rPr>
        <w:t xml:space="preserve">may be due to the </w:t>
      </w:r>
      <w:r w:rsidR="005B0140" w:rsidRPr="00903F9D">
        <w:rPr>
          <w:iCs/>
          <w:color w:val="auto"/>
        </w:rPr>
        <w:t>following</w:t>
      </w:r>
      <w:r w:rsidR="000131F0" w:rsidRPr="00903F9D">
        <w:rPr>
          <w:color w:val="auto"/>
        </w:rPr>
        <w:t>:</w:t>
      </w:r>
    </w:p>
    <w:p w14:paraId="119E5460" w14:textId="335A8509" w:rsidR="002E00E2" w:rsidRPr="00903F9D" w:rsidRDefault="00D01532" w:rsidP="00221774">
      <w:pPr>
        <w:pStyle w:val="Instructionaltext-bullet"/>
        <w:rPr>
          <w:color w:val="auto"/>
        </w:rPr>
      </w:pPr>
      <w:r w:rsidRPr="00903F9D">
        <w:rPr>
          <w:color w:val="auto"/>
        </w:rPr>
        <w:t>T</w:t>
      </w:r>
      <w:r w:rsidR="000131F0" w:rsidRPr="00903F9D">
        <w:rPr>
          <w:color w:val="auto"/>
        </w:rPr>
        <w:t xml:space="preserve">he cost of transporting the device to each patient was not included. This </w:t>
      </w:r>
      <w:r w:rsidR="002F7F3B" w:rsidRPr="00903F9D">
        <w:rPr>
          <w:color w:val="auto"/>
        </w:rPr>
        <w:t xml:space="preserve">could </w:t>
      </w:r>
      <w:r w:rsidR="000131F0" w:rsidRPr="00903F9D">
        <w:rPr>
          <w:color w:val="auto"/>
        </w:rPr>
        <w:t>be via wheeling the REMS device in</w:t>
      </w:r>
      <w:r w:rsidR="00947BF7" w:rsidRPr="00903F9D">
        <w:rPr>
          <w:color w:val="auto"/>
        </w:rPr>
        <w:t>to</w:t>
      </w:r>
      <w:r w:rsidR="000131F0" w:rsidRPr="00903F9D">
        <w:rPr>
          <w:color w:val="auto"/>
        </w:rPr>
        <w:t xml:space="preserve"> an inpatient setting, a residential aged care facility or a rural/remote setting.</w:t>
      </w:r>
      <w:r w:rsidR="002E00E2" w:rsidRPr="00903F9D">
        <w:rPr>
          <w:color w:val="auto"/>
        </w:rPr>
        <w:t xml:space="preserve"> </w:t>
      </w:r>
      <w:r w:rsidR="00221774" w:rsidRPr="00903F9D">
        <w:rPr>
          <w:color w:val="auto"/>
        </w:rPr>
        <w:t>The pre-ESC response noted that once the REMS device is set up, it would likely remain within a treatment room. The portability allows it to be moved from clinic to clinic in preparation for outpatient settings or to the patient (if the patient is immobile); this would not increase the cost of assessments.</w:t>
      </w:r>
    </w:p>
    <w:p w14:paraId="0E4FF04F" w14:textId="6F511256" w:rsidR="007F69DE" w:rsidRPr="00903F9D" w:rsidRDefault="00D01532" w:rsidP="007F69DE">
      <w:pPr>
        <w:pStyle w:val="Instructionaltext-bullet"/>
        <w:rPr>
          <w:color w:val="auto"/>
        </w:rPr>
      </w:pPr>
      <w:r w:rsidRPr="00903F9D">
        <w:rPr>
          <w:color w:val="auto"/>
        </w:rPr>
        <w:t>T</w:t>
      </w:r>
      <w:r w:rsidR="000131F0" w:rsidRPr="00903F9D">
        <w:rPr>
          <w:color w:val="auto"/>
        </w:rPr>
        <w:t>he cost of training to use the REMS device was not included. The latter may also include an ongoing quality check</w:t>
      </w:r>
      <w:r w:rsidR="003F2554" w:rsidRPr="00903F9D">
        <w:rPr>
          <w:color w:val="auto"/>
        </w:rPr>
        <w:t>.</w:t>
      </w:r>
      <w:r w:rsidR="003F2554" w:rsidRPr="00903F9D">
        <w:t xml:space="preserve"> </w:t>
      </w:r>
      <w:r w:rsidR="003F2554" w:rsidRPr="00903F9D">
        <w:rPr>
          <w:color w:val="auto"/>
        </w:rPr>
        <w:t xml:space="preserve">The key studies highlighted the importance of training given the rate of </w:t>
      </w:r>
      <w:r w:rsidR="005B1D9E" w:rsidRPr="00903F9D">
        <w:rPr>
          <w:color w:val="auto"/>
        </w:rPr>
        <w:t>REMS scans with quality errors</w:t>
      </w:r>
      <w:r w:rsidR="000131F0" w:rsidRPr="00903F9D">
        <w:rPr>
          <w:color w:val="auto"/>
        </w:rPr>
        <w:t xml:space="preserve">. </w:t>
      </w:r>
      <w:r w:rsidR="00221774" w:rsidRPr="00903F9D">
        <w:rPr>
          <w:color w:val="auto"/>
        </w:rPr>
        <w:t>The pre-</w:t>
      </w:r>
      <w:r w:rsidR="00FE3BE1" w:rsidRPr="00903F9D">
        <w:rPr>
          <w:color w:val="auto"/>
        </w:rPr>
        <w:t>MSAC</w:t>
      </w:r>
      <w:r w:rsidR="00221774" w:rsidRPr="00903F9D">
        <w:rPr>
          <w:color w:val="auto"/>
        </w:rPr>
        <w:t xml:space="preserve"> response state</w:t>
      </w:r>
      <w:r w:rsidR="00E64C7E" w:rsidRPr="00903F9D">
        <w:rPr>
          <w:color w:val="auto"/>
        </w:rPr>
        <w:t>d</w:t>
      </w:r>
      <w:r w:rsidR="00221774" w:rsidRPr="00903F9D">
        <w:rPr>
          <w:color w:val="auto"/>
        </w:rPr>
        <w:t xml:space="preserve"> that a 3-day training package is included in the cost of the device per clinic and 6-monthly quality checks (including refresher training and software updates) at an estimated $1,000 to $2,000 per quality check.</w:t>
      </w:r>
    </w:p>
    <w:p w14:paraId="698680E5" w14:textId="77777777" w:rsidR="008A70AD" w:rsidRPr="00903F9D" w:rsidRDefault="008A70AD" w:rsidP="008A70AD">
      <w:pPr>
        <w:pStyle w:val="Instructionaltext-bullet"/>
        <w:rPr>
          <w:color w:val="auto"/>
        </w:rPr>
      </w:pPr>
      <w:r w:rsidRPr="00903F9D">
        <w:rPr>
          <w:color w:val="auto"/>
        </w:rPr>
        <w:t>The ADAR estimated the cost of the device assuming 20 scans per week over 3 years (3,000 [20 tests/week * 52 weeks/year * 3 years = 3,120])</w:t>
      </w:r>
      <w:r w:rsidR="009C000C" w:rsidRPr="00903F9D">
        <w:rPr>
          <w:color w:val="auto"/>
        </w:rPr>
        <w:t>;</w:t>
      </w:r>
      <w:r w:rsidRPr="00903F9D">
        <w:rPr>
          <w:color w:val="auto"/>
        </w:rPr>
        <w:t xml:space="preserve"> however, this was not </w:t>
      </w:r>
      <w:r w:rsidRPr="00903F9D">
        <w:rPr>
          <w:color w:val="auto"/>
        </w:rPr>
        <w:lastRenderedPageBreak/>
        <w:t>referenced nor supported by any data. If the device is underutilised and less than 20 scans are conducted per week</w:t>
      </w:r>
      <w:r w:rsidR="009C000C" w:rsidRPr="00903F9D">
        <w:rPr>
          <w:color w:val="auto"/>
        </w:rPr>
        <w:t>,</w:t>
      </w:r>
      <w:r w:rsidRPr="00903F9D">
        <w:rPr>
          <w:color w:val="auto"/>
        </w:rPr>
        <w:t xml:space="preserve"> then the overall cost of the device will likely be higher.</w:t>
      </w:r>
    </w:p>
    <w:p w14:paraId="5A78DA4E" w14:textId="3CD8DE21" w:rsidR="0095776A" w:rsidRPr="00903F9D" w:rsidRDefault="00D32CA1" w:rsidP="007F69DE">
      <w:pPr>
        <w:pStyle w:val="Instructionaltext-bullet"/>
        <w:ind w:left="714" w:hanging="357"/>
        <w:rPr>
          <w:color w:val="auto"/>
        </w:rPr>
      </w:pPr>
      <w:r w:rsidRPr="00903F9D">
        <w:rPr>
          <w:color w:val="auto"/>
        </w:rPr>
        <w:t xml:space="preserve">The device cost corresponded to the </w:t>
      </w:r>
      <w:proofErr w:type="spellStart"/>
      <w:r w:rsidRPr="00903F9D">
        <w:rPr>
          <w:color w:val="auto"/>
        </w:rPr>
        <w:t>Echo</w:t>
      </w:r>
      <w:r w:rsidR="003C682F" w:rsidRPr="00903F9D">
        <w:rPr>
          <w:color w:val="auto"/>
        </w:rPr>
        <w:t>S</w:t>
      </w:r>
      <w:r w:rsidRPr="00903F9D">
        <w:rPr>
          <w:color w:val="auto"/>
        </w:rPr>
        <w:t>tation</w:t>
      </w:r>
      <w:proofErr w:type="spellEnd"/>
      <w:r w:rsidRPr="00903F9D">
        <w:rPr>
          <w:color w:val="auto"/>
        </w:rPr>
        <w:t xml:space="preserve">. The ADAR did not justify why the </w:t>
      </w:r>
      <w:proofErr w:type="spellStart"/>
      <w:r w:rsidRPr="00903F9D">
        <w:rPr>
          <w:color w:val="auto"/>
        </w:rPr>
        <w:t>EchoStation</w:t>
      </w:r>
      <w:proofErr w:type="spellEnd"/>
      <w:r w:rsidRPr="00903F9D">
        <w:rPr>
          <w:color w:val="auto"/>
        </w:rPr>
        <w:t xml:space="preserve"> device was relied on in the cost-minimisation compared to the other three devices. In particular, </w:t>
      </w:r>
      <w:proofErr w:type="spellStart"/>
      <w:r w:rsidRPr="00903F9D">
        <w:rPr>
          <w:color w:val="auto"/>
        </w:rPr>
        <w:t>Echo</w:t>
      </w:r>
      <w:r w:rsidR="003C682F" w:rsidRPr="00903F9D">
        <w:rPr>
          <w:color w:val="auto"/>
        </w:rPr>
        <w:t>S</w:t>
      </w:r>
      <w:r w:rsidRPr="00903F9D">
        <w:rPr>
          <w:color w:val="auto"/>
        </w:rPr>
        <w:t>tation</w:t>
      </w:r>
      <w:proofErr w:type="spellEnd"/>
      <w:r w:rsidRPr="00903F9D">
        <w:rPr>
          <w:color w:val="auto"/>
        </w:rPr>
        <w:t xml:space="preserve"> is the</w:t>
      </w:r>
      <w:r w:rsidR="003C682F" w:rsidRPr="00903F9D">
        <w:rPr>
          <w:color w:val="auto"/>
        </w:rPr>
        <w:t xml:space="preserve"> cheapest device and the</w:t>
      </w:r>
      <w:r w:rsidRPr="00903F9D">
        <w:rPr>
          <w:color w:val="auto"/>
        </w:rPr>
        <w:t xml:space="preserve"> only device that is not portable, a characteristic that </w:t>
      </w:r>
      <w:r w:rsidR="009C000C" w:rsidRPr="00903F9D">
        <w:rPr>
          <w:color w:val="auto"/>
        </w:rPr>
        <w:t xml:space="preserve">the </w:t>
      </w:r>
      <w:r w:rsidRPr="00903F9D">
        <w:rPr>
          <w:color w:val="auto"/>
        </w:rPr>
        <w:t>ADAR</w:t>
      </w:r>
      <w:r w:rsidR="00C811D1" w:rsidRPr="00903F9D">
        <w:rPr>
          <w:color w:val="auto"/>
        </w:rPr>
        <w:t xml:space="preserve"> </w:t>
      </w:r>
      <w:r w:rsidRPr="00903F9D">
        <w:rPr>
          <w:color w:val="auto"/>
        </w:rPr>
        <w:t xml:space="preserve">had presented as an advantage to DXA as it would allow facilitated access to regional and remote communities, </w:t>
      </w:r>
      <w:r w:rsidR="00947BF7" w:rsidRPr="00903F9D">
        <w:rPr>
          <w:color w:val="auto"/>
        </w:rPr>
        <w:t>A</w:t>
      </w:r>
      <w:r w:rsidRPr="00903F9D">
        <w:rPr>
          <w:color w:val="auto"/>
        </w:rPr>
        <w:t>boriginal and Torres Strait Islander populations and communities, elderly and frail who have reduced mobility, those with bone deformity / difficulty who cannot lie perfectly supine, patients with surgical intervention such as hip fracture surgery using rods and nails</w:t>
      </w:r>
      <w:r w:rsidR="009C000C" w:rsidRPr="00903F9D">
        <w:rPr>
          <w:color w:val="auto"/>
        </w:rPr>
        <w:t xml:space="preserve"> </w:t>
      </w:r>
      <w:r w:rsidRPr="00903F9D">
        <w:rPr>
          <w:color w:val="auto"/>
        </w:rPr>
        <w:t>(p. 5 and 10, MSAC 1665</w:t>
      </w:r>
      <w:r w:rsidR="009042DB" w:rsidRPr="00903F9D">
        <w:rPr>
          <w:color w:val="auto"/>
        </w:rPr>
        <w:t xml:space="preserve"> </w:t>
      </w:r>
      <w:r w:rsidRPr="00903F9D">
        <w:rPr>
          <w:color w:val="auto"/>
        </w:rPr>
        <w:t>PICO</w:t>
      </w:r>
      <w:r w:rsidR="009042DB" w:rsidRPr="00903F9D">
        <w:rPr>
          <w:color w:val="auto"/>
        </w:rPr>
        <w:t xml:space="preserve"> Confirmation</w:t>
      </w:r>
      <w:r w:rsidRPr="00903F9D">
        <w:rPr>
          <w:color w:val="auto"/>
        </w:rPr>
        <w:t>)</w:t>
      </w:r>
      <w:r w:rsidR="00C95993" w:rsidRPr="00903F9D">
        <w:rPr>
          <w:color w:val="auto"/>
        </w:rPr>
        <w:t>.</w:t>
      </w:r>
      <w:r w:rsidRPr="00903F9D">
        <w:rPr>
          <w:color w:val="auto"/>
        </w:rPr>
        <w:t xml:space="preserve"> It may have been more appropriate to use </w:t>
      </w:r>
      <w:r w:rsidR="000131F0" w:rsidRPr="00903F9D">
        <w:rPr>
          <w:color w:val="auto"/>
        </w:rPr>
        <w:t xml:space="preserve">the device cost of the </w:t>
      </w:r>
      <w:proofErr w:type="spellStart"/>
      <w:r w:rsidR="000131F0" w:rsidRPr="00903F9D">
        <w:rPr>
          <w:color w:val="auto"/>
        </w:rPr>
        <w:t>EchoHybrid</w:t>
      </w:r>
      <w:proofErr w:type="spellEnd"/>
      <w:r w:rsidR="000131F0" w:rsidRPr="00903F9D">
        <w:rPr>
          <w:color w:val="auto"/>
        </w:rPr>
        <w:t xml:space="preserve"> which is a portable version of the device equating to $89,375 including GST. </w:t>
      </w:r>
      <w:r w:rsidR="0073469E" w:rsidRPr="00903F9D">
        <w:rPr>
          <w:color w:val="auto"/>
        </w:rPr>
        <w:t>Using the</w:t>
      </w:r>
      <w:r w:rsidR="004C6805" w:rsidRPr="00903F9D">
        <w:rPr>
          <w:color w:val="auto"/>
        </w:rPr>
        <w:t xml:space="preserve"> </w:t>
      </w:r>
      <w:proofErr w:type="spellStart"/>
      <w:r w:rsidR="004C6805" w:rsidRPr="00903F9D">
        <w:rPr>
          <w:color w:val="auto"/>
        </w:rPr>
        <w:t>EchoHybrid</w:t>
      </w:r>
      <w:proofErr w:type="spellEnd"/>
      <w:r w:rsidR="000131F0" w:rsidRPr="00903F9D">
        <w:rPr>
          <w:color w:val="auto"/>
        </w:rPr>
        <w:t xml:space="preserve"> device cost</w:t>
      </w:r>
      <w:r w:rsidR="0073469E" w:rsidRPr="00903F9D">
        <w:rPr>
          <w:color w:val="auto"/>
        </w:rPr>
        <w:t>,</w:t>
      </w:r>
      <w:r w:rsidR="000131F0" w:rsidRPr="00903F9D">
        <w:rPr>
          <w:color w:val="auto"/>
        </w:rPr>
        <w:t xml:space="preserve"> </w:t>
      </w:r>
      <w:r w:rsidR="004C6805" w:rsidRPr="00903F9D">
        <w:rPr>
          <w:color w:val="auto"/>
        </w:rPr>
        <w:t xml:space="preserve">which </w:t>
      </w:r>
      <w:r w:rsidR="000131F0" w:rsidRPr="00903F9D">
        <w:rPr>
          <w:color w:val="auto"/>
        </w:rPr>
        <w:t>was estimated to be $28.65 ($89,375</w:t>
      </w:r>
      <w:proofErr w:type="gramStart"/>
      <w:r w:rsidR="000131F0" w:rsidRPr="00903F9D">
        <w:rPr>
          <w:color w:val="auto"/>
        </w:rPr>
        <w:t>/(</w:t>
      </w:r>
      <w:proofErr w:type="gramEnd"/>
      <w:r w:rsidR="000131F0" w:rsidRPr="00903F9D">
        <w:rPr>
          <w:color w:val="auto"/>
        </w:rPr>
        <w:t>20 tests/week*52 weeks/year*3 years)</w:t>
      </w:r>
      <w:r w:rsidR="0073469E" w:rsidRPr="00903F9D">
        <w:rPr>
          <w:color w:val="auto"/>
        </w:rPr>
        <w:t>,t</w:t>
      </w:r>
      <w:r w:rsidR="000131F0" w:rsidRPr="00903F9D">
        <w:rPr>
          <w:color w:val="auto"/>
        </w:rPr>
        <w:t xml:space="preserve">he net difference between the REMS and DXA based </w:t>
      </w:r>
      <w:r w:rsidR="008460B7" w:rsidRPr="00903F9D">
        <w:rPr>
          <w:color w:val="auto"/>
        </w:rPr>
        <w:t>increases to</w:t>
      </w:r>
      <w:r w:rsidR="000131F0" w:rsidRPr="00903F9D">
        <w:rPr>
          <w:color w:val="auto"/>
        </w:rPr>
        <w:t xml:space="preserve"> $21.76 ($128.31-$106.55)</w:t>
      </w:r>
      <w:bookmarkStart w:id="44" w:name="_Hlk100095315"/>
      <w:r w:rsidR="0093430A" w:rsidRPr="00903F9D">
        <w:rPr>
          <w:color w:val="auto"/>
        </w:rPr>
        <w:t>.</w:t>
      </w:r>
      <w:bookmarkEnd w:id="44"/>
      <w:r w:rsidR="0093430A" w:rsidRPr="00903F9D">
        <w:rPr>
          <w:color w:val="auto"/>
        </w:rPr>
        <w:t xml:space="preserve"> </w:t>
      </w:r>
      <w:r w:rsidR="00221774" w:rsidRPr="00903F9D">
        <w:rPr>
          <w:color w:val="auto"/>
        </w:rPr>
        <w:t>The pre</w:t>
      </w:r>
      <w:r w:rsidR="00FE3BE1" w:rsidRPr="00903F9D">
        <w:rPr>
          <w:color w:val="auto"/>
        </w:rPr>
        <w:t>-</w:t>
      </w:r>
      <w:r w:rsidR="00D67E9C" w:rsidRPr="00903F9D">
        <w:rPr>
          <w:color w:val="auto"/>
        </w:rPr>
        <w:t>ESC</w:t>
      </w:r>
      <w:r w:rsidR="00221774" w:rsidRPr="00903F9D">
        <w:rPr>
          <w:color w:val="auto"/>
        </w:rPr>
        <w:t xml:space="preserve"> response </w:t>
      </w:r>
      <w:r w:rsidR="00D67E9C" w:rsidRPr="00903F9D">
        <w:rPr>
          <w:color w:val="auto"/>
        </w:rPr>
        <w:t xml:space="preserve">indicated </w:t>
      </w:r>
      <w:r w:rsidR="00221774" w:rsidRPr="00903F9D">
        <w:rPr>
          <w:color w:val="auto"/>
        </w:rPr>
        <w:t xml:space="preserve">that the </w:t>
      </w:r>
      <w:proofErr w:type="spellStart"/>
      <w:r w:rsidR="00221774" w:rsidRPr="00903F9D">
        <w:rPr>
          <w:color w:val="auto"/>
        </w:rPr>
        <w:t>EchoStation</w:t>
      </w:r>
      <w:proofErr w:type="spellEnd"/>
      <w:r w:rsidR="00221774" w:rsidRPr="00903F9D">
        <w:rPr>
          <w:color w:val="auto"/>
        </w:rPr>
        <w:t xml:space="preserve"> was chosen as this model, while not fully portable, is the most appropriate clinical device when comparing to a fixed DXA unit.</w:t>
      </w:r>
      <w:r w:rsidR="00CE61E9" w:rsidRPr="00903F9D">
        <w:rPr>
          <w:color w:val="auto"/>
        </w:rPr>
        <w:t xml:space="preserve"> It further indicated that the base model (the </w:t>
      </w:r>
      <w:proofErr w:type="spellStart"/>
      <w:r w:rsidR="00CE61E9" w:rsidRPr="00903F9D">
        <w:rPr>
          <w:color w:val="auto"/>
        </w:rPr>
        <w:t>EchoS</w:t>
      </w:r>
      <w:proofErr w:type="spellEnd"/>
      <w:r w:rsidR="00CE61E9" w:rsidRPr="00903F9D">
        <w:rPr>
          <w:color w:val="auto"/>
        </w:rPr>
        <w:t xml:space="preserve">) is approximately $8,000 cheaper than the </w:t>
      </w:r>
      <w:proofErr w:type="spellStart"/>
      <w:r w:rsidR="00CE61E9" w:rsidRPr="00903F9D">
        <w:rPr>
          <w:color w:val="auto"/>
        </w:rPr>
        <w:t>EchoStation</w:t>
      </w:r>
      <w:proofErr w:type="spellEnd"/>
      <w:r w:rsidR="00CE61E9" w:rsidRPr="00903F9D">
        <w:rPr>
          <w:color w:val="auto"/>
        </w:rPr>
        <w:t>, is fully portable to measure BMD, but is slower and unable to take on additional functionality due to computer/laptop limitations.</w:t>
      </w:r>
    </w:p>
    <w:p w14:paraId="272AEFD9" w14:textId="2109BEAA" w:rsidR="00772829" w:rsidRPr="00903F9D" w:rsidRDefault="00C36633" w:rsidP="002A18BE">
      <w:pPr>
        <w:pStyle w:val="Heading2"/>
        <w:numPr>
          <w:ilvl w:val="0"/>
          <w:numId w:val="0"/>
        </w:numPr>
      </w:pPr>
      <w:bookmarkStart w:id="45" w:name="_Toc69491426"/>
      <w:r w:rsidRPr="00903F9D">
        <w:t>1</w:t>
      </w:r>
      <w:r w:rsidR="00EB62FF" w:rsidRPr="00903F9D">
        <w:t>4</w:t>
      </w:r>
      <w:r w:rsidRPr="00903F9D">
        <w:t>.</w:t>
      </w:r>
      <w:r w:rsidRPr="00903F9D">
        <w:tab/>
      </w:r>
      <w:r w:rsidR="00772829" w:rsidRPr="00903F9D">
        <w:t>Financial/budgetary impacts</w:t>
      </w:r>
      <w:bookmarkEnd w:id="45"/>
    </w:p>
    <w:p w14:paraId="5F30CD8A" w14:textId="014AC98F" w:rsidR="00C10D16" w:rsidRPr="007906B0" w:rsidRDefault="006F12D7" w:rsidP="007906B0">
      <w:r w:rsidRPr="00903F9D">
        <w:t xml:space="preserve">The ADAR followed a </w:t>
      </w:r>
      <w:r w:rsidR="002A161C" w:rsidRPr="00903F9D">
        <w:t xml:space="preserve">market share approach </w:t>
      </w:r>
      <w:r w:rsidR="00DC49AB" w:rsidRPr="00903F9D">
        <w:t xml:space="preserve">to estimate the financial implications of the proposed MBS listing of REMS </w:t>
      </w:r>
      <w:r w:rsidR="002A161C" w:rsidRPr="00903F9D">
        <w:t xml:space="preserve">based on </w:t>
      </w:r>
      <w:r w:rsidR="00C45681" w:rsidRPr="00903F9D">
        <w:t xml:space="preserve">the </w:t>
      </w:r>
      <w:r w:rsidR="002A161C" w:rsidRPr="00903F9D">
        <w:t xml:space="preserve">current </w:t>
      </w:r>
      <w:r w:rsidR="00C45681" w:rsidRPr="00903F9D">
        <w:t xml:space="preserve">MBS </w:t>
      </w:r>
      <w:r w:rsidR="005F207A" w:rsidRPr="00903F9D">
        <w:t xml:space="preserve">utilisation </w:t>
      </w:r>
      <w:r w:rsidR="002A161C" w:rsidRPr="00903F9D">
        <w:t>of DXA</w:t>
      </w:r>
      <w:r w:rsidR="00C45681" w:rsidRPr="00903F9D">
        <w:t>,</w:t>
      </w:r>
      <w:r w:rsidR="0002091D" w:rsidRPr="00903F9D">
        <w:t xml:space="preserve"> assuming replacement of some DXA scans by REMS across the analogous MBS items</w:t>
      </w:r>
      <w:r w:rsidR="002A161C" w:rsidRPr="00903F9D">
        <w:t xml:space="preserve">. </w:t>
      </w:r>
      <w:r w:rsidR="00C45681" w:rsidRPr="00903F9D">
        <w:t xml:space="preserve">The financial implications to the MBS resulting from the proposed listing of REMS are summarised in </w:t>
      </w:r>
      <w:r w:rsidR="00C45681" w:rsidRPr="00903F9D">
        <w:fldChar w:fldCharType="begin"/>
      </w:r>
      <w:r w:rsidR="00C45681" w:rsidRPr="00903F9D">
        <w:instrText xml:space="preserve"> REF _Ref69726382 \h </w:instrText>
      </w:r>
      <w:r w:rsidR="00F97C0B" w:rsidRPr="00903F9D">
        <w:instrText xml:space="preserve"> \* MERGEFORMAT </w:instrText>
      </w:r>
      <w:r w:rsidR="00C45681" w:rsidRPr="00903F9D">
        <w:fldChar w:fldCharType="separate"/>
      </w:r>
      <w:r w:rsidR="00DF3307" w:rsidRPr="00903F9D">
        <w:t>Table 13</w:t>
      </w:r>
      <w:r w:rsidR="00C45681" w:rsidRPr="00903F9D">
        <w:fldChar w:fldCharType="end"/>
      </w:r>
      <w:r w:rsidR="00C45681" w:rsidRPr="00903F9D">
        <w:t xml:space="preserve">. </w:t>
      </w:r>
      <w:r w:rsidR="00C45681" w:rsidRPr="00903F9D">
        <w:rPr>
          <w:rStyle w:val="InstructionaltextChar"/>
          <w:color w:val="auto"/>
        </w:rPr>
        <w:t>The financial implications are presented over 6 years.</w:t>
      </w:r>
      <w:bookmarkStart w:id="46" w:name="_Ref69726382"/>
      <w:r w:rsidR="00C10D16">
        <w:br w:type="page"/>
      </w:r>
    </w:p>
    <w:p w14:paraId="43FBABD4" w14:textId="47C156EE" w:rsidR="00C45681" w:rsidRPr="00903F9D" w:rsidRDefault="00C45681" w:rsidP="00BE1323">
      <w:pPr>
        <w:pStyle w:val="Caption"/>
        <w:keepLines/>
      </w:pPr>
      <w:r w:rsidRPr="00903F9D">
        <w:lastRenderedPageBreak/>
        <w:t>Table </w:t>
      </w:r>
      <w:r w:rsidR="008D0E73">
        <w:fldChar w:fldCharType="begin"/>
      </w:r>
      <w:r w:rsidR="008D0E73">
        <w:instrText xml:space="preserve"> SEQ Table \* ARABIC </w:instrText>
      </w:r>
      <w:r w:rsidR="008D0E73">
        <w:fldChar w:fldCharType="separate"/>
      </w:r>
      <w:r w:rsidR="00DF3307" w:rsidRPr="00903F9D">
        <w:rPr>
          <w:noProof/>
        </w:rPr>
        <w:t>13</w:t>
      </w:r>
      <w:r w:rsidR="008D0E73">
        <w:rPr>
          <w:noProof/>
        </w:rPr>
        <w:fldChar w:fldCharType="end"/>
      </w:r>
      <w:bookmarkEnd w:id="46"/>
      <w:r w:rsidR="00C10D16">
        <w:rPr>
          <w:noProof/>
        </w:rPr>
        <w:tab/>
      </w:r>
      <w:r w:rsidRPr="00903F9D">
        <w:t>Net financial implications of REMS to the MBS</w:t>
      </w:r>
    </w:p>
    <w:tbl>
      <w:tblPr>
        <w:tblStyle w:val="TableGrid1"/>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2117"/>
        <w:gridCol w:w="1190"/>
        <w:gridCol w:w="1129"/>
        <w:gridCol w:w="1142"/>
        <w:gridCol w:w="1170"/>
        <w:gridCol w:w="1129"/>
        <w:gridCol w:w="1129"/>
      </w:tblGrid>
      <w:tr w:rsidR="00C45681" w:rsidRPr="00903F9D" w14:paraId="684F155E" w14:textId="77777777" w:rsidTr="000D1AF7">
        <w:trPr>
          <w:cnfStyle w:val="100000000000" w:firstRow="1" w:lastRow="0" w:firstColumn="0" w:lastColumn="0" w:oddVBand="0" w:evenVBand="0" w:oddHBand="0" w:evenHBand="0" w:firstRowFirstColumn="0" w:firstRowLastColumn="0" w:lastRowFirstColumn="0" w:lastRowLastColumn="0"/>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BB610" w14:textId="723F2A3B" w:rsidR="00C45681" w:rsidRPr="00903F9D" w:rsidRDefault="00C45681" w:rsidP="00BE1323">
            <w:pPr>
              <w:pStyle w:val="TableText"/>
              <w:keepNext/>
              <w:keepLines/>
              <w:rPr>
                <w:b/>
                <w:bCs/>
              </w:rPr>
            </w:pPr>
            <w:r w:rsidRPr="00903F9D">
              <w:rPr>
                <w:b/>
                <w:bCs/>
              </w:rPr>
              <w:t>Parameter</w:t>
            </w:r>
          </w:p>
        </w:tc>
        <w:tc>
          <w:tcPr>
            <w:tcW w:w="11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8459AE" w14:textId="77777777" w:rsidR="00C45681" w:rsidRPr="00903F9D" w:rsidRDefault="00C45681" w:rsidP="00BE1323">
            <w:pPr>
              <w:pStyle w:val="TableText"/>
              <w:keepNext/>
              <w:keepLines/>
              <w:jc w:val="center"/>
              <w:rPr>
                <w:b/>
                <w:bCs/>
              </w:rPr>
            </w:pPr>
            <w:r w:rsidRPr="00903F9D">
              <w:rPr>
                <w:b/>
                <w:bCs/>
              </w:rPr>
              <w:t>Year 1</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714831" w14:textId="77777777" w:rsidR="00C45681" w:rsidRPr="00903F9D" w:rsidRDefault="00C45681" w:rsidP="00BE1323">
            <w:pPr>
              <w:pStyle w:val="TableText"/>
              <w:keepNext/>
              <w:keepLines/>
              <w:jc w:val="center"/>
              <w:rPr>
                <w:b/>
                <w:bCs/>
              </w:rPr>
            </w:pPr>
            <w:r w:rsidRPr="00903F9D">
              <w:rPr>
                <w:b/>
                <w:bCs/>
              </w:rPr>
              <w:t>Year 2</w:t>
            </w:r>
          </w:p>
        </w:tc>
        <w:tc>
          <w:tcPr>
            <w:tcW w:w="11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EB73CA" w14:textId="77777777" w:rsidR="00C45681" w:rsidRPr="00903F9D" w:rsidRDefault="00C45681" w:rsidP="00BE1323">
            <w:pPr>
              <w:pStyle w:val="TableText"/>
              <w:keepNext/>
              <w:keepLines/>
              <w:jc w:val="center"/>
              <w:rPr>
                <w:b/>
                <w:bCs/>
              </w:rPr>
            </w:pPr>
            <w:r w:rsidRPr="00903F9D">
              <w:rPr>
                <w:b/>
                <w:bCs/>
              </w:rPr>
              <w:t>Year 3</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C5ED1D" w14:textId="77777777" w:rsidR="00C45681" w:rsidRPr="00903F9D" w:rsidRDefault="00C45681" w:rsidP="00BE1323">
            <w:pPr>
              <w:pStyle w:val="TableText"/>
              <w:keepNext/>
              <w:keepLines/>
              <w:jc w:val="center"/>
              <w:rPr>
                <w:b/>
                <w:bCs/>
              </w:rPr>
            </w:pPr>
            <w:r w:rsidRPr="00903F9D">
              <w:rPr>
                <w:b/>
                <w:bCs/>
              </w:rPr>
              <w:t>Year 4</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265E7B" w14:textId="77777777" w:rsidR="00C45681" w:rsidRPr="00903F9D" w:rsidRDefault="00C45681" w:rsidP="00BE1323">
            <w:pPr>
              <w:pStyle w:val="TableText"/>
              <w:keepNext/>
              <w:keepLines/>
              <w:jc w:val="center"/>
              <w:rPr>
                <w:b/>
                <w:bCs/>
              </w:rPr>
            </w:pPr>
            <w:r w:rsidRPr="00903F9D">
              <w:rPr>
                <w:b/>
                <w:bCs/>
              </w:rPr>
              <w:t>Year 5</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037291" w14:textId="77777777" w:rsidR="00C45681" w:rsidRPr="00903F9D" w:rsidRDefault="00C45681" w:rsidP="00BE1323">
            <w:pPr>
              <w:pStyle w:val="TableText"/>
              <w:keepNext/>
              <w:keepLines/>
              <w:jc w:val="center"/>
              <w:rPr>
                <w:b/>
                <w:bCs/>
              </w:rPr>
            </w:pPr>
            <w:r w:rsidRPr="00903F9D">
              <w:rPr>
                <w:b/>
                <w:bCs/>
              </w:rPr>
              <w:t>Year 6</w:t>
            </w:r>
          </w:p>
        </w:tc>
      </w:tr>
      <w:tr w:rsidR="00C45681" w:rsidRPr="00903F9D" w14:paraId="6821FF2A" w14:textId="77777777" w:rsidTr="000D1AF7">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F3982E" w14:textId="77777777" w:rsidR="00C45681" w:rsidRPr="00903F9D" w:rsidRDefault="00ED2593" w:rsidP="00BE1323">
            <w:pPr>
              <w:pStyle w:val="TableText"/>
              <w:keepNext/>
              <w:keepLines/>
              <w:rPr>
                <w:b/>
                <w:bCs/>
                <w:iCs/>
              </w:rPr>
            </w:pPr>
            <w:r w:rsidRPr="00903F9D">
              <w:rPr>
                <w:b/>
                <w:bCs/>
                <w:iCs/>
              </w:rPr>
              <w:t>Total e</w:t>
            </w:r>
            <w:r w:rsidR="00AD513C" w:rsidRPr="00903F9D">
              <w:rPr>
                <w:b/>
                <w:bCs/>
                <w:iCs/>
              </w:rPr>
              <w:t xml:space="preserve">stimated use of </w:t>
            </w:r>
            <w:r w:rsidR="00E542D2" w:rsidRPr="00903F9D">
              <w:rPr>
                <w:b/>
                <w:bCs/>
                <w:iCs/>
              </w:rPr>
              <w:t>DXA or REMS bone densitometry services</w:t>
            </w:r>
          </w:p>
        </w:tc>
      </w:tr>
      <w:tr w:rsidR="00AD513C" w:rsidRPr="00903F9D" w14:paraId="4F2E05DA" w14:textId="77777777" w:rsidTr="000D1AF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6E205" w14:textId="77777777" w:rsidR="00AD513C" w:rsidRPr="00903F9D" w:rsidRDefault="00AD513C" w:rsidP="00BE1323">
            <w:pPr>
              <w:pStyle w:val="TableText"/>
              <w:keepNext/>
              <w:keepLines/>
              <w:rPr>
                <w:iCs/>
              </w:rPr>
            </w:pPr>
            <w:r w:rsidRPr="00903F9D">
              <w:rPr>
                <w:iCs/>
              </w:rPr>
              <w:t>Number of services</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9CC01" w14:textId="77777777" w:rsidR="00AD513C" w:rsidRPr="00903F9D" w:rsidRDefault="00E542D2" w:rsidP="00BE1323">
            <w:pPr>
              <w:pStyle w:val="TableText"/>
              <w:keepNext/>
              <w:keepLines/>
              <w:jc w:val="center"/>
              <w:rPr>
                <w:iCs/>
              </w:rPr>
            </w:pPr>
            <w:r w:rsidRPr="00903F9D">
              <w:rPr>
                <w:iCs/>
              </w:rPr>
              <w:t>605,080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43BAC" w14:textId="77777777" w:rsidR="00AD513C" w:rsidRPr="00903F9D" w:rsidRDefault="00E542D2" w:rsidP="00BE1323">
            <w:pPr>
              <w:pStyle w:val="TableText"/>
              <w:keepNext/>
              <w:keepLines/>
              <w:jc w:val="center"/>
              <w:rPr>
                <w:iCs/>
              </w:rPr>
            </w:pPr>
            <w:r w:rsidRPr="00903F9D">
              <w:rPr>
                <w:iCs/>
              </w:rPr>
              <w:t>605,080</w:t>
            </w:r>
          </w:p>
        </w:tc>
        <w:tc>
          <w:tcPr>
            <w:tcW w:w="114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A21240" w14:textId="77777777" w:rsidR="00AD513C" w:rsidRPr="00903F9D" w:rsidRDefault="00E542D2" w:rsidP="00BE1323">
            <w:pPr>
              <w:pStyle w:val="TableText"/>
              <w:keepNext/>
              <w:keepLines/>
              <w:jc w:val="center"/>
              <w:rPr>
                <w:iCs/>
              </w:rPr>
            </w:pPr>
            <w:r w:rsidRPr="00903F9D">
              <w:rPr>
                <w:iCs/>
              </w:rPr>
              <w:t>605,080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A2CFC8" w14:textId="77777777" w:rsidR="00AD513C" w:rsidRPr="00903F9D" w:rsidRDefault="00E542D2" w:rsidP="00BE1323">
            <w:pPr>
              <w:pStyle w:val="TableText"/>
              <w:keepNext/>
              <w:keepLines/>
              <w:jc w:val="center"/>
              <w:rPr>
                <w:iCs/>
              </w:rPr>
            </w:pPr>
            <w:r w:rsidRPr="00903F9D">
              <w:rPr>
                <w:iCs/>
              </w:rPr>
              <w:t>605,080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9FDC7" w14:textId="77777777" w:rsidR="00AD513C" w:rsidRPr="00903F9D" w:rsidRDefault="00E542D2" w:rsidP="00BE1323">
            <w:pPr>
              <w:pStyle w:val="TableText"/>
              <w:keepNext/>
              <w:keepLines/>
              <w:jc w:val="center"/>
              <w:rPr>
                <w:iCs/>
              </w:rPr>
            </w:pPr>
            <w:r w:rsidRPr="00903F9D">
              <w:rPr>
                <w:iCs/>
              </w:rPr>
              <w:t>605,080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99820" w14:textId="77777777" w:rsidR="00AD513C" w:rsidRPr="00903F9D" w:rsidRDefault="00E542D2" w:rsidP="00BE1323">
            <w:pPr>
              <w:pStyle w:val="TableText"/>
              <w:keepNext/>
              <w:keepLines/>
              <w:jc w:val="center"/>
              <w:rPr>
                <w:iCs/>
              </w:rPr>
            </w:pPr>
            <w:r w:rsidRPr="00903F9D">
              <w:rPr>
                <w:iCs/>
              </w:rPr>
              <w:t>605,080</w:t>
            </w:r>
          </w:p>
        </w:tc>
      </w:tr>
      <w:tr w:rsidR="00AD513C" w:rsidRPr="00903F9D" w14:paraId="1A67FD1E" w14:textId="77777777" w:rsidTr="000D1AF7">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34A59" w14:textId="77777777" w:rsidR="00AD513C" w:rsidRPr="00903F9D" w:rsidRDefault="00AD513C" w:rsidP="00BE1323">
            <w:pPr>
              <w:pStyle w:val="TableText"/>
              <w:keepNext/>
              <w:keepLines/>
            </w:pPr>
            <w:r w:rsidRPr="00903F9D">
              <w:rPr>
                <w:b/>
                <w:bCs/>
              </w:rPr>
              <w:t>Estimated use and cost of the proposed health technology (REMS)</w:t>
            </w:r>
            <w:r w:rsidR="00E35365" w:rsidRPr="00903F9D">
              <w:rPr>
                <w:b/>
                <w:bCs/>
              </w:rPr>
              <w:t xml:space="preserve"> – substitution of DXA only</w:t>
            </w:r>
          </w:p>
        </w:tc>
      </w:tr>
      <w:tr w:rsidR="00AD513C" w:rsidRPr="00903F9D" w14:paraId="402714E8" w14:textId="77777777" w:rsidTr="000D1AF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663800" w14:textId="7C441FB4" w:rsidR="00AD513C" w:rsidRPr="00903F9D" w:rsidRDefault="00AD513C" w:rsidP="00BE1323">
            <w:pPr>
              <w:pStyle w:val="TableText"/>
              <w:keepNext/>
              <w:keepLines/>
              <w:rPr>
                <w:iCs/>
              </w:rPr>
            </w:pPr>
            <w:r w:rsidRPr="00903F9D">
              <w:rPr>
                <w:iCs/>
              </w:rPr>
              <w:t>Estimated up</w:t>
            </w:r>
            <w:r w:rsidR="00E542D2" w:rsidRPr="00903F9D">
              <w:rPr>
                <w:iCs/>
              </w:rPr>
              <w:t>t</w:t>
            </w:r>
            <w:r w:rsidRPr="00903F9D">
              <w:rPr>
                <w:iCs/>
              </w:rPr>
              <w:t>a</w:t>
            </w:r>
            <w:r w:rsidR="00E542D2" w:rsidRPr="00903F9D">
              <w:rPr>
                <w:iCs/>
              </w:rPr>
              <w:t>k</w:t>
            </w:r>
            <w:r w:rsidRPr="00903F9D">
              <w:rPr>
                <w:iCs/>
              </w:rPr>
              <w:t>e of REMS</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7F1225" w14:textId="77777777" w:rsidR="00AD513C" w:rsidRPr="00903F9D" w:rsidRDefault="00AD513C" w:rsidP="00BE1323">
            <w:pPr>
              <w:pStyle w:val="TableText"/>
              <w:keepNext/>
              <w:keepLines/>
              <w:jc w:val="center"/>
              <w:rPr>
                <w:iCs/>
              </w:rPr>
            </w:pPr>
            <w:r w:rsidRPr="00903F9D">
              <w:rPr>
                <w:iCs/>
              </w:rPr>
              <w:t>5%</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7ED7C" w14:textId="77777777" w:rsidR="00AD513C" w:rsidRPr="00903F9D" w:rsidRDefault="00AD513C" w:rsidP="00BE1323">
            <w:pPr>
              <w:pStyle w:val="TableText"/>
              <w:keepNext/>
              <w:keepLines/>
              <w:jc w:val="center"/>
              <w:rPr>
                <w:iCs/>
              </w:rPr>
            </w:pPr>
            <w:r w:rsidRPr="00903F9D">
              <w:rPr>
                <w:iCs/>
              </w:rPr>
              <w:t>7%</w:t>
            </w:r>
          </w:p>
        </w:tc>
        <w:tc>
          <w:tcPr>
            <w:tcW w:w="114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8E71EF" w14:textId="77777777" w:rsidR="00AD513C" w:rsidRPr="00903F9D" w:rsidRDefault="00AD513C" w:rsidP="00BE1323">
            <w:pPr>
              <w:pStyle w:val="TableText"/>
              <w:keepNext/>
              <w:keepLines/>
              <w:jc w:val="center"/>
              <w:rPr>
                <w:iCs/>
              </w:rPr>
            </w:pPr>
            <w:r w:rsidRPr="00903F9D">
              <w:rPr>
                <w:iCs/>
              </w:rPr>
              <w:t>10%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5A707" w14:textId="77777777" w:rsidR="00AD513C" w:rsidRPr="00903F9D" w:rsidRDefault="00AD513C" w:rsidP="00BE1323">
            <w:pPr>
              <w:pStyle w:val="TableText"/>
              <w:keepNext/>
              <w:keepLines/>
              <w:jc w:val="center"/>
              <w:rPr>
                <w:iCs/>
              </w:rPr>
            </w:pPr>
            <w:r w:rsidRPr="00903F9D">
              <w:rPr>
                <w:iCs/>
              </w:rPr>
              <w:t>12%</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5A324" w14:textId="77777777" w:rsidR="00AD513C" w:rsidRPr="00903F9D" w:rsidRDefault="00AD513C" w:rsidP="00BE1323">
            <w:pPr>
              <w:pStyle w:val="TableText"/>
              <w:keepNext/>
              <w:keepLines/>
              <w:jc w:val="center"/>
              <w:rPr>
                <w:iCs/>
              </w:rPr>
            </w:pPr>
            <w:r w:rsidRPr="00903F9D">
              <w:rPr>
                <w:iCs/>
              </w:rPr>
              <w:t>13%</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06F9F" w14:textId="77777777" w:rsidR="00AD513C" w:rsidRPr="00903F9D" w:rsidRDefault="00AD513C" w:rsidP="00BE1323">
            <w:pPr>
              <w:pStyle w:val="TableText"/>
              <w:keepNext/>
              <w:keepLines/>
              <w:jc w:val="center"/>
              <w:rPr>
                <w:iCs/>
              </w:rPr>
            </w:pPr>
            <w:r w:rsidRPr="00903F9D">
              <w:rPr>
                <w:iCs/>
              </w:rPr>
              <w:t>15%</w:t>
            </w:r>
          </w:p>
        </w:tc>
      </w:tr>
      <w:tr w:rsidR="00C45681" w:rsidRPr="00903F9D" w14:paraId="54F55890" w14:textId="77777777" w:rsidTr="000D1AF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59E292" w14:textId="5C812969" w:rsidR="00C45681" w:rsidRPr="00903F9D" w:rsidRDefault="00C45681" w:rsidP="00BE1323">
            <w:pPr>
              <w:pStyle w:val="TableText"/>
              <w:keepNext/>
              <w:keepLines/>
            </w:pPr>
            <w:r w:rsidRPr="00903F9D">
              <w:t>Number of services of REMS</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55D029" w14:textId="77777777" w:rsidR="00C45681" w:rsidRPr="00903F9D" w:rsidRDefault="00C45681" w:rsidP="00BE1323">
            <w:pPr>
              <w:pStyle w:val="TableText"/>
              <w:keepNext/>
              <w:keepLines/>
              <w:jc w:val="center"/>
            </w:pPr>
            <w:r w:rsidRPr="00903F9D">
              <w:t>30,254</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41F758F" w14:textId="77777777" w:rsidR="00C45681" w:rsidRPr="00903F9D" w:rsidRDefault="00C45681" w:rsidP="00BE1323">
            <w:pPr>
              <w:pStyle w:val="TableText"/>
              <w:keepNext/>
              <w:keepLines/>
              <w:jc w:val="center"/>
            </w:pPr>
            <w:r w:rsidRPr="00903F9D">
              <w:t>42,356</w:t>
            </w:r>
          </w:p>
        </w:tc>
        <w:tc>
          <w:tcPr>
            <w:tcW w:w="1142"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DBF6D" w14:textId="77777777" w:rsidR="00C45681" w:rsidRPr="00903F9D" w:rsidRDefault="00C45681" w:rsidP="00BE1323">
            <w:pPr>
              <w:pStyle w:val="TableText"/>
              <w:keepNext/>
              <w:keepLines/>
              <w:jc w:val="center"/>
            </w:pPr>
            <w:r w:rsidRPr="00903F9D">
              <w:t>60,508</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D56F39" w14:textId="77777777" w:rsidR="00C45681" w:rsidRPr="00903F9D" w:rsidRDefault="00C45681" w:rsidP="00BE1323">
            <w:pPr>
              <w:pStyle w:val="TableText"/>
              <w:keepNext/>
              <w:keepLines/>
              <w:jc w:val="center"/>
            </w:pPr>
            <w:r w:rsidRPr="00903F9D">
              <w:t>72,610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8A124" w14:textId="77777777" w:rsidR="00C45681" w:rsidRPr="00903F9D" w:rsidRDefault="00C45681" w:rsidP="00BE1323">
            <w:pPr>
              <w:pStyle w:val="TableText"/>
              <w:keepNext/>
              <w:keepLines/>
              <w:jc w:val="center"/>
            </w:pPr>
            <w:r w:rsidRPr="00903F9D">
              <w:t>78,660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ACE34" w14:textId="77777777" w:rsidR="00C45681" w:rsidRPr="00903F9D" w:rsidRDefault="00C45681" w:rsidP="00BE1323">
            <w:pPr>
              <w:pStyle w:val="TableText"/>
              <w:keepNext/>
              <w:keepLines/>
              <w:jc w:val="center"/>
            </w:pPr>
            <w:r w:rsidRPr="00903F9D">
              <w:t>90,762</w:t>
            </w:r>
          </w:p>
        </w:tc>
      </w:tr>
      <w:tr w:rsidR="00C45681" w:rsidRPr="00903F9D" w14:paraId="66846838" w14:textId="77777777" w:rsidTr="000D1AF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36494" w14:textId="621E8612" w:rsidR="00C45681" w:rsidRPr="00903F9D" w:rsidRDefault="00C45681" w:rsidP="00BE1323">
            <w:pPr>
              <w:pStyle w:val="TableText"/>
              <w:keepNext/>
              <w:keepLines/>
            </w:pPr>
            <w:r w:rsidRPr="00903F9D">
              <w:t>Cost to the MBS</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465A8F" w14:textId="77777777" w:rsidR="00C45681" w:rsidRPr="00903F9D" w:rsidRDefault="00C45681" w:rsidP="00BE1323">
            <w:pPr>
              <w:pStyle w:val="TableText"/>
              <w:keepNext/>
              <w:keepLines/>
              <w:jc w:val="center"/>
            </w:pPr>
            <w:r w:rsidRPr="00903F9D">
              <w:t>$2,741,012</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0CDCCA" w14:textId="77777777" w:rsidR="00C45681" w:rsidRPr="00903F9D" w:rsidRDefault="00C45681" w:rsidP="00BE1323">
            <w:pPr>
              <w:pStyle w:val="TableText"/>
              <w:keepNext/>
              <w:keepLines/>
              <w:jc w:val="center"/>
            </w:pPr>
            <w:r w:rsidRPr="00903F9D">
              <w:t>$3,837,417</w:t>
            </w:r>
          </w:p>
        </w:tc>
        <w:tc>
          <w:tcPr>
            <w:tcW w:w="1142" w:type="dxa"/>
            <w:tcBorders>
              <w:top w:val="nil"/>
              <w:left w:val="nil"/>
              <w:bottom w:val="single" w:sz="8" w:space="0" w:color="auto"/>
              <w:right w:val="single" w:sz="8" w:space="0" w:color="auto"/>
            </w:tcBorders>
            <w:tcMar>
              <w:top w:w="0" w:type="dxa"/>
              <w:left w:w="108" w:type="dxa"/>
              <w:bottom w:w="0" w:type="dxa"/>
              <w:right w:w="108" w:type="dxa"/>
            </w:tcMar>
            <w:vAlign w:val="center"/>
          </w:tcPr>
          <w:p w14:paraId="2F7F1E1B" w14:textId="77777777" w:rsidR="00C45681" w:rsidRPr="00903F9D" w:rsidRDefault="00C45681" w:rsidP="00BE1323">
            <w:pPr>
              <w:pStyle w:val="TableText"/>
              <w:keepNext/>
              <w:keepLines/>
              <w:jc w:val="center"/>
            </w:pPr>
            <w:r w:rsidRPr="00903F9D">
              <w:t>$5,482,025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B2BACA" w14:textId="77777777" w:rsidR="00C45681" w:rsidRPr="00903F9D" w:rsidRDefault="00C45681" w:rsidP="00BE1323">
            <w:pPr>
              <w:pStyle w:val="TableText"/>
              <w:keepNext/>
              <w:keepLines/>
              <w:jc w:val="center"/>
            </w:pPr>
            <w:r w:rsidRPr="00903F9D">
              <w:t>$6,578,430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4AE12" w14:textId="77777777" w:rsidR="00C45681" w:rsidRPr="00903F9D" w:rsidRDefault="00C45681" w:rsidP="00BE1323">
            <w:pPr>
              <w:pStyle w:val="TableText"/>
              <w:keepNext/>
              <w:keepLines/>
              <w:jc w:val="center"/>
            </w:pPr>
            <w:r w:rsidRPr="00903F9D">
              <w:t>$7,126,632</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86EED0" w14:textId="77777777" w:rsidR="00C45681" w:rsidRPr="00903F9D" w:rsidRDefault="00C45681" w:rsidP="00BE1323">
            <w:pPr>
              <w:pStyle w:val="TableText"/>
              <w:keepNext/>
              <w:keepLines/>
              <w:jc w:val="center"/>
            </w:pPr>
            <w:r w:rsidRPr="00903F9D">
              <w:t>$8,223,037</w:t>
            </w:r>
          </w:p>
        </w:tc>
      </w:tr>
      <w:tr w:rsidR="00C45681" w:rsidRPr="00903F9D" w14:paraId="716397BC" w14:textId="77777777" w:rsidTr="000D1AF7">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9F1134" w14:textId="77777777" w:rsidR="00C45681" w:rsidRPr="00903F9D" w:rsidRDefault="00C45681" w:rsidP="00BE1323">
            <w:pPr>
              <w:pStyle w:val="TableText"/>
              <w:keepNext/>
              <w:keepLines/>
              <w:rPr>
                <w:b/>
                <w:bCs/>
              </w:rPr>
            </w:pPr>
            <w:r w:rsidRPr="00903F9D">
              <w:rPr>
                <w:b/>
                <w:bCs/>
              </w:rPr>
              <w:t>Change in use and cost of other health technologies (DXA)</w:t>
            </w:r>
          </w:p>
        </w:tc>
      </w:tr>
      <w:tr w:rsidR="00C45681" w:rsidRPr="00903F9D" w14:paraId="6767434B" w14:textId="77777777" w:rsidTr="000D1AF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C0E8B5" w14:textId="77777777" w:rsidR="00C45681" w:rsidRPr="00903F9D" w:rsidRDefault="00C45681" w:rsidP="00BE1323">
            <w:pPr>
              <w:pStyle w:val="TableText"/>
              <w:keepNext/>
              <w:keepLines/>
            </w:pPr>
            <w:r w:rsidRPr="00903F9D">
              <w:t>Change in use of DXA</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C2BDD" w14:textId="77777777" w:rsidR="00C45681" w:rsidRPr="00903F9D" w:rsidRDefault="00C45681" w:rsidP="00BE1323">
            <w:pPr>
              <w:pStyle w:val="TableText"/>
              <w:keepNext/>
              <w:keepLines/>
              <w:jc w:val="center"/>
            </w:pPr>
            <w:r w:rsidRPr="00903F9D">
              <w:t>-30,254</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B9B65" w14:textId="77777777" w:rsidR="00C45681" w:rsidRPr="00903F9D" w:rsidRDefault="00C45681" w:rsidP="00BE1323">
            <w:pPr>
              <w:pStyle w:val="TableText"/>
              <w:keepNext/>
              <w:keepLines/>
              <w:jc w:val="center"/>
            </w:pPr>
            <w:r w:rsidRPr="00903F9D">
              <w:t>-42,356</w:t>
            </w:r>
          </w:p>
        </w:tc>
        <w:tc>
          <w:tcPr>
            <w:tcW w:w="1142"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550ED" w14:textId="77777777" w:rsidR="00C45681" w:rsidRPr="00903F9D" w:rsidRDefault="00C45681" w:rsidP="00BE1323">
            <w:pPr>
              <w:pStyle w:val="TableText"/>
              <w:keepNext/>
              <w:keepLines/>
              <w:jc w:val="center"/>
            </w:pPr>
            <w:r w:rsidRPr="00903F9D">
              <w:t>-60,508</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E68C4" w14:textId="77777777" w:rsidR="00C45681" w:rsidRPr="00903F9D" w:rsidRDefault="00C45681" w:rsidP="00BE1323">
            <w:pPr>
              <w:pStyle w:val="TableText"/>
              <w:keepNext/>
              <w:keepLines/>
              <w:jc w:val="center"/>
            </w:pPr>
            <w:r w:rsidRPr="00903F9D">
              <w:t>-72,610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60AC9" w14:textId="77777777" w:rsidR="00C45681" w:rsidRPr="00903F9D" w:rsidRDefault="00C45681" w:rsidP="00BE1323">
            <w:pPr>
              <w:pStyle w:val="TableText"/>
              <w:keepNext/>
              <w:keepLines/>
              <w:jc w:val="center"/>
            </w:pPr>
            <w:r w:rsidRPr="00903F9D">
              <w:t>-78,660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7883DB" w14:textId="77777777" w:rsidR="00C45681" w:rsidRPr="00903F9D" w:rsidRDefault="00C45681" w:rsidP="00BE1323">
            <w:pPr>
              <w:pStyle w:val="TableText"/>
              <w:keepNext/>
              <w:keepLines/>
              <w:jc w:val="center"/>
            </w:pPr>
            <w:r w:rsidRPr="00903F9D">
              <w:t>-90,762</w:t>
            </w:r>
          </w:p>
        </w:tc>
      </w:tr>
      <w:tr w:rsidR="00C45681" w:rsidRPr="00903F9D" w14:paraId="78D9766B" w14:textId="77777777" w:rsidTr="000D1AF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8D932C" w14:textId="77777777" w:rsidR="00C45681" w:rsidRPr="00903F9D" w:rsidRDefault="00C45681" w:rsidP="00BE1323">
            <w:pPr>
              <w:pStyle w:val="TableText"/>
              <w:keepNext/>
              <w:keepLines/>
            </w:pPr>
            <w:r w:rsidRPr="00903F9D">
              <w:t>Net change in costs to the MBS</w:t>
            </w:r>
          </w:p>
        </w:tc>
        <w:tc>
          <w:tcPr>
            <w:tcW w:w="11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53F3A5" w14:textId="77777777" w:rsidR="00C45681" w:rsidRPr="00903F9D" w:rsidRDefault="00C45681" w:rsidP="00BE1323">
            <w:pPr>
              <w:pStyle w:val="TableText"/>
              <w:keepNext/>
              <w:keepLines/>
              <w:jc w:val="center"/>
            </w:pPr>
            <w:r w:rsidRPr="00903F9D">
              <w:t>-$2,741,012</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6FA1A" w14:textId="77777777" w:rsidR="00C45681" w:rsidRPr="00903F9D" w:rsidRDefault="00C45681" w:rsidP="00BE1323">
            <w:pPr>
              <w:pStyle w:val="TableText"/>
              <w:keepNext/>
              <w:keepLines/>
              <w:jc w:val="center"/>
            </w:pPr>
            <w:r w:rsidRPr="00903F9D">
              <w:t>-$3,837,417</w:t>
            </w:r>
          </w:p>
        </w:tc>
        <w:tc>
          <w:tcPr>
            <w:tcW w:w="1142" w:type="dxa"/>
            <w:tcBorders>
              <w:top w:val="nil"/>
              <w:left w:val="nil"/>
              <w:bottom w:val="single" w:sz="8" w:space="0" w:color="auto"/>
              <w:right w:val="single" w:sz="8" w:space="0" w:color="auto"/>
            </w:tcBorders>
            <w:tcMar>
              <w:top w:w="0" w:type="dxa"/>
              <w:left w:w="108" w:type="dxa"/>
              <w:bottom w:w="0" w:type="dxa"/>
              <w:right w:w="108" w:type="dxa"/>
            </w:tcMar>
            <w:vAlign w:val="center"/>
          </w:tcPr>
          <w:p w14:paraId="76A58657" w14:textId="77777777" w:rsidR="00C45681" w:rsidRPr="00903F9D" w:rsidRDefault="00C45681" w:rsidP="00BE1323">
            <w:pPr>
              <w:pStyle w:val="TableText"/>
              <w:keepNext/>
              <w:keepLines/>
              <w:jc w:val="center"/>
            </w:pPr>
            <w:r w:rsidRPr="00903F9D">
              <w:t>-$5,482,025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FC213" w14:textId="77777777" w:rsidR="00C45681" w:rsidRPr="00903F9D" w:rsidRDefault="00C45681" w:rsidP="00BE1323">
            <w:pPr>
              <w:pStyle w:val="TableText"/>
              <w:keepNext/>
              <w:keepLines/>
              <w:jc w:val="center"/>
            </w:pPr>
            <w:r w:rsidRPr="00903F9D">
              <w:t>-$6,578,430</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652028" w14:textId="77777777" w:rsidR="00C45681" w:rsidRPr="00903F9D" w:rsidRDefault="00C45681" w:rsidP="00BE1323">
            <w:pPr>
              <w:pStyle w:val="TableText"/>
              <w:keepNext/>
              <w:keepLines/>
              <w:jc w:val="center"/>
            </w:pPr>
            <w:r w:rsidRPr="00903F9D">
              <w:t>-$7,126,632</w:t>
            </w:r>
          </w:p>
        </w:tc>
        <w:tc>
          <w:tcPr>
            <w:tcW w:w="11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F5C6C" w14:textId="77777777" w:rsidR="00C45681" w:rsidRPr="00903F9D" w:rsidRDefault="00C45681" w:rsidP="00BE1323">
            <w:pPr>
              <w:pStyle w:val="TableText"/>
              <w:keepNext/>
              <w:keepLines/>
              <w:jc w:val="center"/>
            </w:pPr>
            <w:r w:rsidRPr="00903F9D">
              <w:t>-$8,223,037</w:t>
            </w:r>
          </w:p>
        </w:tc>
      </w:tr>
      <w:tr w:rsidR="00C45681" w:rsidRPr="00903F9D" w14:paraId="20BB759B" w14:textId="77777777" w:rsidTr="000D1AF7">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A0E93F" w14:textId="77777777" w:rsidR="00C45681" w:rsidRPr="00903F9D" w:rsidRDefault="00C45681" w:rsidP="00BE1323">
            <w:pPr>
              <w:pStyle w:val="TableText"/>
              <w:keepNext/>
              <w:keepLines/>
              <w:rPr>
                <w:b/>
                <w:bCs/>
              </w:rPr>
            </w:pPr>
            <w:r w:rsidRPr="00903F9D">
              <w:rPr>
                <w:b/>
                <w:bCs/>
              </w:rPr>
              <w:t>Net financial impact to the MBS</w:t>
            </w:r>
          </w:p>
        </w:tc>
        <w:tc>
          <w:tcPr>
            <w:tcW w:w="11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0F1D3" w14:textId="77777777" w:rsidR="00C45681" w:rsidRPr="00903F9D" w:rsidRDefault="00C45681" w:rsidP="00BE1323">
            <w:pPr>
              <w:pStyle w:val="TableText"/>
              <w:keepNext/>
              <w:keepLines/>
              <w:jc w:val="center"/>
              <w:rPr>
                <w:b/>
                <w:bCs/>
              </w:rPr>
            </w:pPr>
            <w:r w:rsidRPr="00903F9D">
              <w:rPr>
                <w:b/>
                <w:bCs/>
              </w:rPr>
              <w:t>$0</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EA009F" w14:textId="77777777" w:rsidR="00C45681" w:rsidRPr="00903F9D" w:rsidRDefault="00C45681" w:rsidP="00BE1323">
            <w:pPr>
              <w:pStyle w:val="TableText"/>
              <w:keepNext/>
              <w:keepLines/>
              <w:jc w:val="center"/>
              <w:rPr>
                <w:b/>
                <w:bCs/>
              </w:rPr>
            </w:pPr>
            <w:r w:rsidRPr="00903F9D">
              <w:rPr>
                <w:b/>
                <w:bCs/>
              </w:rPr>
              <w:t>$0</w:t>
            </w:r>
          </w:p>
        </w:tc>
        <w:tc>
          <w:tcPr>
            <w:tcW w:w="11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26ACDA" w14:textId="77777777" w:rsidR="00C45681" w:rsidRPr="00903F9D" w:rsidRDefault="00C45681" w:rsidP="00BE1323">
            <w:pPr>
              <w:pStyle w:val="TableText"/>
              <w:keepNext/>
              <w:keepLines/>
              <w:jc w:val="center"/>
              <w:rPr>
                <w:b/>
                <w:bCs/>
              </w:rPr>
            </w:pPr>
            <w:r w:rsidRPr="00903F9D">
              <w:rPr>
                <w:b/>
                <w:bCs/>
              </w:rPr>
              <w:t>$0</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C1FFE8" w14:textId="77777777" w:rsidR="00C45681" w:rsidRPr="00903F9D" w:rsidRDefault="00C45681" w:rsidP="00BE1323">
            <w:pPr>
              <w:pStyle w:val="TableText"/>
              <w:keepNext/>
              <w:keepLines/>
              <w:jc w:val="center"/>
              <w:rPr>
                <w:b/>
                <w:bCs/>
              </w:rPr>
            </w:pPr>
            <w:r w:rsidRPr="00903F9D">
              <w:rPr>
                <w:b/>
                <w:bCs/>
              </w:rPr>
              <w:t>$0</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8369E2" w14:textId="77777777" w:rsidR="00C45681" w:rsidRPr="00903F9D" w:rsidRDefault="00C45681" w:rsidP="00BE1323">
            <w:pPr>
              <w:pStyle w:val="TableText"/>
              <w:keepNext/>
              <w:keepLines/>
              <w:jc w:val="center"/>
              <w:rPr>
                <w:b/>
                <w:bCs/>
              </w:rPr>
            </w:pPr>
            <w:r w:rsidRPr="00903F9D">
              <w:rPr>
                <w:b/>
                <w:bCs/>
              </w:rPr>
              <w:t>$0</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81CDA8" w14:textId="77777777" w:rsidR="00C45681" w:rsidRPr="00903F9D" w:rsidRDefault="00C45681" w:rsidP="00BE1323">
            <w:pPr>
              <w:pStyle w:val="TableText"/>
              <w:keepNext/>
              <w:keepLines/>
              <w:jc w:val="center"/>
              <w:rPr>
                <w:b/>
                <w:bCs/>
              </w:rPr>
            </w:pPr>
            <w:r w:rsidRPr="00903F9D">
              <w:rPr>
                <w:b/>
                <w:bCs/>
              </w:rPr>
              <w:t>$0</w:t>
            </w:r>
          </w:p>
        </w:tc>
      </w:tr>
      <w:tr w:rsidR="00ED2593" w:rsidRPr="00903F9D" w14:paraId="3525EAF2" w14:textId="77777777" w:rsidTr="000D1AF7">
        <w:tc>
          <w:tcPr>
            <w:tcW w:w="9006"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9B9167" w14:textId="77777777" w:rsidR="00ED2593" w:rsidRPr="00903F9D" w:rsidRDefault="008A6F4A" w:rsidP="00BE1323">
            <w:pPr>
              <w:pStyle w:val="TableText"/>
              <w:keepNext/>
              <w:keepLines/>
              <w:rPr>
                <w:rFonts w:cs="Calibri"/>
                <w:b/>
                <w:bCs/>
                <w:iCs/>
                <w:color w:val="000000"/>
              </w:rPr>
            </w:pPr>
            <w:r w:rsidRPr="00903F9D">
              <w:rPr>
                <w:b/>
                <w:bCs/>
                <w:iCs/>
              </w:rPr>
              <w:t>Additional ADAR scenario</w:t>
            </w:r>
            <w:r w:rsidR="00E35365" w:rsidRPr="00903F9D">
              <w:rPr>
                <w:b/>
                <w:bCs/>
                <w:iCs/>
              </w:rPr>
              <w:t xml:space="preserve"> – Market growth </w:t>
            </w:r>
            <w:r w:rsidR="00986A72" w:rsidRPr="00903F9D">
              <w:rPr>
                <w:b/>
                <w:bCs/>
                <w:iCs/>
              </w:rPr>
              <w:t>assuming</w:t>
            </w:r>
            <w:r w:rsidR="00E35365" w:rsidRPr="00903F9D">
              <w:rPr>
                <w:b/>
                <w:bCs/>
              </w:rPr>
              <w:t xml:space="preserve"> </w:t>
            </w:r>
            <w:r w:rsidR="00986A72" w:rsidRPr="00903F9D">
              <w:rPr>
                <w:b/>
                <w:bCs/>
                <w:iCs/>
              </w:rPr>
              <w:t>a</w:t>
            </w:r>
            <w:r w:rsidR="00E35365" w:rsidRPr="00903F9D">
              <w:rPr>
                <w:rFonts w:cs="Calibri"/>
                <w:b/>
                <w:bCs/>
                <w:iCs/>
                <w:color w:val="000000"/>
              </w:rPr>
              <w:t>dditional 7.5% in services of REMS</w:t>
            </w:r>
          </w:p>
        </w:tc>
      </w:tr>
      <w:tr w:rsidR="00E35365" w:rsidRPr="00903F9D" w14:paraId="0D1F325B" w14:textId="77777777" w:rsidTr="000D1AF7">
        <w:tc>
          <w:tcPr>
            <w:tcW w:w="21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AB3072E" w14:textId="4F48608D" w:rsidR="00E35365" w:rsidRPr="00903F9D" w:rsidRDefault="00E35365" w:rsidP="00BE1323">
            <w:pPr>
              <w:pStyle w:val="TableText"/>
              <w:keepNext/>
              <w:keepLines/>
              <w:rPr>
                <w:rFonts w:cs="Calibri"/>
                <w:iCs/>
                <w:color w:val="000000"/>
              </w:rPr>
            </w:pPr>
            <w:r w:rsidRPr="00903F9D">
              <w:rPr>
                <w:rFonts w:cs="Calibri"/>
                <w:iCs/>
                <w:color w:val="000000"/>
              </w:rPr>
              <w:t>Additional services (</w:t>
            </w:r>
            <w:r w:rsidR="00493C19" w:rsidRPr="00903F9D">
              <w:rPr>
                <w:rFonts w:cs="Calibri"/>
                <w:iCs/>
                <w:color w:val="000000"/>
              </w:rPr>
              <w:t>n</w:t>
            </w:r>
            <w:r w:rsidRPr="00903F9D">
              <w:rPr>
                <w:rFonts w:cs="Calibri"/>
                <w:iCs/>
                <w:color w:val="000000"/>
              </w:rPr>
              <w:t xml:space="preserve">umber of REMS services x </w:t>
            </w:r>
            <w:r w:rsidR="00B76E43" w:rsidRPr="00903F9D">
              <w:rPr>
                <w:rFonts w:cs="Calibri"/>
                <w:iCs/>
                <w:color w:val="000000"/>
              </w:rPr>
              <w:t>7.5%)</w:t>
            </w:r>
          </w:p>
        </w:tc>
        <w:tc>
          <w:tcPr>
            <w:tcW w:w="1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272B35" w14:textId="77777777" w:rsidR="00E35365" w:rsidRPr="00903F9D" w:rsidRDefault="00E35365" w:rsidP="00BE1323">
            <w:pPr>
              <w:pStyle w:val="TableText"/>
              <w:keepNext/>
              <w:keepLines/>
              <w:jc w:val="center"/>
              <w:rPr>
                <w:rFonts w:cs="Calibri"/>
                <w:iCs/>
                <w:color w:val="000000"/>
              </w:rPr>
            </w:pPr>
            <w:r w:rsidRPr="00903F9D">
              <w:rPr>
                <w:rFonts w:cs="Calibri"/>
                <w:iCs/>
                <w:color w:val="000000"/>
              </w:rPr>
              <w:t>2</w:t>
            </w:r>
            <w:r w:rsidR="00713E6A" w:rsidRPr="00903F9D">
              <w:rPr>
                <w:rFonts w:cs="Calibri"/>
                <w:iCs/>
                <w:color w:val="000000"/>
              </w:rPr>
              <w:t>,</w:t>
            </w:r>
            <w:r w:rsidRPr="00903F9D">
              <w:rPr>
                <w:rFonts w:cs="Calibri"/>
                <w:iCs/>
                <w:color w:val="000000"/>
              </w:rPr>
              <w:t>269</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B14C46" w14:textId="77777777" w:rsidR="00E35365" w:rsidRPr="00903F9D" w:rsidRDefault="00E35365" w:rsidP="00BE1323">
            <w:pPr>
              <w:pStyle w:val="TableText"/>
              <w:keepNext/>
              <w:keepLines/>
              <w:jc w:val="center"/>
              <w:rPr>
                <w:rFonts w:cs="Calibri"/>
                <w:iCs/>
                <w:color w:val="000000"/>
              </w:rPr>
            </w:pPr>
            <w:r w:rsidRPr="00903F9D">
              <w:rPr>
                <w:rFonts w:cs="Calibri"/>
                <w:iCs/>
                <w:color w:val="000000"/>
              </w:rPr>
              <w:t>3</w:t>
            </w:r>
            <w:r w:rsidR="00713E6A" w:rsidRPr="00903F9D">
              <w:rPr>
                <w:rFonts w:cs="Calibri"/>
                <w:iCs/>
                <w:color w:val="000000"/>
              </w:rPr>
              <w:t>,</w:t>
            </w:r>
            <w:r w:rsidRPr="00903F9D">
              <w:rPr>
                <w:rFonts w:cs="Calibri"/>
                <w:iCs/>
                <w:color w:val="000000"/>
              </w:rPr>
              <w:t>177</w:t>
            </w:r>
          </w:p>
        </w:tc>
        <w:tc>
          <w:tcPr>
            <w:tcW w:w="11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C7DFDC" w14:textId="77777777" w:rsidR="00E35365" w:rsidRPr="00903F9D" w:rsidRDefault="00E35365" w:rsidP="00BE1323">
            <w:pPr>
              <w:pStyle w:val="TableText"/>
              <w:keepNext/>
              <w:keepLines/>
              <w:jc w:val="center"/>
              <w:rPr>
                <w:rFonts w:cs="Calibri"/>
                <w:iCs/>
                <w:color w:val="000000"/>
              </w:rPr>
            </w:pPr>
            <w:r w:rsidRPr="00903F9D">
              <w:rPr>
                <w:rFonts w:cs="Calibri"/>
                <w:iCs/>
                <w:color w:val="000000"/>
              </w:rPr>
              <w:t>4</w:t>
            </w:r>
            <w:r w:rsidR="00713E6A" w:rsidRPr="00903F9D">
              <w:rPr>
                <w:rFonts w:cs="Calibri"/>
                <w:iCs/>
                <w:color w:val="000000"/>
              </w:rPr>
              <w:t>,</w:t>
            </w:r>
            <w:r w:rsidRPr="00903F9D">
              <w:rPr>
                <w:rFonts w:cs="Calibri"/>
                <w:iCs/>
                <w:color w:val="000000"/>
              </w:rPr>
              <w:t>538</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E3F13B" w14:textId="77777777" w:rsidR="00E35365" w:rsidRPr="00903F9D" w:rsidRDefault="00E35365" w:rsidP="00BE1323">
            <w:pPr>
              <w:pStyle w:val="TableText"/>
              <w:keepNext/>
              <w:keepLines/>
              <w:jc w:val="center"/>
              <w:rPr>
                <w:rFonts w:cs="Calibri"/>
                <w:iCs/>
                <w:color w:val="000000"/>
              </w:rPr>
            </w:pPr>
            <w:r w:rsidRPr="00903F9D">
              <w:rPr>
                <w:rFonts w:cs="Calibri"/>
                <w:iCs/>
                <w:color w:val="000000"/>
              </w:rPr>
              <w:t>5</w:t>
            </w:r>
            <w:r w:rsidR="00713E6A" w:rsidRPr="00903F9D">
              <w:rPr>
                <w:rFonts w:cs="Calibri"/>
                <w:iCs/>
                <w:color w:val="000000"/>
              </w:rPr>
              <w:t>,</w:t>
            </w:r>
            <w:r w:rsidRPr="00903F9D">
              <w:rPr>
                <w:rFonts w:cs="Calibri"/>
                <w:iCs/>
                <w:color w:val="000000"/>
              </w:rPr>
              <w:t>446</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AA5D72" w14:textId="77777777" w:rsidR="00E35365" w:rsidRPr="00903F9D" w:rsidRDefault="00E35365" w:rsidP="00BE1323">
            <w:pPr>
              <w:pStyle w:val="TableText"/>
              <w:keepNext/>
              <w:keepLines/>
              <w:jc w:val="center"/>
              <w:rPr>
                <w:rFonts w:cs="Calibri"/>
                <w:iCs/>
                <w:color w:val="000000"/>
              </w:rPr>
            </w:pPr>
            <w:r w:rsidRPr="00903F9D">
              <w:rPr>
                <w:rFonts w:cs="Calibri"/>
                <w:iCs/>
                <w:color w:val="000000"/>
              </w:rPr>
              <w:t>5</w:t>
            </w:r>
            <w:r w:rsidR="00713E6A" w:rsidRPr="00903F9D">
              <w:rPr>
                <w:rFonts w:cs="Calibri"/>
                <w:iCs/>
                <w:color w:val="000000"/>
              </w:rPr>
              <w:t>,</w:t>
            </w:r>
            <w:r w:rsidRPr="00903F9D">
              <w:rPr>
                <w:rFonts w:cs="Calibri"/>
                <w:iCs/>
                <w:color w:val="000000"/>
              </w:rPr>
              <w:t>900</w:t>
            </w:r>
          </w:p>
        </w:tc>
        <w:tc>
          <w:tcPr>
            <w:tcW w:w="1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CF9F4D" w14:textId="77777777" w:rsidR="00E35365" w:rsidRPr="00903F9D" w:rsidRDefault="00E35365" w:rsidP="00BE1323">
            <w:pPr>
              <w:pStyle w:val="TableText"/>
              <w:keepNext/>
              <w:keepLines/>
              <w:jc w:val="center"/>
              <w:rPr>
                <w:rFonts w:cs="Calibri"/>
                <w:iCs/>
                <w:color w:val="000000"/>
              </w:rPr>
            </w:pPr>
            <w:r w:rsidRPr="00903F9D">
              <w:rPr>
                <w:rFonts w:cs="Calibri"/>
                <w:iCs/>
                <w:color w:val="000000"/>
              </w:rPr>
              <w:t>6</w:t>
            </w:r>
            <w:r w:rsidR="00713E6A" w:rsidRPr="00903F9D">
              <w:rPr>
                <w:rFonts w:cs="Calibri"/>
                <w:iCs/>
                <w:color w:val="000000"/>
              </w:rPr>
              <w:t>,</w:t>
            </w:r>
            <w:r w:rsidRPr="00903F9D">
              <w:rPr>
                <w:rFonts w:cs="Calibri"/>
                <w:iCs/>
                <w:color w:val="000000"/>
              </w:rPr>
              <w:t>807</w:t>
            </w:r>
          </w:p>
        </w:tc>
      </w:tr>
      <w:tr w:rsidR="00C45681" w:rsidRPr="00903F9D" w14:paraId="4A5578ED" w14:textId="77777777" w:rsidTr="000D1AF7">
        <w:tc>
          <w:tcPr>
            <w:tcW w:w="2117"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0DB7753" w14:textId="77777777" w:rsidR="00C45681" w:rsidRPr="00903F9D" w:rsidRDefault="00C45681" w:rsidP="00BE1323">
            <w:pPr>
              <w:pStyle w:val="TableText"/>
              <w:keepNext/>
              <w:keepLines/>
              <w:rPr>
                <w:b/>
                <w:bCs/>
                <w:iCs/>
              </w:rPr>
            </w:pPr>
            <w:r w:rsidRPr="00903F9D">
              <w:rPr>
                <w:rFonts w:cs="Calibri"/>
                <w:b/>
                <w:bCs/>
                <w:iCs/>
                <w:color w:val="000000"/>
              </w:rPr>
              <w:t>Net financial impact to the MBS -additional 7.5% in REMS services</w:t>
            </w:r>
          </w:p>
        </w:tc>
        <w:tc>
          <w:tcPr>
            <w:tcW w:w="119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E7D4958" w14:textId="77777777" w:rsidR="00C45681" w:rsidRPr="00903F9D" w:rsidRDefault="00C45681" w:rsidP="00BE1323">
            <w:pPr>
              <w:pStyle w:val="TableText"/>
              <w:keepNext/>
              <w:keepLines/>
              <w:jc w:val="center"/>
              <w:rPr>
                <w:b/>
                <w:bCs/>
                <w:iCs/>
              </w:rPr>
            </w:pPr>
            <w:r w:rsidRPr="00903F9D">
              <w:rPr>
                <w:rFonts w:cs="Calibri"/>
                <w:b/>
                <w:bCs/>
                <w:iCs/>
                <w:color w:val="000000"/>
              </w:rPr>
              <w:t>$205,576</w:t>
            </w:r>
          </w:p>
        </w:tc>
        <w:tc>
          <w:tcPr>
            <w:tcW w:w="112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2773BCE4" w14:textId="77777777" w:rsidR="00C45681" w:rsidRPr="00903F9D" w:rsidRDefault="00C45681" w:rsidP="00BE1323">
            <w:pPr>
              <w:pStyle w:val="TableText"/>
              <w:keepNext/>
              <w:keepLines/>
              <w:jc w:val="center"/>
              <w:rPr>
                <w:b/>
                <w:bCs/>
                <w:iCs/>
              </w:rPr>
            </w:pPr>
            <w:r w:rsidRPr="00903F9D">
              <w:rPr>
                <w:rFonts w:cs="Calibri"/>
                <w:b/>
                <w:bCs/>
                <w:iCs/>
                <w:color w:val="000000"/>
              </w:rPr>
              <w:t>$287,806</w:t>
            </w:r>
          </w:p>
        </w:tc>
        <w:tc>
          <w:tcPr>
            <w:tcW w:w="114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E2248E1" w14:textId="77777777" w:rsidR="00C45681" w:rsidRPr="00903F9D" w:rsidRDefault="00C45681" w:rsidP="00BE1323">
            <w:pPr>
              <w:pStyle w:val="TableText"/>
              <w:keepNext/>
              <w:keepLines/>
              <w:jc w:val="center"/>
              <w:rPr>
                <w:b/>
                <w:bCs/>
                <w:iCs/>
              </w:rPr>
            </w:pPr>
            <w:r w:rsidRPr="00903F9D">
              <w:rPr>
                <w:rFonts w:cs="Calibri"/>
                <w:b/>
                <w:bCs/>
                <w:iCs/>
                <w:color w:val="000000"/>
              </w:rPr>
              <w:t>$411,152</w:t>
            </w:r>
          </w:p>
        </w:tc>
        <w:tc>
          <w:tcPr>
            <w:tcW w:w="117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24528F3F" w14:textId="77777777" w:rsidR="00C45681" w:rsidRPr="00903F9D" w:rsidRDefault="00C45681" w:rsidP="00BE1323">
            <w:pPr>
              <w:pStyle w:val="TableText"/>
              <w:keepNext/>
              <w:keepLines/>
              <w:jc w:val="center"/>
              <w:rPr>
                <w:b/>
                <w:bCs/>
                <w:iCs/>
              </w:rPr>
            </w:pPr>
            <w:r w:rsidRPr="00903F9D">
              <w:rPr>
                <w:rFonts w:cs="Calibri"/>
                <w:b/>
                <w:bCs/>
                <w:iCs/>
                <w:color w:val="000000"/>
              </w:rPr>
              <w:t>$493,382</w:t>
            </w:r>
          </w:p>
        </w:tc>
        <w:tc>
          <w:tcPr>
            <w:tcW w:w="112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0E4E1D83" w14:textId="77777777" w:rsidR="00C45681" w:rsidRPr="00903F9D" w:rsidRDefault="00C45681" w:rsidP="00BE1323">
            <w:pPr>
              <w:pStyle w:val="TableText"/>
              <w:keepNext/>
              <w:keepLines/>
              <w:jc w:val="center"/>
              <w:rPr>
                <w:b/>
                <w:bCs/>
                <w:iCs/>
              </w:rPr>
            </w:pPr>
            <w:r w:rsidRPr="00903F9D">
              <w:rPr>
                <w:rFonts w:cs="Calibri"/>
                <w:b/>
                <w:bCs/>
                <w:iCs/>
                <w:color w:val="000000"/>
              </w:rPr>
              <w:t>$534,497</w:t>
            </w:r>
          </w:p>
        </w:tc>
        <w:tc>
          <w:tcPr>
            <w:tcW w:w="112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65CED1DA" w14:textId="77777777" w:rsidR="00C45681" w:rsidRPr="00903F9D" w:rsidRDefault="00C45681" w:rsidP="00BE1323">
            <w:pPr>
              <w:pStyle w:val="TableText"/>
              <w:keepNext/>
              <w:keepLines/>
              <w:jc w:val="center"/>
              <w:rPr>
                <w:b/>
                <w:bCs/>
                <w:iCs/>
              </w:rPr>
            </w:pPr>
            <w:r w:rsidRPr="00903F9D">
              <w:rPr>
                <w:rFonts w:cs="Calibri"/>
                <w:b/>
                <w:bCs/>
                <w:iCs/>
                <w:color w:val="000000"/>
              </w:rPr>
              <w:t>$616,728</w:t>
            </w:r>
          </w:p>
        </w:tc>
      </w:tr>
      <w:tr w:rsidR="00713E6A" w:rsidRPr="00903F9D" w14:paraId="4382A97C" w14:textId="77777777" w:rsidTr="000D1AF7">
        <w:tc>
          <w:tcPr>
            <w:tcW w:w="2117"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4C0D090B" w14:textId="77777777" w:rsidR="00713E6A" w:rsidRPr="00903F9D" w:rsidRDefault="00713E6A" w:rsidP="00BE1323">
            <w:pPr>
              <w:pStyle w:val="TableText"/>
              <w:keepNext/>
              <w:keepLines/>
              <w:rPr>
                <w:rFonts w:cs="Calibri"/>
                <w:iCs/>
                <w:color w:val="000000"/>
              </w:rPr>
            </w:pPr>
            <w:r w:rsidRPr="00903F9D">
              <w:t>Then the increase (%) of total spend equates to*</w:t>
            </w:r>
          </w:p>
        </w:tc>
        <w:tc>
          <w:tcPr>
            <w:tcW w:w="119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2B20C8E2" w14:textId="77777777" w:rsidR="00713E6A" w:rsidRPr="00903F9D" w:rsidRDefault="00713E6A" w:rsidP="00BE1323">
            <w:pPr>
              <w:pStyle w:val="TableText"/>
              <w:keepNext/>
              <w:keepLines/>
              <w:jc w:val="center"/>
              <w:rPr>
                <w:rFonts w:cs="Calibri"/>
                <w:iCs/>
                <w:color w:val="000000"/>
              </w:rPr>
            </w:pPr>
            <w:r w:rsidRPr="00903F9D">
              <w:t>0.37%</w:t>
            </w:r>
          </w:p>
        </w:tc>
        <w:tc>
          <w:tcPr>
            <w:tcW w:w="112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23C7506F" w14:textId="77777777" w:rsidR="00713E6A" w:rsidRPr="00903F9D" w:rsidRDefault="00713E6A" w:rsidP="00BE1323">
            <w:pPr>
              <w:pStyle w:val="TableText"/>
              <w:keepNext/>
              <w:keepLines/>
              <w:jc w:val="center"/>
              <w:rPr>
                <w:rFonts w:cs="Calibri"/>
                <w:iCs/>
                <w:color w:val="000000"/>
              </w:rPr>
            </w:pPr>
            <w:r w:rsidRPr="00903F9D">
              <w:t>0.52%</w:t>
            </w:r>
          </w:p>
        </w:tc>
        <w:tc>
          <w:tcPr>
            <w:tcW w:w="114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30656CFF" w14:textId="77777777" w:rsidR="00713E6A" w:rsidRPr="00903F9D" w:rsidRDefault="00713E6A" w:rsidP="00BE1323">
            <w:pPr>
              <w:pStyle w:val="TableText"/>
              <w:keepNext/>
              <w:keepLines/>
              <w:jc w:val="center"/>
              <w:rPr>
                <w:rFonts w:cs="Calibri"/>
                <w:iCs/>
                <w:color w:val="000000"/>
              </w:rPr>
            </w:pPr>
            <w:r w:rsidRPr="00903F9D">
              <w:t>0.75%</w:t>
            </w:r>
          </w:p>
        </w:tc>
        <w:tc>
          <w:tcPr>
            <w:tcW w:w="117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3E132EBB" w14:textId="77777777" w:rsidR="00713E6A" w:rsidRPr="00903F9D" w:rsidRDefault="00713E6A" w:rsidP="00BE1323">
            <w:pPr>
              <w:pStyle w:val="TableText"/>
              <w:keepNext/>
              <w:keepLines/>
              <w:jc w:val="center"/>
              <w:rPr>
                <w:rFonts w:cs="Calibri"/>
                <w:iCs/>
                <w:color w:val="000000"/>
              </w:rPr>
            </w:pPr>
            <w:r w:rsidRPr="00903F9D">
              <w:t>0.90%</w:t>
            </w:r>
          </w:p>
        </w:tc>
        <w:tc>
          <w:tcPr>
            <w:tcW w:w="112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00F48957" w14:textId="77777777" w:rsidR="00713E6A" w:rsidRPr="00903F9D" w:rsidRDefault="00713E6A" w:rsidP="00BE1323">
            <w:pPr>
              <w:pStyle w:val="TableText"/>
              <w:keepNext/>
              <w:keepLines/>
              <w:jc w:val="center"/>
              <w:rPr>
                <w:rFonts w:cs="Calibri"/>
                <w:iCs/>
                <w:color w:val="000000"/>
              </w:rPr>
            </w:pPr>
            <w:r w:rsidRPr="00903F9D">
              <w:t>0.97%</w:t>
            </w:r>
          </w:p>
        </w:tc>
        <w:tc>
          <w:tcPr>
            <w:tcW w:w="112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40457412" w14:textId="77777777" w:rsidR="00713E6A" w:rsidRPr="00903F9D" w:rsidRDefault="00713E6A" w:rsidP="00BE1323">
            <w:pPr>
              <w:pStyle w:val="TableText"/>
              <w:keepNext/>
              <w:keepLines/>
              <w:jc w:val="center"/>
              <w:rPr>
                <w:rFonts w:cs="Calibri"/>
                <w:iCs/>
                <w:color w:val="000000"/>
              </w:rPr>
            </w:pPr>
            <w:r w:rsidRPr="00903F9D">
              <w:t>1.13%</w:t>
            </w:r>
          </w:p>
        </w:tc>
      </w:tr>
    </w:tbl>
    <w:p w14:paraId="5B748A23" w14:textId="77777777" w:rsidR="00316C71" w:rsidRPr="00903F9D" w:rsidRDefault="00543937" w:rsidP="00BE1323">
      <w:pPr>
        <w:pStyle w:val="TableFigureFooter"/>
      </w:pPr>
      <w:r w:rsidRPr="00903F9D">
        <w:t xml:space="preserve">Source: Table 31 of the </w:t>
      </w:r>
      <w:r w:rsidR="000D492D" w:rsidRPr="00903F9D">
        <w:t xml:space="preserve">MSAC 1665 </w:t>
      </w:r>
      <w:r w:rsidRPr="00903F9D">
        <w:t>ADAR with commentary in italics</w:t>
      </w:r>
    </w:p>
    <w:p w14:paraId="2D27B58E" w14:textId="7B362387" w:rsidR="00C45681" w:rsidRPr="00903F9D" w:rsidRDefault="00543937" w:rsidP="00BE1323">
      <w:pPr>
        <w:pStyle w:val="TableFigureFooter"/>
      </w:pPr>
      <w:r w:rsidRPr="00903F9D">
        <w:t>DXA=</w:t>
      </w:r>
      <w:r w:rsidR="00122DD0" w:rsidRPr="00903F9D">
        <w:t xml:space="preserve"> dual energy </w:t>
      </w:r>
      <w:r w:rsidR="00316C71" w:rsidRPr="00903F9D">
        <w:t>x-r</w:t>
      </w:r>
      <w:r w:rsidR="00122DD0" w:rsidRPr="00903F9D">
        <w:t>ay absorptiometry</w:t>
      </w:r>
      <w:r w:rsidRPr="00903F9D">
        <w:t xml:space="preserve">; MBS= Medicare Benefit Schedule; </w:t>
      </w:r>
      <w:r w:rsidR="00C45681" w:rsidRPr="00903F9D">
        <w:t xml:space="preserve">REMS = </w:t>
      </w:r>
      <w:r w:rsidRPr="00903F9D">
        <w:t>r</w:t>
      </w:r>
      <w:r w:rsidR="00C45681" w:rsidRPr="00903F9D">
        <w:t>adiofrequency echographic multi spectrometry</w:t>
      </w:r>
    </w:p>
    <w:p w14:paraId="676CCCD8" w14:textId="77777777" w:rsidR="00C45681" w:rsidRPr="00903F9D" w:rsidRDefault="00C45681" w:rsidP="00BE1323">
      <w:pPr>
        <w:pStyle w:val="TableFigureFooter"/>
      </w:pPr>
      <w:r w:rsidRPr="00903F9D">
        <w:t>Cost per service (85% benefit level, $90.60)</w:t>
      </w:r>
    </w:p>
    <w:p w14:paraId="53FB6684" w14:textId="77777777" w:rsidR="00F959D0" w:rsidRPr="00903F9D" w:rsidRDefault="00713E6A" w:rsidP="00BE1323">
      <w:pPr>
        <w:pStyle w:val="TableFigureFooter"/>
      </w:pPr>
      <w:r w:rsidRPr="00903F9D">
        <w:t>* If total MBS spend on DXA &amp; REMS: $54,820,248</w:t>
      </w:r>
      <w:r w:rsidR="00F959D0" w:rsidRPr="00903F9D">
        <w:t xml:space="preserve"> (605,080 MBS services for 2021 multiplied by $90.60)</w:t>
      </w:r>
    </w:p>
    <w:p w14:paraId="722F9554" w14:textId="275C86B3" w:rsidR="00AD513C" w:rsidRPr="00903F9D" w:rsidRDefault="00F959D0" w:rsidP="00BE1323">
      <w:pPr>
        <w:pStyle w:val="TableFigureFooter"/>
        <w:keepNext w:val="0"/>
      </w:pPr>
      <w:r w:rsidRPr="00903F9D">
        <w:t>** The net financial impact to the MBS under a 7.5% increase in REMS divided by the total spend on MBS and PBS from REMS or DXA in the base case</w:t>
      </w:r>
    </w:p>
    <w:p w14:paraId="337C5AF0" w14:textId="77777777" w:rsidR="004B360E" w:rsidRPr="00903F9D" w:rsidRDefault="004B360E" w:rsidP="00BE1323">
      <w:pPr>
        <w:keepNext/>
      </w:pPr>
      <w:r w:rsidRPr="00903F9D">
        <w:t xml:space="preserve">Key assumptions in the analysis </w:t>
      </w:r>
      <w:r w:rsidR="00C95993" w:rsidRPr="00903F9D">
        <w:t>were</w:t>
      </w:r>
      <w:r w:rsidRPr="00903F9D">
        <w:t>:</w:t>
      </w:r>
    </w:p>
    <w:p w14:paraId="44B96847" w14:textId="5D30651A" w:rsidR="004B360E" w:rsidRPr="00903F9D" w:rsidRDefault="004B360E" w:rsidP="00DC4305">
      <w:pPr>
        <w:pStyle w:val="ListParagraph"/>
        <w:numPr>
          <w:ilvl w:val="0"/>
          <w:numId w:val="15"/>
        </w:numPr>
      </w:pPr>
      <w:r w:rsidRPr="00903F9D">
        <w:t xml:space="preserve">Maximum </w:t>
      </w:r>
      <w:r w:rsidR="00947BF7" w:rsidRPr="00903F9D">
        <w:t xml:space="preserve">of </w:t>
      </w:r>
      <w:r w:rsidRPr="00903F9D">
        <w:t xml:space="preserve">one service per patient </w:t>
      </w:r>
      <w:r w:rsidR="00947BF7" w:rsidRPr="00903F9D">
        <w:t xml:space="preserve">per </w:t>
      </w:r>
      <w:r w:rsidRPr="00903F9D">
        <w:t xml:space="preserve">year (given restrictions on repeat services of minimum 1-5 years), hence patient and service numbers </w:t>
      </w:r>
      <w:r w:rsidR="00C95993" w:rsidRPr="00903F9D">
        <w:t xml:space="preserve">was </w:t>
      </w:r>
      <w:r w:rsidRPr="00903F9D">
        <w:t>identical. This seemed reasonable.</w:t>
      </w:r>
    </w:p>
    <w:p w14:paraId="2DCCC6D6" w14:textId="24A390BB" w:rsidR="00377A2C" w:rsidRPr="00903F9D" w:rsidRDefault="004B360E" w:rsidP="00DC4305">
      <w:pPr>
        <w:pStyle w:val="ListParagraph"/>
        <w:numPr>
          <w:ilvl w:val="0"/>
          <w:numId w:val="15"/>
        </w:numPr>
      </w:pPr>
      <w:r w:rsidRPr="00903F9D">
        <w:t xml:space="preserve">No growth in the DXA usage (in the absence of REMS) </w:t>
      </w:r>
      <w:r w:rsidR="00C95993" w:rsidRPr="00903F9D">
        <w:t xml:space="preserve">was </w:t>
      </w:r>
      <w:r w:rsidRPr="00903F9D">
        <w:t>predicted, based on MBS services data over the last 3 years (no growth</w:t>
      </w:r>
      <w:r w:rsidR="00C95993" w:rsidRPr="00903F9D">
        <w:t>,</w:t>
      </w:r>
      <w:r w:rsidRPr="00903F9D">
        <w:t xml:space="preserve"> on average). It may not have been appropriate to only review data over the last 3 years (2019-2021) to inform the assumption of no growth. The variability in the number of services provided across 2019 to 2021 </w:t>
      </w:r>
      <w:r w:rsidR="00734CD0" w:rsidRPr="00903F9D">
        <w:t xml:space="preserve">will </w:t>
      </w:r>
      <w:r w:rsidR="00947BF7" w:rsidRPr="00903F9D">
        <w:t xml:space="preserve">likely </w:t>
      </w:r>
      <w:r w:rsidRPr="00903F9D">
        <w:t>have been affected by the COVID-19 pandemic</w:t>
      </w:r>
      <w:r w:rsidR="003D555A" w:rsidRPr="00903F9D">
        <w:t>.</w:t>
      </w:r>
      <w:r w:rsidRPr="00903F9D">
        <w:t xml:space="preserve"> </w:t>
      </w:r>
      <w:r w:rsidR="00AF133F" w:rsidRPr="00903F9D">
        <w:t xml:space="preserve">The assumption of no growth was not supported based on 4 years of utilisation data which demonstrated that, on average, there has been a 5% increase in utilisation per year since </w:t>
      </w:r>
      <w:r w:rsidR="001F739C" w:rsidRPr="00903F9D">
        <w:t xml:space="preserve">January </w:t>
      </w:r>
      <w:r w:rsidR="00AF133F" w:rsidRPr="00903F9D">
        <w:t>2018</w:t>
      </w:r>
      <w:r w:rsidR="001F739C" w:rsidRPr="00903F9D">
        <w:t xml:space="preserve"> to December </w:t>
      </w:r>
      <w:r w:rsidR="00AF133F" w:rsidRPr="00903F9D">
        <w:t>2021 (MBS items 12320 and 12322 were listed on 1 November 2017</w:t>
      </w:r>
      <w:r w:rsidRPr="00903F9D">
        <w:t>)</w:t>
      </w:r>
      <w:r w:rsidR="00C45681" w:rsidRPr="00903F9D">
        <w:rPr>
          <w:rStyle w:val="FootnoteReference"/>
        </w:rPr>
        <w:footnoteReference w:id="22"/>
      </w:r>
      <w:r w:rsidRPr="00903F9D">
        <w:t>.</w:t>
      </w:r>
    </w:p>
    <w:p w14:paraId="5E3FED67" w14:textId="77777777" w:rsidR="004B360E" w:rsidRPr="00903F9D" w:rsidRDefault="004B360E" w:rsidP="00DC4305">
      <w:pPr>
        <w:pStyle w:val="ListParagraph"/>
        <w:numPr>
          <w:ilvl w:val="0"/>
          <w:numId w:val="15"/>
        </w:numPr>
      </w:pPr>
      <w:r w:rsidRPr="00903F9D">
        <w:t>MBS 85% fee benefit level assumed for REMS and DXA. The MBS benefit fee would equate to $90.57 (85%*$106.55)</w:t>
      </w:r>
      <w:r w:rsidR="00C45681" w:rsidRPr="00903F9D">
        <w:t>.</w:t>
      </w:r>
    </w:p>
    <w:p w14:paraId="55836A59" w14:textId="3BB601B2" w:rsidR="004B360E" w:rsidRPr="00903F9D" w:rsidRDefault="004B360E" w:rsidP="00DC4305">
      <w:pPr>
        <w:pStyle w:val="ListParagraph"/>
        <w:numPr>
          <w:ilvl w:val="0"/>
          <w:numId w:val="15"/>
        </w:numPr>
      </w:pPr>
      <w:r w:rsidRPr="00903F9D">
        <w:lastRenderedPageBreak/>
        <w:t xml:space="preserve">There </w:t>
      </w:r>
      <w:r w:rsidR="003D555A" w:rsidRPr="00903F9D">
        <w:t xml:space="preserve">were </w:t>
      </w:r>
      <w:r w:rsidRPr="00903F9D">
        <w:t>no other MBS cost offsets assumed. Th</w:t>
      </w:r>
      <w:r w:rsidR="00FE3BE1" w:rsidRPr="00903F9D">
        <w:t>e commentary noted that th</w:t>
      </w:r>
      <w:r w:rsidRPr="00903F9D">
        <w:t xml:space="preserve">is </w:t>
      </w:r>
      <w:r w:rsidR="003D555A" w:rsidRPr="00903F9D">
        <w:t>was</w:t>
      </w:r>
      <w:r w:rsidRPr="00903F9D">
        <w:t xml:space="preserve"> reasonable.</w:t>
      </w:r>
    </w:p>
    <w:p w14:paraId="2D93C1AF" w14:textId="7C9DB5D8" w:rsidR="004B360E" w:rsidRPr="00903F9D" w:rsidRDefault="004B360E" w:rsidP="00DC4305">
      <w:pPr>
        <w:pStyle w:val="ListParagraph"/>
        <w:numPr>
          <w:ilvl w:val="0"/>
          <w:numId w:val="15"/>
        </w:numPr>
      </w:pPr>
      <w:r w:rsidRPr="00903F9D">
        <w:t xml:space="preserve">No financial impact on other health budgets </w:t>
      </w:r>
      <w:r w:rsidR="003D555A" w:rsidRPr="00903F9D">
        <w:t xml:space="preserve">was </w:t>
      </w:r>
      <w:r w:rsidRPr="00903F9D">
        <w:t xml:space="preserve">assumed. This </w:t>
      </w:r>
      <w:r w:rsidR="003D555A" w:rsidRPr="00903F9D">
        <w:t xml:space="preserve">was </w:t>
      </w:r>
      <w:r w:rsidRPr="00903F9D">
        <w:t>reasonable</w:t>
      </w:r>
      <w:r w:rsidR="001F739C" w:rsidRPr="00903F9D">
        <w:t>, noting that more cases could be identified if REMS is to be accessed by patients for which DXA was not suitable/not accessible and would require PBS treatments</w:t>
      </w:r>
      <w:r w:rsidRPr="00903F9D">
        <w:t>.</w:t>
      </w:r>
    </w:p>
    <w:p w14:paraId="2A9A1A28" w14:textId="32AE7F04" w:rsidR="001314EC" w:rsidRPr="00903F9D" w:rsidRDefault="005F207A" w:rsidP="00DC4305">
      <w:pPr>
        <w:pStyle w:val="ListParagraph"/>
        <w:numPr>
          <w:ilvl w:val="0"/>
          <w:numId w:val="15"/>
        </w:numPr>
      </w:pPr>
      <w:r w:rsidRPr="00903F9D">
        <w:t xml:space="preserve">The ADAR assumed an </w:t>
      </w:r>
      <w:r w:rsidR="006844EA" w:rsidRPr="00903F9D">
        <w:t xml:space="preserve">uptake </w:t>
      </w:r>
      <w:r w:rsidRPr="00903F9D">
        <w:t xml:space="preserve">of </w:t>
      </w:r>
      <w:r w:rsidR="006844EA" w:rsidRPr="00903F9D">
        <w:t xml:space="preserve">5% of current DXA scans in year 1, increasing gradually to 15% by year 6. </w:t>
      </w:r>
      <w:r w:rsidR="00BB0B44" w:rsidRPr="00903F9D">
        <w:t>The estimation of uptake was not justified in the ADAR nor supported by any data, although possibly low due to potential limited number of devices currently available in Australia</w:t>
      </w:r>
      <w:r w:rsidR="006844EA" w:rsidRPr="00903F9D">
        <w:t>.</w:t>
      </w:r>
      <w:r w:rsidR="00DC31ED" w:rsidRPr="00903F9D">
        <w:t xml:space="preserve"> </w:t>
      </w:r>
      <w:r w:rsidR="009D439D" w:rsidRPr="00903F9D">
        <w:t>T</w:t>
      </w:r>
      <w:r w:rsidR="00F97C0B" w:rsidRPr="00903F9D">
        <w:t>he uptake rate was assumed the same for all MBS items sought, which may not be reasonable.</w:t>
      </w:r>
    </w:p>
    <w:p w14:paraId="1F198CCA" w14:textId="46C1E4AF" w:rsidR="004B360E" w:rsidRPr="00903F9D" w:rsidRDefault="004E2EE3" w:rsidP="0092090E">
      <w:r w:rsidRPr="00903F9D">
        <w:t xml:space="preserve">Overall, the </w:t>
      </w:r>
      <w:r w:rsidR="00096D01" w:rsidRPr="00903F9D">
        <w:t>base case (1:1 substit</w:t>
      </w:r>
      <w:r w:rsidR="001E7ECF" w:rsidRPr="00903F9D">
        <w:t>ut</w:t>
      </w:r>
      <w:r w:rsidR="00096D01" w:rsidRPr="00903F9D">
        <w:t>ion of DXA with REMS) showed a zero net financial impact</w:t>
      </w:r>
      <w:r w:rsidR="001E7ECF" w:rsidRPr="00903F9D">
        <w:t xml:space="preserve">. The ADAR additional market growth scenario </w:t>
      </w:r>
      <w:r w:rsidRPr="00903F9D">
        <w:t xml:space="preserve">results </w:t>
      </w:r>
      <w:r w:rsidR="00096D01" w:rsidRPr="00903F9D">
        <w:t xml:space="preserve">suggested </w:t>
      </w:r>
      <w:r w:rsidRPr="00903F9D">
        <w:t xml:space="preserve">that the impact on the </w:t>
      </w:r>
      <w:r w:rsidR="00096D01" w:rsidRPr="00903F9D">
        <w:t>MBS</w:t>
      </w:r>
      <w:r w:rsidRPr="00903F9D">
        <w:t xml:space="preserve">, would </w:t>
      </w:r>
      <w:r w:rsidR="00801F0D" w:rsidRPr="00903F9D">
        <w:t xml:space="preserve">be </w:t>
      </w:r>
      <w:r w:rsidRPr="00903F9D">
        <w:t>minimal</w:t>
      </w:r>
      <w:r w:rsidR="00801F0D" w:rsidRPr="00903F9D">
        <w:t>,</w:t>
      </w:r>
      <w:r w:rsidRPr="00903F9D">
        <w:t xml:space="preserve"> </w:t>
      </w:r>
      <w:r w:rsidR="00801F0D" w:rsidRPr="00903F9D">
        <w:t>increasing the</w:t>
      </w:r>
      <w:r w:rsidRPr="00903F9D">
        <w:t xml:space="preserve"> total MBS spend </w:t>
      </w:r>
      <w:r w:rsidR="00801F0D" w:rsidRPr="00903F9D">
        <w:t>by</w:t>
      </w:r>
      <w:r w:rsidRPr="00903F9D">
        <w:t xml:space="preserve"> 0.37% in Year 1 to 1.13% in Year 6.</w:t>
      </w:r>
      <w:r w:rsidR="009E5193" w:rsidRPr="00903F9D">
        <w:t xml:space="preserve"> </w:t>
      </w:r>
      <w:r w:rsidR="001E7ECF" w:rsidRPr="00903F9D">
        <w:t xml:space="preserve">This scenario assumed a 7.5% increase in the total REMS scan (not a 7.5% growth of the total BMD scan market so only equated to a 0.37%-1.13% increase in total BMD scans) and </w:t>
      </w:r>
      <w:r w:rsidR="00B07530" w:rsidRPr="00903F9D">
        <w:t xml:space="preserve">this assumption was </w:t>
      </w:r>
      <w:r w:rsidR="001E7ECF" w:rsidRPr="00903F9D">
        <w:t>not supported by an</w:t>
      </w:r>
      <w:r w:rsidR="00B07530" w:rsidRPr="00903F9D">
        <w:t>y</w:t>
      </w:r>
      <w:r w:rsidR="001E7ECF" w:rsidRPr="00903F9D">
        <w:t xml:space="preserve"> data</w:t>
      </w:r>
      <w:r w:rsidR="00B07530" w:rsidRPr="00903F9D">
        <w:t>.</w:t>
      </w:r>
    </w:p>
    <w:p w14:paraId="20BE6A8E" w14:textId="10ECA20E" w:rsidR="003C682F" w:rsidRPr="00903F9D" w:rsidRDefault="006844EA" w:rsidP="003C682F">
      <w:r w:rsidRPr="00903F9D">
        <w:t xml:space="preserve">The potential financial impact of an increase in total DXA and REMS tests due to use by new patient populations </w:t>
      </w:r>
      <w:r w:rsidR="00FE6CF4" w:rsidRPr="00903F9D">
        <w:t xml:space="preserve">(residential aged care facility, rural and remote setting) </w:t>
      </w:r>
      <w:r w:rsidRPr="00903F9D">
        <w:t>who could</w:t>
      </w:r>
      <w:r w:rsidR="00840F20" w:rsidRPr="00903F9D">
        <w:t xml:space="preserve"> not</w:t>
      </w:r>
      <w:r w:rsidRPr="00903F9D">
        <w:t xml:space="preserve"> access DXA or for whom DXA was not suitable was assumed </w:t>
      </w:r>
      <w:r w:rsidR="001055A2" w:rsidRPr="00903F9D">
        <w:t xml:space="preserve">as a </w:t>
      </w:r>
      <w:r w:rsidRPr="00903F9D">
        <w:t>7.5% increase in the total REMS tests. The estimated financial cost over 6 years would be minimal, equating to a maximum 1.6% of total MBS spend on REMS/DXA by year 6.</w:t>
      </w:r>
      <w:r w:rsidRPr="00903F9D">
        <w:rPr>
          <w:color w:val="5B9BD5" w:themeColor="accent1"/>
        </w:rPr>
        <w:t xml:space="preserve"> </w:t>
      </w:r>
      <w:r w:rsidRPr="00903F9D">
        <w:t xml:space="preserve">The use of 7.5% to quantify the potential increase service utilisation due to the availability of REMS was not supported by any data. </w:t>
      </w:r>
      <w:r w:rsidR="003C682F" w:rsidRPr="00903F9D">
        <w:t xml:space="preserve">However, it is possible that the potential increased mobility of the REMS service may increase service utilisation. </w:t>
      </w:r>
      <w:r w:rsidR="009D439D" w:rsidRPr="00903F9D">
        <w:t xml:space="preserve">The commentary </w:t>
      </w:r>
      <w:r w:rsidR="003C682F" w:rsidRPr="00903F9D">
        <w:t xml:space="preserve">noted that “PASC noted that while DXA is not portable, it is currently delivered in rural and remote areas, including via mobile units” p.12, </w:t>
      </w:r>
      <w:r w:rsidR="00801F0D" w:rsidRPr="00903F9D">
        <w:t xml:space="preserve">MSAC 1665 </w:t>
      </w:r>
      <w:hyperlink r:id="rId55" w:history="1">
        <w:r w:rsidR="0057751D" w:rsidRPr="00903F9D">
          <w:rPr>
            <w:rStyle w:val="Hyperlink"/>
          </w:rPr>
          <w:t>PICO confirmation</w:t>
        </w:r>
      </w:hyperlink>
      <w:r w:rsidR="003C682F" w:rsidRPr="00903F9D">
        <w:t>. Th</w:t>
      </w:r>
      <w:r w:rsidR="00801F0D" w:rsidRPr="00903F9D">
        <w:t>e</w:t>
      </w:r>
      <w:r w:rsidR="003C682F" w:rsidRPr="00903F9D">
        <w:t xml:space="preserve"> overall impact on the </w:t>
      </w:r>
      <w:r w:rsidR="00BE1323" w:rsidRPr="00903F9D">
        <w:t>governments’ h</w:t>
      </w:r>
      <w:r w:rsidR="003C682F" w:rsidRPr="00903F9D">
        <w:t xml:space="preserve">ealth </w:t>
      </w:r>
      <w:r w:rsidR="00BE1323" w:rsidRPr="00903F9D">
        <w:t>b</w:t>
      </w:r>
      <w:r w:rsidR="003C682F" w:rsidRPr="00903F9D">
        <w:t>udget would be higher if:</w:t>
      </w:r>
    </w:p>
    <w:p w14:paraId="6E4B942C" w14:textId="49561CD3" w:rsidR="00377A2C" w:rsidRPr="00903F9D" w:rsidRDefault="003C682F" w:rsidP="00DC4305">
      <w:pPr>
        <w:pStyle w:val="ListParagraph"/>
        <w:numPr>
          <w:ilvl w:val="0"/>
          <w:numId w:val="15"/>
        </w:numPr>
      </w:pPr>
      <w:r w:rsidRPr="00903F9D">
        <w:t>The</w:t>
      </w:r>
      <w:r w:rsidR="00663096" w:rsidRPr="00903F9D">
        <w:t>re</w:t>
      </w:r>
      <w:r w:rsidRPr="00903F9D">
        <w:t xml:space="preserve"> is a larger than 7.5% increase in REMS services due to unmet need from patients with metal prostheses, residential aged care facilities and rural/remote communities.</w:t>
      </w:r>
    </w:p>
    <w:p w14:paraId="193F3D84" w14:textId="66FDE222" w:rsidR="0049630E" w:rsidRPr="00903F9D" w:rsidRDefault="003C682F" w:rsidP="00DC4305">
      <w:pPr>
        <w:pStyle w:val="ListParagraph"/>
        <w:numPr>
          <w:ilvl w:val="0"/>
          <w:numId w:val="15"/>
        </w:numPr>
      </w:pPr>
      <w:r w:rsidRPr="00903F9D">
        <w:t xml:space="preserve">Having an additional BMD testing modality available on the MBS increases the rate of BMD testing considering the </w:t>
      </w:r>
      <w:r w:rsidR="00663096" w:rsidRPr="00903F9D">
        <w:t xml:space="preserve">current </w:t>
      </w:r>
      <w:r w:rsidRPr="00903F9D">
        <w:t xml:space="preserve">underdiagnosis of osteoporosis as </w:t>
      </w:r>
      <w:r w:rsidR="00640832" w:rsidRPr="00903F9D">
        <w:t xml:space="preserve">stated in the </w:t>
      </w:r>
      <w:r w:rsidR="009E5193" w:rsidRPr="00903F9D">
        <w:t>‘</w:t>
      </w:r>
      <w:hyperlink r:id="rId56" w:anchor=":~:text=Description%3A%20The%20National%20Strategic%20Action%20Plan%20for%20Osteoporosis,actions%20for%20addressing%20Australia%E2%80%99s%20growing%20challenge%20of%20osteoporosis." w:history="1">
        <w:r w:rsidR="0057751D" w:rsidRPr="00903F9D">
          <w:rPr>
            <w:rStyle w:val="Hyperlink"/>
          </w:rPr>
          <w:t>National Strategic Action Plan for Osteoporosis 2019</w:t>
        </w:r>
      </w:hyperlink>
      <w:r w:rsidR="009E5193" w:rsidRPr="00903F9D">
        <w:t>’</w:t>
      </w:r>
      <w:r w:rsidRPr="00903F9D">
        <w:t>.</w:t>
      </w:r>
    </w:p>
    <w:p w14:paraId="6EB6EF40" w14:textId="34D9285D" w:rsidR="00221774" w:rsidRPr="00903F9D" w:rsidRDefault="00221774" w:rsidP="006844EA">
      <w:r w:rsidRPr="00903F9D">
        <w:t>The pre-</w:t>
      </w:r>
      <w:r w:rsidR="00FE3BE1" w:rsidRPr="00903F9D">
        <w:t>MSAC</w:t>
      </w:r>
      <w:r w:rsidRPr="00903F9D">
        <w:t xml:space="preserve"> response acknowledged the 7.5% estimate is subjective but stated that these are small patient populations who at a high need but unable to access DXA testing and so REMS may be clinically important for these patients, however the growth in usage of a new technology will likely take time.</w:t>
      </w:r>
    </w:p>
    <w:p w14:paraId="24EB1D86" w14:textId="51E611B5" w:rsidR="006844EA" w:rsidRPr="00903F9D" w:rsidRDefault="00A24640" w:rsidP="006844EA">
      <w:r w:rsidRPr="00903F9D">
        <w:t xml:space="preserve">Co-payments were not estimated in the ADAR. </w:t>
      </w:r>
      <w:r w:rsidR="00F1329D" w:rsidRPr="00903F9D">
        <w:t>The ADAR assumed that s</w:t>
      </w:r>
      <w:r w:rsidR="006844EA" w:rsidRPr="00903F9D">
        <w:t>ome patients who undergo DXA scans face ‘out of pocket’ costs</w:t>
      </w:r>
      <w:r w:rsidR="00F1329D" w:rsidRPr="00903F9D">
        <w:t xml:space="preserve"> and</w:t>
      </w:r>
      <w:r w:rsidR="006844EA" w:rsidRPr="00903F9D">
        <w:t xml:space="preserve"> it </w:t>
      </w:r>
      <w:r w:rsidR="001055A2" w:rsidRPr="00903F9D">
        <w:t xml:space="preserve">was </w:t>
      </w:r>
      <w:r w:rsidR="006844EA" w:rsidRPr="00903F9D">
        <w:t xml:space="preserve">possible that some providers may also apply an ‘out of pocket’ cost to REMS services. </w:t>
      </w:r>
      <w:r w:rsidR="00F1329D" w:rsidRPr="00903F9D">
        <w:t>The ADAR assumed that t</w:t>
      </w:r>
      <w:r w:rsidR="006844EA" w:rsidRPr="00903F9D">
        <w:t xml:space="preserve">here </w:t>
      </w:r>
      <w:r w:rsidR="00F1329D" w:rsidRPr="00903F9D">
        <w:t>wa</w:t>
      </w:r>
      <w:r w:rsidR="006844EA" w:rsidRPr="00903F9D">
        <w:t>s no reason to expect that this would be higher for REMS than DXA.</w:t>
      </w:r>
    </w:p>
    <w:p w14:paraId="6AD85FFD" w14:textId="26BF1857" w:rsidR="003F2554" w:rsidRPr="00903F9D" w:rsidRDefault="003F2554" w:rsidP="006844EA">
      <w:r w:rsidRPr="00903F9D">
        <w:t xml:space="preserve">Although, REMS is meant to be an alternative to DXA, it is possible that some patients may receive both, a REMS and DXA scan; however, only one item may be claimed within the restricted </w:t>
      </w:r>
      <w:proofErr w:type="gramStart"/>
      <w:r w:rsidRPr="00903F9D">
        <w:t>time period</w:t>
      </w:r>
      <w:proofErr w:type="gramEnd"/>
      <w:r w:rsidRPr="00903F9D">
        <w:t xml:space="preserve">. </w:t>
      </w:r>
      <w:r w:rsidRPr="00903F9D">
        <w:rPr>
          <w:iCs/>
        </w:rPr>
        <w:t>The ADAR stated that the greater portability of REMS compared with DXA also means that utilisation in rural and remote settings (</w:t>
      </w:r>
      <w:proofErr w:type="gramStart"/>
      <w:r w:rsidRPr="00903F9D">
        <w:rPr>
          <w:iCs/>
        </w:rPr>
        <w:t>e.g.</w:t>
      </w:r>
      <w:proofErr w:type="gramEnd"/>
      <w:r w:rsidRPr="00903F9D">
        <w:rPr>
          <w:iCs/>
        </w:rPr>
        <w:t xml:space="preserve"> remote indigenous communities) may occur. REMS may also be suitable for people who, because of disability or physical limitations, cannot undertake a DXA scan, but are suitable for REMS. While these factors may increase the population in whom it could be used, it is not expected to result in a substantial increase. The ADAR considered that it was appropriate to not consider this as leakage, </w:t>
      </w:r>
      <w:r w:rsidR="009D439D" w:rsidRPr="00903F9D">
        <w:rPr>
          <w:iCs/>
        </w:rPr>
        <w:t xml:space="preserve">the commentary </w:t>
      </w:r>
      <w:r w:rsidRPr="00903F9D">
        <w:rPr>
          <w:iCs/>
        </w:rPr>
        <w:t xml:space="preserve">noted </w:t>
      </w:r>
      <w:r w:rsidRPr="00903F9D">
        <w:rPr>
          <w:iCs/>
        </w:rPr>
        <w:lastRenderedPageBreak/>
        <w:t>that this would have implications on utilisation as the size of the eligible population would increase.</w:t>
      </w:r>
    </w:p>
    <w:p w14:paraId="09E7639A" w14:textId="77777777" w:rsidR="00A03568" w:rsidRPr="00903F9D" w:rsidRDefault="00A03568" w:rsidP="00BE1323">
      <w:pPr>
        <w:keepNext/>
      </w:pPr>
      <w:r w:rsidRPr="00903F9D">
        <w:t>Overall, the financial impact may be underestimated due to:</w:t>
      </w:r>
    </w:p>
    <w:p w14:paraId="0CE4B3A3" w14:textId="323FC20E" w:rsidR="006844EA" w:rsidRPr="00903F9D" w:rsidRDefault="00947BF7" w:rsidP="00DC4305">
      <w:pPr>
        <w:pStyle w:val="ListParagraph"/>
        <w:numPr>
          <w:ilvl w:val="0"/>
          <w:numId w:val="18"/>
        </w:numPr>
      </w:pPr>
      <w:r w:rsidRPr="00903F9D">
        <w:t>T</w:t>
      </w:r>
      <w:r w:rsidR="00A03568" w:rsidRPr="00903F9D">
        <w:t>he use by new patient populations who could not access DXA including patients living in rural/remote areas, patients with mobility issues living in aged care facilities, and metal protheses.</w:t>
      </w:r>
    </w:p>
    <w:p w14:paraId="3CCC1988" w14:textId="0C15772F" w:rsidR="003C682F" w:rsidRPr="00903F9D" w:rsidRDefault="003C682F" w:rsidP="00DC4305">
      <w:pPr>
        <w:pStyle w:val="ListParagraph"/>
        <w:numPr>
          <w:ilvl w:val="0"/>
          <w:numId w:val="18"/>
        </w:numPr>
      </w:pPr>
      <w:r w:rsidRPr="00903F9D">
        <w:t xml:space="preserve">Only considering a 1:1 substitution of REMS/DXA. The cost neutral approach does not consider the possibility of repeat testing </w:t>
      </w:r>
      <w:r w:rsidR="007C1372" w:rsidRPr="00903F9D">
        <w:t>with</w:t>
      </w:r>
      <w:r w:rsidRPr="00903F9D">
        <w:t xml:space="preserve"> DXA or vice versa. </w:t>
      </w:r>
      <w:r w:rsidR="009D439D" w:rsidRPr="00903F9D">
        <w:t xml:space="preserve">The commentary </w:t>
      </w:r>
      <w:r w:rsidRPr="00903F9D">
        <w:t>noted that these will likely represent exceptions as it is anticipated that REMS and DXA services will include appropriate claiming restrictions.</w:t>
      </w:r>
    </w:p>
    <w:p w14:paraId="7CFC3B69" w14:textId="76941518" w:rsidR="00A03568" w:rsidRPr="00903F9D" w:rsidRDefault="00A03568" w:rsidP="00DC4305">
      <w:pPr>
        <w:pStyle w:val="ListParagraph"/>
        <w:numPr>
          <w:ilvl w:val="0"/>
          <w:numId w:val="18"/>
        </w:numPr>
      </w:pPr>
      <w:r w:rsidRPr="00903F9D">
        <w:t xml:space="preserve">The assumption of no market growth based on 3-years of utilisation data for DXA MBS items. Given that market growth was observed in the last </w:t>
      </w:r>
      <w:r w:rsidR="00BB0B44" w:rsidRPr="00903F9D">
        <w:t>4</w:t>
      </w:r>
      <w:r w:rsidR="003C682F" w:rsidRPr="00903F9D">
        <w:t xml:space="preserve"> </w:t>
      </w:r>
      <w:r w:rsidRPr="00903F9D">
        <w:t xml:space="preserve">years for the MBS items, the assumption of no </w:t>
      </w:r>
      <w:r w:rsidR="00493C19" w:rsidRPr="00903F9D">
        <w:t xml:space="preserve">additional </w:t>
      </w:r>
      <w:r w:rsidRPr="00903F9D">
        <w:t xml:space="preserve">market growth may represent an underestimation of utilisation. </w:t>
      </w:r>
      <w:r w:rsidR="003C682F" w:rsidRPr="00903F9D">
        <w:t xml:space="preserve">Under a scenario that the listing of REMS grows the market and is not a complete 1:1 substitution with DXA, then this will have implications for the </w:t>
      </w:r>
      <w:r w:rsidR="00493C19" w:rsidRPr="00903F9D">
        <w:t>MBS</w:t>
      </w:r>
      <w:r w:rsidR="003C682F" w:rsidRPr="00903F9D">
        <w:t xml:space="preserve"> </w:t>
      </w:r>
      <w:r w:rsidR="00493C19" w:rsidRPr="00903F9D">
        <w:t>b</w:t>
      </w:r>
      <w:r w:rsidR="003C682F" w:rsidRPr="00903F9D">
        <w:t>udget.</w:t>
      </w:r>
    </w:p>
    <w:p w14:paraId="73803682" w14:textId="0709F0E9" w:rsidR="00772829" w:rsidRPr="00903F9D" w:rsidRDefault="00C36633" w:rsidP="002A18BE">
      <w:pPr>
        <w:pStyle w:val="Heading2"/>
        <w:numPr>
          <w:ilvl w:val="0"/>
          <w:numId w:val="0"/>
        </w:numPr>
      </w:pPr>
      <w:bookmarkStart w:id="47" w:name="_Toc69491427"/>
      <w:r w:rsidRPr="00903F9D">
        <w:t>1</w:t>
      </w:r>
      <w:r w:rsidR="00EB62FF" w:rsidRPr="00903F9D">
        <w:t>5</w:t>
      </w:r>
      <w:r w:rsidRPr="00903F9D">
        <w:t>.</w:t>
      </w:r>
      <w:r w:rsidRPr="00903F9D">
        <w:tab/>
      </w:r>
      <w:r w:rsidR="00772829" w:rsidRPr="00903F9D">
        <w:t xml:space="preserve">Other relevant </w:t>
      </w:r>
      <w:bookmarkEnd w:id="47"/>
      <w:r w:rsidR="00FA5766" w:rsidRPr="00903F9D">
        <w:t>information</w:t>
      </w:r>
    </w:p>
    <w:p w14:paraId="18B813BD" w14:textId="77777777" w:rsidR="004B3559" w:rsidRPr="00903F9D" w:rsidRDefault="004B3559" w:rsidP="00F54EEE">
      <w:pPr>
        <w:pStyle w:val="Heading4"/>
      </w:pPr>
      <w:r w:rsidRPr="00903F9D">
        <w:t>Responses to PICO comments about REMS operator training</w:t>
      </w:r>
    </w:p>
    <w:p w14:paraId="68D9EC89" w14:textId="23AA16D4" w:rsidR="004B3559" w:rsidRPr="00903F9D" w:rsidRDefault="00947BF7" w:rsidP="004B3559">
      <w:r w:rsidRPr="00903F9D">
        <w:t>The applicant advised it</w:t>
      </w:r>
      <w:r w:rsidR="004B3559" w:rsidRPr="00903F9D">
        <w:t xml:space="preserve"> is open to dialogue with the </w:t>
      </w:r>
      <w:bookmarkStart w:id="48" w:name="_Hlk96681650"/>
      <w:r w:rsidR="004B3559" w:rsidRPr="00903F9D">
        <w:t>relevant professional societies to develop and have accredited a training platform for REMS technology</w:t>
      </w:r>
      <w:bookmarkEnd w:id="48"/>
      <w:r w:rsidR="004B3559" w:rsidRPr="00903F9D">
        <w:t xml:space="preserve">. </w:t>
      </w:r>
      <w:r w:rsidR="007838A0" w:rsidRPr="00903F9D">
        <w:t>The ADAR stated that a</w:t>
      </w:r>
      <w:r w:rsidR="004B3559" w:rsidRPr="00903F9D">
        <w:t>t this stage, it is unclear as to which of these professional bodies are best to initiate discussions with as there is the potential for various specialities to utilise REMS technology. Certainly, the training platform for specialists (endocrinology) will be different to that structured for general practice or regional/remote medical services. Indeed</w:t>
      </w:r>
      <w:r w:rsidR="00A74695" w:rsidRPr="00903F9D">
        <w:t>,</w:t>
      </w:r>
      <w:r w:rsidR="004B3559" w:rsidRPr="00903F9D">
        <w:t xml:space="preserve"> having a single training platform comprised of various modules could easily be tailored across these different disciplines depending on their base knowledge of bone architecture, osteoporosis, fracture risk, ultrasound etc.</w:t>
      </w:r>
    </w:p>
    <w:p w14:paraId="0B542A6D" w14:textId="1410ECB8" w:rsidR="00D97A71" w:rsidRPr="00903F9D" w:rsidRDefault="00C6669F" w:rsidP="004B3559">
      <w:r w:rsidRPr="00903F9D">
        <w:t>The ADAR indicated that t</w:t>
      </w:r>
      <w:r w:rsidR="004B3559" w:rsidRPr="00903F9D">
        <w:t>he applicant ha</w:t>
      </w:r>
      <w:r w:rsidRPr="00903F9D">
        <w:t>d</w:t>
      </w:r>
      <w:r w:rsidR="004B3559" w:rsidRPr="00903F9D">
        <w:t xml:space="preserve"> not commenced these activities a</w:t>
      </w:r>
      <w:r w:rsidR="00D13EE0" w:rsidRPr="00903F9D">
        <w:t>nd noted that p</w:t>
      </w:r>
      <w:r w:rsidR="004B3559" w:rsidRPr="00903F9D">
        <w:t>ost</w:t>
      </w:r>
      <w:r w:rsidR="007E6C45" w:rsidRPr="00903F9D">
        <w:t xml:space="preserve"> </w:t>
      </w:r>
      <w:r w:rsidR="004B3559" w:rsidRPr="00903F9D">
        <w:t>submission discussions with these groups</w:t>
      </w:r>
      <w:r w:rsidR="00D13EE0" w:rsidRPr="00903F9D">
        <w:t xml:space="preserve"> would begin</w:t>
      </w:r>
      <w:r w:rsidR="004B3559" w:rsidRPr="00903F9D">
        <w:t xml:space="preserve"> </w:t>
      </w:r>
      <w:r w:rsidR="00D13EE0" w:rsidRPr="00903F9D">
        <w:t>with progress updates provided to</w:t>
      </w:r>
      <w:r w:rsidR="004B3559" w:rsidRPr="00903F9D">
        <w:t xml:space="preserve"> MSAC.</w:t>
      </w:r>
    </w:p>
    <w:p w14:paraId="36EC453B" w14:textId="77777777" w:rsidR="00652A17" w:rsidRPr="00903F9D" w:rsidRDefault="00652A17" w:rsidP="004B3559">
      <w:r w:rsidRPr="00903F9D">
        <w:t xml:space="preserve">There are </w:t>
      </w:r>
      <w:proofErr w:type="gramStart"/>
      <w:r w:rsidRPr="00903F9D">
        <w:t>a number of</w:t>
      </w:r>
      <w:proofErr w:type="gramEnd"/>
      <w:r w:rsidRPr="00903F9D">
        <w:t xml:space="preserve"> issues remaining regarding the REMS operator training:</w:t>
      </w:r>
    </w:p>
    <w:p w14:paraId="2128B3AA" w14:textId="14776429" w:rsidR="00652A17" w:rsidRPr="00903F9D" w:rsidRDefault="004B3559" w:rsidP="00DC4305">
      <w:pPr>
        <w:pStyle w:val="ListParagraph"/>
        <w:numPr>
          <w:ilvl w:val="0"/>
          <w:numId w:val="17"/>
        </w:numPr>
      </w:pPr>
      <w:r w:rsidRPr="00903F9D">
        <w:t>The lack of clarity around the health care professionals that will be conducting the REMS</w:t>
      </w:r>
      <w:r w:rsidR="00CB1C65" w:rsidRPr="00903F9D">
        <w:t xml:space="preserve"> </w:t>
      </w:r>
      <w:r w:rsidRPr="00903F9D">
        <w:t xml:space="preserve">has implications for </w:t>
      </w:r>
      <w:r w:rsidR="00652A17" w:rsidRPr="00903F9D">
        <w:t>use of the REMS device and subsequent claiming of the MBS item</w:t>
      </w:r>
      <w:r w:rsidRPr="00903F9D">
        <w:t xml:space="preserve">. </w:t>
      </w:r>
      <w:r w:rsidR="00652A17" w:rsidRPr="00903F9D">
        <w:t>This is</w:t>
      </w:r>
      <w:r w:rsidR="00A74695" w:rsidRPr="00903F9D">
        <w:t xml:space="preserve"> likely</w:t>
      </w:r>
      <w:r w:rsidR="00652A17" w:rsidRPr="00903F9D">
        <w:t xml:space="preserve"> related to the lack of support from professional societies during the consultation feedback.</w:t>
      </w:r>
    </w:p>
    <w:p w14:paraId="31814252" w14:textId="77777777" w:rsidR="00652A17" w:rsidRPr="00903F9D" w:rsidRDefault="00652A17" w:rsidP="00DC4305">
      <w:pPr>
        <w:pStyle w:val="ListParagraph"/>
        <w:numPr>
          <w:ilvl w:val="0"/>
          <w:numId w:val="17"/>
        </w:numPr>
      </w:pPr>
      <w:r w:rsidRPr="00903F9D">
        <w:t xml:space="preserve">In terms of cost of training it is not clear who will pay for the training as it was not included in the cost-minimisation analysis. </w:t>
      </w:r>
      <w:bookmarkStart w:id="49" w:name="_Hlk101950109"/>
      <w:r w:rsidR="00D848F4" w:rsidRPr="00903F9D">
        <w:t>It may be reasonable to include</w:t>
      </w:r>
      <w:r w:rsidRPr="00903F9D">
        <w:t xml:space="preserve"> the cost of the training in the cost of the medical device purchase</w:t>
      </w:r>
      <w:r w:rsidR="00D848F4" w:rsidRPr="00903F9D">
        <w:t xml:space="preserve">. </w:t>
      </w:r>
      <w:bookmarkEnd w:id="49"/>
      <w:r w:rsidRPr="00903F9D">
        <w:t xml:space="preserve">Further, the cost of </w:t>
      </w:r>
      <w:r w:rsidR="00D848F4" w:rsidRPr="00903F9D">
        <w:t xml:space="preserve">possible </w:t>
      </w:r>
      <w:r w:rsidRPr="00903F9D">
        <w:t xml:space="preserve">ongoing quality checks on training </w:t>
      </w:r>
      <w:r w:rsidR="00D848F4" w:rsidRPr="00903F9D">
        <w:t xml:space="preserve">were </w:t>
      </w:r>
      <w:r w:rsidRPr="00903F9D">
        <w:t>not discussed</w:t>
      </w:r>
      <w:r w:rsidR="00D848F4" w:rsidRPr="00903F9D">
        <w:t xml:space="preserve"> in the ADAR</w:t>
      </w:r>
      <w:r w:rsidRPr="00903F9D">
        <w:t>.</w:t>
      </w:r>
    </w:p>
    <w:p w14:paraId="43183ED4" w14:textId="104C0085" w:rsidR="00C6669F" w:rsidRPr="00903F9D" w:rsidRDefault="00652A17" w:rsidP="00DC4305">
      <w:pPr>
        <w:pStyle w:val="ListParagraph"/>
        <w:numPr>
          <w:ilvl w:val="0"/>
          <w:numId w:val="17"/>
        </w:numPr>
      </w:pPr>
      <w:r w:rsidRPr="00903F9D">
        <w:t xml:space="preserve">It </w:t>
      </w:r>
      <w:r w:rsidR="00CB1C65" w:rsidRPr="00903F9D">
        <w:t>is</w:t>
      </w:r>
      <w:r w:rsidR="00D848F4" w:rsidRPr="00903F9D">
        <w:t xml:space="preserve"> </w:t>
      </w:r>
      <w:r w:rsidRPr="00903F9D">
        <w:t>not possible to comment on the comprehensiveness of the proposed 3-day training program without endorsement advice by any professional society. Importantly, t</w:t>
      </w:r>
      <w:r w:rsidR="004B3559" w:rsidRPr="00903F9D">
        <w:t>he clinical evidence presented in the ADAR highlights the operator-dependency of the REMS technology</w:t>
      </w:r>
      <w:r w:rsidRPr="00903F9D">
        <w:t xml:space="preserve"> and there were varied exclusions of REMS scans dependent on</w:t>
      </w:r>
      <w:r w:rsidR="008419DA" w:rsidRPr="00903F9D">
        <w:t xml:space="preserve"> the</w:t>
      </w:r>
      <w:r w:rsidRPr="00903F9D">
        <w:t xml:space="preserve"> amount of training provided.</w:t>
      </w:r>
    </w:p>
    <w:p w14:paraId="567DB59B" w14:textId="09EE54DA" w:rsidR="00772829" w:rsidRPr="00903F9D" w:rsidRDefault="00C6669F" w:rsidP="007E6C45">
      <w:r w:rsidRPr="00903F9D">
        <w:t>The pre-</w:t>
      </w:r>
      <w:r w:rsidR="00FE3BE1" w:rsidRPr="00903F9D">
        <w:t>MSAC</w:t>
      </w:r>
      <w:r w:rsidRPr="00903F9D">
        <w:t xml:space="preserve"> response again indicated the applicant w</w:t>
      </w:r>
      <w:r w:rsidR="00BE1323" w:rsidRPr="00903F9D">
        <w:t>ould</w:t>
      </w:r>
      <w:r w:rsidRPr="00903F9D">
        <w:t xml:space="preserve"> work with any of the Societies who are keen to develop appropriate training programs but did not state whether progress ha</w:t>
      </w:r>
      <w:r w:rsidR="00493C19" w:rsidRPr="00903F9D">
        <w:t>d</w:t>
      </w:r>
      <w:r w:rsidRPr="00903F9D">
        <w:t xml:space="preserve"> been made to do so.</w:t>
      </w:r>
    </w:p>
    <w:p w14:paraId="1BA6C4CE" w14:textId="77777777" w:rsidR="00EB62FF" w:rsidRPr="00903F9D" w:rsidRDefault="00EB62FF" w:rsidP="00EB62FF">
      <w:pPr>
        <w:pStyle w:val="Heading2"/>
        <w:numPr>
          <w:ilvl w:val="0"/>
          <w:numId w:val="0"/>
        </w:numPr>
      </w:pPr>
      <w:r w:rsidRPr="00903F9D">
        <w:lastRenderedPageBreak/>
        <w:t>16.</w:t>
      </w:r>
      <w:r w:rsidRPr="00903F9D">
        <w:tab/>
        <w:t>Key issues from ESC to MSAC</w:t>
      </w:r>
    </w:p>
    <w:tbl>
      <w:tblPr>
        <w:tblStyle w:val="TableGrid"/>
        <w:tblW w:w="9209" w:type="dxa"/>
        <w:tblInd w:w="-147" w:type="dxa"/>
        <w:tblLook w:val="04A0" w:firstRow="1" w:lastRow="0" w:firstColumn="1" w:lastColumn="0" w:noHBand="0" w:noVBand="1"/>
      </w:tblPr>
      <w:tblGrid>
        <w:gridCol w:w="9209"/>
      </w:tblGrid>
      <w:tr w:rsidR="00EB62FF" w:rsidRPr="00903F9D" w14:paraId="75E0A770" w14:textId="77777777" w:rsidTr="00744CC3">
        <w:tc>
          <w:tcPr>
            <w:tcW w:w="9209" w:type="dxa"/>
          </w:tcPr>
          <w:p w14:paraId="10398B3D" w14:textId="77777777" w:rsidR="00EB62FF" w:rsidRPr="00903F9D" w:rsidRDefault="00EB62FF" w:rsidP="00744CC3">
            <w:pPr>
              <w:spacing w:before="240" w:after="240"/>
              <w:rPr>
                <w:rFonts w:eastAsia="Calibri" w:cs="Times New Roman"/>
                <w:b/>
                <w:bCs/>
                <w:sz w:val="24"/>
                <w:szCs w:val="24"/>
              </w:rPr>
            </w:pPr>
            <w:bookmarkStart w:id="50" w:name="_Hlk69734340"/>
            <w:r w:rsidRPr="00903F9D">
              <w:rPr>
                <w:rFonts w:eastAsia="Calibri" w:cs="Times New Roman"/>
                <w:b/>
                <w:bCs/>
                <w:sz w:val="24"/>
                <w:szCs w:val="24"/>
              </w:rPr>
              <w:t>Main issues for MSAC consideration</w:t>
            </w:r>
          </w:p>
          <w:p w14:paraId="0A9F6B78" w14:textId="77777777" w:rsidR="00EB62FF" w:rsidRPr="00903F9D" w:rsidRDefault="00EB62FF" w:rsidP="00744CC3">
            <w:pPr>
              <w:rPr>
                <w:rFonts w:eastAsia="Calibri" w:cs="Times New Roman"/>
                <w:b/>
              </w:rPr>
            </w:pPr>
            <w:r w:rsidRPr="00903F9D">
              <w:rPr>
                <w:rFonts w:eastAsia="Calibri" w:cs="Times New Roman"/>
                <w:b/>
              </w:rPr>
              <w:t>Clinical issues:</w:t>
            </w:r>
          </w:p>
          <w:p w14:paraId="20EA98F0" w14:textId="77777777" w:rsidR="00EB62FF" w:rsidRPr="00903F9D" w:rsidRDefault="00EB62FF" w:rsidP="00744CC3">
            <w:pPr>
              <w:pStyle w:val="ListParagraph"/>
              <w:numPr>
                <w:ilvl w:val="0"/>
                <w:numId w:val="25"/>
              </w:numPr>
              <w:spacing w:after="120"/>
              <w:rPr>
                <w:rFonts w:eastAsia="Calibri" w:cs="Times New Roman"/>
              </w:rPr>
            </w:pPr>
            <w:r w:rsidRPr="00903F9D">
              <w:rPr>
                <w:rFonts w:eastAsia="Calibri" w:cs="Times New Roman"/>
              </w:rPr>
              <w:t>The two key studies comparing the analytical performance of REMS and DXA presented two scenario analyses:</w:t>
            </w:r>
          </w:p>
          <w:p w14:paraId="62F9E775" w14:textId="77777777" w:rsidR="00EB62FF" w:rsidRPr="00903F9D" w:rsidRDefault="00EB62FF" w:rsidP="00744CC3">
            <w:pPr>
              <w:pStyle w:val="ListParagraph"/>
              <w:numPr>
                <w:ilvl w:val="1"/>
                <w:numId w:val="25"/>
              </w:numPr>
              <w:spacing w:after="120"/>
              <w:rPr>
                <w:rFonts w:eastAsia="Calibri" w:cs="Times New Roman"/>
              </w:rPr>
            </w:pPr>
            <w:r w:rsidRPr="00903F9D">
              <w:rPr>
                <w:rFonts w:eastAsia="Calibri" w:cs="Times New Roman"/>
              </w:rPr>
              <w:t>Quality checked scenario (“primary analysis”) – where both REMS and DXA scans with identified quality errors were excluded.</w:t>
            </w:r>
          </w:p>
          <w:p w14:paraId="28315D28" w14:textId="77777777" w:rsidR="00EB62FF" w:rsidRPr="00903F9D" w:rsidRDefault="00EB62FF" w:rsidP="00744CC3">
            <w:pPr>
              <w:pStyle w:val="ListParagraph"/>
              <w:numPr>
                <w:ilvl w:val="1"/>
                <w:numId w:val="25"/>
              </w:numPr>
              <w:spacing w:after="120"/>
              <w:rPr>
                <w:rFonts w:eastAsia="Calibri" w:cs="Times New Roman"/>
              </w:rPr>
            </w:pPr>
            <w:r w:rsidRPr="00903F9D">
              <w:rPr>
                <w:rFonts w:eastAsia="Calibri" w:cs="Times New Roman"/>
              </w:rPr>
              <w:t>Unchecked / real-life scenario (“supplementary analysis”) – where REMS scans with quality errors were not excluded while DXA scans with quality errors were excluded.</w:t>
            </w:r>
          </w:p>
          <w:p w14:paraId="08CF7F5B" w14:textId="77777777" w:rsidR="00EB62FF" w:rsidRPr="00903F9D" w:rsidRDefault="00EB62FF" w:rsidP="00744CC3">
            <w:pPr>
              <w:spacing w:after="120"/>
              <w:ind w:left="1080"/>
              <w:rPr>
                <w:rFonts w:eastAsia="Calibri" w:cs="Times New Roman"/>
              </w:rPr>
            </w:pPr>
            <w:r w:rsidRPr="00903F9D">
              <w:rPr>
                <w:rFonts w:eastAsia="Calibri" w:cs="Times New Roman"/>
              </w:rPr>
              <w:t>Until it can be confirmed how REMS scans with quality errors can be identified in practice, it may be preferable for MSAC to rely on the unchecked / real life scenario in the clinical and economic evaluations.</w:t>
            </w:r>
          </w:p>
          <w:p w14:paraId="1B5585E6" w14:textId="588D64EB" w:rsidR="00EB62FF" w:rsidRPr="00903F9D" w:rsidRDefault="00EB62FF" w:rsidP="00744CC3">
            <w:pPr>
              <w:pStyle w:val="ListParagraph"/>
              <w:numPr>
                <w:ilvl w:val="0"/>
                <w:numId w:val="25"/>
              </w:numPr>
              <w:spacing w:after="120"/>
              <w:rPr>
                <w:rFonts w:eastAsia="Calibri" w:cs="Times New Roman"/>
              </w:rPr>
            </w:pPr>
            <w:r w:rsidRPr="00903F9D">
              <w:rPr>
                <w:rFonts w:eastAsia="Calibri" w:cs="Times New Roman"/>
              </w:rPr>
              <w:t>Across the proposed eligible population (the majority being post-menopausal females), findings from the two studies support a conclusion that REMS has noninferior analytical performance (and thus noninferior effectiveness and noninferior safety) compared to DXA if REMS scans with quality errors are excluded from the analysis (the quality checked scenario).</w:t>
            </w:r>
          </w:p>
          <w:p w14:paraId="3AFE991A" w14:textId="77777777" w:rsidR="00EB62FF" w:rsidRPr="00903F9D" w:rsidRDefault="00EB62FF" w:rsidP="00744CC3">
            <w:pPr>
              <w:pStyle w:val="ListParagraph"/>
              <w:numPr>
                <w:ilvl w:val="1"/>
                <w:numId w:val="25"/>
              </w:numPr>
              <w:spacing w:after="120"/>
              <w:rPr>
                <w:rFonts w:eastAsia="Calibri" w:cs="Times New Roman"/>
              </w:rPr>
            </w:pPr>
            <w:r w:rsidRPr="00903F9D">
              <w:rPr>
                <w:rFonts w:eastAsia="Calibri" w:cs="Times New Roman"/>
              </w:rPr>
              <w:t>If REMS scans with quality errors would not be identified in Australian practice, then the diagnostic accuracy and correlation reported in the quality checked scenario will not be a reliable representation of REMS performance in practice. Rather the lower diagnostic accuracy and correlation presented in the unchecked real-life scenario analysis would be more applicable.</w:t>
            </w:r>
          </w:p>
          <w:p w14:paraId="54445E66" w14:textId="77777777" w:rsidR="00EB62FF" w:rsidRPr="00903F9D" w:rsidRDefault="00EB62FF" w:rsidP="00744CC3">
            <w:pPr>
              <w:pStyle w:val="ListParagraph"/>
              <w:numPr>
                <w:ilvl w:val="1"/>
                <w:numId w:val="25"/>
              </w:numPr>
              <w:spacing w:after="120"/>
              <w:rPr>
                <w:rFonts w:eastAsia="Calibri" w:cs="Times New Roman"/>
              </w:rPr>
            </w:pPr>
            <w:r w:rsidRPr="00903F9D">
              <w:rPr>
                <w:rFonts w:eastAsia="Calibri" w:cs="Times New Roman"/>
              </w:rPr>
              <w:t xml:space="preserve">The applicant is requested to respond to the questions presented in Section 8 seeking </w:t>
            </w:r>
            <w:r w:rsidRPr="00903F9D" w:rsidDel="005D263F">
              <w:rPr>
                <w:rFonts w:eastAsia="Calibri" w:cs="Times New Roman"/>
              </w:rPr>
              <w:t xml:space="preserve">clarification </w:t>
            </w:r>
            <w:r w:rsidRPr="00903F9D">
              <w:rPr>
                <w:rFonts w:eastAsia="Calibri" w:cs="Times New Roman"/>
              </w:rPr>
              <w:t xml:space="preserve">on whether REMS scans with quality errors would be identified in practice and if so to clearly detail </w:t>
            </w:r>
            <w:r w:rsidRPr="00903F9D" w:rsidDel="005D263F">
              <w:rPr>
                <w:rFonts w:eastAsia="Calibri" w:cs="Times New Roman"/>
              </w:rPr>
              <w:t xml:space="preserve">the process for identifying </w:t>
            </w:r>
            <w:r w:rsidRPr="00903F9D">
              <w:rPr>
                <w:rFonts w:eastAsia="Calibri" w:cs="Times New Roman"/>
              </w:rPr>
              <w:t xml:space="preserve">these </w:t>
            </w:r>
            <w:r w:rsidRPr="00903F9D" w:rsidDel="005D263F">
              <w:rPr>
                <w:rFonts w:eastAsia="Calibri" w:cs="Times New Roman"/>
              </w:rPr>
              <w:t>quality errors</w:t>
            </w:r>
            <w:r w:rsidRPr="00903F9D">
              <w:rPr>
                <w:rFonts w:eastAsia="Calibri" w:cs="Times New Roman"/>
              </w:rPr>
              <w:t>.</w:t>
            </w:r>
          </w:p>
          <w:p w14:paraId="5DE654BB" w14:textId="43657698" w:rsidR="00EB62FF" w:rsidRPr="00903F9D" w:rsidRDefault="00EB62FF" w:rsidP="00744CC3">
            <w:pPr>
              <w:pStyle w:val="ListParagraph"/>
              <w:numPr>
                <w:ilvl w:val="0"/>
                <w:numId w:val="25"/>
              </w:numPr>
              <w:spacing w:after="120"/>
              <w:rPr>
                <w:rFonts w:eastAsia="Calibri" w:cs="Times New Roman"/>
              </w:rPr>
            </w:pPr>
            <w:r w:rsidRPr="00903F9D">
              <w:rPr>
                <w:rFonts w:eastAsia="Calibri" w:cs="Times New Roman"/>
              </w:rPr>
              <w:t>In terms of rendering the service, REMS appears to have noninferior safety compared to DXA.</w:t>
            </w:r>
          </w:p>
          <w:p w14:paraId="684D766D" w14:textId="77777777" w:rsidR="00EB62FF" w:rsidRPr="00903F9D" w:rsidRDefault="00EB62FF" w:rsidP="00744CC3">
            <w:pPr>
              <w:pStyle w:val="ListParagraph"/>
              <w:numPr>
                <w:ilvl w:val="0"/>
                <w:numId w:val="25"/>
              </w:numPr>
              <w:spacing w:after="120"/>
              <w:rPr>
                <w:rFonts w:eastAsia="Calibri" w:cs="Times New Roman"/>
              </w:rPr>
            </w:pPr>
            <w:r w:rsidRPr="00903F9D">
              <w:rPr>
                <w:rFonts w:eastAsia="Calibri" w:cs="Times New Roman"/>
              </w:rPr>
              <w:t xml:space="preserve">There is sparse or no direct evidence regarding the performance of REMS in several patient groups that fall within the proposed eligible population, including obese patients, males, younger populations (using a Z-score analysis) and different racial populations. Because of these limits within the evidence base the generalisability of the evidence to patient groups other than post-menopausal females is uncertain. </w:t>
            </w:r>
          </w:p>
          <w:p w14:paraId="7EC53465" w14:textId="77777777" w:rsidR="00EB62FF" w:rsidRPr="00903F9D" w:rsidRDefault="00EB62FF" w:rsidP="00744CC3">
            <w:pPr>
              <w:pStyle w:val="ListParagraph"/>
              <w:numPr>
                <w:ilvl w:val="0"/>
                <w:numId w:val="25"/>
              </w:numPr>
              <w:spacing w:after="120"/>
              <w:rPr>
                <w:rFonts w:eastAsia="Calibri" w:cs="Times New Roman"/>
              </w:rPr>
            </w:pPr>
            <w:r w:rsidRPr="00903F9D">
              <w:rPr>
                <w:rFonts w:eastAsia="Calibri" w:cs="Times New Roman"/>
              </w:rPr>
              <w:t>It is noted that training and qualification for REMS need to be defined in consultation with relevant professional Australian bodies, and relevant professional societies need to endorse the accredited training program for REMS before implementing any REMS MBS items.</w:t>
            </w:r>
          </w:p>
          <w:p w14:paraId="6E78101B" w14:textId="77777777" w:rsidR="00EB62FF" w:rsidRPr="00903F9D" w:rsidRDefault="00EB62FF" w:rsidP="00744CC3">
            <w:pPr>
              <w:rPr>
                <w:rFonts w:eastAsia="Calibri" w:cs="Times New Roman"/>
                <w:b/>
              </w:rPr>
            </w:pPr>
            <w:r w:rsidRPr="00903F9D">
              <w:rPr>
                <w:rFonts w:eastAsia="Calibri" w:cs="Times New Roman"/>
                <w:b/>
              </w:rPr>
              <w:t>Economic issues:</w:t>
            </w:r>
          </w:p>
          <w:p w14:paraId="0F0EE11C" w14:textId="26837C4A" w:rsidR="00EB62FF" w:rsidRPr="00903F9D" w:rsidRDefault="00EB62FF" w:rsidP="00744CC3">
            <w:pPr>
              <w:pStyle w:val="ListParagraph"/>
              <w:numPr>
                <w:ilvl w:val="0"/>
                <w:numId w:val="25"/>
              </w:numPr>
              <w:spacing w:after="120"/>
              <w:rPr>
                <w:rFonts w:eastAsia="Calibri" w:cs="Times New Roman"/>
              </w:rPr>
            </w:pPr>
            <w:r w:rsidRPr="00903F9D">
              <w:rPr>
                <w:rFonts w:eastAsia="Calibri" w:cs="Times New Roman"/>
              </w:rPr>
              <w:t>The appropriateness of a cost-minimisation approach for the economic analysis on a per scan basis is contingent on MSAC accepting the claim of clinical noninferiority, in which case there would be no expectation of a substantial difference in the provision and cost of subsequent healthcare resources.</w:t>
            </w:r>
          </w:p>
          <w:p w14:paraId="48DEA80B" w14:textId="77777777" w:rsidR="00EB62FF" w:rsidRPr="00903F9D" w:rsidRDefault="00EB62FF" w:rsidP="00744CC3">
            <w:pPr>
              <w:pStyle w:val="ListParagraph"/>
              <w:numPr>
                <w:ilvl w:val="0"/>
                <w:numId w:val="25"/>
              </w:numPr>
              <w:spacing w:after="120"/>
              <w:rPr>
                <w:rFonts w:eastAsia="Calibri" w:cs="Times New Roman"/>
              </w:rPr>
            </w:pPr>
            <w:r w:rsidRPr="00903F9D">
              <w:rPr>
                <w:rFonts w:eastAsia="Calibri" w:cs="Times New Roman"/>
              </w:rPr>
              <w:t xml:space="preserve">There is uncertainty regarding the justification of the MBS fee proposed for REMS. While the estimated per service delivery costs for REMS (excluding capital device costs) ($99.66) is </w:t>
            </w:r>
            <w:proofErr w:type="gramStart"/>
            <w:r w:rsidRPr="00903F9D">
              <w:rPr>
                <w:rFonts w:eastAsia="Calibri" w:cs="Times New Roman"/>
              </w:rPr>
              <w:t>similar to</w:t>
            </w:r>
            <w:proofErr w:type="gramEnd"/>
            <w:r w:rsidRPr="00903F9D">
              <w:rPr>
                <w:rFonts w:eastAsia="Calibri" w:cs="Times New Roman"/>
              </w:rPr>
              <w:t xml:space="preserve"> the MBS fee for a DXA service ($106.00), it is possible the per service delivery costs for REMS may be higher than estimated by the applicant, and that any amount greater than the proposed cost-minimised fee for REMS of $106 could be passed on to patients.</w:t>
            </w:r>
          </w:p>
          <w:p w14:paraId="20E182AB" w14:textId="77777777" w:rsidR="00EB62FF" w:rsidRPr="00903F9D" w:rsidRDefault="00EB62FF" w:rsidP="00744CC3">
            <w:pPr>
              <w:keepNext/>
              <w:rPr>
                <w:rFonts w:eastAsia="Calibri" w:cs="Times New Roman"/>
                <w:b/>
              </w:rPr>
            </w:pPr>
            <w:r w:rsidRPr="00903F9D">
              <w:rPr>
                <w:rFonts w:eastAsia="Calibri" w:cs="Times New Roman"/>
                <w:b/>
              </w:rPr>
              <w:lastRenderedPageBreak/>
              <w:t>Financial issues:</w:t>
            </w:r>
          </w:p>
          <w:p w14:paraId="065E9757" w14:textId="77777777" w:rsidR="00EB62FF" w:rsidRPr="00903F9D" w:rsidRDefault="00EB62FF" w:rsidP="00744CC3">
            <w:pPr>
              <w:pStyle w:val="ListParagraph"/>
              <w:numPr>
                <w:ilvl w:val="0"/>
                <w:numId w:val="25"/>
              </w:numPr>
              <w:spacing w:after="120"/>
              <w:rPr>
                <w:rFonts w:eastAsia="Calibri" w:cs="Times New Roman"/>
              </w:rPr>
            </w:pPr>
            <w:r w:rsidRPr="00903F9D">
              <w:rPr>
                <w:rFonts w:eastAsia="Calibri" w:cs="Times New Roman"/>
              </w:rPr>
              <w:t>Although the net MBS budget impact is claimed to be nil, there is uncertainty regarding the extent to which REMS will replace DXA, and the extent to which REMS may increase the overall use of imaging for BMD by providing access to eligible patients who, for a range of reasons, currently do not access DXA. Uptake data from other markets was not provided by the applicant.</w:t>
            </w:r>
          </w:p>
        </w:tc>
      </w:tr>
    </w:tbl>
    <w:bookmarkEnd w:id="50"/>
    <w:p w14:paraId="468474CA" w14:textId="77777777" w:rsidR="00EB62FF" w:rsidRPr="00903F9D" w:rsidRDefault="00EB62FF" w:rsidP="00EB62FF">
      <w:pPr>
        <w:keepNext/>
        <w:spacing w:before="240" w:after="240" w:line="240" w:lineRule="auto"/>
        <w:outlineLvl w:val="1"/>
        <w:rPr>
          <w:rFonts w:eastAsia="Times New Roman" w:cs="Arial"/>
          <w:b/>
          <w:bCs/>
          <w:iCs/>
          <w:color w:val="000000"/>
          <w:lang w:eastAsia="en-AU"/>
        </w:rPr>
      </w:pPr>
      <w:r w:rsidRPr="00903F9D">
        <w:rPr>
          <w:rFonts w:eastAsia="Times New Roman" w:cs="Arial"/>
          <w:b/>
          <w:bCs/>
          <w:iCs/>
          <w:color w:val="000000"/>
          <w:lang w:eastAsia="en-AU"/>
        </w:rPr>
        <w:lastRenderedPageBreak/>
        <w:t>ESC discussion</w:t>
      </w:r>
    </w:p>
    <w:p w14:paraId="62814205" w14:textId="1538F8BE" w:rsidR="00EB62FF" w:rsidRPr="00903F9D" w:rsidRDefault="00EB62FF" w:rsidP="00EB62FF">
      <w:pPr>
        <w:spacing w:before="0" w:after="240" w:line="240" w:lineRule="auto"/>
        <w:rPr>
          <w:rFonts w:eastAsia="Calibri" w:cs="Times New Roman"/>
        </w:rPr>
      </w:pPr>
      <w:r w:rsidRPr="00903F9D">
        <w:rPr>
          <w:rFonts w:eastAsia="Calibri" w:cs="Times New Roman"/>
        </w:rPr>
        <w:t xml:space="preserve">ESC noted that this application is requesting Medicare Benefits Schedule (MBS) listing of non-invasive ultrasound radiofrequency echographic multi spectrometry (REMS) for the diagnosis of osteoporosis. ESC noted that listing is requested </w:t>
      </w:r>
      <w:proofErr w:type="gramStart"/>
      <w:r w:rsidRPr="00903F9D">
        <w:rPr>
          <w:rFonts w:eastAsia="Calibri" w:cs="Times New Roman"/>
        </w:rPr>
        <w:t>on the basis of</w:t>
      </w:r>
      <w:proofErr w:type="gramEnd"/>
      <w:r w:rsidRPr="00903F9D">
        <w:rPr>
          <w:rFonts w:eastAsia="Calibri" w:cs="Times New Roman"/>
        </w:rPr>
        <w:t xml:space="preserve"> a claim of noninferiority (and thus cost minimisation of MBS fees) versus dual-energy </w:t>
      </w:r>
      <w:r w:rsidR="00316C71" w:rsidRPr="00903F9D">
        <w:rPr>
          <w:rFonts w:eastAsia="Calibri" w:cs="Times New Roman"/>
        </w:rPr>
        <w:t>x</w:t>
      </w:r>
      <w:r w:rsidRPr="00903F9D">
        <w:rPr>
          <w:rFonts w:eastAsia="Calibri" w:cs="Times New Roman"/>
        </w:rPr>
        <w:t xml:space="preserve">-ray absorptiometry (DXA) as the main and only comparator. REMS is proposed as an alternative to </w:t>
      </w:r>
      <w:proofErr w:type="gramStart"/>
      <w:r w:rsidRPr="00903F9D">
        <w:rPr>
          <w:rFonts w:eastAsia="Calibri" w:cs="Times New Roman"/>
        </w:rPr>
        <w:t>DXA, but</w:t>
      </w:r>
      <w:proofErr w:type="gramEnd"/>
      <w:r w:rsidRPr="00903F9D">
        <w:rPr>
          <w:rFonts w:eastAsia="Calibri" w:cs="Times New Roman"/>
        </w:rPr>
        <w:t xml:space="preserve"> would be listed in the </w:t>
      </w:r>
      <w:r w:rsidR="00C4412C" w:rsidRPr="00903F9D">
        <w:rPr>
          <w:rFonts w:eastAsia="Calibri" w:cs="Times New Roman"/>
        </w:rPr>
        <w:t>General Medical Services Table</w:t>
      </w:r>
      <w:r w:rsidRPr="00903F9D">
        <w:rPr>
          <w:rFonts w:eastAsia="Calibri" w:cs="Times New Roman"/>
        </w:rPr>
        <w:t xml:space="preserve"> rather than the </w:t>
      </w:r>
      <w:r w:rsidR="00C4412C" w:rsidRPr="00903F9D">
        <w:rPr>
          <w:rFonts w:eastAsia="Calibri" w:cs="Times New Roman"/>
        </w:rPr>
        <w:t>Diagnostic Imaging Services Table</w:t>
      </w:r>
      <w:r w:rsidRPr="00903F9D">
        <w:rPr>
          <w:rFonts w:eastAsia="Calibri" w:cs="Times New Roman"/>
        </w:rPr>
        <w:t xml:space="preserve"> in the MBS.</w:t>
      </w:r>
    </w:p>
    <w:p w14:paraId="13CEB573" w14:textId="77777777" w:rsidR="00EB62FF" w:rsidRPr="00903F9D" w:rsidRDefault="00EB62FF" w:rsidP="00EB62FF">
      <w:pPr>
        <w:spacing w:before="0" w:after="240" w:line="240" w:lineRule="auto"/>
        <w:rPr>
          <w:rFonts w:eastAsia="Calibri" w:cs="Times New Roman"/>
        </w:rPr>
      </w:pPr>
      <w:r w:rsidRPr="00903F9D">
        <w:rPr>
          <w:rFonts w:eastAsia="Calibri" w:cs="Times New Roman"/>
        </w:rPr>
        <w:t xml:space="preserve">ESC noted that the REMS technology was included on the Australian Register of Therapeutic Goods (ARTG) for use in Australia on 28 September 2020. ESC noted that this application is for one brand, </w:t>
      </w:r>
      <w:proofErr w:type="spellStart"/>
      <w:r w:rsidRPr="00903F9D">
        <w:rPr>
          <w:rFonts w:eastAsia="Calibri" w:cs="Times New Roman"/>
        </w:rPr>
        <w:t>Echolight</w:t>
      </w:r>
      <w:proofErr w:type="spellEnd"/>
      <w:r w:rsidRPr="00903F9D">
        <w:rPr>
          <w:rFonts w:eastAsia="Calibri" w:cs="Times New Roman"/>
        </w:rPr>
        <w:t xml:space="preserve">. Through its software, </w:t>
      </w:r>
      <w:proofErr w:type="spellStart"/>
      <w:r w:rsidRPr="00903F9D">
        <w:rPr>
          <w:rFonts w:eastAsia="Calibri" w:cs="Times New Roman"/>
        </w:rPr>
        <w:t>Echolight</w:t>
      </w:r>
      <w:proofErr w:type="spellEnd"/>
      <w:r w:rsidRPr="00903F9D">
        <w:rPr>
          <w:rFonts w:eastAsia="Calibri" w:cs="Times New Roman"/>
        </w:rPr>
        <w:t xml:space="preserve"> provides all the standard parameters for the diagnosis of osteoporosis, including bone mineral density (BMD), T-score and Z-score.</w:t>
      </w:r>
    </w:p>
    <w:p w14:paraId="7C13CB60" w14:textId="77777777" w:rsidR="00EB62FF" w:rsidRPr="00903F9D" w:rsidRDefault="00EB62FF" w:rsidP="00EB62FF">
      <w:pPr>
        <w:spacing w:before="0" w:after="240" w:line="240" w:lineRule="auto"/>
        <w:rPr>
          <w:rFonts w:eastAsia="Calibri" w:cs="Times New Roman"/>
        </w:rPr>
      </w:pPr>
      <w:r w:rsidRPr="00903F9D">
        <w:rPr>
          <w:rFonts w:eastAsia="Calibri" w:cs="Times New Roman"/>
        </w:rPr>
        <w:t>ESC noted that public consultation feedback was generally not supportive of the application. Most responses noted that the portability of the REMS device would allow easier access to BMD scans, such as for patients in nursing homes or in rural and remote communities. The feedback also noted that REMS is radiation-free, but ESC noted that the levels of radiation associated with a DXA scan are low (much lower than background radiation). Other benefits noted were that REMS could offer greater flexibility for patients who cannot lie completely supine. However, the feedback also raised several concerns, including the high rate of unsuccessful scans, the limited data for all patient groups within the proposed eligible population, and the inability to retrospectively review scans. Additionally, REMS cannot scan some areas of the body that are measured for certain diseases specified for DXA in the MBS, such as the forearm in patients with hyperparathyroidism. Feedback also noted the need for trained operators, and that higher operation costs may lead to overservicing. ESC noted the lack of consultation feedback from consumers. ESC questioned the proposed advantage of the mobility of the service. ESC requested clarification on the patient groups who currently do not have access to DXA, and whether people living in rural or remote areas, or Aboriginal and Torres Strait Islander people are currently underserviced. ESC noted that there are currently only four sites in Australia that have REMS devices, which may initially limit access to REMS, but this number could change rapidly with the resulting ease of access potentially leading to overservicing.</w:t>
      </w:r>
    </w:p>
    <w:p w14:paraId="1E6E1079" w14:textId="77777777" w:rsidR="00EB62FF" w:rsidRPr="00903F9D" w:rsidRDefault="00EB62FF" w:rsidP="00EB62FF">
      <w:pPr>
        <w:spacing w:before="0" w:after="240" w:line="240" w:lineRule="auto"/>
        <w:rPr>
          <w:rFonts w:eastAsia="Calibri" w:cs="Times New Roman"/>
        </w:rPr>
      </w:pPr>
      <w:r w:rsidRPr="00903F9D">
        <w:rPr>
          <w:rFonts w:eastAsia="Calibri" w:cs="Times New Roman"/>
        </w:rPr>
        <w:t xml:space="preserve">ESC noted that the proposed population for REMS is patients who require BMD measurement for the diagnosis or monitoring of osteoporosis and who are currently eligible for an MBS-funded DXA. ESC noted that patients would be investigated, </w:t>
      </w:r>
      <w:proofErr w:type="gramStart"/>
      <w:r w:rsidRPr="00903F9D">
        <w:rPr>
          <w:rFonts w:eastAsia="Calibri" w:cs="Times New Roman"/>
        </w:rPr>
        <w:t>managed</w:t>
      </w:r>
      <w:proofErr w:type="gramEnd"/>
      <w:r w:rsidRPr="00903F9D">
        <w:rPr>
          <w:rFonts w:eastAsia="Calibri" w:cs="Times New Roman"/>
        </w:rPr>
        <w:t xml:space="preserve"> and referred in the same way as for DXA scanning, and the clinical management algorithm for DXA is already well established in Australia by the Royal Australian College of General Practitioners (RACGP). However, ESC was unsure whether patients who are unable to have DXA should be referred to REMS instead of being referred for a quantitative computed tomography (</w:t>
      </w:r>
      <w:proofErr w:type="spellStart"/>
      <w:r w:rsidRPr="00903F9D">
        <w:rPr>
          <w:rFonts w:eastAsia="Calibri" w:cs="Times New Roman"/>
        </w:rPr>
        <w:t>qCT</w:t>
      </w:r>
      <w:proofErr w:type="spellEnd"/>
      <w:r w:rsidRPr="00903F9D">
        <w:rPr>
          <w:rFonts w:eastAsia="Calibri" w:cs="Times New Roman"/>
        </w:rPr>
        <w:t>) scan.</w:t>
      </w:r>
    </w:p>
    <w:p w14:paraId="7F7AA953" w14:textId="77777777" w:rsidR="00EB62FF" w:rsidRPr="00903F9D" w:rsidRDefault="00EB62FF" w:rsidP="00EB62FF">
      <w:pPr>
        <w:spacing w:before="0" w:after="240" w:line="240" w:lineRule="auto"/>
        <w:rPr>
          <w:rFonts w:eastAsia="Calibri" w:cs="Times New Roman"/>
        </w:rPr>
      </w:pPr>
      <w:r w:rsidRPr="00903F9D">
        <w:rPr>
          <w:rFonts w:eastAsia="Calibri" w:cs="Times New Roman"/>
        </w:rPr>
        <w:t xml:space="preserve">ESC noted that the applicant proposed REMS be added to six existing MBS items for DXA (items 12306, 12312, 12315, 12320, 12321 and 12322), with the same fee ($106.55). However, if MBS funding is supported, PASC and the Department proposed a separate set of items for REMS. ESC considered that a separate set of items would be appropriate as it allows for: a different MBS fee, different Explanatory Notes, different eligible population(s), different limits on scan frequency (if required), tracking of REMS utilisation separate to DXA utilisation, and restrictions on co-claiming of REMS and DXA. However, ESC considered that several factors </w:t>
      </w:r>
      <w:r w:rsidRPr="00903F9D">
        <w:rPr>
          <w:rFonts w:eastAsia="Calibri" w:cs="Times New Roman"/>
        </w:rPr>
        <w:lastRenderedPageBreak/>
        <w:t xml:space="preserve">required clarification. ESC acknowledged that the pre-ESC response addressed several training/accreditation queries. However, ESC considered that there is a lack of clarity about who would be performing the service. ESC noted that it was the Department’s preference that, </w:t>
      </w:r>
      <w:proofErr w:type="gramStart"/>
      <w:r w:rsidRPr="00903F9D">
        <w:rPr>
          <w:rFonts w:eastAsia="Calibri" w:cs="Times New Roman"/>
        </w:rPr>
        <w:t>similar to</w:t>
      </w:r>
      <w:proofErr w:type="gramEnd"/>
      <w:r w:rsidRPr="00903F9D">
        <w:rPr>
          <w:rFonts w:eastAsia="Calibri" w:cs="Times New Roman"/>
        </w:rPr>
        <w:t xml:space="preserve"> DXA services, this would be restricted to appropriately qualified providers such as a specialist or consultant physician, or radiographers or sonographers who perform the service under the supervision of a specialist or consultant physician, and the specialist or consultant physician who is responsible for the service performs the interpretation and reporting for the service. ESC also questioned what quality assurance there will be for the operator’s qualifications for the use of REMS. ESC considered that training and qualification needs to be defined in consultation with relevant professional Australian bodies, and that relevant professional societies need to endorse the accredited training program for REMS before implementing any REMS MBS items.</w:t>
      </w:r>
    </w:p>
    <w:p w14:paraId="1FBEDE46" w14:textId="77777777" w:rsidR="00EB62FF" w:rsidRPr="00903F9D" w:rsidDel="005D263F" w:rsidRDefault="00EB62FF" w:rsidP="00EB62FF">
      <w:pPr>
        <w:spacing w:before="0" w:after="240" w:line="240" w:lineRule="auto"/>
        <w:rPr>
          <w:rFonts w:eastAsia="Calibri" w:cs="Times New Roman"/>
        </w:rPr>
      </w:pPr>
      <w:r w:rsidRPr="00903F9D">
        <w:rPr>
          <w:rFonts w:eastAsia="Calibri" w:cs="Times New Roman"/>
        </w:rPr>
        <w:t>ESC also requested clarification on whether the REMS scan can produce a report that allows for the clinician (specialist or consultant physician) who is evaluating the results and providing a report to the referrer to have a clear understanding of whether the scans have been analysed correctly, the details of the associated population reference data being used, and appropriate interventions in response to diagnostic and non-diagnostic results.</w:t>
      </w:r>
    </w:p>
    <w:p w14:paraId="7861E67D" w14:textId="4EE514B2" w:rsidR="00EB62FF" w:rsidRPr="00903F9D" w:rsidRDefault="00EB62FF" w:rsidP="00EB62FF">
      <w:pPr>
        <w:spacing w:before="0" w:after="240" w:line="240" w:lineRule="auto"/>
        <w:rPr>
          <w:rFonts w:eastAsia="Calibri" w:cs="Times New Roman"/>
        </w:rPr>
      </w:pPr>
      <w:r w:rsidRPr="00903F9D">
        <w:rPr>
          <w:rFonts w:eastAsia="Calibri" w:cs="Times New Roman"/>
        </w:rPr>
        <w:t>Regarding comparative safety, ESC noted that the studies attributed no specific harms to the REMS or DXA scanning process. ESC noted that harms may arise from incorrect diagnosis with either technology, or with DXA from ionising radiation in very specific populations (for example, pregnant women). However, only a very low dose of ionising radiation is required for DXA scans, and women are highly unlikely to undergo DXA whilst pregnant, so ESC considered that this was not a significant concern. ESC considered the claim of noninferior safety of providing REMS compared to DXA to be reasonable.</w:t>
      </w:r>
    </w:p>
    <w:p w14:paraId="5ED4390D" w14:textId="77777777" w:rsidR="00EB62FF" w:rsidRPr="00903F9D" w:rsidRDefault="00EB62FF" w:rsidP="00EB62FF">
      <w:pPr>
        <w:spacing w:before="0" w:after="240" w:line="240" w:lineRule="auto"/>
        <w:rPr>
          <w:rFonts w:eastAsia="Calibri" w:cs="Times New Roman"/>
        </w:rPr>
      </w:pPr>
      <w:r w:rsidRPr="00903F9D">
        <w:rPr>
          <w:rFonts w:eastAsia="Calibri" w:cs="Times New Roman"/>
        </w:rPr>
        <w:t>ESC noted that the evidence base consisted of two cross-sectional studies comparing REMS with DXA (</w:t>
      </w:r>
      <w:proofErr w:type="spellStart"/>
      <w:r w:rsidRPr="00903F9D">
        <w:rPr>
          <w:rFonts w:eastAsia="Calibri" w:cs="Times New Roman"/>
        </w:rPr>
        <w:t>Cortet</w:t>
      </w:r>
      <w:proofErr w:type="spellEnd"/>
      <w:r w:rsidRPr="00903F9D">
        <w:rPr>
          <w:rFonts w:eastAsia="Calibri" w:cs="Times New Roman"/>
        </w:rPr>
        <w:t xml:space="preserve"> 2021</w:t>
      </w:r>
      <w:r w:rsidRPr="00903F9D">
        <w:rPr>
          <w:rFonts w:eastAsia="Calibri" w:cs="Times New Roman"/>
          <w:vertAlign w:val="superscript"/>
        </w:rPr>
        <w:footnoteReference w:id="23"/>
      </w:r>
      <w:r w:rsidRPr="00903F9D">
        <w:rPr>
          <w:rFonts w:eastAsia="Calibri" w:cs="Times New Roman"/>
        </w:rPr>
        <w:t xml:space="preserve"> and Di Paola 2019</w:t>
      </w:r>
      <w:r w:rsidRPr="00903F9D">
        <w:rPr>
          <w:rFonts w:eastAsia="Calibri" w:cs="Times New Roman"/>
          <w:vertAlign w:val="superscript"/>
        </w:rPr>
        <w:footnoteReference w:id="24"/>
      </w:r>
      <w:r w:rsidRPr="00903F9D">
        <w:rPr>
          <w:rFonts w:eastAsia="Calibri" w:cs="Times New Roman"/>
        </w:rPr>
        <w:t>), and three additional studies as supplementary evidence. The studies were reported to have an overall low risk of bias. However, ESC noted that there was an unclear risk of bias in patient selection for all studies. ESC considered the two cross-sectional studies to be the most informative, as they had the highest patient numbers and were the most applicable to the Australian setting.</w:t>
      </w:r>
    </w:p>
    <w:p w14:paraId="0E9D9A71" w14:textId="77777777" w:rsidR="00EB62FF" w:rsidRPr="00903F9D" w:rsidRDefault="00EB62FF" w:rsidP="00EB62FF">
      <w:pPr>
        <w:spacing w:before="0" w:after="240" w:line="240" w:lineRule="auto"/>
        <w:rPr>
          <w:rFonts w:eastAsia="Calibri" w:cs="Times New Roman"/>
        </w:rPr>
      </w:pPr>
      <w:r w:rsidRPr="00903F9D">
        <w:rPr>
          <w:rFonts w:eastAsia="Calibri" w:cs="Times New Roman"/>
        </w:rPr>
        <w:t>ESC noted that quality errors are possible for both DXA and REMS scans and that the studies excluded DXA and REMS scans with quality errors from the primary analysis referred to as the quality checked scenario. ESC also noted that whilst DXA scans can be reanalysed, reducing the number of DXA scans excluded due to quality errors, REMS scans cannot be reanalysed.</w:t>
      </w:r>
    </w:p>
    <w:p w14:paraId="4F3A980C" w14:textId="4557D764" w:rsidR="00EB62FF" w:rsidRPr="00903F9D" w:rsidRDefault="00EB62FF" w:rsidP="00EB62FF">
      <w:pPr>
        <w:spacing w:before="0" w:after="240" w:line="240" w:lineRule="auto"/>
        <w:rPr>
          <w:rFonts w:eastAsia="Calibri" w:cs="Times New Roman"/>
        </w:rPr>
      </w:pPr>
      <w:r w:rsidRPr="00903F9D">
        <w:rPr>
          <w:rFonts w:eastAsia="Calibri" w:cs="Times New Roman"/>
        </w:rPr>
        <w:t xml:space="preserve">Regarding comparative analytical performance (and thus effectiveness and safety based on scan results), ESC noted the studies reported high diagnostic accuracy (sensitivity 90.9%-92.3%; specificity 91.8%-96.8%) of REMS versus DXA in the primary analysis after excluding all scans with quality errors. ESC also noted that diagnostic concordance between REMS and DXA is not 100%, but the direction of the discordance is not known. ESC considered that, across the eligible population (the majority being post-menopausal females), the studies suggest that REMS has noninferior effectiveness compared to DXA after excluding REMS scans with quality errors. However, </w:t>
      </w:r>
      <w:r w:rsidRPr="00903F9D" w:rsidDel="005D263F">
        <w:rPr>
          <w:rFonts w:eastAsia="Calibri" w:cs="Times New Roman"/>
        </w:rPr>
        <w:t xml:space="preserve">ESC questioned whether REMS scans with quality errors </w:t>
      </w:r>
      <w:r w:rsidRPr="00903F9D">
        <w:rPr>
          <w:rFonts w:eastAsia="Calibri" w:cs="Times New Roman"/>
        </w:rPr>
        <w:t>would</w:t>
      </w:r>
      <w:r w:rsidRPr="00903F9D" w:rsidDel="005D263F">
        <w:rPr>
          <w:rFonts w:eastAsia="Calibri" w:cs="Times New Roman"/>
        </w:rPr>
        <w:t xml:space="preserve"> be identified</w:t>
      </w:r>
      <w:r w:rsidRPr="00903F9D">
        <w:rPr>
          <w:rFonts w:eastAsia="Calibri" w:cs="Times New Roman"/>
        </w:rPr>
        <w:t xml:space="preserve"> in Australian practice and if not, then the diagnostic accuracy and correlation reported for REMS with DXA may not be a reliable representation of REMS performance in practice. Rather the lower diagnostic accuracy and correlation presented in the unchecked real-life scenario (supplementary analysis) would be more representative. Therefore, ESC requested the applicant </w:t>
      </w:r>
      <w:r w:rsidRPr="00903F9D">
        <w:rPr>
          <w:rFonts w:eastAsia="Calibri" w:cs="Times New Roman"/>
        </w:rPr>
        <w:lastRenderedPageBreak/>
        <w:t xml:space="preserve">to respond to the questions presented in Section 8 from the commentary seeking </w:t>
      </w:r>
      <w:r w:rsidRPr="00903F9D" w:rsidDel="005D263F">
        <w:rPr>
          <w:rFonts w:eastAsia="Calibri" w:cs="Times New Roman"/>
        </w:rPr>
        <w:t xml:space="preserve">clarification </w:t>
      </w:r>
      <w:r w:rsidRPr="00903F9D">
        <w:rPr>
          <w:rFonts w:eastAsia="Calibri" w:cs="Times New Roman"/>
        </w:rPr>
        <w:t xml:space="preserve">on whether REMS scans with quality errors be identified in practice and if so to provide clarification </w:t>
      </w:r>
      <w:r w:rsidRPr="00903F9D" w:rsidDel="005D263F">
        <w:rPr>
          <w:rFonts w:eastAsia="Calibri" w:cs="Times New Roman"/>
        </w:rPr>
        <w:t>on the process for identifying quality errors.</w:t>
      </w:r>
    </w:p>
    <w:p w14:paraId="15E7EAA4" w14:textId="68ACF2CF" w:rsidR="00EB62FF" w:rsidRPr="00903F9D" w:rsidRDefault="00EB62FF" w:rsidP="00EB62FF">
      <w:pPr>
        <w:spacing w:before="0" w:after="240" w:line="240" w:lineRule="auto"/>
        <w:rPr>
          <w:rFonts w:eastAsia="Calibri" w:cs="Times New Roman"/>
        </w:rPr>
      </w:pPr>
      <w:r w:rsidRPr="00903F9D">
        <w:rPr>
          <w:rFonts w:eastAsia="Calibri" w:cs="Times New Roman"/>
        </w:rPr>
        <w:t xml:space="preserve">ESC also noted that the published studies only focused on the lumbar spine and femoral neck; the total proximal femur (TPF) was not included. ESC noted that the applicant provided unpublished data comparing </w:t>
      </w:r>
      <w:r w:rsidR="00D87B03" w:rsidRPr="00903F9D">
        <w:rPr>
          <w:rFonts w:eastAsia="Calibri" w:cs="Times New Roman"/>
        </w:rPr>
        <w:t xml:space="preserve">the </w:t>
      </w:r>
      <w:r w:rsidRPr="00903F9D">
        <w:rPr>
          <w:rFonts w:eastAsia="Calibri" w:cs="Times New Roman"/>
        </w:rPr>
        <w:t xml:space="preserve">REMS total femur </w:t>
      </w:r>
      <w:r w:rsidR="00D87B03" w:rsidRPr="00903F9D">
        <w:rPr>
          <w:rFonts w:eastAsia="Calibri" w:cs="Times New Roman"/>
        </w:rPr>
        <w:t xml:space="preserve">score </w:t>
      </w:r>
      <w:r w:rsidRPr="00903F9D">
        <w:rPr>
          <w:rFonts w:eastAsia="Calibri" w:cs="Times New Roman"/>
        </w:rPr>
        <w:t xml:space="preserve">(a composite of the femoral neck and upper trochanter) with </w:t>
      </w:r>
      <w:r w:rsidR="00D87B03" w:rsidRPr="00903F9D">
        <w:rPr>
          <w:rFonts w:eastAsia="Calibri" w:cs="Times New Roman"/>
        </w:rPr>
        <w:t xml:space="preserve">the </w:t>
      </w:r>
      <w:r w:rsidRPr="00903F9D">
        <w:rPr>
          <w:rFonts w:eastAsia="Calibri" w:cs="Times New Roman"/>
        </w:rPr>
        <w:t>DXA TPF, which showed a high correlation (r = 0.94). However, ESC did not consider this comparison to be conclusive, noting that the quality checked primary analysis was not supplemented by an unchecked ‘real life’ supplementary analysis.</w:t>
      </w:r>
    </w:p>
    <w:p w14:paraId="7D2146BA" w14:textId="55EEF24A" w:rsidR="00EB62FF" w:rsidRPr="00903F9D" w:rsidRDefault="00EB62FF" w:rsidP="00EB62FF">
      <w:pPr>
        <w:spacing w:before="0" w:after="240" w:line="240" w:lineRule="auto"/>
        <w:rPr>
          <w:rFonts w:eastAsia="Calibri" w:cs="Times New Roman"/>
        </w:rPr>
      </w:pPr>
      <w:r w:rsidRPr="00903F9D">
        <w:rPr>
          <w:rFonts w:eastAsia="Calibri" w:cs="Times New Roman"/>
        </w:rPr>
        <w:t xml:space="preserve">ESC noted that the Z-score was not reported in the evidence, nor was the fragility score. ESC noted that there was a sparsity or lack of evidence supporting the use of REMS in several patient groups that would be within scope for the proposed MBS listing, including: obese patients; males; younger populations and different racial populations. ESC also noted that REMS can only scan the lumbar spine and femur, therefore REMS would not be used in populations that required a BMD measurement at another site (e.g., distal forearm scan for patients with hyperparathyroidism). Although ESC noted the sparsity or lack of direct comparative evidence created some uncertainty in the claim that REMS has noninferior effectiveness compared to DXA for all patient groups within the proposed eligible population, ESC questioned whether restricting REMS would create equity issues. Based on the available evidence, ESC queried whether there could be a case for reserving REMS for post-menopausal females and/or patients who are eligible for DXA but cannot access </w:t>
      </w:r>
      <w:proofErr w:type="gramStart"/>
      <w:r w:rsidRPr="00903F9D">
        <w:rPr>
          <w:rFonts w:eastAsia="Calibri" w:cs="Times New Roman"/>
        </w:rPr>
        <w:t>it, but</w:t>
      </w:r>
      <w:proofErr w:type="gramEnd"/>
      <w:r w:rsidRPr="00903F9D">
        <w:rPr>
          <w:rFonts w:eastAsia="Calibri" w:cs="Times New Roman"/>
        </w:rPr>
        <w:t xml:space="preserve"> noted that any consideration of REMS use in the latter patient group would require reassessment of comparative effectiveness and safety with a different comparator of ‘no DXA’. ESC also highlighted that restricting REMS use in this way could itself introduce equity issues. ESC also suggested that it would be helpful to receive further clarification on the types (and number) of patients who would only be able access REMS rather than DXA, and who would only be able to access DXA rather than REMS.</w:t>
      </w:r>
    </w:p>
    <w:p w14:paraId="00A353C5" w14:textId="77777777" w:rsidR="00EB62FF" w:rsidRPr="00903F9D" w:rsidRDefault="00EB62FF" w:rsidP="00EB62FF">
      <w:pPr>
        <w:spacing w:before="0" w:after="240" w:line="240" w:lineRule="auto"/>
        <w:rPr>
          <w:rFonts w:eastAsia="Calibri" w:cs="Times New Roman"/>
        </w:rPr>
      </w:pPr>
      <w:r w:rsidRPr="00903F9D">
        <w:rPr>
          <w:rFonts w:eastAsia="Calibri" w:cs="Times New Roman"/>
        </w:rPr>
        <w:t xml:space="preserve">ESC questioned whether failure to complete a REMS scan in practice could lead to co-claiming, as patients with a failed REMS scan would require a subsequent DXA scan (or </w:t>
      </w:r>
      <w:proofErr w:type="spellStart"/>
      <w:r w:rsidRPr="00903F9D">
        <w:rPr>
          <w:rFonts w:eastAsia="Calibri" w:cs="Times New Roman"/>
        </w:rPr>
        <w:t>qCT</w:t>
      </w:r>
      <w:proofErr w:type="spellEnd"/>
      <w:r w:rsidRPr="00903F9D">
        <w:rPr>
          <w:rFonts w:eastAsia="Calibri" w:cs="Times New Roman"/>
        </w:rPr>
        <w:t xml:space="preserve"> scan). ESC also considered that patients would be inconvenienced if they require a subsequent scan with a different modality.</w:t>
      </w:r>
    </w:p>
    <w:p w14:paraId="14D16C55" w14:textId="2C2B3C7C" w:rsidR="00EB62FF" w:rsidRPr="00903F9D" w:rsidRDefault="00EB62FF" w:rsidP="00EB62FF">
      <w:pPr>
        <w:spacing w:before="0" w:after="240" w:line="240" w:lineRule="auto"/>
        <w:rPr>
          <w:rFonts w:eastAsia="Calibri" w:cs="Times New Roman"/>
        </w:rPr>
      </w:pPr>
      <w:r w:rsidRPr="00903F9D">
        <w:rPr>
          <w:rFonts w:eastAsia="Calibri" w:cs="Times New Roman"/>
        </w:rPr>
        <w:t>ESC noted that, for the economic evaluation, the PICO confirmation agreed that a cost minimisation analysis would be appropriate based on a claim of noninferior safety and noninferior effectiveness compared to DXA. However, ESC noted the appropriateness of this approach is contingent on whether MSAC accepts the claim of noninferior effectiveness and safety has been demonstrated.</w:t>
      </w:r>
    </w:p>
    <w:p w14:paraId="4135C276" w14:textId="77777777" w:rsidR="00EB62FF" w:rsidRPr="00903F9D" w:rsidRDefault="00EB62FF" w:rsidP="00EB62FF">
      <w:pPr>
        <w:spacing w:before="0" w:after="240" w:line="240" w:lineRule="auto"/>
        <w:rPr>
          <w:rFonts w:eastAsia="Calibri" w:cs="Times New Roman"/>
        </w:rPr>
      </w:pPr>
      <w:r w:rsidRPr="00903F9D">
        <w:rPr>
          <w:rFonts w:eastAsia="Calibri" w:cs="Times New Roman"/>
        </w:rPr>
        <w:t xml:space="preserve">ESC noted the applicant developed assessment report (ADAR) presented a simple cost-minimisation approach to the economic analysis that only compared the estimated per service delivery costs for a REMS scan against the MBS fee for a DXA scan, and thus inferred there would be no expectation of a substantial difference in the provision and cost of subsequent healthcare resources. ESC noted the ADAR estimated the REMS per service delivery cost to be $123.67 but that this included the capital costs for the REMS device. When the capital costs for the REMS device were excluded, the per service delivery cost for REMS was $99.66, which is </w:t>
      </w:r>
      <w:proofErr w:type="gramStart"/>
      <w:r w:rsidRPr="00903F9D">
        <w:rPr>
          <w:rFonts w:eastAsia="Calibri" w:cs="Times New Roman"/>
        </w:rPr>
        <w:t>similar to</w:t>
      </w:r>
      <w:proofErr w:type="gramEnd"/>
      <w:r w:rsidRPr="00903F9D">
        <w:rPr>
          <w:rFonts w:eastAsia="Calibri" w:cs="Times New Roman"/>
        </w:rPr>
        <w:t xml:space="preserve"> the DXA MBS fee of $106.55 (and the proposed MBS fee for REMS). ESC noted by comparing the cost of REMS to the DXA MBS fee only, the analysis had not considered other costs that may be associated with delivery of the service but not included in the MBS fee (</w:t>
      </w:r>
      <w:proofErr w:type="gramStart"/>
      <w:r w:rsidRPr="00903F9D">
        <w:rPr>
          <w:rFonts w:eastAsia="Calibri" w:cs="Times New Roman"/>
        </w:rPr>
        <w:t>e.g.</w:t>
      </w:r>
      <w:proofErr w:type="gramEnd"/>
      <w:r w:rsidRPr="00903F9D">
        <w:rPr>
          <w:rFonts w:eastAsia="Calibri" w:cs="Times New Roman"/>
        </w:rPr>
        <w:t xml:space="preserve"> cost and transport of the mobile form of the device).</w:t>
      </w:r>
    </w:p>
    <w:p w14:paraId="4671F615" w14:textId="77777777" w:rsidR="00EB62FF" w:rsidRPr="00903F9D" w:rsidRDefault="00EB62FF" w:rsidP="00EB62FF">
      <w:pPr>
        <w:spacing w:before="0" w:after="240" w:line="240" w:lineRule="auto"/>
        <w:rPr>
          <w:rFonts w:eastAsia="Calibri" w:cs="Times New Roman"/>
        </w:rPr>
      </w:pPr>
      <w:r w:rsidRPr="00903F9D">
        <w:rPr>
          <w:rFonts w:eastAsia="Calibri" w:cs="Times New Roman"/>
        </w:rPr>
        <w:t xml:space="preserve">ESC noted there was some uncertainty in the estimated cost of $99.66. ESC noted the commentary had queried the cost per hour assumed for the operator performing the scan and the physician reviewing and reporting on the scan which ESC considered to be low compared to other MBS physician consultation items. Further, there were no data provided to support the </w:t>
      </w:r>
      <w:r w:rsidRPr="00903F9D">
        <w:rPr>
          <w:rFonts w:eastAsia="Calibri" w:cs="Times New Roman"/>
        </w:rPr>
        <w:lastRenderedPageBreak/>
        <w:t>ADAR’s estimated 30 minutes per scan although the pre-ESC response stated that this was based on experience using the device in practice. ESC also noted that variations in the estimated rate of 20 scans per week per machine could affect the estimates. ESC noted that device costs are not accepted for inclusion in the MBS fee and that the pre-ESC response clarified that training costs were included in the cost of the device.</w:t>
      </w:r>
    </w:p>
    <w:p w14:paraId="1CFA5142" w14:textId="77777777" w:rsidR="00EB62FF" w:rsidRPr="00903F9D" w:rsidRDefault="00EB62FF" w:rsidP="00EB62FF">
      <w:pPr>
        <w:spacing w:before="0" w:after="240" w:line="240" w:lineRule="auto"/>
        <w:rPr>
          <w:rFonts w:eastAsia="Calibri" w:cs="Times New Roman"/>
        </w:rPr>
      </w:pPr>
      <w:r w:rsidRPr="00903F9D">
        <w:rPr>
          <w:rFonts w:eastAsia="Calibri" w:cs="Times New Roman"/>
        </w:rPr>
        <w:t xml:space="preserve">ESC noted that a market share approach was used to estimate the financial impact for the proposed MBS listing of </w:t>
      </w:r>
      <w:proofErr w:type="gramStart"/>
      <w:r w:rsidRPr="00903F9D">
        <w:rPr>
          <w:rFonts w:eastAsia="Calibri" w:cs="Times New Roman"/>
        </w:rPr>
        <w:t>REMS, and</w:t>
      </w:r>
      <w:proofErr w:type="gramEnd"/>
      <w:r w:rsidRPr="00903F9D">
        <w:rPr>
          <w:rFonts w:eastAsia="Calibri" w:cs="Times New Roman"/>
        </w:rPr>
        <w:t xml:space="preserve"> considered this to be appropriate. ESC also considered it appropriate that each service in a year is assumed to be for a unique patient, and that there are no other MBS costs or cost offsets. ESC noted the ADAR also assumed no growth in DXA usage but did not consider this appropriate, noting the DXA utilisation data were selectively picked from years impacted by the COVID-19 pandemic. The long-term (4-year) utilisation trend shows year-on-year growth in DXA usage. ESC also did not consider the uptake of REMS (estimated by the applicant to be 5–15% of DXA utilisation over 6 years) to be justified or supported by any data in the ADAR. ESC also noted that the ADAR assumed a one-for-one replacement of DXA by REMS at the same MBS fee, yielding a net cost to the MBS budget of $0 for every year. However, ESC considered the assumption that MBS listing of REMS would not lead to market growth (e.g., uptake in patients eligible for a DXA MBS item but not able to access DXA)</w:t>
      </w:r>
      <w:r w:rsidRPr="00903F9D" w:rsidDel="000A410C">
        <w:rPr>
          <w:rFonts w:eastAsia="Calibri" w:cs="Times New Roman"/>
        </w:rPr>
        <w:t xml:space="preserve"> </w:t>
      </w:r>
      <w:r w:rsidRPr="00903F9D">
        <w:rPr>
          <w:rFonts w:eastAsia="Calibri" w:cs="Times New Roman"/>
        </w:rPr>
        <w:t>to be uncertain. ESC noted that REMS has been available in Italy for 4 years and the experience in Italy could have been presented to provide an indication on the potential uptake of REMS in Australia. ESC also noted information in the commentary that in Italy (where the device is manufactured), there is broader use than that proposed in the ADAR: in addition to diagnosis and limited monitoring, REMS is used in risk stratification and continuity of care for fragility fractures. ESC noted from PASC that use of REMS for fragility scoring was still under development and not ready for clinical use. Consequently, ESC was concerned that there may be potential for REMS to be used outside the indications proposed in the current application. While ESC considered it may be appropriate to assume no impact on other health budgets, it noted that increased diagnosis of osteoporosis could be expected to increase Pharmaceutical Benefits Scheme (PBS) expenditure for osteoporosis treatments.</w:t>
      </w:r>
    </w:p>
    <w:p w14:paraId="3F84FCA1" w14:textId="77777777" w:rsidR="00B41EE8" w:rsidRPr="00903F9D" w:rsidRDefault="00B41EE8" w:rsidP="00B41EE8">
      <w:pPr>
        <w:pStyle w:val="Heading2"/>
        <w:numPr>
          <w:ilvl w:val="0"/>
          <w:numId w:val="0"/>
        </w:numPr>
      </w:pPr>
      <w:r w:rsidRPr="00903F9D">
        <w:t>17.</w:t>
      </w:r>
      <w:r w:rsidRPr="00903F9D">
        <w:tab/>
        <w:t>Applicant comments on MSAC’s Public Summary Document</w:t>
      </w:r>
    </w:p>
    <w:p w14:paraId="3F9890E5" w14:textId="2584D393" w:rsidR="006B31D9" w:rsidRPr="00903F9D" w:rsidRDefault="00AA5AEB" w:rsidP="00B41EE8">
      <w:r w:rsidRPr="00AA5AEB">
        <w:t xml:space="preserve">The </w:t>
      </w:r>
      <w:r>
        <w:t>A</w:t>
      </w:r>
      <w:r w:rsidRPr="00AA5AEB">
        <w:t xml:space="preserve">pplicant is disappointed with the MSAC outcome, </w:t>
      </w:r>
      <w:r>
        <w:t xml:space="preserve">but equally committed to addressing the concerns and questions raised by MSAC. </w:t>
      </w:r>
      <w:r w:rsidR="00DC60C1" w:rsidRPr="00903F9D">
        <w:t xml:space="preserve">The </w:t>
      </w:r>
      <w:r w:rsidR="005E0C1A" w:rsidRPr="00903F9D">
        <w:t>A</w:t>
      </w:r>
      <w:r w:rsidR="00DC60C1" w:rsidRPr="00903F9D">
        <w:t>pplicant is disappointed by MSAC’s appraisal of REMS and considers the n</w:t>
      </w:r>
      <w:r w:rsidR="00497960" w:rsidRPr="00903F9D">
        <w:t xml:space="preserve">on-inferior efficacy and safety of REMS versus DXA was shown by the key studies in the primary, pre-specified outcome analyses. In addition, MSAC acknowledged that </w:t>
      </w:r>
      <w:r w:rsidR="00DC60C1" w:rsidRPr="00903F9D">
        <w:t xml:space="preserve">both </w:t>
      </w:r>
      <w:r w:rsidR="00201E46" w:rsidRPr="00903F9D">
        <w:t xml:space="preserve">REMS and </w:t>
      </w:r>
      <w:r w:rsidR="00497960" w:rsidRPr="00903F9D">
        <w:t xml:space="preserve">DXA </w:t>
      </w:r>
      <w:r w:rsidR="00DC60C1" w:rsidRPr="00903F9D">
        <w:t>have</w:t>
      </w:r>
      <w:r w:rsidR="00497960" w:rsidRPr="00903F9D">
        <w:t xml:space="preserve"> the possibility of errors, obtaining invalid scans and therefore </w:t>
      </w:r>
      <w:r w:rsidR="00201E46" w:rsidRPr="00903F9D">
        <w:t xml:space="preserve">the </w:t>
      </w:r>
      <w:r w:rsidR="005E0C1A" w:rsidRPr="00903F9D">
        <w:t>A</w:t>
      </w:r>
      <w:r w:rsidR="00201E46" w:rsidRPr="00903F9D">
        <w:t xml:space="preserve">pplicant considers that </w:t>
      </w:r>
      <w:r w:rsidR="00497960" w:rsidRPr="00903F9D">
        <w:t xml:space="preserve">a direct comparison between the two technologies where there is no absolute known BMD value, should be taken with caution. The Applicant does not believe providing REMS will result in over-servicing of patients, but rather meeting an unmet need by providing a viable option to eligible patients who have never / not recently had a BMD scan.  Importantly, the portability of the REMS device (can be as small as a 12kg cabin bag) cannot be considered equivalent to a DXA within a mid-sized bus to meet the unmet need in regional &amp; remote communities. Finally, the Applicant acknowledged the feedback from the societies and will work to address the constructive comments around training and consistency. </w:t>
      </w:r>
    </w:p>
    <w:p w14:paraId="02F25A88" w14:textId="77777777" w:rsidR="00B41EE8" w:rsidRPr="00903F9D" w:rsidRDefault="00B41EE8" w:rsidP="00B41EE8">
      <w:pPr>
        <w:pStyle w:val="Heading2"/>
        <w:numPr>
          <w:ilvl w:val="0"/>
          <w:numId w:val="0"/>
        </w:numPr>
        <w:ind w:left="720" w:hanging="720"/>
      </w:pPr>
      <w:r w:rsidRPr="00903F9D">
        <w:t>18.</w:t>
      </w:r>
      <w:r w:rsidRPr="00903F9D">
        <w:tab/>
        <w:t>Further information on MSAC</w:t>
      </w:r>
    </w:p>
    <w:p w14:paraId="0A162FEF" w14:textId="53B9E3B7" w:rsidR="00EB62FF" w:rsidRPr="00B41EE8" w:rsidRDefault="00B41EE8" w:rsidP="00B41EE8">
      <w:pPr>
        <w:pStyle w:val="BodyText"/>
        <w:rPr>
          <w:rFonts w:ascii="Franklin Gothic Book" w:hAnsi="Franklin Gothic Book"/>
        </w:rPr>
      </w:pPr>
      <w:r w:rsidRPr="00903F9D">
        <w:rPr>
          <w:rFonts w:ascii="Franklin Gothic Book" w:hAnsi="Franklin Gothic Book"/>
        </w:rPr>
        <w:t xml:space="preserve">MSAC Terms of Reference and other information are available on the MSAC Website: </w:t>
      </w:r>
      <w:hyperlink r:id="rId57" w:tooltip="Link to the MSAC website" w:history="1">
        <w:r w:rsidRPr="00903F9D">
          <w:rPr>
            <w:rStyle w:val="Hyperlink"/>
            <w:rFonts w:ascii="Franklin Gothic Book" w:hAnsi="Franklin Gothic Book"/>
          </w:rPr>
          <w:t>visit the MSAC website</w:t>
        </w:r>
      </w:hyperlink>
    </w:p>
    <w:sectPr w:rsidR="00EB62FF" w:rsidRPr="00B41EE8" w:rsidSect="00D67C8A">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F985" w14:textId="77777777" w:rsidR="005B043F" w:rsidRDefault="005B043F" w:rsidP="00B62DF2">
      <w:pPr>
        <w:spacing w:after="0" w:line="240" w:lineRule="auto"/>
      </w:pPr>
      <w:r>
        <w:separator/>
      </w:r>
    </w:p>
  </w:endnote>
  <w:endnote w:type="continuationSeparator" w:id="0">
    <w:p w14:paraId="000B0ACC" w14:textId="77777777" w:rsidR="005B043F" w:rsidRDefault="005B043F" w:rsidP="00B6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19866F78" w14:textId="107CB43B" w:rsidR="00B36C5F" w:rsidRDefault="00B36C5F" w:rsidP="005416F5">
        <w:pPr>
          <w:pStyle w:val="Footer"/>
          <w:jc w:val="right"/>
        </w:pPr>
        <w:r w:rsidRPr="005416F5">
          <w:fldChar w:fldCharType="begin"/>
        </w:r>
        <w:r w:rsidRPr="005416F5">
          <w:instrText xml:space="preserve"> PAGE   \* MERGEFORMAT </w:instrText>
        </w:r>
        <w:r w:rsidRPr="005416F5">
          <w:fldChar w:fldCharType="separate"/>
        </w:r>
        <w:r w:rsidRPr="005416F5">
          <w:rPr>
            <w:noProof/>
          </w:rPr>
          <w:t>22</w:t>
        </w:r>
        <w:r w:rsidRPr="005416F5">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1DAF69B9" w14:textId="1D2C3987" w:rsidR="00B36C5F" w:rsidRDefault="00B36C5F" w:rsidP="00052DD3">
        <w:pPr>
          <w:pStyle w:val="Footer"/>
          <w:jc w:val="right"/>
        </w:pPr>
        <w:r>
          <w:tab/>
        </w: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31C7" w14:textId="77777777" w:rsidR="00E66281" w:rsidRDefault="00E66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4D5C" w14:textId="77777777" w:rsidR="005B043F" w:rsidRDefault="005B043F" w:rsidP="00B62DF2">
      <w:pPr>
        <w:spacing w:after="0" w:line="240" w:lineRule="auto"/>
      </w:pPr>
      <w:r>
        <w:separator/>
      </w:r>
    </w:p>
  </w:footnote>
  <w:footnote w:type="continuationSeparator" w:id="0">
    <w:p w14:paraId="5873DAD7" w14:textId="77777777" w:rsidR="005B043F" w:rsidRDefault="005B043F" w:rsidP="00B62DF2">
      <w:pPr>
        <w:spacing w:after="0" w:line="240" w:lineRule="auto"/>
      </w:pPr>
      <w:r>
        <w:continuationSeparator/>
      </w:r>
    </w:p>
  </w:footnote>
  <w:footnote w:id="1">
    <w:p w14:paraId="2701F90E" w14:textId="77777777" w:rsidR="00B36C5F" w:rsidRDefault="00B36C5F" w:rsidP="004C5B44">
      <w:pPr>
        <w:pStyle w:val="FootnoteText"/>
        <w:spacing w:before="0"/>
      </w:pPr>
      <w:r>
        <w:rPr>
          <w:rStyle w:val="FootnoteReference"/>
        </w:rPr>
        <w:footnoteRef/>
      </w:r>
      <w:r>
        <w:t xml:space="preserve"> Cortet B, Dennison E, Diez-Perez A, Locquet M, Muratore M, Nogués X et al. (2021). Radiofrequency Echographic Multi Spectrometry (REMS) for the diagnosis of osteoporosis in a European multicenter clinical context. </w:t>
      </w:r>
      <w:r>
        <w:rPr>
          <w:i/>
          <w:iCs/>
        </w:rPr>
        <w:t>Bone</w:t>
      </w:r>
      <w:r>
        <w:t xml:space="preserve"> </w:t>
      </w:r>
      <w:r>
        <w:rPr>
          <w:b/>
        </w:rPr>
        <w:t>143</w:t>
      </w:r>
      <w:r>
        <w:t>:115786.</w:t>
      </w:r>
    </w:p>
  </w:footnote>
  <w:footnote w:id="2">
    <w:p w14:paraId="11BC4A55" w14:textId="77777777" w:rsidR="00B36C5F" w:rsidRDefault="00B36C5F" w:rsidP="004C5B44">
      <w:pPr>
        <w:pStyle w:val="FootnoteText"/>
        <w:spacing w:before="0"/>
      </w:pPr>
      <w:r>
        <w:rPr>
          <w:rStyle w:val="FootnoteReference"/>
        </w:rPr>
        <w:footnoteRef/>
      </w:r>
      <w:r>
        <w:t xml:space="preserve"> Di Paola M, Gatti D, Viapiana O, Cianferotti L, Cavalli L, Caffarelli C et al. (2019).</w:t>
      </w:r>
      <w:r>
        <w:rPr>
          <w:szCs w:val="18"/>
        </w:rPr>
        <w:t xml:space="preserve"> </w:t>
      </w:r>
      <w:r>
        <w:t xml:space="preserve">Radiofrequency echographic multispectrometry compared with dual X-ray absorptiometry for osteoporosis diagnosis on lumbar spine and femoral neck. </w:t>
      </w:r>
      <w:r>
        <w:rPr>
          <w:i/>
          <w:iCs/>
        </w:rPr>
        <w:t xml:space="preserve">Osteoporosis International </w:t>
      </w:r>
      <w:r>
        <w:rPr>
          <w:b/>
          <w:bCs/>
        </w:rPr>
        <w:t>30</w:t>
      </w:r>
      <w:r>
        <w:t>(2):391-402.</w:t>
      </w:r>
    </w:p>
  </w:footnote>
  <w:footnote w:id="3">
    <w:p w14:paraId="7F7C53DA" w14:textId="77777777" w:rsidR="00B36C5F" w:rsidRDefault="00B36C5F" w:rsidP="004C5B44">
      <w:pPr>
        <w:pStyle w:val="FootnoteText"/>
        <w:spacing w:before="0"/>
      </w:pPr>
      <w:r>
        <w:rPr>
          <w:rStyle w:val="FootnoteReference"/>
        </w:rPr>
        <w:footnoteRef/>
      </w:r>
      <w:r>
        <w:t xml:space="preserve"> Amorim DMR, Sakane EN, Maeda SS &amp; Castro ML (2021). New technology REMS for bone evaluation compared to DXA in adult women for the osteoporosis diagnosis: a real-life experience. </w:t>
      </w:r>
      <w:r>
        <w:rPr>
          <w:i/>
          <w:iCs/>
        </w:rPr>
        <w:t>Archives of Osteoporosis</w:t>
      </w:r>
      <w:r>
        <w:t xml:space="preserve"> </w:t>
      </w:r>
      <w:r>
        <w:rPr>
          <w:b/>
        </w:rPr>
        <w:t>16</w:t>
      </w:r>
      <w:r>
        <w:t>(1):175.</w:t>
      </w:r>
    </w:p>
  </w:footnote>
  <w:footnote w:id="4">
    <w:p w14:paraId="5FA9BC24" w14:textId="77777777" w:rsidR="00B36C5F" w:rsidRDefault="00B36C5F" w:rsidP="004C5B44">
      <w:pPr>
        <w:pStyle w:val="FootnoteText"/>
        <w:spacing w:before="0"/>
      </w:pPr>
      <w:r>
        <w:rPr>
          <w:rStyle w:val="FootnoteReference"/>
        </w:rPr>
        <w:footnoteRef/>
      </w:r>
      <w:r>
        <w:t xml:space="preserve"> Nowakowska-Płaza A, Wroński J, Płaza M, Sudoł-Szopińska I &amp; Głuszko P (2021). Diagnostic agreement between radiofrequency echographic multispectrometry and dual-energy X-ray absorptiometry in the assessment of osteoporosis in a Polish group of patients. </w:t>
      </w:r>
      <w:r>
        <w:rPr>
          <w:i/>
          <w:iCs/>
        </w:rPr>
        <w:t>Polish Archives of Internal Medicine</w:t>
      </w:r>
      <w:r>
        <w:t xml:space="preserve"> </w:t>
      </w:r>
      <w:r>
        <w:rPr>
          <w:b/>
          <w:bCs/>
        </w:rPr>
        <w:t>131</w:t>
      </w:r>
      <w:r>
        <w:t>(9):840-847.</w:t>
      </w:r>
    </w:p>
  </w:footnote>
  <w:footnote w:id="5">
    <w:p w14:paraId="0DA3AB4A" w14:textId="77777777" w:rsidR="00B36C5F" w:rsidRDefault="00B36C5F" w:rsidP="004C5B44">
      <w:pPr>
        <w:pStyle w:val="FootnoteText"/>
        <w:spacing w:before="0"/>
      </w:pPr>
      <w:r>
        <w:rPr>
          <w:rStyle w:val="FootnoteReference"/>
        </w:rPr>
        <w:footnoteRef/>
      </w:r>
      <w:r>
        <w:t xml:space="preserve"> Adami G, Arioli G, Bianchi G, Brandi ML, Caffarelli C, Cianferotti L et al. (2020). Radiofrequency echographic multi spectrometry for the prediction of incident fragility fractures: a 5-year follow-up study. </w:t>
      </w:r>
      <w:r>
        <w:rPr>
          <w:i/>
          <w:iCs/>
        </w:rPr>
        <w:t>Bone</w:t>
      </w:r>
      <w:r>
        <w:t xml:space="preserve"> </w:t>
      </w:r>
      <w:r>
        <w:rPr>
          <w:b/>
        </w:rPr>
        <w:t>134</w:t>
      </w:r>
      <w:r>
        <w:t>:115297.</w:t>
      </w:r>
    </w:p>
  </w:footnote>
  <w:footnote w:id="6">
    <w:p w14:paraId="1F3E798B" w14:textId="3E1A42F5" w:rsidR="00B36C5F" w:rsidRPr="00E454C0" w:rsidRDefault="00B36C5F" w:rsidP="007A0BD6">
      <w:pPr>
        <w:pStyle w:val="EndNoteBibliography"/>
        <w:spacing w:before="0" w:after="0"/>
        <w:rPr>
          <w:sz w:val="18"/>
          <w:szCs w:val="18"/>
        </w:rPr>
      </w:pPr>
      <w:r w:rsidRPr="00E454C0">
        <w:rPr>
          <w:rStyle w:val="FootnoteReference"/>
          <w:sz w:val="18"/>
          <w:szCs w:val="18"/>
        </w:rPr>
        <w:footnoteRef/>
      </w:r>
      <w:r w:rsidRPr="00E454C0">
        <w:rPr>
          <w:sz w:val="18"/>
          <w:szCs w:val="18"/>
        </w:rPr>
        <w:t xml:space="preserve"> Cortet, B. et al. Radiofrequency Echographic Multi Spectrometry (REMS) for the diagnosis of osteoporosis in a European multicenter clinical context. </w:t>
      </w:r>
      <w:r w:rsidRPr="00E454C0">
        <w:rPr>
          <w:i/>
          <w:iCs/>
          <w:sz w:val="18"/>
          <w:szCs w:val="18"/>
          <w:u w:val="single"/>
        </w:rPr>
        <w:t>Bone</w:t>
      </w:r>
      <w:r w:rsidRPr="00E454C0">
        <w:rPr>
          <w:sz w:val="18"/>
          <w:szCs w:val="18"/>
          <w:u w:val="single"/>
        </w:rPr>
        <w:t xml:space="preserve"> (2021)</w:t>
      </w:r>
      <w:r w:rsidRPr="00E454C0">
        <w:rPr>
          <w:sz w:val="18"/>
          <w:szCs w:val="18"/>
        </w:rPr>
        <w:t xml:space="preserve"> </w:t>
      </w:r>
      <w:r w:rsidRPr="00E454C0">
        <w:rPr>
          <w:b/>
          <w:sz w:val="18"/>
          <w:szCs w:val="18"/>
        </w:rPr>
        <w:t>143</w:t>
      </w:r>
      <w:r w:rsidRPr="00E454C0">
        <w:rPr>
          <w:sz w:val="18"/>
          <w:szCs w:val="18"/>
        </w:rPr>
        <w:t>: 115786.</w:t>
      </w:r>
    </w:p>
    <w:p w14:paraId="40D2FA37" w14:textId="3AC98A16" w:rsidR="00B36C5F" w:rsidRPr="00E454C0" w:rsidRDefault="00B36C5F" w:rsidP="0033705E">
      <w:pPr>
        <w:pStyle w:val="FootnoteText"/>
        <w:spacing w:before="0"/>
        <w:rPr>
          <w:szCs w:val="18"/>
        </w:rPr>
      </w:pPr>
    </w:p>
  </w:footnote>
  <w:footnote w:id="7">
    <w:p w14:paraId="3C722815" w14:textId="38C42AB7" w:rsidR="00B36C5F" w:rsidRPr="00E454C0" w:rsidRDefault="00B36C5F" w:rsidP="0033705E">
      <w:pPr>
        <w:pStyle w:val="EndNoteBibliography"/>
        <w:spacing w:before="0" w:after="0"/>
        <w:rPr>
          <w:sz w:val="18"/>
          <w:szCs w:val="18"/>
        </w:rPr>
      </w:pPr>
      <w:r w:rsidRPr="00E454C0">
        <w:rPr>
          <w:rStyle w:val="FootnoteReference"/>
          <w:sz w:val="18"/>
          <w:szCs w:val="18"/>
        </w:rPr>
        <w:footnoteRef/>
      </w:r>
      <w:r w:rsidRPr="00E454C0">
        <w:rPr>
          <w:sz w:val="18"/>
          <w:szCs w:val="18"/>
        </w:rPr>
        <w:t xml:space="preserve"> Di Paola, M. et al. Radiofrequency echographic multispectrometry compared with dual X-ray absorptiometry for osteoporosis diagnosis on lumbar spine and femoral neck. </w:t>
      </w:r>
      <w:r w:rsidRPr="00E454C0">
        <w:rPr>
          <w:i/>
          <w:iCs/>
          <w:sz w:val="18"/>
          <w:szCs w:val="18"/>
          <w:u w:val="single"/>
        </w:rPr>
        <w:t xml:space="preserve">Osteoporosis international </w:t>
      </w:r>
      <w:r w:rsidRPr="00E454C0">
        <w:rPr>
          <w:sz w:val="18"/>
          <w:szCs w:val="18"/>
          <w:u w:val="single"/>
        </w:rPr>
        <w:t xml:space="preserve">(2019) </w:t>
      </w:r>
      <w:r w:rsidRPr="00E454C0">
        <w:rPr>
          <w:b/>
          <w:sz w:val="18"/>
          <w:szCs w:val="18"/>
        </w:rPr>
        <w:t>30</w:t>
      </w:r>
      <w:r w:rsidRPr="00E454C0">
        <w:rPr>
          <w:sz w:val="18"/>
          <w:szCs w:val="18"/>
        </w:rPr>
        <w:t>(2): 391-402.</w:t>
      </w:r>
    </w:p>
    <w:p w14:paraId="687E6EFD" w14:textId="02788779" w:rsidR="00B36C5F" w:rsidRPr="00E454C0" w:rsidRDefault="00B36C5F" w:rsidP="007A0BD6">
      <w:pPr>
        <w:pStyle w:val="FootnoteText"/>
        <w:spacing w:before="0"/>
        <w:rPr>
          <w:szCs w:val="18"/>
        </w:rPr>
      </w:pPr>
    </w:p>
  </w:footnote>
  <w:footnote w:id="8">
    <w:p w14:paraId="78008916" w14:textId="36053420" w:rsidR="00B36C5F" w:rsidRPr="007906B0" w:rsidRDefault="00B36C5F" w:rsidP="007906B0">
      <w:pPr>
        <w:pStyle w:val="EndNoteBibliography"/>
        <w:spacing w:before="0" w:after="0"/>
        <w:rPr>
          <w:sz w:val="18"/>
          <w:szCs w:val="18"/>
        </w:rPr>
      </w:pPr>
      <w:r w:rsidRPr="00E454C0">
        <w:rPr>
          <w:rStyle w:val="FootnoteReference"/>
          <w:sz w:val="18"/>
          <w:szCs w:val="18"/>
        </w:rPr>
        <w:footnoteRef/>
      </w:r>
      <w:r w:rsidRPr="00E454C0">
        <w:rPr>
          <w:sz w:val="18"/>
          <w:szCs w:val="18"/>
        </w:rPr>
        <w:t xml:space="preserve"> Amorim, D. M. R. et al. New technology REMS for bone evaluation compared to DXA in adult women for the osteoporosis diagnosis: a real-life experience. </w:t>
      </w:r>
      <w:r w:rsidRPr="00E454C0">
        <w:rPr>
          <w:i/>
          <w:iCs/>
          <w:sz w:val="18"/>
          <w:szCs w:val="18"/>
          <w:u w:val="single"/>
        </w:rPr>
        <w:t>Archives of Osteoporosis</w:t>
      </w:r>
      <w:r w:rsidRPr="00E454C0">
        <w:rPr>
          <w:sz w:val="18"/>
          <w:szCs w:val="18"/>
          <w:u w:val="single"/>
        </w:rPr>
        <w:t xml:space="preserve"> (2021)</w:t>
      </w:r>
      <w:r w:rsidRPr="00E454C0">
        <w:rPr>
          <w:sz w:val="18"/>
          <w:szCs w:val="18"/>
        </w:rPr>
        <w:t xml:space="preserve"> </w:t>
      </w:r>
      <w:r w:rsidRPr="00E454C0">
        <w:rPr>
          <w:b/>
          <w:sz w:val="18"/>
          <w:szCs w:val="18"/>
        </w:rPr>
        <w:t>16</w:t>
      </w:r>
      <w:r w:rsidRPr="00E454C0">
        <w:rPr>
          <w:sz w:val="18"/>
          <w:szCs w:val="18"/>
        </w:rPr>
        <w:t>(1): 175.</w:t>
      </w:r>
    </w:p>
  </w:footnote>
  <w:footnote w:id="9">
    <w:p w14:paraId="71498307" w14:textId="77777777" w:rsidR="00B36C5F" w:rsidRDefault="00B36C5F" w:rsidP="00A563C2">
      <w:pPr>
        <w:pStyle w:val="FootnoteText"/>
      </w:pPr>
      <w:r>
        <w:rPr>
          <w:rStyle w:val="FootnoteReference"/>
        </w:rPr>
        <w:footnoteRef/>
      </w:r>
      <w:r>
        <w:t xml:space="preserve"> </w:t>
      </w:r>
      <w:r w:rsidRPr="00227879">
        <w:t>Third National Health and Nutrition Examination Survey</w:t>
      </w:r>
      <w:r>
        <w:t xml:space="preserve"> - </w:t>
      </w:r>
      <w:r w:rsidRPr="00227879">
        <w:t>https://wwwn.cdc.gov/nchs/nhanes/nhanes3/default.aspx</w:t>
      </w:r>
    </w:p>
  </w:footnote>
  <w:footnote w:id="10">
    <w:p w14:paraId="371F5DA1" w14:textId="77777777" w:rsidR="00B36C5F" w:rsidRDefault="00B36C5F" w:rsidP="006C041E">
      <w:pPr>
        <w:pStyle w:val="FootnoteText"/>
      </w:pPr>
      <w:r>
        <w:rPr>
          <w:rStyle w:val="FootnoteReference"/>
        </w:rPr>
        <w:footnoteRef/>
      </w:r>
      <w:r>
        <w:t xml:space="preserve"> Available at: </w:t>
      </w:r>
      <w:hyperlink r:id="rId1" w:history="1">
        <w:r w:rsidRPr="00E361E5">
          <w:rPr>
            <w:rStyle w:val="Hyperlink"/>
          </w:rPr>
          <w:t>http://www9.health.gov.au/mbs/fullDisplay.cfm?type=note&amp;q=DN.1.18&amp;qt=noteID&amp;criteria=bone%20mineral%20density</w:t>
        </w:r>
      </w:hyperlink>
      <w:r>
        <w:t xml:space="preserve"> (accessed February 2022)</w:t>
      </w:r>
    </w:p>
  </w:footnote>
  <w:footnote w:id="11">
    <w:p w14:paraId="65DE0615" w14:textId="1D0CB48F" w:rsidR="00B36C5F" w:rsidRPr="00E454C0" w:rsidRDefault="00B36C5F" w:rsidP="00282F6F">
      <w:pPr>
        <w:pStyle w:val="EndNoteBibliography"/>
        <w:spacing w:before="0" w:after="0"/>
        <w:rPr>
          <w:sz w:val="18"/>
          <w:szCs w:val="18"/>
        </w:rPr>
      </w:pPr>
      <w:r w:rsidRPr="00E454C0">
        <w:rPr>
          <w:rStyle w:val="FootnoteReference"/>
          <w:sz w:val="18"/>
          <w:szCs w:val="18"/>
        </w:rPr>
        <w:footnoteRef/>
      </w:r>
      <w:r w:rsidRPr="00E454C0">
        <w:rPr>
          <w:sz w:val="18"/>
          <w:szCs w:val="18"/>
        </w:rPr>
        <w:t xml:space="preserve"> Nowakowska-Plaza, A., J. et al. Diagnostic agreement between radiofrequency echographic multispectrometry and dual-energy X-ray absorptiometry in the assessment of osteoporosis in a Polish group of patients. </w:t>
      </w:r>
      <w:r w:rsidRPr="00E454C0">
        <w:rPr>
          <w:i/>
          <w:iCs/>
          <w:sz w:val="18"/>
          <w:szCs w:val="18"/>
          <w:u w:val="single"/>
        </w:rPr>
        <w:t>Polish Archives of Internal Medicine</w:t>
      </w:r>
      <w:r w:rsidRPr="00E454C0">
        <w:rPr>
          <w:sz w:val="18"/>
          <w:szCs w:val="18"/>
          <w:u w:val="single"/>
        </w:rPr>
        <w:t xml:space="preserve"> (2021)</w:t>
      </w:r>
      <w:r w:rsidRPr="00E454C0">
        <w:rPr>
          <w:sz w:val="18"/>
          <w:szCs w:val="18"/>
        </w:rPr>
        <w:t xml:space="preserve"> </w:t>
      </w:r>
      <w:r w:rsidRPr="00E454C0">
        <w:rPr>
          <w:b/>
          <w:sz w:val="18"/>
          <w:szCs w:val="18"/>
        </w:rPr>
        <w:t>131</w:t>
      </w:r>
      <w:r w:rsidRPr="00E454C0">
        <w:rPr>
          <w:sz w:val="18"/>
          <w:szCs w:val="18"/>
        </w:rPr>
        <w:t>(9): 840-847.</w:t>
      </w:r>
    </w:p>
    <w:p w14:paraId="2A0AEA73" w14:textId="119C39FC" w:rsidR="00B36C5F" w:rsidRPr="00E454C0" w:rsidRDefault="00B36C5F" w:rsidP="00282F6F">
      <w:pPr>
        <w:pStyle w:val="FootnoteText"/>
        <w:spacing w:before="0"/>
        <w:rPr>
          <w:szCs w:val="18"/>
        </w:rPr>
      </w:pPr>
    </w:p>
  </w:footnote>
  <w:footnote w:id="12">
    <w:p w14:paraId="6996B21A" w14:textId="71C23A2F" w:rsidR="00B36C5F" w:rsidRPr="00E454C0" w:rsidRDefault="00B36C5F" w:rsidP="00282F6F">
      <w:pPr>
        <w:pStyle w:val="EndNoteBibliography"/>
        <w:spacing w:before="0" w:after="0"/>
        <w:rPr>
          <w:sz w:val="18"/>
          <w:szCs w:val="18"/>
        </w:rPr>
      </w:pPr>
      <w:r w:rsidRPr="00E454C0">
        <w:rPr>
          <w:rStyle w:val="FootnoteReference"/>
          <w:sz w:val="18"/>
          <w:szCs w:val="18"/>
        </w:rPr>
        <w:footnoteRef/>
      </w:r>
      <w:r w:rsidRPr="00E454C0">
        <w:rPr>
          <w:sz w:val="18"/>
          <w:szCs w:val="18"/>
        </w:rPr>
        <w:t xml:space="preserve"> Adami, G., D. et al. Radiofrequency echographic multi spectrometry for the prediction of incident fragility fractures: A 5-year follow-up study. </w:t>
      </w:r>
      <w:r w:rsidRPr="00E454C0">
        <w:rPr>
          <w:i/>
          <w:iCs/>
          <w:sz w:val="18"/>
          <w:szCs w:val="18"/>
          <w:u w:val="single"/>
        </w:rPr>
        <w:t>Bone</w:t>
      </w:r>
      <w:r w:rsidRPr="00E454C0">
        <w:rPr>
          <w:sz w:val="18"/>
          <w:szCs w:val="18"/>
        </w:rPr>
        <w:t xml:space="preserve"> (2020) </w:t>
      </w:r>
      <w:r w:rsidRPr="00E454C0">
        <w:rPr>
          <w:b/>
          <w:sz w:val="18"/>
          <w:szCs w:val="18"/>
        </w:rPr>
        <w:t>134</w:t>
      </w:r>
      <w:r w:rsidRPr="00E454C0">
        <w:rPr>
          <w:sz w:val="18"/>
          <w:szCs w:val="18"/>
        </w:rPr>
        <w:t>: 115297.</w:t>
      </w:r>
    </w:p>
    <w:p w14:paraId="0DFCAFFB" w14:textId="553B79FE" w:rsidR="00B36C5F" w:rsidRPr="00282F6F" w:rsidRDefault="00B36C5F" w:rsidP="00282F6F">
      <w:pPr>
        <w:pStyle w:val="FootnoteText"/>
        <w:spacing w:before="0"/>
        <w:rPr>
          <w:sz w:val="16"/>
          <w:szCs w:val="18"/>
        </w:rPr>
      </w:pPr>
    </w:p>
  </w:footnote>
  <w:footnote w:id="13">
    <w:p w14:paraId="6B712884" w14:textId="062E5C95" w:rsidR="00B36C5F" w:rsidRPr="00E454C0" w:rsidRDefault="00B36C5F" w:rsidP="00282F6F">
      <w:pPr>
        <w:pStyle w:val="EndNoteBibliography"/>
        <w:spacing w:before="0" w:after="0"/>
        <w:rPr>
          <w:sz w:val="18"/>
          <w:szCs w:val="18"/>
        </w:rPr>
      </w:pPr>
      <w:r w:rsidRPr="00E454C0">
        <w:rPr>
          <w:rStyle w:val="FootnoteReference"/>
          <w:sz w:val="18"/>
          <w:szCs w:val="18"/>
        </w:rPr>
        <w:footnoteRef/>
      </w:r>
      <w:r w:rsidRPr="00E454C0">
        <w:rPr>
          <w:sz w:val="18"/>
          <w:szCs w:val="18"/>
        </w:rPr>
        <w:t xml:space="preserve"> </w:t>
      </w:r>
      <w:r>
        <w:rPr>
          <w:sz w:val="18"/>
          <w:szCs w:val="18"/>
        </w:rPr>
        <w:t xml:space="preserve">[Conference Abstract] </w:t>
      </w:r>
      <w:r w:rsidRPr="00E454C0">
        <w:rPr>
          <w:sz w:val="18"/>
          <w:szCs w:val="18"/>
        </w:rPr>
        <w:t xml:space="preserve">Ciardo, D., P. et al. REMS Technology for the Assessment of Bone Health in a Male Population. </w:t>
      </w:r>
      <w:r w:rsidRPr="00E454C0">
        <w:rPr>
          <w:i/>
          <w:iCs/>
          <w:sz w:val="18"/>
          <w:szCs w:val="18"/>
          <w:u w:val="single"/>
        </w:rPr>
        <w:t>Arthritis Rheumatol</w:t>
      </w:r>
      <w:r w:rsidRPr="00E454C0">
        <w:rPr>
          <w:sz w:val="18"/>
          <w:szCs w:val="18"/>
        </w:rPr>
        <w:t xml:space="preserve"> (2021) </w:t>
      </w:r>
      <w:r w:rsidRPr="00E454C0">
        <w:rPr>
          <w:b/>
          <w:sz w:val="18"/>
          <w:szCs w:val="18"/>
        </w:rPr>
        <w:t>73</w:t>
      </w:r>
      <w:r w:rsidRPr="00E454C0">
        <w:rPr>
          <w:sz w:val="18"/>
          <w:szCs w:val="18"/>
        </w:rPr>
        <w:t xml:space="preserve"> </w:t>
      </w:r>
    </w:p>
    <w:p w14:paraId="686D5DD4" w14:textId="6F2C443D" w:rsidR="00B36C5F" w:rsidRPr="00E454C0" w:rsidRDefault="00B36C5F" w:rsidP="00282F6F">
      <w:pPr>
        <w:pStyle w:val="FootnoteText"/>
        <w:spacing w:before="0"/>
        <w:rPr>
          <w:szCs w:val="18"/>
        </w:rPr>
      </w:pPr>
    </w:p>
  </w:footnote>
  <w:footnote w:id="14">
    <w:p w14:paraId="4237B662" w14:textId="6810440B" w:rsidR="00B36C5F" w:rsidRPr="00E454C0" w:rsidRDefault="00B36C5F" w:rsidP="00282F6F">
      <w:pPr>
        <w:pStyle w:val="EndNoteBibliography"/>
        <w:spacing w:before="0" w:after="0"/>
        <w:rPr>
          <w:sz w:val="18"/>
          <w:szCs w:val="18"/>
        </w:rPr>
      </w:pPr>
      <w:r w:rsidRPr="00E454C0">
        <w:rPr>
          <w:rStyle w:val="FootnoteReference"/>
          <w:sz w:val="18"/>
          <w:szCs w:val="18"/>
        </w:rPr>
        <w:footnoteRef/>
      </w:r>
      <w:r w:rsidRPr="00E454C0">
        <w:rPr>
          <w:sz w:val="18"/>
          <w:szCs w:val="18"/>
        </w:rPr>
        <w:t xml:space="preserve"> </w:t>
      </w:r>
      <w:r>
        <w:rPr>
          <w:sz w:val="18"/>
          <w:szCs w:val="18"/>
        </w:rPr>
        <w:t xml:space="preserve">[Conference Abstract] </w:t>
      </w:r>
      <w:r w:rsidRPr="00E454C0">
        <w:rPr>
          <w:sz w:val="18"/>
          <w:szCs w:val="18"/>
        </w:rPr>
        <w:t xml:space="preserve">Cortet, B., E. et al. Diagnosis of osteoporosis using Radiofrequency Echographic Multi Spectrometry (REMS) at lumbar spine in patients with different Body Mass Index. </w:t>
      </w:r>
      <w:r w:rsidRPr="00E454C0">
        <w:rPr>
          <w:i/>
          <w:iCs/>
          <w:sz w:val="18"/>
          <w:szCs w:val="18"/>
          <w:u w:val="single"/>
        </w:rPr>
        <w:t>European E-Congress of Rheumatology</w:t>
      </w:r>
      <w:r w:rsidRPr="00E454C0">
        <w:rPr>
          <w:sz w:val="18"/>
          <w:szCs w:val="18"/>
          <w:u w:val="single"/>
        </w:rPr>
        <w:t xml:space="preserve"> (EULAR), 2-5 June 2021</w:t>
      </w:r>
      <w:r w:rsidRPr="00E454C0">
        <w:rPr>
          <w:sz w:val="18"/>
          <w:szCs w:val="18"/>
        </w:rPr>
        <w:t>.</w:t>
      </w:r>
    </w:p>
    <w:p w14:paraId="57711ED8" w14:textId="6E5CB2D4" w:rsidR="00B36C5F" w:rsidRPr="00E454C0" w:rsidRDefault="00B36C5F" w:rsidP="00282F6F">
      <w:pPr>
        <w:pStyle w:val="FootnoteText"/>
        <w:spacing w:before="0"/>
        <w:rPr>
          <w:szCs w:val="18"/>
        </w:rPr>
      </w:pPr>
    </w:p>
  </w:footnote>
  <w:footnote w:id="15">
    <w:p w14:paraId="771B2620" w14:textId="73794097" w:rsidR="00B36C5F" w:rsidRPr="00E454C0" w:rsidRDefault="00B36C5F" w:rsidP="00282F6F">
      <w:pPr>
        <w:pStyle w:val="EndNoteBibliography"/>
        <w:spacing w:before="0" w:after="0"/>
        <w:rPr>
          <w:sz w:val="18"/>
          <w:szCs w:val="18"/>
        </w:rPr>
      </w:pPr>
      <w:r w:rsidRPr="00E454C0">
        <w:rPr>
          <w:rStyle w:val="FootnoteReference"/>
          <w:sz w:val="18"/>
          <w:szCs w:val="18"/>
        </w:rPr>
        <w:footnoteRef/>
      </w:r>
      <w:r w:rsidRPr="00E454C0">
        <w:rPr>
          <w:sz w:val="18"/>
          <w:szCs w:val="18"/>
        </w:rPr>
        <w:t xml:space="preserve"> </w:t>
      </w:r>
      <w:r>
        <w:rPr>
          <w:sz w:val="18"/>
          <w:szCs w:val="18"/>
        </w:rPr>
        <w:t xml:space="preserve">[Conference Abstract] </w:t>
      </w:r>
      <w:r w:rsidRPr="00E454C0">
        <w:rPr>
          <w:sz w:val="18"/>
          <w:szCs w:val="18"/>
        </w:rPr>
        <w:t xml:space="preserve">Cortet, B., E. et al.Radiofrequency Echographic Multi Spectrometry (REMS) for the diagnosis of osteoporosis in patients with different body mass index. </w:t>
      </w:r>
      <w:r w:rsidRPr="00E454C0">
        <w:rPr>
          <w:i/>
          <w:iCs/>
          <w:sz w:val="18"/>
          <w:szCs w:val="18"/>
          <w:u w:val="single"/>
        </w:rPr>
        <w:t>Virtual World Congress on Osteoporosis, Osteoarthritis and Musculoskeletal Diseases (WCO-IOF-ESCEO)</w:t>
      </w:r>
      <w:r w:rsidRPr="00E454C0">
        <w:rPr>
          <w:sz w:val="18"/>
          <w:szCs w:val="18"/>
          <w:u w:val="single"/>
        </w:rPr>
        <w:t>, 26–29 August 2021</w:t>
      </w:r>
      <w:r w:rsidRPr="00E454C0">
        <w:rPr>
          <w:sz w:val="18"/>
          <w:szCs w:val="18"/>
        </w:rPr>
        <w:t>.</w:t>
      </w:r>
    </w:p>
    <w:p w14:paraId="676830C8" w14:textId="6792842C" w:rsidR="00B36C5F" w:rsidRPr="00E454C0" w:rsidRDefault="00B36C5F" w:rsidP="00282F6F">
      <w:pPr>
        <w:pStyle w:val="FootnoteText"/>
        <w:spacing w:before="0"/>
        <w:rPr>
          <w:szCs w:val="18"/>
        </w:rPr>
      </w:pPr>
    </w:p>
  </w:footnote>
  <w:footnote w:id="16">
    <w:p w14:paraId="10B93C6D" w14:textId="57E22C5E" w:rsidR="00B36C5F" w:rsidRPr="00E454C0" w:rsidRDefault="00B36C5F" w:rsidP="00282F6F">
      <w:pPr>
        <w:pStyle w:val="EndNoteBibliography"/>
        <w:spacing w:before="0" w:after="0"/>
        <w:rPr>
          <w:sz w:val="18"/>
          <w:szCs w:val="18"/>
        </w:rPr>
      </w:pPr>
      <w:r w:rsidRPr="00E454C0">
        <w:rPr>
          <w:rStyle w:val="FootnoteReference"/>
          <w:sz w:val="18"/>
          <w:szCs w:val="18"/>
        </w:rPr>
        <w:footnoteRef/>
      </w:r>
      <w:r w:rsidRPr="00E454C0">
        <w:rPr>
          <w:sz w:val="18"/>
          <w:szCs w:val="18"/>
        </w:rPr>
        <w:t xml:space="preserve"> </w:t>
      </w:r>
      <w:r>
        <w:rPr>
          <w:sz w:val="18"/>
          <w:szCs w:val="18"/>
        </w:rPr>
        <w:t xml:space="preserve">[Conference Abstract] </w:t>
      </w:r>
      <w:r w:rsidRPr="00E454C0">
        <w:rPr>
          <w:sz w:val="18"/>
          <w:szCs w:val="18"/>
        </w:rPr>
        <w:t xml:space="preserve">Cavalli, L., B. et al. "Screening precoce dell’osteoporosi: valutazione di soggetti giovani mediante la tecnica non invasiva REMS. </w:t>
      </w:r>
      <w:r w:rsidRPr="00E454C0">
        <w:rPr>
          <w:i/>
          <w:iCs/>
          <w:sz w:val="18"/>
          <w:szCs w:val="18"/>
          <w:u w:val="single"/>
        </w:rPr>
        <w:t xml:space="preserve">Reumatismo </w:t>
      </w:r>
      <w:r w:rsidRPr="00E454C0">
        <w:rPr>
          <w:sz w:val="18"/>
          <w:szCs w:val="18"/>
          <w:u w:val="single"/>
        </w:rPr>
        <w:t>(2019)</w:t>
      </w:r>
      <w:r w:rsidRPr="00E454C0">
        <w:rPr>
          <w:sz w:val="18"/>
          <w:szCs w:val="18"/>
        </w:rPr>
        <w:t xml:space="preserve"> </w:t>
      </w:r>
      <w:r w:rsidRPr="00E454C0">
        <w:rPr>
          <w:b/>
          <w:sz w:val="18"/>
          <w:szCs w:val="18"/>
        </w:rPr>
        <w:t>71</w:t>
      </w:r>
      <w:r w:rsidRPr="00E454C0">
        <w:rPr>
          <w:sz w:val="18"/>
          <w:szCs w:val="18"/>
        </w:rPr>
        <w:t>: EP0424.</w:t>
      </w:r>
    </w:p>
    <w:p w14:paraId="6CBC0956" w14:textId="2D4FEDCD" w:rsidR="00B36C5F" w:rsidRPr="00E454C0" w:rsidRDefault="00B36C5F" w:rsidP="00282F6F">
      <w:pPr>
        <w:pStyle w:val="FootnoteText"/>
        <w:spacing w:before="0"/>
        <w:rPr>
          <w:szCs w:val="18"/>
        </w:rPr>
      </w:pPr>
    </w:p>
  </w:footnote>
  <w:footnote w:id="17">
    <w:p w14:paraId="0207515E" w14:textId="5729A232" w:rsidR="00B36C5F" w:rsidRPr="00E454C0" w:rsidRDefault="00B36C5F" w:rsidP="00282F6F">
      <w:pPr>
        <w:pStyle w:val="EndNoteBibliography"/>
        <w:spacing w:before="0" w:after="0"/>
        <w:rPr>
          <w:sz w:val="18"/>
          <w:szCs w:val="18"/>
        </w:rPr>
      </w:pPr>
      <w:r w:rsidRPr="00E454C0">
        <w:rPr>
          <w:rStyle w:val="FootnoteReference"/>
          <w:sz w:val="18"/>
          <w:szCs w:val="18"/>
        </w:rPr>
        <w:footnoteRef/>
      </w:r>
      <w:r w:rsidRPr="00E454C0">
        <w:rPr>
          <w:sz w:val="18"/>
          <w:szCs w:val="18"/>
        </w:rPr>
        <w:t xml:space="preserve"> </w:t>
      </w:r>
      <w:r>
        <w:rPr>
          <w:sz w:val="18"/>
          <w:szCs w:val="18"/>
        </w:rPr>
        <w:t xml:space="preserve">[Conference Abstract] </w:t>
      </w:r>
      <w:r w:rsidRPr="00E454C0">
        <w:rPr>
          <w:sz w:val="18"/>
          <w:szCs w:val="18"/>
        </w:rPr>
        <w:t xml:space="preserve">Tomai Pitinca, M. D. et al. Bone mineral density measured by the radio frequency echographic multispectrometry (REMS) technique in patients in long term steroid treatment with and without fracture. </w:t>
      </w:r>
      <w:r w:rsidRPr="00E454C0">
        <w:rPr>
          <w:i/>
          <w:iCs/>
          <w:sz w:val="18"/>
          <w:szCs w:val="18"/>
          <w:u w:val="single"/>
        </w:rPr>
        <w:t>Osteoporosis International</w:t>
      </w:r>
      <w:r w:rsidRPr="00E454C0">
        <w:rPr>
          <w:sz w:val="18"/>
          <w:szCs w:val="18"/>
        </w:rPr>
        <w:t xml:space="preserve"> (2019) </w:t>
      </w:r>
      <w:r w:rsidRPr="00E454C0">
        <w:rPr>
          <w:b/>
          <w:sz w:val="18"/>
          <w:szCs w:val="18"/>
        </w:rPr>
        <w:t>30</w:t>
      </w:r>
      <w:r w:rsidRPr="00E454C0">
        <w:rPr>
          <w:sz w:val="18"/>
          <w:szCs w:val="18"/>
        </w:rPr>
        <w:t>(SUPPL 2): S643.</w:t>
      </w:r>
    </w:p>
    <w:p w14:paraId="5C9B0FBF" w14:textId="6DC92251" w:rsidR="00B36C5F" w:rsidRPr="00E454C0" w:rsidRDefault="00B36C5F" w:rsidP="00282F6F">
      <w:pPr>
        <w:pStyle w:val="FootnoteText"/>
        <w:spacing w:before="0"/>
        <w:rPr>
          <w:szCs w:val="18"/>
        </w:rPr>
      </w:pPr>
    </w:p>
  </w:footnote>
  <w:footnote w:id="18">
    <w:p w14:paraId="0B449F3E" w14:textId="0718BF16" w:rsidR="00B36C5F" w:rsidRDefault="00B36C5F" w:rsidP="007906B0">
      <w:pPr>
        <w:pStyle w:val="EndNoteBibliography"/>
        <w:spacing w:before="0" w:after="0"/>
        <w:rPr>
          <w:sz w:val="18"/>
          <w:szCs w:val="18"/>
        </w:rPr>
      </w:pPr>
      <w:r w:rsidRPr="00E454C0">
        <w:rPr>
          <w:rStyle w:val="FootnoteReference"/>
          <w:sz w:val="18"/>
          <w:szCs w:val="18"/>
        </w:rPr>
        <w:footnoteRef/>
      </w:r>
      <w:r w:rsidRPr="00E454C0">
        <w:rPr>
          <w:sz w:val="18"/>
          <w:szCs w:val="18"/>
        </w:rPr>
        <w:t xml:space="preserve"> </w:t>
      </w:r>
      <w:r>
        <w:rPr>
          <w:sz w:val="18"/>
          <w:szCs w:val="18"/>
        </w:rPr>
        <w:t xml:space="preserve">[Conference Abstract] </w:t>
      </w:r>
      <w:r w:rsidRPr="00E454C0">
        <w:rPr>
          <w:sz w:val="18"/>
          <w:szCs w:val="18"/>
        </w:rPr>
        <w:t>Decianu, R., I. A. et al. Femoral neck bone mineral density evaluation using a quantitative ultrasound method (echolight) in a group of patients with rheumatoid arthritis.</w:t>
      </w:r>
      <w:r w:rsidRPr="00E454C0">
        <w:rPr>
          <w:i/>
          <w:iCs/>
          <w:sz w:val="18"/>
          <w:szCs w:val="18"/>
          <w:u w:val="single"/>
        </w:rPr>
        <w:t>Clinical and Experimental Rheumatology</w:t>
      </w:r>
      <w:r w:rsidRPr="00E454C0">
        <w:rPr>
          <w:i/>
          <w:iCs/>
          <w:sz w:val="18"/>
          <w:szCs w:val="18"/>
        </w:rPr>
        <w:t xml:space="preserve"> </w:t>
      </w:r>
      <w:r w:rsidRPr="00E454C0">
        <w:rPr>
          <w:sz w:val="18"/>
          <w:szCs w:val="18"/>
        </w:rPr>
        <w:t xml:space="preserve">(2018) </w:t>
      </w:r>
      <w:r w:rsidRPr="00E454C0">
        <w:rPr>
          <w:b/>
          <w:sz w:val="18"/>
          <w:szCs w:val="18"/>
        </w:rPr>
        <w:t>36</w:t>
      </w:r>
      <w:r w:rsidRPr="00E454C0">
        <w:rPr>
          <w:sz w:val="18"/>
          <w:szCs w:val="18"/>
        </w:rPr>
        <w:t>(Supplement 109): S47-S48.</w:t>
      </w:r>
    </w:p>
    <w:p w14:paraId="5B6767E6" w14:textId="77777777" w:rsidR="007906B0" w:rsidRPr="007906B0" w:rsidRDefault="007906B0" w:rsidP="007906B0">
      <w:pPr>
        <w:pStyle w:val="EndNoteBibliography"/>
        <w:spacing w:before="0" w:after="0"/>
        <w:rPr>
          <w:sz w:val="18"/>
          <w:szCs w:val="18"/>
        </w:rPr>
      </w:pPr>
    </w:p>
  </w:footnote>
  <w:footnote w:id="19">
    <w:p w14:paraId="63717646" w14:textId="00AD7B3B" w:rsidR="00B36C5F" w:rsidRPr="007906B0" w:rsidRDefault="00B36C5F" w:rsidP="007906B0">
      <w:pPr>
        <w:pStyle w:val="EndNoteBibliography"/>
        <w:spacing w:before="0" w:after="0"/>
        <w:rPr>
          <w:sz w:val="18"/>
          <w:szCs w:val="18"/>
        </w:rPr>
      </w:pPr>
      <w:r w:rsidRPr="00E454C0">
        <w:rPr>
          <w:rStyle w:val="FootnoteReference"/>
          <w:sz w:val="18"/>
          <w:szCs w:val="18"/>
        </w:rPr>
        <w:footnoteRef/>
      </w:r>
      <w:r w:rsidRPr="00E454C0">
        <w:rPr>
          <w:sz w:val="18"/>
          <w:szCs w:val="18"/>
        </w:rPr>
        <w:t xml:space="preserve"> Conradie, M., M. M. et al. Bone density in black and white South African women: contribution of ethnicity, body weight and lifestyle.</w:t>
      </w:r>
      <w:r w:rsidRPr="00E454C0">
        <w:rPr>
          <w:i/>
          <w:iCs/>
          <w:sz w:val="18"/>
          <w:szCs w:val="18"/>
          <w:u w:val="single"/>
        </w:rPr>
        <w:t>Arch Osteoporos</w:t>
      </w:r>
      <w:r w:rsidRPr="00E454C0">
        <w:rPr>
          <w:sz w:val="18"/>
          <w:szCs w:val="18"/>
        </w:rPr>
        <w:t xml:space="preserve"> (2014) </w:t>
      </w:r>
      <w:r w:rsidRPr="00E454C0">
        <w:rPr>
          <w:b/>
          <w:sz w:val="18"/>
          <w:szCs w:val="18"/>
        </w:rPr>
        <w:t>9</w:t>
      </w:r>
      <w:r w:rsidRPr="00E454C0">
        <w:rPr>
          <w:sz w:val="18"/>
          <w:szCs w:val="18"/>
        </w:rPr>
        <w:t>: 193.</w:t>
      </w:r>
    </w:p>
  </w:footnote>
  <w:footnote w:id="20">
    <w:p w14:paraId="2E9AC2F2" w14:textId="27954A15" w:rsidR="00B36C5F" w:rsidRPr="00E454C0" w:rsidRDefault="00B36C5F" w:rsidP="00282F6F">
      <w:pPr>
        <w:pStyle w:val="EndNoteBibliography"/>
        <w:spacing w:before="0" w:after="0"/>
        <w:rPr>
          <w:sz w:val="18"/>
          <w:szCs w:val="18"/>
        </w:rPr>
      </w:pPr>
      <w:r w:rsidRPr="00E454C0">
        <w:rPr>
          <w:rStyle w:val="FootnoteReference"/>
          <w:sz w:val="18"/>
          <w:szCs w:val="18"/>
        </w:rPr>
        <w:footnoteRef/>
      </w:r>
      <w:r w:rsidRPr="00E454C0">
        <w:rPr>
          <w:sz w:val="18"/>
          <w:szCs w:val="18"/>
        </w:rPr>
        <w:t xml:space="preserve"> Casciaro, S., P. et al. An Advanced Quantitative Echosound Methodology for Femoral Neck Densitometry. </w:t>
      </w:r>
      <w:r w:rsidRPr="00E454C0">
        <w:rPr>
          <w:i/>
          <w:iCs/>
          <w:sz w:val="18"/>
          <w:szCs w:val="18"/>
          <w:u w:val="single"/>
        </w:rPr>
        <w:t>Ultrasound in Medicine and Biology</w:t>
      </w:r>
      <w:r w:rsidRPr="00E454C0">
        <w:rPr>
          <w:sz w:val="18"/>
          <w:szCs w:val="18"/>
        </w:rPr>
        <w:t xml:space="preserve"> (2016) </w:t>
      </w:r>
      <w:r w:rsidRPr="00E454C0">
        <w:rPr>
          <w:b/>
          <w:sz w:val="18"/>
          <w:szCs w:val="18"/>
        </w:rPr>
        <w:t>42</w:t>
      </w:r>
      <w:r w:rsidRPr="00E454C0">
        <w:rPr>
          <w:sz w:val="18"/>
          <w:szCs w:val="18"/>
        </w:rPr>
        <w:t>(6): 1337-1356.</w:t>
      </w:r>
    </w:p>
    <w:p w14:paraId="17DF067E" w14:textId="023580FB" w:rsidR="00B36C5F" w:rsidRDefault="00B36C5F">
      <w:pPr>
        <w:pStyle w:val="FootnoteText"/>
      </w:pPr>
    </w:p>
  </w:footnote>
  <w:footnote w:id="21">
    <w:p w14:paraId="0B734F52" w14:textId="40D00B89" w:rsidR="00B36C5F" w:rsidRDefault="00B36C5F">
      <w:pPr>
        <w:pStyle w:val="FootnoteText"/>
      </w:pPr>
      <w:r>
        <w:rPr>
          <w:rStyle w:val="FootnoteReference"/>
        </w:rPr>
        <w:footnoteRef/>
      </w:r>
      <w:r>
        <w:t xml:space="preserve"> </w:t>
      </w:r>
      <w:r w:rsidRPr="00BF5A7D">
        <w:t>quantitative computed tomography</w:t>
      </w:r>
    </w:p>
  </w:footnote>
  <w:footnote w:id="22">
    <w:p w14:paraId="4957B4DE" w14:textId="77777777" w:rsidR="00B36C5F" w:rsidRDefault="00B36C5F">
      <w:pPr>
        <w:pStyle w:val="FootnoteText"/>
      </w:pPr>
      <w:r>
        <w:rPr>
          <w:rStyle w:val="FootnoteReference"/>
        </w:rPr>
        <w:footnoteRef/>
      </w:r>
      <w:r>
        <w:t xml:space="preserve"> </w:t>
      </w:r>
      <w:r w:rsidRPr="00FE6CF4">
        <w:rPr>
          <w:i/>
        </w:rPr>
        <w:t xml:space="preserve">Medicare Item Reports, </w:t>
      </w:r>
      <w:hyperlink r:id="rId2" w:history="1">
        <w:r w:rsidRPr="00A93FBD">
          <w:rPr>
            <w:rStyle w:val="Hyperlink"/>
            <w:i/>
          </w:rPr>
          <w:t>http://medicarestatistics.humanservices.gov.au/statistics/mbs_item.jsp</w:t>
        </w:r>
      </w:hyperlink>
      <w:r>
        <w:rPr>
          <w:i/>
        </w:rPr>
        <w:t xml:space="preserve"> </w:t>
      </w:r>
    </w:p>
  </w:footnote>
  <w:footnote w:id="23">
    <w:p w14:paraId="4A0C0B58" w14:textId="77777777" w:rsidR="00B36C5F" w:rsidRPr="00576C57" w:rsidRDefault="00B36C5F" w:rsidP="00EB62FF">
      <w:pPr>
        <w:pStyle w:val="FootnoteText"/>
      </w:pPr>
      <w:r>
        <w:rPr>
          <w:rStyle w:val="FootnoteReference"/>
        </w:rPr>
        <w:footnoteRef/>
      </w:r>
      <w:r>
        <w:t xml:space="preserve"> Cortet BE, Dennison E, Diez-Perez A et al. (2021). Radiofrequency echographic multi spectrometry (REMS) for the diagnosis of osteoporosis in a European multicenter clinical context. </w:t>
      </w:r>
      <w:r>
        <w:rPr>
          <w:i/>
          <w:iCs/>
        </w:rPr>
        <w:t xml:space="preserve">Bone </w:t>
      </w:r>
      <w:r>
        <w:rPr>
          <w:b/>
          <w:bCs/>
        </w:rPr>
        <w:t>143</w:t>
      </w:r>
      <w:r>
        <w:t>:115786.</w:t>
      </w:r>
    </w:p>
  </w:footnote>
  <w:footnote w:id="24">
    <w:p w14:paraId="4B1C1BEA" w14:textId="77777777" w:rsidR="00B36C5F" w:rsidRPr="00576C57" w:rsidRDefault="00B36C5F" w:rsidP="00EB62FF">
      <w:pPr>
        <w:pStyle w:val="FootnoteText"/>
      </w:pPr>
      <w:r>
        <w:rPr>
          <w:rStyle w:val="FootnoteReference"/>
        </w:rPr>
        <w:footnoteRef/>
      </w:r>
      <w:r>
        <w:t xml:space="preserve"> Di Paola M, Gatti D, Viapiana O et al. (2019). Radiofrequency echographic multispectrometry compared with dual X-ray absorptiometry for osteoporosis diagnosis on lumbar spine and femoral neck. </w:t>
      </w:r>
      <w:r>
        <w:rPr>
          <w:i/>
          <w:iCs/>
        </w:rPr>
        <w:t>Osteoporosis International</w:t>
      </w:r>
      <w:r>
        <w:t xml:space="preserve"> </w:t>
      </w:r>
      <w:r>
        <w:rPr>
          <w:b/>
          <w:bCs/>
        </w:rPr>
        <w:t>30</w:t>
      </w:r>
      <w:r>
        <w:t>(2):391-402.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D1E3" w14:textId="77777777" w:rsidR="00E66281" w:rsidRDefault="00E66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77E6" w14:textId="77777777" w:rsidR="00E66281" w:rsidRDefault="00E66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B03D" w14:textId="77777777" w:rsidR="00E66281" w:rsidRDefault="00E66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AE6"/>
    <w:multiLevelType w:val="hybridMultilevel"/>
    <w:tmpl w:val="FCB65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32C3E"/>
    <w:multiLevelType w:val="hybridMultilevel"/>
    <w:tmpl w:val="1C0674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BC58E6"/>
    <w:multiLevelType w:val="hybridMultilevel"/>
    <w:tmpl w:val="B1BADF6C"/>
    <w:lvl w:ilvl="0" w:tplc="1C66F1F6">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C572BF"/>
    <w:multiLevelType w:val="hybridMultilevel"/>
    <w:tmpl w:val="FC4A4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E15FFD"/>
    <w:multiLevelType w:val="hybridMultilevel"/>
    <w:tmpl w:val="464894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C4484D"/>
    <w:multiLevelType w:val="hybridMultilevel"/>
    <w:tmpl w:val="E7449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8"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BC0AE0"/>
    <w:multiLevelType w:val="hybridMultilevel"/>
    <w:tmpl w:val="2786CD7C"/>
    <w:lvl w:ilvl="0" w:tplc="879CDD1C">
      <w:start w:val="85"/>
      <w:numFmt w:val="bullet"/>
      <w:lvlText w:val="-"/>
      <w:lvlJc w:val="left"/>
      <w:pPr>
        <w:ind w:left="410" w:hanging="360"/>
      </w:pPr>
      <w:rPr>
        <w:rFonts w:ascii="Calibri" w:eastAsia="Times New Roman"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3" w15:restartNumberingAfterBreak="0">
    <w:nsid w:val="3937329D"/>
    <w:multiLevelType w:val="hybridMultilevel"/>
    <w:tmpl w:val="FF6EA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D71D05"/>
    <w:multiLevelType w:val="hybridMultilevel"/>
    <w:tmpl w:val="F784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095746"/>
    <w:multiLevelType w:val="hybridMultilevel"/>
    <w:tmpl w:val="DFAC77E2"/>
    <w:lvl w:ilvl="0" w:tplc="A26EFB64">
      <w:start w:val="1"/>
      <w:numFmt w:val="bullet"/>
      <w:pStyle w:val="Instructionaltext-bullet"/>
      <w:lvlText w:val=""/>
      <w:lvlJc w:val="left"/>
      <w:pPr>
        <w:ind w:left="720" w:hanging="360"/>
      </w:pPr>
      <w:rPr>
        <w:rFonts w:ascii="Symbol" w:hAnsi="Symbol" w:cs="Symbol" w:hint="default"/>
      </w:rPr>
    </w:lvl>
    <w:lvl w:ilvl="1" w:tplc="AC8ABD72">
      <w:numFmt w:val="bullet"/>
      <w:lvlText w:val="•"/>
      <w:lvlJc w:val="left"/>
      <w:pPr>
        <w:ind w:left="1800" w:hanging="720"/>
      </w:pPr>
      <w:rPr>
        <w:rFonts w:ascii="Franklin Gothic Book" w:eastAsiaTheme="minorHAnsi" w:hAnsi="Franklin Gothic Book" w:cstheme="minorBidi"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A0F64BD"/>
    <w:multiLevelType w:val="hybridMultilevel"/>
    <w:tmpl w:val="5FEA216E"/>
    <w:lvl w:ilvl="0" w:tplc="DD0A5268">
      <w:start w:val="1"/>
      <w:numFmt w:val="lowerLetter"/>
      <w:lvlText w:val="(%1)"/>
      <w:lvlJc w:val="left"/>
      <w:pPr>
        <w:ind w:left="720" w:hanging="360"/>
      </w:pPr>
    </w:lvl>
    <w:lvl w:ilvl="1" w:tplc="02F27926">
      <w:start w:val="1"/>
      <w:numFmt w:val="lowerRoman"/>
      <w:lvlText w:val="%2."/>
      <w:lvlJc w:val="left"/>
      <w:pPr>
        <w:ind w:left="1440" w:hanging="360"/>
      </w:pPr>
      <w:rPr>
        <w:rFonts w:ascii="Times New Roman" w:eastAsia="Times New Roman" w:hAnsi="Times New Roman"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4D4234D5"/>
    <w:multiLevelType w:val="hybridMultilevel"/>
    <w:tmpl w:val="3E8E182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4DE9310D"/>
    <w:multiLevelType w:val="hybridMultilevel"/>
    <w:tmpl w:val="EAF42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50997"/>
    <w:multiLevelType w:val="hybridMultilevel"/>
    <w:tmpl w:val="4C2EF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6801AE"/>
    <w:multiLevelType w:val="hybridMultilevel"/>
    <w:tmpl w:val="6218A8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02C6DC8"/>
    <w:multiLevelType w:val="hybridMultilevel"/>
    <w:tmpl w:val="D23A7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D11CDF"/>
    <w:multiLevelType w:val="hybridMultilevel"/>
    <w:tmpl w:val="9DC03766"/>
    <w:lvl w:ilvl="0" w:tplc="025491D8">
      <w:start w:val="1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D471E0"/>
    <w:multiLevelType w:val="hybridMultilevel"/>
    <w:tmpl w:val="FB9C4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E56183"/>
    <w:multiLevelType w:val="hybridMultilevel"/>
    <w:tmpl w:val="9CEEF5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B64BA3"/>
    <w:multiLevelType w:val="hybridMultilevel"/>
    <w:tmpl w:val="D7D8172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7" w15:restartNumberingAfterBreak="0">
    <w:nsid w:val="5B883599"/>
    <w:multiLevelType w:val="hybridMultilevel"/>
    <w:tmpl w:val="44DC396E"/>
    <w:lvl w:ilvl="0" w:tplc="6F6CF58A">
      <w:start w:val="1"/>
      <w:numFmt w:val="decimal"/>
      <w:lvlText w:val="(%1)"/>
      <w:lvlJc w:val="left"/>
      <w:pPr>
        <w:ind w:left="720" w:hanging="360"/>
      </w:pPr>
      <w:rPr>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F7135FF"/>
    <w:multiLevelType w:val="hybridMultilevel"/>
    <w:tmpl w:val="464894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804932"/>
    <w:multiLevelType w:val="hybridMultilevel"/>
    <w:tmpl w:val="70A6E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4C3ED3"/>
    <w:multiLevelType w:val="hybridMultilevel"/>
    <w:tmpl w:val="BB460C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E144984"/>
    <w:multiLevelType w:val="hybridMultilevel"/>
    <w:tmpl w:val="02C0E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E81FDC"/>
    <w:multiLevelType w:val="hybridMultilevel"/>
    <w:tmpl w:val="F06AD38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1"/>
  </w:num>
  <w:num w:numId="2">
    <w:abstractNumId w:val="34"/>
  </w:num>
  <w:num w:numId="3">
    <w:abstractNumId w:val="1"/>
  </w:num>
  <w:num w:numId="4">
    <w:abstractNumId w:val="7"/>
  </w:num>
  <w:num w:numId="5">
    <w:abstractNumId w:val="32"/>
  </w:num>
  <w:num w:numId="6">
    <w:abstractNumId w:val="8"/>
  </w:num>
  <w:num w:numId="7">
    <w:abstractNumId w:val="9"/>
  </w:num>
  <w:num w:numId="8">
    <w:abstractNumId w:val="10"/>
  </w:num>
  <w:num w:numId="9">
    <w:abstractNumId w:val="16"/>
  </w:num>
  <w:num w:numId="10">
    <w:abstractNumId w:val="22"/>
  </w:num>
  <w:num w:numId="11">
    <w:abstractNumId w:val="6"/>
  </w:num>
  <w:num w:numId="12">
    <w:abstractNumId w:val="0"/>
  </w:num>
  <w:num w:numId="13">
    <w:abstractNumId w:val="4"/>
  </w:num>
  <w:num w:numId="14">
    <w:abstractNumId w:val="3"/>
  </w:num>
  <w:num w:numId="15">
    <w:abstractNumId w:val="29"/>
  </w:num>
  <w:num w:numId="16">
    <w:abstractNumId w:val="24"/>
  </w:num>
  <w:num w:numId="17">
    <w:abstractNumId w:val="13"/>
  </w:num>
  <w:num w:numId="18">
    <w:abstractNumId w:val="18"/>
  </w:num>
  <w:num w:numId="19">
    <w:abstractNumId w:val="26"/>
  </w:num>
  <w:num w:numId="20">
    <w:abstractNumId w:val="2"/>
  </w:num>
  <w:num w:numId="21">
    <w:abstractNumId w:val="25"/>
  </w:num>
  <w:num w:numId="22">
    <w:abstractNumId w:val="21"/>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1"/>
  </w:num>
  <w:num w:numId="26">
    <w:abstractNumId w:val="14"/>
  </w:num>
  <w:num w:numId="27">
    <w:abstractNumId w:val="20"/>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1"/>
  </w:num>
  <w:num w:numId="32">
    <w:abstractNumId w:val="33"/>
  </w:num>
  <w:num w:numId="33">
    <w:abstractNumId w:val="19"/>
  </w:num>
  <w:num w:numId="34">
    <w:abstractNumId w:val="1"/>
  </w:num>
  <w:num w:numId="35">
    <w:abstractNumId w:val="5"/>
  </w:num>
  <w:num w:numId="36">
    <w:abstractNumId w:val="12"/>
  </w:num>
  <w:num w:numId="37">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F9F"/>
    <w:rsid w:val="0000109A"/>
    <w:rsid w:val="00001AE6"/>
    <w:rsid w:val="00001D55"/>
    <w:rsid w:val="00004D69"/>
    <w:rsid w:val="00004F7F"/>
    <w:rsid w:val="000054C9"/>
    <w:rsid w:val="00006FEC"/>
    <w:rsid w:val="00011568"/>
    <w:rsid w:val="000121AA"/>
    <w:rsid w:val="000131F0"/>
    <w:rsid w:val="00014974"/>
    <w:rsid w:val="00014FC7"/>
    <w:rsid w:val="0001508D"/>
    <w:rsid w:val="0002091D"/>
    <w:rsid w:val="000228B8"/>
    <w:rsid w:val="00022B2B"/>
    <w:rsid w:val="0002381B"/>
    <w:rsid w:val="00023CDA"/>
    <w:rsid w:val="00023CF7"/>
    <w:rsid w:val="00024E8E"/>
    <w:rsid w:val="00024EA5"/>
    <w:rsid w:val="0002755F"/>
    <w:rsid w:val="00027F4F"/>
    <w:rsid w:val="00027F9F"/>
    <w:rsid w:val="00033891"/>
    <w:rsid w:val="0003423A"/>
    <w:rsid w:val="0003477F"/>
    <w:rsid w:val="000352A2"/>
    <w:rsid w:val="000352B3"/>
    <w:rsid w:val="00036AD8"/>
    <w:rsid w:val="00037037"/>
    <w:rsid w:val="00037302"/>
    <w:rsid w:val="00037B95"/>
    <w:rsid w:val="00037D55"/>
    <w:rsid w:val="00037DEB"/>
    <w:rsid w:val="00037EDA"/>
    <w:rsid w:val="0004005D"/>
    <w:rsid w:val="00040ADF"/>
    <w:rsid w:val="00040FB4"/>
    <w:rsid w:val="0004178C"/>
    <w:rsid w:val="0004194F"/>
    <w:rsid w:val="00041F5D"/>
    <w:rsid w:val="000443A6"/>
    <w:rsid w:val="00044738"/>
    <w:rsid w:val="000449D1"/>
    <w:rsid w:val="00045B8D"/>
    <w:rsid w:val="00045CC5"/>
    <w:rsid w:val="00046576"/>
    <w:rsid w:val="00046B6A"/>
    <w:rsid w:val="0004709D"/>
    <w:rsid w:val="000472D4"/>
    <w:rsid w:val="0004751F"/>
    <w:rsid w:val="000520E6"/>
    <w:rsid w:val="00052DD3"/>
    <w:rsid w:val="00052FCD"/>
    <w:rsid w:val="0005326D"/>
    <w:rsid w:val="00053779"/>
    <w:rsid w:val="00053F6C"/>
    <w:rsid w:val="000547EC"/>
    <w:rsid w:val="00054B3D"/>
    <w:rsid w:val="000576C3"/>
    <w:rsid w:val="0006339C"/>
    <w:rsid w:val="00064326"/>
    <w:rsid w:val="00064783"/>
    <w:rsid w:val="000647C2"/>
    <w:rsid w:val="00064981"/>
    <w:rsid w:val="0006624E"/>
    <w:rsid w:val="0007021F"/>
    <w:rsid w:val="00070773"/>
    <w:rsid w:val="000709A0"/>
    <w:rsid w:val="00074199"/>
    <w:rsid w:val="00074495"/>
    <w:rsid w:val="00080076"/>
    <w:rsid w:val="00080241"/>
    <w:rsid w:val="00081778"/>
    <w:rsid w:val="00082AB0"/>
    <w:rsid w:val="00086B05"/>
    <w:rsid w:val="000870B6"/>
    <w:rsid w:val="00090613"/>
    <w:rsid w:val="00090BD1"/>
    <w:rsid w:val="00091755"/>
    <w:rsid w:val="00091857"/>
    <w:rsid w:val="00091C59"/>
    <w:rsid w:val="00092A21"/>
    <w:rsid w:val="00093D9A"/>
    <w:rsid w:val="000942C9"/>
    <w:rsid w:val="00094656"/>
    <w:rsid w:val="000950B2"/>
    <w:rsid w:val="00095C10"/>
    <w:rsid w:val="00096B52"/>
    <w:rsid w:val="00096D01"/>
    <w:rsid w:val="000A10BF"/>
    <w:rsid w:val="000A2811"/>
    <w:rsid w:val="000A2ACD"/>
    <w:rsid w:val="000A2B15"/>
    <w:rsid w:val="000A2B65"/>
    <w:rsid w:val="000A2DA8"/>
    <w:rsid w:val="000A2DDE"/>
    <w:rsid w:val="000A31FB"/>
    <w:rsid w:val="000A3836"/>
    <w:rsid w:val="000A410C"/>
    <w:rsid w:val="000A4139"/>
    <w:rsid w:val="000A4848"/>
    <w:rsid w:val="000A4BD4"/>
    <w:rsid w:val="000A5C47"/>
    <w:rsid w:val="000A629E"/>
    <w:rsid w:val="000A6B30"/>
    <w:rsid w:val="000B330E"/>
    <w:rsid w:val="000B3330"/>
    <w:rsid w:val="000B5D9D"/>
    <w:rsid w:val="000B5F8C"/>
    <w:rsid w:val="000B62F7"/>
    <w:rsid w:val="000B6CF0"/>
    <w:rsid w:val="000B7041"/>
    <w:rsid w:val="000B720C"/>
    <w:rsid w:val="000B7665"/>
    <w:rsid w:val="000C1AF4"/>
    <w:rsid w:val="000C2166"/>
    <w:rsid w:val="000C7C46"/>
    <w:rsid w:val="000D1027"/>
    <w:rsid w:val="000D1AF7"/>
    <w:rsid w:val="000D1B52"/>
    <w:rsid w:val="000D3A4C"/>
    <w:rsid w:val="000D492D"/>
    <w:rsid w:val="000D4C1B"/>
    <w:rsid w:val="000D4E53"/>
    <w:rsid w:val="000D5523"/>
    <w:rsid w:val="000D658D"/>
    <w:rsid w:val="000E03DC"/>
    <w:rsid w:val="000E0E08"/>
    <w:rsid w:val="000E1124"/>
    <w:rsid w:val="000E43F8"/>
    <w:rsid w:val="000E5531"/>
    <w:rsid w:val="000E6410"/>
    <w:rsid w:val="000E678B"/>
    <w:rsid w:val="000E695C"/>
    <w:rsid w:val="000E6E00"/>
    <w:rsid w:val="000E74EE"/>
    <w:rsid w:val="000F2C5E"/>
    <w:rsid w:val="000F2E01"/>
    <w:rsid w:val="000F3631"/>
    <w:rsid w:val="000F49AD"/>
    <w:rsid w:val="000F5A54"/>
    <w:rsid w:val="000F5EA1"/>
    <w:rsid w:val="000F6FC0"/>
    <w:rsid w:val="000F794A"/>
    <w:rsid w:val="000F7987"/>
    <w:rsid w:val="0010051C"/>
    <w:rsid w:val="00103D0B"/>
    <w:rsid w:val="0010448B"/>
    <w:rsid w:val="0010521F"/>
    <w:rsid w:val="001055A2"/>
    <w:rsid w:val="0010625A"/>
    <w:rsid w:val="00107168"/>
    <w:rsid w:val="00107524"/>
    <w:rsid w:val="00107DCD"/>
    <w:rsid w:val="00107EF0"/>
    <w:rsid w:val="00111417"/>
    <w:rsid w:val="00111856"/>
    <w:rsid w:val="00111BB4"/>
    <w:rsid w:val="00113C60"/>
    <w:rsid w:val="00114C3B"/>
    <w:rsid w:val="00115691"/>
    <w:rsid w:val="00117039"/>
    <w:rsid w:val="0011769E"/>
    <w:rsid w:val="00117F04"/>
    <w:rsid w:val="00120BD3"/>
    <w:rsid w:val="00121CE5"/>
    <w:rsid w:val="00122623"/>
    <w:rsid w:val="00122AE3"/>
    <w:rsid w:val="00122DD0"/>
    <w:rsid w:val="00122EE1"/>
    <w:rsid w:val="00123658"/>
    <w:rsid w:val="001237AF"/>
    <w:rsid w:val="001247EB"/>
    <w:rsid w:val="00124B2B"/>
    <w:rsid w:val="00124F3C"/>
    <w:rsid w:val="00125B61"/>
    <w:rsid w:val="00125CFC"/>
    <w:rsid w:val="00126122"/>
    <w:rsid w:val="001314EC"/>
    <w:rsid w:val="0013157C"/>
    <w:rsid w:val="00131D45"/>
    <w:rsid w:val="001320F0"/>
    <w:rsid w:val="001336E0"/>
    <w:rsid w:val="00133F34"/>
    <w:rsid w:val="00134990"/>
    <w:rsid w:val="00135273"/>
    <w:rsid w:val="00135FC9"/>
    <w:rsid w:val="00143478"/>
    <w:rsid w:val="00143870"/>
    <w:rsid w:val="00143F2F"/>
    <w:rsid w:val="00144471"/>
    <w:rsid w:val="001463E9"/>
    <w:rsid w:val="00146624"/>
    <w:rsid w:val="00150376"/>
    <w:rsid w:val="00151685"/>
    <w:rsid w:val="00151DBD"/>
    <w:rsid w:val="00152EE7"/>
    <w:rsid w:val="001531D6"/>
    <w:rsid w:val="0015376E"/>
    <w:rsid w:val="00153A33"/>
    <w:rsid w:val="00155434"/>
    <w:rsid w:val="00155BDA"/>
    <w:rsid w:val="00156FA7"/>
    <w:rsid w:val="0016023A"/>
    <w:rsid w:val="0016084E"/>
    <w:rsid w:val="00161155"/>
    <w:rsid w:val="00161956"/>
    <w:rsid w:val="00162DBF"/>
    <w:rsid w:val="001645A0"/>
    <w:rsid w:val="00164CF8"/>
    <w:rsid w:val="001653AE"/>
    <w:rsid w:val="001654C6"/>
    <w:rsid w:val="00170D5B"/>
    <w:rsid w:val="00172B8F"/>
    <w:rsid w:val="001736A1"/>
    <w:rsid w:val="001736F8"/>
    <w:rsid w:val="00173D85"/>
    <w:rsid w:val="001743DE"/>
    <w:rsid w:val="00174FD4"/>
    <w:rsid w:val="001756C6"/>
    <w:rsid w:val="0017798F"/>
    <w:rsid w:val="00180D3B"/>
    <w:rsid w:val="00181E7F"/>
    <w:rsid w:val="001845A7"/>
    <w:rsid w:val="00184BAE"/>
    <w:rsid w:val="00186AAA"/>
    <w:rsid w:val="001872C3"/>
    <w:rsid w:val="0019332D"/>
    <w:rsid w:val="0019362A"/>
    <w:rsid w:val="001937FC"/>
    <w:rsid w:val="00193AF9"/>
    <w:rsid w:val="0019457C"/>
    <w:rsid w:val="0019474E"/>
    <w:rsid w:val="00195728"/>
    <w:rsid w:val="001970C0"/>
    <w:rsid w:val="0019757B"/>
    <w:rsid w:val="001A1CB7"/>
    <w:rsid w:val="001A420B"/>
    <w:rsid w:val="001A44C5"/>
    <w:rsid w:val="001A4B97"/>
    <w:rsid w:val="001A4F7D"/>
    <w:rsid w:val="001A6285"/>
    <w:rsid w:val="001A7B42"/>
    <w:rsid w:val="001A7D8F"/>
    <w:rsid w:val="001B2493"/>
    <w:rsid w:val="001B2A97"/>
    <w:rsid w:val="001B2CD4"/>
    <w:rsid w:val="001B4B5F"/>
    <w:rsid w:val="001B5148"/>
    <w:rsid w:val="001B6009"/>
    <w:rsid w:val="001B7329"/>
    <w:rsid w:val="001C174A"/>
    <w:rsid w:val="001C1D05"/>
    <w:rsid w:val="001C2A48"/>
    <w:rsid w:val="001C383F"/>
    <w:rsid w:val="001C62B6"/>
    <w:rsid w:val="001C655C"/>
    <w:rsid w:val="001C69E3"/>
    <w:rsid w:val="001C6DFD"/>
    <w:rsid w:val="001C71F4"/>
    <w:rsid w:val="001D036A"/>
    <w:rsid w:val="001D32C0"/>
    <w:rsid w:val="001D3A38"/>
    <w:rsid w:val="001D3A64"/>
    <w:rsid w:val="001D5793"/>
    <w:rsid w:val="001D5AA0"/>
    <w:rsid w:val="001D6312"/>
    <w:rsid w:val="001D6ABA"/>
    <w:rsid w:val="001D74A7"/>
    <w:rsid w:val="001D76A0"/>
    <w:rsid w:val="001D779A"/>
    <w:rsid w:val="001D7884"/>
    <w:rsid w:val="001E15F2"/>
    <w:rsid w:val="001E1E64"/>
    <w:rsid w:val="001E2201"/>
    <w:rsid w:val="001E22F7"/>
    <w:rsid w:val="001E27BA"/>
    <w:rsid w:val="001E319A"/>
    <w:rsid w:val="001E465F"/>
    <w:rsid w:val="001E5928"/>
    <w:rsid w:val="001E71E0"/>
    <w:rsid w:val="001E7ECF"/>
    <w:rsid w:val="001F08BF"/>
    <w:rsid w:val="001F1D34"/>
    <w:rsid w:val="001F2902"/>
    <w:rsid w:val="001F3C1F"/>
    <w:rsid w:val="001F3F36"/>
    <w:rsid w:val="001F4D8E"/>
    <w:rsid w:val="001F4DB5"/>
    <w:rsid w:val="001F53F4"/>
    <w:rsid w:val="001F56AB"/>
    <w:rsid w:val="001F658C"/>
    <w:rsid w:val="001F675C"/>
    <w:rsid w:val="001F6F44"/>
    <w:rsid w:val="001F739C"/>
    <w:rsid w:val="001F73CA"/>
    <w:rsid w:val="001F7563"/>
    <w:rsid w:val="00201185"/>
    <w:rsid w:val="00201E46"/>
    <w:rsid w:val="00203CE9"/>
    <w:rsid w:val="002044D9"/>
    <w:rsid w:val="002054CA"/>
    <w:rsid w:val="00205633"/>
    <w:rsid w:val="00206805"/>
    <w:rsid w:val="00207F59"/>
    <w:rsid w:val="00211A1C"/>
    <w:rsid w:val="00211DC3"/>
    <w:rsid w:val="00213965"/>
    <w:rsid w:val="00214E09"/>
    <w:rsid w:val="002151F0"/>
    <w:rsid w:val="002155B6"/>
    <w:rsid w:val="002157E4"/>
    <w:rsid w:val="00215AFB"/>
    <w:rsid w:val="00215DEA"/>
    <w:rsid w:val="00215E68"/>
    <w:rsid w:val="00216503"/>
    <w:rsid w:val="0021763A"/>
    <w:rsid w:val="002200D8"/>
    <w:rsid w:val="00221774"/>
    <w:rsid w:val="00223664"/>
    <w:rsid w:val="00223A56"/>
    <w:rsid w:val="00223E21"/>
    <w:rsid w:val="00223FC6"/>
    <w:rsid w:val="00224F0D"/>
    <w:rsid w:val="00225833"/>
    <w:rsid w:val="00225A2B"/>
    <w:rsid w:val="00225B26"/>
    <w:rsid w:val="00226095"/>
    <w:rsid w:val="00227879"/>
    <w:rsid w:val="00227B89"/>
    <w:rsid w:val="00227F43"/>
    <w:rsid w:val="002303D0"/>
    <w:rsid w:val="00230A5D"/>
    <w:rsid w:val="00231C2D"/>
    <w:rsid w:val="002321A2"/>
    <w:rsid w:val="00234640"/>
    <w:rsid w:val="00235790"/>
    <w:rsid w:val="0023671F"/>
    <w:rsid w:val="00240106"/>
    <w:rsid w:val="002411C7"/>
    <w:rsid w:val="00241247"/>
    <w:rsid w:val="00242F4E"/>
    <w:rsid w:val="00243CE1"/>
    <w:rsid w:val="002445AE"/>
    <w:rsid w:val="002452A0"/>
    <w:rsid w:val="00245337"/>
    <w:rsid w:val="00245D8F"/>
    <w:rsid w:val="002463A6"/>
    <w:rsid w:val="0024671D"/>
    <w:rsid w:val="00246ADB"/>
    <w:rsid w:val="0024736B"/>
    <w:rsid w:val="002476FA"/>
    <w:rsid w:val="002517A5"/>
    <w:rsid w:val="00251AE1"/>
    <w:rsid w:val="00251F6C"/>
    <w:rsid w:val="0025249C"/>
    <w:rsid w:val="00253701"/>
    <w:rsid w:val="00253980"/>
    <w:rsid w:val="002539ED"/>
    <w:rsid w:val="00253BEF"/>
    <w:rsid w:val="0025440D"/>
    <w:rsid w:val="0025450E"/>
    <w:rsid w:val="00255152"/>
    <w:rsid w:val="0025554E"/>
    <w:rsid w:val="00257027"/>
    <w:rsid w:val="0026148B"/>
    <w:rsid w:val="002638F4"/>
    <w:rsid w:val="00264CB2"/>
    <w:rsid w:val="00265E2B"/>
    <w:rsid w:val="00265FA5"/>
    <w:rsid w:val="002663EF"/>
    <w:rsid w:val="00266EC2"/>
    <w:rsid w:val="00267FAD"/>
    <w:rsid w:val="0027160C"/>
    <w:rsid w:val="00272F14"/>
    <w:rsid w:val="0027428D"/>
    <w:rsid w:val="0027514F"/>
    <w:rsid w:val="002751D1"/>
    <w:rsid w:val="00275209"/>
    <w:rsid w:val="00282ABE"/>
    <w:rsid w:val="00282F6F"/>
    <w:rsid w:val="00284340"/>
    <w:rsid w:val="00286066"/>
    <w:rsid w:val="0028666C"/>
    <w:rsid w:val="00287E78"/>
    <w:rsid w:val="00287E8F"/>
    <w:rsid w:val="00290676"/>
    <w:rsid w:val="00291462"/>
    <w:rsid w:val="00291572"/>
    <w:rsid w:val="002972A6"/>
    <w:rsid w:val="002A04B4"/>
    <w:rsid w:val="002A145B"/>
    <w:rsid w:val="002A161C"/>
    <w:rsid w:val="002A18BE"/>
    <w:rsid w:val="002A25CA"/>
    <w:rsid w:val="002A2963"/>
    <w:rsid w:val="002A2E49"/>
    <w:rsid w:val="002A36F6"/>
    <w:rsid w:val="002A4084"/>
    <w:rsid w:val="002A4AD6"/>
    <w:rsid w:val="002A4C9C"/>
    <w:rsid w:val="002A6809"/>
    <w:rsid w:val="002A7196"/>
    <w:rsid w:val="002A7481"/>
    <w:rsid w:val="002A76AE"/>
    <w:rsid w:val="002A7A26"/>
    <w:rsid w:val="002B1384"/>
    <w:rsid w:val="002B18A4"/>
    <w:rsid w:val="002B2D18"/>
    <w:rsid w:val="002B3681"/>
    <w:rsid w:val="002B4E4A"/>
    <w:rsid w:val="002B639F"/>
    <w:rsid w:val="002B667C"/>
    <w:rsid w:val="002C03DB"/>
    <w:rsid w:val="002C0D4B"/>
    <w:rsid w:val="002C11CA"/>
    <w:rsid w:val="002C20EB"/>
    <w:rsid w:val="002C2C1A"/>
    <w:rsid w:val="002C2D88"/>
    <w:rsid w:val="002C30D6"/>
    <w:rsid w:val="002C399B"/>
    <w:rsid w:val="002C3A9F"/>
    <w:rsid w:val="002C45E8"/>
    <w:rsid w:val="002C4601"/>
    <w:rsid w:val="002C6767"/>
    <w:rsid w:val="002C70CE"/>
    <w:rsid w:val="002D30C2"/>
    <w:rsid w:val="002D3785"/>
    <w:rsid w:val="002D4602"/>
    <w:rsid w:val="002D5097"/>
    <w:rsid w:val="002D55E4"/>
    <w:rsid w:val="002D690D"/>
    <w:rsid w:val="002E00E2"/>
    <w:rsid w:val="002E01C4"/>
    <w:rsid w:val="002E0C0C"/>
    <w:rsid w:val="002E2C91"/>
    <w:rsid w:val="002E63BE"/>
    <w:rsid w:val="002E7775"/>
    <w:rsid w:val="002E7AD2"/>
    <w:rsid w:val="002F1399"/>
    <w:rsid w:val="002F32FB"/>
    <w:rsid w:val="002F5611"/>
    <w:rsid w:val="002F592C"/>
    <w:rsid w:val="002F5998"/>
    <w:rsid w:val="002F5F5E"/>
    <w:rsid w:val="002F5F85"/>
    <w:rsid w:val="002F6186"/>
    <w:rsid w:val="002F61B2"/>
    <w:rsid w:val="002F693F"/>
    <w:rsid w:val="002F7C86"/>
    <w:rsid w:val="002F7F3B"/>
    <w:rsid w:val="002F7FFB"/>
    <w:rsid w:val="003008CC"/>
    <w:rsid w:val="00301763"/>
    <w:rsid w:val="00302252"/>
    <w:rsid w:val="003028C9"/>
    <w:rsid w:val="00303C60"/>
    <w:rsid w:val="00303DD0"/>
    <w:rsid w:val="00303FA9"/>
    <w:rsid w:val="00304FB8"/>
    <w:rsid w:val="00307299"/>
    <w:rsid w:val="003106CE"/>
    <w:rsid w:val="00310B9B"/>
    <w:rsid w:val="00310C3F"/>
    <w:rsid w:val="00310C61"/>
    <w:rsid w:val="00313429"/>
    <w:rsid w:val="00313883"/>
    <w:rsid w:val="003140D2"/>
    <w:rsid w:val="00315FC1"/>
    <w:rsid w:val="00316C71"/>
    <w:rsid w:val="00317592"/>
    <w:rsid w:val="00317714"/>
    <w:rsid w:val="00317B99"/>
    <w:rsid w:val="00320A17"/>
    <w:rsid w:val="003215B3"/>
    <w:rsid w:val="00321EEE"/>
    <w:rsid w:val="00322DA9"/>
    <w:rsid w:val="00323AF6"/>
    <w:rsid w:val="003246BF"/>
    <w:rsid w:val="00324B96"/>
    <w:rsid w:val="003251C2"/>
    <w:rsid w:val="00325FA0"/>
    <w:rsid w:val="00326F1C"/>
    <w:rsid w:val="00327162"/>
    <w:rsid w:val="00330A0A"/>
    <w:rsid w:val="003328A9"/>
    <w:rsid w:val="00333320"/>
    <w:rsid w:val="00334F74"/>
    <w:rsid w:val="0033705E"/>
    <w:rsid w:val="003371B5"/>
    <w:rsid w:val="00337BAF"/>
    <w:rsid w:val="00340341"/>
    <w:rsid w:val="003407FE"/>
    <w:rsid w:val="003417CB"/>
    <w:rsid w:val="003435A9"/>
    <w:rsid w:val="00344649"/>
    <w:rsid w:val="00345496"/>
    <w:rsid w:val="00345747"/>
    <w:rsid w:val="00345BCF"/>
    <w:rsid w:val="00346220"/>
    <w:rsid w:val="003462E2"/>
    <w:rsid w:val="003466F9"/>
    <w:rsid w:val="00350092"/>
    <w:rsid w:val="003502B6"/>
    <w:rsid w:val="0035184C"/>
    <w:rsid w:val="003519AD"/>
    <w:rsid w:val="00351E0E"/>
    <w:rsid w:val="00354EB4"/>
    <w:rsid w:val="00355619"/>
    <w:rsid w:val="00356D29"/>
    <w:rsid w:val="003571C2"/>
    <w:rsid w:val="00357C0A"/>
    <w:rsid w:val="003640A7"/>
    <w:rsid w:val="003643B1"/>
    <w:rsid w:val="0036467E"/>
    <w:rsid w:val="00365447"/>
    <w:rsid w:val="00366F1F"/>
    <w:rsid w:val="0036794E"/>
    <w:rsid w:val="00373013"/>
    <w:rsid w:val="00373A7E"/>
    <w:rsid w:val="0037428A"/>
    <w:rsid w:val="00374B7F"/>
    <w:rsid w:val="00375757"/>
    <w:rsid w:val="00376345"/>
    <w:rsid w:val="00376F6F"/>
    <w:rsid w:val="0037741E"/>
    <w:rsid w:val="00377A2C"/>
    <w:rsid w:val="0038146C"/>
    <w:rsid w:val="00382609"/>
    <w:rsid w:val="00382F9A"/>
    <w:rsid w:val="003840C1"/>
    <w:rsid w:val="0038487E"/>
    <w:rsid w:val="003849D3"/>
    <w:rsid w:val="00386124"/>
    <w:rsid w:val="003864D5"/>
    <w:rsid w:val="003874D3"/>
    <w:rsid w:val="003874FC"/>
    <w:rsid w:val="00387ADE"/>
    <w:rsid w:val="00390567"/>
    <w:rsid w:val="0039188B"/>
    <w:rsid w:val="00393193"/>
    <w:rsid w:val="0039488A"/>
    <w:rsid w:val="003966F6"/>
    <w:rsid w:val="0039677D"/>
    <w:rsid w:val="00397C5C"/>
    <w:rsid w:val="003A0660"/>
    <w:rsid w:val="003A0D52"/>
    <w:rsid w:val="003A0D70"/>
    <w:rsid w:val="003A1E24"/>
    <w:rsid w:val="003A2568"/>
    <w:rsid w:val="003A2ED1"/>
    <w:rsid w:val="003A47EC"/>
    <w:rsid w:val="003A4C47"/>
    <w:rsid w:val="003A6724"/>
    <w:rsid w:val="003A6E1A"/>
    <w:rsid w:val="003A79D0"/>
    <w:rsid w:val="003A7D45"/>
    <w:rsid w:val="003B039A"/>
    <w:rsid w:val="003B0BA1"/>
    <w:rsid w:val="003B1F73"/>
    <w:rsid w:val="003B4599"/>
    <w:rsid w:val="003B5449"/>
    <w:rsid w:val="003B5756"/>
    <w:rsid w:val="003B61B7"/>
    <w:rsid w:val="003C186E"/>
    <w:rsid w:val="003C1AE2"/>
    <w:rsid w:val="003C2ED5"/>
    <w:rsid w:val="003C3ED3"/>
    <w:rsid w:val="003C4F8F"/>
    <w:rsid w:val="003C682F"/>
    <w:rsid w:val="003C6B59"/>
    <w:rsid w:val="003C6FE1"/>
    <w:rsid w:val="003D12A0"/>
    <w:rsid w:val="003D2999"/>
    <w:rsid w:val="003D299E"/>
    <w:rsid w:val="003D3ACD"/>
    <w:rsid w:val="003D4BCB"/>
    <w:rsid w:val="003D544D"/>
    <w:rsid w:val="003D555A"/>
    <w:rsid w:val="003D55E1"/>
    <w:rsid w:val="003D641A"/>
    <w:rsid w:val="003D70A2"/>
    <w:rsid w:val="003D71EB"/>
    <w:rsid w:val="003E0B09"/>
    <w:rsid w:val="003E0BCE"/>
    <w:rsid w:val="003E1A22"/>
    <w:rsid w:val="003E22CB"/>
    <w:rsid w:val="003E2343"/>
    <w:rsid w:val="003E4014"/>
    <w:rsid w:val="003E406B"/>
    <w:rsid w:val="003E41FB"/>
    <w:rsid w:val="003E4F96"/>
    <w:rsid w:val="003E5CCA"/>
    <w:rsid w:val="003E6DF8"/>
    <w:rsid w:val="003E7773"/>
    <w:rsid w:val="003F115E"/>
    <w:rsid w:val="003F14C2"/>
    <w:rsid w:val="003F2210"/>
    <w:rsid w:val="003F2554"/>
    <w:rsid w:val="003F3B87"/>
    <w:rsid w:val="003F535C"/>
    <w:rsid w:val="003F5B32"/>
    <w:rsid w:val="003F6B51"/>
    <w:rsid w:val="003F7196"/>
    <w:rsid w:val="004008AF"/>
    <w:rsid w:val="00400B5F"/>
    <w:rsid w:val="00400C1B"/>
    <w:rsid w:val="004016DA"/>
    <w:rsid w:val="00401DBF"/>
    <w:rsid w:val="004033D9"/>
    <w:rsid w:val="00403F79"/>
    <w:rsid w:val="00404A94"/>
    <w:rsid w:val="0040551F"/>
    <w:rsid w:val="0040771F"/>
    <w:rsid w:val="00407F8E"/>
    <w:rsid w:val="004111F7"/>
    <w:rsid w:val="0041217D"/>
    <w:rsid w:val="004125C6"/>
    <w:rsid w:val="0041275F"/>
    <w:rsid w:val="00413A71"/>
    <w:rsid w:val="00417867"/>
    <w:rsid w:val="00421A89"/>
    <w:rsid w:val="00421EBC"/>
    <w:rsid w:val="0042304B"/>
    <w:rsid w:val="00424084"/>
    <w:rsid w:val="004245FA"/>
    <w:rsid w:val="004247E4"/>
    <w:rsid w:val="00426A35"/>
    <w:rsid w:val="004273AD"/>
    <w:rsid w:val="004276DD"/>
    <w:rsid w:val="004305AE"/>
    <w:rsid w:val="00431800"/>
    <w:rsid w:val="00431851"/>
    <w:rsid w:val="00432FC4"/>
    <w:rsid w:val="00433541"/>
    <w:rsid w:val="00434ACA"/>
    <w:rsid w:val="004351AC"/>
    <w:rsid w:val="0043524C"/>
    <w:rsid w:val="00435D11"/>
    <w:rsid w:val="00436514"/>
    <w:rsid w:val="004369D8"/>
    <w:rsid w:val="004423F7"/>
    <w:rsid w:val="0044282E"/>
    <w:rsid w:val="00442A49"/>
    <w:rsid w:val="0044309A"/>
    <w:rsid w:val="0044690B"/>
    <w:rsid w:val="00446BBE"/>
    <w:rsid w:val="00446E4E"/>
    <w:rsid w:val="0044782C"/>
    <w:rsid w:val="0045093D"/>
    <w:rsid w:val="00451645"/>
    <w:rsid w:val="00453E8B"/>
    <w:rsid w:val="00453E8E"/>
    <w:rsid w:val="00454E5A"/>
    <w:rsid w:val="00454F8E"/>
    <w:rsid w:val="00456D22"/>
    <w:rsid w:val="0046168C"/>
    <w:rsid w:val="00462778"/>
    <w:rsid w:val="00462C25"/>
    <w:rsid w:val="00462D19"/>
    <w:rsid w:val="00463DEC"/>
    <w:rsid w:val="004645AE"/>
    <w:rsid w:val="00464F6C"/>
    <w:rsid w:val="0046596A"/>
    <w:rsid w:val="004664A4"/>
    <w:rsid w:val="00467715"/>
    <w:rsid w:val="00471D0D"/>
    <w:rsid w:val="004723F2"/>
    <w:rsid w:val="00472899"/>
    <w:rsid w:val="00472F2F"/>
    <w:rsid w:val="00474E01"/>
    <w:rsid w:val="00475B3B"/>
    <w:rsid w:val="00477F0B"/>
    <w:rsid w:val="00482804"/>
    <w:rsid w:val="00482B47"/>
    <w:rsid w:val="0048323E"/>
    <w:rsid w:val="00484DC5"/>
    <w:rsid w:val="00484EF3"/>
    <w:rsid w:val="00485675"/>
    <w:rsid w:val="00485E5C"/>
    <w:rsid w:val="00487C85"/>
    <w:rsid w:val="00490DC4"/>
    <w:rsid w:val="00492230"/>
    <w:rsid w:val="00493C19"/>
    <w:rsid w:val="004947E7"/>
    <w:rsid w:val="00494F64"/>
    <w:rsid w:val="0049630E"/>
    <w:rsid w:val="00497960"/>
    <w:rsid w:val="00497B9F"/>
    <w:rsid w:val="004A0147"/>
    <w:rsid w:val="004A01BC"/>
    <w:rsid w:val="004A1C94"/>
    <w:rsid w:val="004A2084"/>
    <w:rsid w:val="004A2750"/>
    <w:rsid w:val="004A4430"/>
    <w:rsid w:val="004A4FDF"/>
    <w:rsid w:val="004A5489"/>
    <w:rsid w:val="004A5E73"/>
    <w:rsid w:val="004A7A52"/>
    <w:rsid w:val="004B19FE"/>
    <w:rsid w:val="004B2A4D"/>
    <w:rsid w:val="004B2F45"/>
    <w:rsid w:val="004B33C2"/>
    <w:rsid w:val="004B3559"/>
    <w:rsid w:val="004B360E"/>
    <w:rsid w:val="004B4214"/>
    <w:rsid w:val="004B495C"/>
    <w:rsid w:val="004B4F38"/>
    <w:rsid w:val="004B689D"/>
    <w:rsid w:val="004C0E97"/>
    <w:rsid w:val="004C3456"/>
    <w:rsid w:val="004C4338"/>
    <w:rsid w:val="004C4378"/>
    <w:rsid w:val="004C48C8"/>
    <w:rsid w:val="004C598D"/>
    <w:rsid w:val="004C5B44"/>
    <w:rsid w:val="004C6805"/>
    <w:rsid w:val="004D0431"/>
    <w:rsid w:val="004D0FC6"/>
    <w:rsid w:val="004D20CE"/>
    <w:rsid w:val="004D3784"/>
    <w:rsid w:val="004D3897"/>
    <w:rsid w:val="004D4425"/>
    <w:rsid w:val="004D7FE1"/>
    <w:rsid w:val="004E1D59"/>
    <w:rsid w:val="004E2BD6"/>
    <w:rsid w:val="004E2EE3"/>
    <w:rsid w:val="004E360C"/>
    <w:rsid w:val="004E510D"/>
    <w:rsid w:val="004E69A4"/>
    <w:rsid w:val="004F259E"/>
    <w:rsid w:val="004F36BA"/>
    <w:rsid w:val="004F3AE1"/>
    <w:rsid w:val="004F4972"/>
    <w:rsid w:val="004F596A"/>
    <w:rsid w:val="004F6AD3"/>
    <w:rsid w:val="00501386"/>
    <w:rsid w:val="00501BD9"/>
    <w:rsid w:val="00501C25"/>
    <w:rsid w:val="005027A6"/>
    <w:rsid w:val="005029EB"/>
    <w:rsid w:val="00502DAE"/>
    <w:rsid w:val="00502FFB"/>
    <w:rsid w:val="005038A0"/>
    <w:rsid w:val="00504A82"/>
    <w:rsid w:val="00505917"/>
    <w:rsid w:val="00505E19"/>
    <w:rsid w:val="00506A25"/>
    <w:rsid w:val="005076BF"/>
    <w:rsid w:val="005103C5"/>
    <w:rsid w:val="005123D8"/>
    <w:rsid w:val="005128A7"/>
    <w:rsid w:val="005131D3"/>
    <w:rsid w:val="0051341B"/>
    <w:rsid w:val="0051352C"/>
    <w:rsid w:val="00514FC2"/>
    <w:rsid w:val="00515BFA"/>
    <w:rsid w:val="00517A86"/>
    <w:rsid w:val="00517D52"/>
    <w:rsid w:val="0052002D"/>
    <w:rsid w:val="00521C27"/>
    <w:rsid w:val="00522553"/>
    <w:rsid w:val="0052349D"/>
    <w:rsid w:val="005236FB"/>
    <w:rsid w:val="00524BE8"/>
    <w:rsid w:val="00524DFA"/>
    <w:rsid w:val="00525231"/>
    <w:rsid w:val="0052575D"/>
    <w:rsid w:val="00525CE8"/>
    <w:rsid w:val="00526C92"/>
    <w:rsid w:val="005275FC"/>
    <w:rsid w:val="0052768C"/>
    <w:rsid w:val="00527D8B"/>
    <w:rsid w:val="00530896"/>
    <w:rsid w:val="005310AF"/>
    <w:rsid w:val="005328DB"/>
    <w:rsid w:val="00532B36"/>
    <w:rsid w:val="0053426D"/>
    <w:rsid w:val="005342C3"/>
    <w:rsid w:val="00536155"/>
    <w:rsid w:val="005362F5"/>
    <w:rsid w:val="0053725B"/>
    <w:rsid w:val="00537647"/>
    <w:rsid w:val="005376F5"/>
    <w:rsid w:val="00540C57"/>
    <w:rsid w:val="005416F5"/>
    <w:rsid w:val="00543010"/>
    <w:rsid w:val="00543937"/>
    <w:rsid w:val="00544681"/>
    <w:rsid w:val="00546904"/>
    <w:rsid w:val="00547B5A"/>
    <w:rsid w:val="00547D26"/>
    <w:rsid w:val="00552951"/>
    <w:rsid w:val="00553028"/>
    <w:rsid w:val="005531BD"/>
    <w:rsid w:val="005537D5"/>
    <w:rsid w:val="00555F49"/>
    <w:rsid w:val="005567B2"/>
    <w:rsid w:val="00557870"/>
    <w:rsid w:val="00560277"/>
    <w:rsid w:val="00560938"/>
    <w:rsid w:val="00560AF1"/>
    <w:rsid w:val="005613D0"/>
    <w:rsid w:val="00561562"/>
    <w:rsid w:val="005623A2"/>
    <w:rsid w:val="005638A9"/>
    <w:rsid w:val="00563DE6"/>
    <w:rsid w:val="0056528D"/>
    <w:rsid w:val="0056628B"/>
    <w:rsid w:val="00566298"/>
    <w:rsid w:val="0057091E"/>
    <w:rsid w:val="00571DD9"/>
    <w:rsid w:val="00571F6D"/>
    <w:rsid w:val="005723D6"/>
    <w:rsid w:val="00572CE3"/>
    <w:rsid w:val="005744CE"/>
    <w:rsid w:val="00574A6E"/>
    <w:rsid w:val="00575845"/>
    <w:rsid w:val="00577145"/>
    <w:rsid w:val="005773BE"/>
    <w:rsid w:val="0057751D"/>
    <w:rsid w:val="00581066"/>
    <w:rsid w:val="00582365"/>
    <w:rsid w:val="00582E40"/>
    <w:rsid w:val="00585482"/>
    <w:rsid w:val="005857DC"/>
    <w:rsid w:val="00585A9C"/>
    <w:rsid w:val="00585C1B"/>
    <w:rsid w:val="00587639"/>
    <w:rsid w:val="005910D0"/>
    <w:rsid w:val="00591790"/>
    <w:rsid w:val="00592638"/>
    <w:rsid w:val="00593138"/>
    <w:rsid w:val="00593A33"/>
    <w:rsid w:val="005947B5"/>
    <w:rsid w:val="005960BB"/>
    <w:rsid w:val="00597407"/>
    <w:rsid w:val="005978FF"/>
    <w:rsid w:val="00597F63"/>
    <w:rsid w:val="005A0496"/>
    <w:rsid w:val="005A1F1F"/>
    <w:rsid w:val="005A3ED3"/>
    <w:rsid w:val="005A4047"/>
    <w:rsid w:val="005A4384"/>
    <w:rsid w:val="005A449A"/>
    <w:rsid w:val="005A658C"/>
    <w:rsid w:val="005A7012"/>
    <w:rsid w:val="005A7A5E"/>
    <w:rsid w:val="005B0140"/>
    <w:rsid w:val="005B043F"/>
    <w:rsid w:val="005B04CF"/>
    <w:rsid w:val="005B0A9F"/>
    <w:rsid w:val="005B1C07"/>
    <w:rsid w:val="005B1D9E"/>
    <w:rsid w:val="005B3432"/>
    <w:rsid w:val="005B3BD6"/>
    <w:rsid w:val="005B545D"/>
    <w:rsid w:val="005B5E60"/>
    <w:rsid w:val="005B671E"/>
    <w:rsid w:val="005B73DA"/>
    <w:rsid w:val="005B765E"/>
    <w:rsid w:val="005B7D6C"/>
    <w:rsid w:val="005C307D"/>
    <w:rsid w:val="005C4DC2"/>
    <w:rsid w:val="005C6419"/>
    <w:rsid w:val="005C6697"/>
    <w:rsid w:val="005C7215"/>
    <w:rsid w:val="005C73C4"/>
    <w:rsid w:val="005D00EA"/>
    <w:rsid w:val="005D023B"/>
    <w:rsid w:val="005D02C4"/>
    <w:rsid w:val="005D14B6"/>
    <w:rsid w:val="005D2304"/>
    <w:rsid w:val="005D263F"/>
    <w:rsid w:val="005D3A04"/>
    <w:rsid w:val="005D4813"/>
    <w:rsid w:val="005D48FE"/>
    <w:rsid w:val="005D5F26"/>
    <w:rsid w:val="005D64C5"/>
    <w:rsid w:val="005D7371"/>
    <w:rsid w:val="005D7471"/>
    <w:rsid w:val="005D749D"/>
    <w:rsid w:val="005D76D5"/>
    <w:rsid w:val="005D7F92"/>
    <w:rsid w:val="005E0699"/>
    <w:rsid w:val="005E0C1A"/>
    <w:rsid w:val="005E0D29"/>
    <w:rsid w:val="005E2702"/>
    <w:rsid w:val="005E3055"/>
    <w:rsid w:val="005E4BE1"/>
    <w:rsid w:val="005E5874"/>
    <w:rsid w:val="005E7441"/>
    <w:rsid w:val="005E75D5"/>
    <w:rsid w:val="005E7922"/>
    <w:rsid w:val="005F0862"/>
    <w:rsid w:val="005F08BF"/>
    <w:rsid w:val="005F0E79"/>
    <w:rsid w:val="005F1555"/>
    <w:rsid w:val="005F207A"/>
    <w:rsid w:val="005F224F"/>
    <w:rsid w:val="005F2978"/>
    <w:rsid w:val="005F2A07"/>
    <w:rsid w:val="005F4721"/>
    <w:rsid w:val="005F63E3"/>
    <w:rsid w:val="005F720A"/>
    <w:rsid w:val="005F7CA6"/>
    <w:rsid w:val="0060015E"/>
    <w:rsid w:val="00601C16"/>
    <w:rsid w:val="00602F43"/>
    <w:rsid w:val="0060386C"/>
    <w:rsid w:val="006039E5"/>
    <w:rsid w:val="00603B08"/>
    <w:rsid w:val="00603E0E"/>
    <w:rsid w:val="00603E22"/>
    <w:rsid w:val="006043AE"/>
    <w:rsid w:val="00604E4A"/>
    <w:rsid w:val="00605776"/>
    <w:rsid w:val="00605981"/>
    <w:rsid w:val="00610162"/>
    <w:rsid w:val="00610ABA"/>
    <w:rsid w:val="00610F95"/>
    <w:rsid w:val="00612D63"/>
    <w:rsid w:val="00613037"/>
    <w:rsid w:val="00613078"/>
    <w:rsid w:val="006135AB"/>
    <w:rsid w:val="006138E4"/>
    <w:rsid w:val="0061405D"/>
    <w:rsid w:val="006144F6"/>
    <w:rsid w:val="00615DC1"/>
    <w:rsid w:val="00616407"/>
    <w:rsid w:val="00620E5A"/>
    <w:rsid w:val="006250E9"/>
    <w:rsid w:val="006257C4"/>
    <w:rsid w:val="00625FAB"/>
    <w:rsid w:val="00627A37"/>
    <w:rsid w:val="00627AD0"/>
    <w:rsid w:val="00631E44"/>
    <w:rsid w:val="00632214"/>
    <w:rsid w:val="00633B2F"/>
    <w:rsid w:val="0063575A"/>
    <w:rsid w:val="00635A58"/>
    <w:rsid w:val="00637150"/>
    <w:rsid w:val="006372DF"/>
    <w:rsid w:val="00637B9A"/>
    <w:rsid w:val="00640832"/>
    <w:rsid w:val="0064090F"/>
    <w:rsid w:val="00640C31"/>
    <w:rsid w:val="00640E86"/>
    <w:rsid w:val="00641CBE"/>
    <w:rsid w:val="00642204"/>
    <w:rsid w:val="00642341"/>
    <w:rsid w:val="00642376"/>
    <w:rsid w:val="00642C27"/>
    <w:rsid w:val="00642EF3"/>
    <w:rsid w:val="00643226"/>
    <w:rsid w:val="0064344F"/>
    <w:rsid w:val="006459EF"/>
    <w:rsid w:val="006465F3"/>
    <w:rsid w:val="006467C9"/>
    <w:rsid w:val="0065080C"/>
    <w:rsid w:val="006508D9"/>
    <w:rsid w:val="00650C05"/>
    <w:rsid w:val="00650FE2"/>
    <w:rsid w:val="00651182"/>
    <w:rsid w:val="00652A17"/>
    <w:rsid w:val="006531FE"/>
    <w:rsid w:val="006534BF"/>
    <w:rsid w:val="006537D7"/>
    <w:rsid w:val="0065444A"/>
    <w:rsid w:val="00654F68"/>
    <w:rsid w:val="00655B5D"/>
    <w:rsid w:val="00655CF9"/>
    <w:rsid w:val="00655D45"/>
    <w:rsid w:val="0065714C"/>
    <w:rsid w:val="00660A74"/>
    <w:rsid w:val="00660E20"/>
    <w:rsid w:val="00661805"/>
    <w:rsid w:val="00661EE6"/>
    <w:rsid w:val="00662E5F"/>
    <w:rsid w:val="00663096"/>
    <w:rsid w:val="00664434"/>
    <w:rsid w:val="00664E28"/>
    <w:rsid w:val="0066561F"/>
    <w:rsid w:val="00666A58"/>
    <w:rsid w:val="00670650"/>
    <w:rsid w:val="006712C0"/>
    <w:rsid w:val="00672442"/>
    <w:rsid w:val="0067271C"/>
    <w:rsid w:val="006744AC"/>
    <w:rsid w:val="00674C7D"/>
    <w:rsid w:val="006762DD"/>
    <w:rsid w:val="00676DE1"/>
    <w:rsid w:val="00680410"/>
    <w:rsid w:val="00680B40"/>
    <w:rsid w:val="00680E97"/>
    <w:rsid w:val="006819DB"/>
    <w:rsid w:val="00681EC9"/>
    <w:rsid w:val="006822FA"/>
    <w:rsid w:val="0068288C"/>
    <w:rsid w:val="00683F36"/>
    <w:rsid w:val="006844EA"/>
    <w:rsid w:val="00685589"/>
    <w:rsid w:val="00686558"/>
    <w:rsid w:val="0068682C"/>
    <w:rsid w:val="00690FD6"/>
    <w:rsid w:val="00691466"/>
    <w:rsid w:val="00691FC4"/>
    <w:rsid w:val="00692749"/>
    <w:rsid w:val="00692CD8"/>
    <w:rsid w:val="006938AA"/>
    <w:rsid w:val="0069474B"/>
    <w:rsid w:val="0069475D"/>
    <w:rsid w:val="00694AFE"/>
    <w:rsid w:val="00695F23"/>
    <w:rsid w:val="0069653F"/>
    <w:rsid w:val="00696CB8"/>
    <w:rsid w:val="00697966"/>
    <w:rsid w:val="006A0721"/>
    <w:rsid w:val="006A1756"/>
    <w:rsid w:val="006A1B86"/>
    <w:rsid w:val="006A29B3"/>
    <w:rsid w:val="006A3A2B"/>
    <w:rsid w:val="006A4679"/>
    <w:rsid w:val="006A66CC"/>
    <w:rsid w:val="006A6BF1"/>
    <w:rsid w:val="006A6CBC"/>
    <w:rsid w:val="006B0720"/>
    <w:rsid w:val="006B1010"/>
    <w:rsid w:val="006B3032"/>
    <w:rsid w:val="006B31D9"/>
    <w:rsid w:val="006B4B21"/>
    <w:rsid w:val="006B4B4A"/>
    <w:rsid w:val="006B53CA"/>
    <w:rsid w:val="006B55B9"/>
    <w:rsid w:val="006B75C6"/>
    <w:rsid w:val="006C041E"/>
    <w:rsid w:val="006C1F7D"/>
    <w:rsid w:val="006C354C"/>
    <w:rsid w:val="006C380E"/>
    <w:rsid w:val="006C3824"/>
    <w:rsid w:val="006C39CD"/>
    <w:rsid w:val="006C3B76"/>
    <w:rsid w:val="006C4572"/>
    <w:rsid w:val="006C4D54"/>
    <w:rsid w:val="006C7B03"/>
    <w:rsid w:val="006D0A4C"/>
    <w:rsid w:val="006D0EC2"/>
    <w:rsid w:val="006D1224"/>
    <w:rsid w:val="006D240F"/>
    <w:rsid w:val="006D4C72"/>
    <w:rsid w:val="006D4E4C"/>
    <w:rsid w:val="006D5585"/>
    <w:rsid w:val="006D586D"/>
    <w:rsid w:val="006D5C43"/>
    <w:rsid w:val="006D5F76"/>
    <w:rsid w:val="006D6D96"/>
    <w:rsid w:val="006D7211"/>
    <w:rsid w:val="006D75C8"/>
    <w:rsid w:val="006E4C82"/>
    <w:rsid w:val="006E55D0"/>
    <w:rsid w:val="006E70F3"/>
    <w:rsid w:val="006F0D46"/>
    <w:rsid w:val="006F119F"/>
    <w:rsid w:val="006F12D7"/>
    <w:rsid w:val="006F1BD5"/>
    <w:rsid w:val="006F23DD"/>
    <w:rsid w:val="006F5158"/>
    <w:rsid w:val="00700950"/>
    <w:rsid w:val="00701136"/>
    <w:rsid w:val="00701CAE"/>
    <w:rsid w:val="00702BD6"/>
    <w:rsid w:val="0070319A"/>
    <w:rsid w:val="00703CB4"/>
    <w:rsid w:val="00707C18"/>
    <w:rsid w:val="007103A9"/>
    <w:rsid w:val="007105A8"/>
    <w:rsid w:val="00713E6A"/>
    <w:rsid w:val="00714F9C"/>
    <w:rsid w:val="007152C8"/>
    <w:rsid w:val="00716903"/>
    <w:rsid w:val="00716AD2"/>
    <w:rsid w:val="007203CA"/>
    <w:rsid w:val="007218DB"/>
    <w:rsid w:val="007226F5"/>
    <w:rsid w:val="00722D47"/>
    <w:rsid w:val="00723B2C"/>
    <w:rsid w:val="0072493F"/>
    <w:rsid w:val="00724ED0"/>
    <w:rsid w:val="00724F92"/>
    <w:rsid w:val="00725106"/>
    <w:rsid w:val="007253D6"/>
    <w:rsid w:val="0072578A"/>
    <w:rsid w:val="0072597A"/>
    <w:rsid w:val="007267BB"/>
    <w:rsid w:val="0073469E"/>
    <w:rsid w:val="00734CD0"/>
    <w:rsid w:val="00734DD9"/>
    <w:rsid w:val="00734FB9"/>
    <w:rsid w:val="0073792C"/>
    <w:rsid w:val="00740FAC"/>
    <w:rsid w:val="0074257A"/>
    <w:rsid w:val="00744CC3"/>
    <w:rsid w:val="00745A01"/>
    <w:rsid w:val="00746D57"/>
    <w:rsid w:val="00747434"/>
    <w:rsid w:val="0074788B"/>
    <w:rsid w:val="00747B02"/>
    <w:rsid w:val="0075000C"/>
    <w:rsid w:val="007502AA"/>
    <w:rsid w:val="0075137C"/>
    <w:rsid w:val="00753CB8"/>
    <w:rsid w:val="0075418A"/>
    <w:rsid w:val="007552CC"/>
    <w:rsid w:val="00755998"/>
    <w:rsid w:val="007566D6"/>
    <w:rsid w:val="00761652"/>
    <w:rsid w:val="0076260D"/>
    <w:rsid w:val="00763ABA"/>
    <w:rsid w:val="00763B77"/>
    <w:rsid w:val="00766077"/>
    <w:rsid w:val="0076702C"/>
    <w:rsid w:val="007671CF"/>
    <w:rsid w:val="00767F6C"/>
    <w:rsid w:val="0077025C"/>
    <w:rsid w:val="007707C4"/>
    <w:rsid w:val="00772829"/>
    <w:rsid w:val="007735E8"/>
    <w:rsid w:val="007741E6"/>
    <w:rsid w:val="0077452F"/>
    <w:rsid w:val="00777310"/>
    <w:rsid w:val="00777848"/>
    <w:rsid w:val="00777893"/>
    <w:rsid w:val="00780F2F"/>
    <w:rsid w:val="00782B81"/>
    <w:rsid w:val="007838A0"/>
    <w:rsid w:val="00784341"/>
    <w:rsid w:val="007852E9"/>
    <w:rsid w:val="0078777B"/>
    <w:rsid w:val="007906B0"/>
    <w:rsid w:val="00790B15"/>
    <w:rsid w:val="00790F49"/>
    <w:rsid w:val="007931CB"/>
    <w:rsid w:val="007951D4"/>
    <w:rsid w:val="00797A34"/>
    <w:rsid w:val="00797C46"/>
    <w:rsid w:val="007A0BD6"/>
    <w:rsid w:val="007A19F6"/>
    <w:rsid w:val="007A2B65"/>
    <w:rsid w:val="007A34C1"/>
    <w:rsid w:val="007A4A11"/>
    <w:rsid w:val="007A4C88"/>
    <w:rsid w:val="007A5617"/>
    <w:rsid w:val="007A7CC3"/>
    <w:rsid w:val="007B0245"/>
    <w:rsid w:val="007B083F"/>
    <w:rsid w:val="007B0880"/>
    <w:rsid w:val="007B0D01"/>
    <w:rsid w:val="007B2085"/>
    <w:rsid w:val="007B2FDC"/>
    <w:rsid w:val="007B38A0"/>
    <w:rsid w:val="007B38B7"/>
    <w:rsid w:val="007B45BB"/>
    <w:rsid w:val="007B4F7B"/>
    <w:rsid w:val="007B5364"/>
    <w:rsid w:val="007B583D"/>
    <w:rsid w:val="007B5EC2"/>
    <w:rsid w:val="007B6684"/>
    <w:rsid w:val="007B6B21"/>
    <w:rsid w:val="007B7024"/>
    <w:rsid w:val="007B7FAE"/>
    <w:rsid w:val="007C0390"/>
    <w:rsid w:val="007C1372"/>
    <w:rsid w:val="007C14A2"/>
    <w:rsid w:val="007C2981"/>
    <w:rsid w:val="007C300E"/>
    <w:rsid w:val="007C328D"/>
    <w:rsid w:val="007C336F"/>
    <w:rsid w:val="007C41B1"/>
    <w:rsid w:val="007C43A2"/>
    <w:rsid w:val="007C7E06"/>
    <w:rsid w:val="007D006B"/>
    <w:rsid w:val="007D30B7"/>
    <w:rsid w:val="007D4EEB"/>
    <w:rsid w:val="007D5EA8"/>
    <w:rsid w:val="007E03CC"/>
    <w:rsid w:val="007E060D"/>
    <w:rsid w:val="007E1478"/>
    <w:rsid w:val="007E15AD"/>
    <w:rsid w:val="007E25ED"/>
    <w:rsid w:val="007E262A"/>
    <w:rsid w:val="007E2BC0"/>
    <w:rsid w:val="007E329F"/>
    <w:rsid w:val="007E4E12"/>
    <w:rsid w:val="007E65D4"/>
    <w:rsid w:val="007E688A"/>
    <w:rsid w:val="007E68D7"/>
    <w:rsid w:val="007E6C45"/>
    <w:rsid w:val="007F008C"/>
    <w:rsid w:val="007F1521"/>
    <w:rsid w:val="007F64E1"/>
    <w:rsid w:val="007F67E9"/>
    <w:rsid w:val="007F69DE"/>
    <w:rsid w:val="007F7C7B"/>
    <w:rsid w:val="00800042"/>
    <w:rsid w:val="00801F0D"/>
    <w:rsid w:val="008039AD"/>
    <w:rsid w:val="00803B75"/>
    <w:rsid w:val="0080402D"/>
    <w:rsid w:val="008040A2"/>
    <w:rsid w:val="00804632"/>
    <w:rsid w:val="008054D9"/>
    <w:rsid w:val="00806688"/>
    <w:rsid w:val="00806B16"/>
    <w:rsid w:val="00806E84"/>
    <w:rsid w:val="00807267"/>
    <w:rsid w:val="00807A3E"/>
    <w:rsid w:val="00807EC6"/>
    <w:rsid w:val="00810338"/>
    <w:rsid w:val="00812282"/>
    <w:rsid w:val="008131D6"/>
    <w:rsid w:val="0081320E"/>
    <w:rsid w:val="0081345F"/>
    <w:rsid w:val="00813E51"/>
    <w:rsid w:val="008148E4"/>
    <w:rsid w:val="008157F1"/>
    <w:rsid w:val="00815830"/>
    <w:rsid w:val="00816EC2"/>
    <w:rsid w:val="00817E4D"/>
    <w:rsid w:val="008236E1"/>
    <w:rsid w:val="00823C6E"/>
    <w:rsid w:val="00823C7F"/>
    <w:rsid w:val="00824458"/>
    <w:rsid w:val="008249F7"/>
    <w:rsid w:val="00824B74"/>
    <w:rsid w:val="00825344"/>
    <w:rsid w:val="00825E33"/>
    <w:rsid w:val="00827027"/>
    <w:rsid w:val="00827CCA"/>
    <w:rsid w:val="00833AA6"/>
    <w:rsid w:val="00835EC9"/>
    <w:rsid w:val="00840BA5"/>
    <w:rsid w:val="00840F20"/>
    <w:rsid w:val="00841388"/>
    <w:rsid w:val="00841555"/>
    <w:rsid w:val="0084160A"/>
    <w:rsid w:val="008419DA"/>
    <w:rsid w:val="00841EFB"/>
    <w:rsid w:val="00841F44"/>
    <w:rsid w:val="00842C82"/>
    <w:rsid w:val="008436D7"/>
    <w:rsid w:val="008440FE"/>
    <w:rsid w:val="0084563D"/>
    <w:rsid w:val="008460B7"/>
    <w:rsid w:val="00846119"/>
    <w:rsid w:val="008467F6"/>
    <w:rsid w:val="008474E3"/>
    <w:rsid w:val="008516BF"/>
    <w:rsid w:val="008527ED"/>
    <w:rsid w:val="00852BC1"/>
    <w:rsid w:val="00853744"/>
    <w:rsid w:val="008537F7"/>
    <w:rsid w:val="00854197"/>
    <w:rsid w:val="008546BE"/>
    <w:rsid w:val="00856074"/>
    <w:rsid w:val="00857949"/>
    <w:rsid w:val="00861711"/>
    <w:rsid w:val="00862F3A"/>
    <w:rsid w:val="00866765"/>
    <w:rsid w:val="00867364"/>
    <w:rsid w:val="008673D3"/>
    <w:rsid w:val="008679A5"/>
    <w:rsid w:val="00867F48"/>
    <w:rsid w:val="00870FBC"/>
    <w:rsid w:val="00871234"/>
    <w:rsid w:val="008719C2"/>
    <w:rsid w:val="0087277A"/>
    <w:rsid w:val="00872A47"/>
    <w:rsid w:val="0087308F"/>
    <w:rsid w:val="008736E2"/>
    <w:rsid w:val="00874565"/>
    <w:rsid w:val="008747DA"/>
    <w:rsid w:val="00876C8F"/>
    <w:rsid w:val="00877247"/>
    <w:rsid w:val="008801AE"/>
    <w:rsid w:val="00880AA3"/>
    <w:rsid w:val="0088270E"/>
    <w:rsid w:val="00883B0A"/>
    <w:rsid w:val="0088421C"/>
    <w:rsid w:val="0088445B"/>
    <w:rsid w:val="00884B63"/>
    <w:rsid w:val="00884C7E"/>
    <w:rsid w:val="00887FEF"/>
    <w:rsid w:val="00890B9B"/>
    <w:rsid w:val="00891AF6"/>
    <w:rsid w:val="00891BC3"/>
    <w:rsid w:val="008937C8"/>
    <w:rsid w:val="00896796"/>
    <w:rsid w:val="008967C4"/>
    <w:rsid w:val="0089704C"/>
    <w:rsid w:val="008973E2"/>
    <w:rsid w:val="0089759C"/>
    <w:rsid w:val="00897869"/>
    <w:rsid w:val="008A0D2A"/>
    <w:rsid w:val="008A1693"/>
    <w:rsid w:val="008A254F"/>
    <w:rsid w:val="008A2630"/>
    <w:rsid w:val="008A396A"/>
    <w:rsid w:val="008A5833"/>
    <w:rsid w:val="008A6F4A"/>
    <w:rsid w:val="008A70AD"/>
    <w:rsid w:val="008B004F"/>
    <w:rsid w:val="008B01CE"/>
    <w:rsid w:val="008B1E43"/>
    <w:rsid w:val="008B3A88"/>
    <w:rsid w:val="008B470B"/>
    <w:rsid w:val="008B4BFC"/>
    <w:rsid w:val="008B51B4"/>
    <w:rsid w:val="008B5B67"/>
    <w:rsid w:val="008B5BFF"/>
    <w:rsid w:val="008B5D7A"/>
    <w:rsid w:val="008B66E3"/>
    <w:rsid w:val="008B6765"/>
    <w:rsid w:val="008B7848"/>
    <w:rsid w:val="008C0D09"/>
    <w:rsid w:val="008C1E05"/>
    <w:rsid w:val="008C30DA"/>
    <w:rsid w:val="008C34BB"/>
    <w:rsid w:val="008C45E2"/>
    <w:rsid w:val="008C5131"/>
    <w:rsid w:val="008C52D9"/>
    <w:rsid w:val="008C5D5A"/>
    <w:rsid w:val="008C6215"/>
    <w:rsid w:val="008D09F3"/>
    <w:rsid w:val="008D0E73"/>
    <w:rsid w:val="008D2E96"/>
    <w:rsid w:val="008D3726"/>
    <w:rsid w:val="008D4CB0"/>
    <w:rsid w:val="008D616D"/>
    <w:rsid w:val="008D6397"/>
    <w:rsid w:val="008D73C9"/>
    <w:rsid w:val="008E16BF"/>
    <w:rsid w:val="008E18CF"/>
    <w:rsid w:val="008E2451"/>
    <w:rsid w:val="008E27EC"/>
    <w:rsid w:val="008E2AAB"/>
    <w:rsid w:val="008E2D65"/>
    <w:rsid w:val="008E2DD1"/>
    <w:rsid w:val="008E3049"/>
    <w:rsid w:val="008E35A3"/>
    <w:rsid w:val="008E5A58"/>
    <w:rsid w:val="008E6081"/>
    <w:rsid w:val="008E7274"/>
    <w:rsid w:val="008E7E25"/>
    <w:rsid w:val="008F036E"/>
    <w:rsid w:val="008F0562"/>
    <w:rsid w:val="008F064F"/>
    <w:rsid w:val="008F1824"/>
    <w:rsid w:val="008F19D8"/>
    <w:rsid w:val="008F260B"/>
    <w:rsid w:val="008F2737"/>
    <w:rsid w:val="008F7DAB"/>
    <w:rsid w:val="00901553"/>
    <w:rsid w:val="00902F8E"/>
    <w:rsid w:val="009036FA"/>
    <w:rsid w:val="00903F27"/>
    <w:rsid w:val="00903F9D"/>
    <w:rsid w:val="00903FED"/>
    <w:rsid w:val="009042DB"/>
    <w:rsid w:val="0090532E"/>
    <w:rsid w:val="00905637"/>
    <w:rsid w:val="00906821"/>
    <w:rsid w:val="00906E65"/>
    <w:rsid w:val="00910F60"/>
    <w:rsid w:val="00911834"/>
    <w:rsid w:val="00912EDA"/>
    <w:rsid w:val="009144D5"/>
    <w:rsid w:val="00915F98"/>
    <w:rsid w:val="00915FA3"/>
    <w:rsid w:val="00917E6A"/>
    <w:rsid w:val="0092057E"/>
    <w:rsid w:val="0092090E"/>
    <w:rsid w:val="009217F8"/>
    <w:rsid w:val="009229B2"/>
    <w:rsid w:val="0092470E"/>
    <w:rsid w:val="0092510A"/>
    <w:rsid w:val="00925187"/>
    <w:rsid w:val="0092709C"/>
    <w:rsid w:val="0092717F"/>
    <w:rsid w:val="00927744"/>
    <w:rsid w:val="00927B05"/>
    <w:rsid w:val="009302C1"/>
    <w:rsid w:val="0093062E"/>
    <w:rsid w:val="00930D54"/>
    <w:rsid w:val="00930F4E"/>
    <w:rsid w:val="0093271A"/>
    <w:rsid w:val="009339A0"/>
    <w:rsid w:val="009341D5"/>
    <w:rsid w:val="0093430A"/>
    <w:rsid w:val="00936062"/>
    <w:rsid w:val="009367E4"/>
    <w:rsid w:val="009371C6"/>
    <w:rsid w:val="00937CBE"/>
    <w:rsid w:val="009405A5"/>
    <w:rsid w:val="0094062C"/>
    <w:rsid w:val="00940FB1"/>
    <w:rsid w:val="00943D91"/>
    <w:rsid w:val="00944087"/>
    <w:rsid w:val="00944E74"/>
    <w:rsid w:val="00945F18"/>
    <w:rsid w:val="00947BF7"/>
    <w:rsid w:val="0095012E"/>
    <w:rsid w:val="00951934"/>
    <w:rsid w:val="00951F9B"/>
    <w:rsid w:val="0095207B"/>
    <w:rsid w:val="00954331"/>
    <w:rsid w:val="00954C8C"/>
    <w:rsid w:val="009558A9"/>
    <w:rsid w:val="00956ACE"/>
    <w:rsid w:val="009572A0"/>
    <w:rsid w:val="0095776A"/>
    <w:rsid w:val="00957D24"/>
    <w:rsid w:val="00960C55"/>
    <w:rsid w:val="00960DCF"/>
    <w:rsid w:val="00961B53"/>
    <w:rsid w:val="00963264"/>
    <w:rsid w:val="0096389D"/>
    <w:rsid w:val="009658A2"/>
    <w:rsid w:val="009676C0"/>
    <w:rsid w:val="0097022D"/>
    <w:rsid w:val="009734B3"/>
    <w:rsid w:val="00973C90"/>
    <w:rsid w:val="00976728"/>
    <w:rsid w:val="00976893"/>
    <w:rsid w:val="00976F87"/>
    <w:rsid w:val="009803A9"/>
    <w:rsid w:val="009803CB"/>
    <w:rsid w:val="009803D4"/>
    <w:rsid w:val="009807A2"/>
    <w:rsid w:val="00981603"/>
    <w:rsid w:val="0098199C"/>
    <w:rsid w:val="009821E3"/>
    <w:rsid w:val="00983029"/>
    <w:rsid w:val="00984D42"/>
    <w:rsid w:val="00985763"/>
    <w:rsid w:val="00986A72"/>
    <w:rsid w:val="009873F3"/>
    <w:rsid w:val="0099031B"/>
    <w:rsid w:val="00992B9F"/>
    <w:rsid w:val="00992FC1"/>
    <w:rsid w:val="00994FD0"/>
    <w:rsid w:val="00995C35"/>
    <w:rsid w:val="00995E98"/>
    <w:rsid w:val="009967F5"/>
    <w:rsid w:val="00996F15"/>
    <w:rsid w:val="00996F6E"/>
    <w:rsid w:val="00997BA8"/>
    <w:rsid w:val="00997E1A"/>
    <w:rsid w:val="009A06F4"/>
    <w:rsid w:val="009A0D33"/>
    <w:rsid w:val="009A15E8"/>
    <w:rsid w:val="009A17A7"/>
    <w:rsid w:val="009A19D3"/>
    <w:rsid w:val="009A2F49"/>
    <w:rsid w:val="009A3778"/>
    <w:rsid w:val="009A3E2E"/>
    <w:rsid w:val="009A41E2"/>
    <w:rsid w:val="009A4E7D"/>
    <w:rsid w:val="009A512C"/>
    <w:rsid w:val="009A67F6"/>
    <w:rsid w:val="009A7367"/>
    <w:rsid w:val="009A7F34"/>
    <w:rsid w:val="009B07AF"/>
    <w:rsid w:val="009B1586"/>
    <w:rsid w:val="009B2245"/>
    <w:rsid w:val="009B258E"/>
    <w:rsid w:val="009B3128"/>
    <w:rsid w:val="009B33B5"/>
    <w:rsid w:val="009B5231"/>
    <w:rsid w:val="009B5997"/>
    <w:rsid w:val="009B6536"/>
    <w:rsid w:val="009B6B23"/>
    <w:rsid w:val="009B6D54"/>
    <w:rsid w:val="009B7527"/>
    <w:rsid w:val="009B7ABD"/>
    <w:rsid w:val="009C000C"/>
    <w:rsid w:val="009C0054"/>
    <w:rsid w:val="009C0495"/>
    <w:rsid w:val="009C099B"/>
    <w:rsid w:val="009C09C3"/>
    <w:rsid w:val="009C1D27"/>
    <w:rsid w:val="009C26DB"/>
    <w:rsid w:val="009C3BD9"/>
    <w:rsid w:val="009C4C1F"/>
    <w:rsid w:val="009C5B82"/>
    <w:rsid w:val="009C756E"/>
    <w:rsid w:val="009D12FF"/>
    <w:rsid w:val="009D21BE"/>
    <w:rsid w:val="009D32DF"/>
    <w:rsid w:val="009D3652"/>
    <w:rsid w:val="009D3C3D"/>
    <w:rsid w:val="009D439D"/>
    <w:rsid w:val="009D5288"/>
    <w:rsid w:val="009D68D0"/>
    <w:rsid w:val="009E2AD3"/>
    <w:rsid w:val="009E380B"/>
    <w:rsid w:val="009E47E5"/>
    <w:rsid w:val="009E5193"/>
    <w:rsid w:val="009E63E7"/>
    <w:rsid w:val="009F0AD3"/>
    <w:rsid w:val="009F146F"/>
    <w:rsid w:val="009F1C02"/>
    <w:rsid w:val="009F318E"/>
    <w:rsid w:val="009F34C8"/>
    <w:rsid w:val="009F3C75"/>
    <w:rsid w:val="009F4008"/>
    <w:rsid w:val="009F6B65"/>
    <w:rsid w:val="00A0037E"/>
    <w:rsid w:val="00A00EA1"/>
    <w:rsid w:val="00A01303"/>
    <w:rsid w:val="00A02C4F"/>
    <w:rsid w:val="00A03568"/>
    <w:rsid w:val="00A04A09"/>
    <w:rsid w:val="00A05821"/>
    <w:rsid w:val="00A05D1D"/>
    <w:rsid w:val="00A05EA2"/>
    <w:rsid w:val="00A076CC"/>
    <w:rsid w:val="00A07773"/>
    <w:rsid w:val="00A1165C"/>
    <w:rsid w:val="00A125D6"/>
    <w:rsid w:val="00A1329D"/>
    <w:rsid w:val="00A14E53"/>
    <w:rsid w:val="00A15580"/>
    <w:rsid w:val="00A16102"/>
    <w:rsid w:val="00A16449"/>
    <w:rsid w:val="00A173A7"/>
    <w:rsid w:val="00A2022B"/>
    <w:rsid w:val="00A21051"/>
    <w:rsid w:val="00A215D7"/>
    <w:rsid w:val="00A21DD6"/>
    <w:rsid w:val="00A22B23"/>
    <w:rsid w:val="00A22EFC"/>
    <w:rsid w:val="00A23C47"/>
    <w:rsid w:val="00A24201"/>
    <w:rsid w:val="00A24640"/>
    <w:rsid w:val="00A251BB"/>
    <w:rsid w:val="00A260A9"/>
    <w:rsid w:val="00A26389"/>
    <w:rsid w:val="00A26433"/>
    <w:rsid w:val="00A27581"/>
    <w:rsid w:val="00A303B8"/>
    <w:rsid w:val="00A3059C"/>
    <w:rsid w:val="00A306BB"/>
    <w:rsid w:val="00A31948"/>
    <w:rsid w:val="00A32293"/>
    <w:rsid w:val="00A33E49"/>
    <w:rsid w:val="00A34735"/>
    <w:rsid w:val="00A35785"/>
    <w:rsid w:val="00A36075"/>
    <w:rsid w:val="00A361C3"/>
    <w:rsid w:val="00A3625F"/>
    <w:rsid w:val="00A376DB"/>
    <w:rsid w:val="00A404F4"/>
    <w:rsid w:val="00A40737"/>
    <w:rsid w:val="00A40FE2"/>
    <w:rsid w:val="00A411FA"/>
    <w:rsid w:val="00A43CEE"/>
    <w:rsid w:val="00A44594"/>
    <w:rsid w:val="00A44EC1"/>
    <w:rsid w:val="00A454B3"/>
    <w:rsid w:val="00A45E52"/>
    <w:rsid w:val="00A46652"/>
    <w:rsid w:val="00A46D15"/>
    <w:rsid w:val="00A4713D"/>
    <w:rsid w:val="00A47445"/>
    <w:rsid w:val="00A47A92"/>
    <w:rsid w:val="00A52A48"/>
    <w:rsid w:val="00A5323B"/>
    <w:rsid w:val="00A54C03"/>
    <w:rsid w:val="00A54FB4"/>
    <w:rsid w:val="00A55D93"/>
    <w:rsid w:val="00A563C2"/>
    <w:rsid w:val="00A563D4"/>
    <w:rsid w:val="00A5663F"/>
    <w:rsid w:val="00A56DE0"/>
    <w:rsid w:val="00A572A7"/>
    <w:rsid w:val="00A61E84"/>
    <w:rsid w:val="00A63C18"/>
    <w:rsid w:val="00A646A1"/>
    <w:rsid w:val="00A662DC"/>
    <w:rsid w:val="00A6741B"/>
    <w:rsid w:val="00A679B6"/>
    <w:rsid w:val="00A74226"/>
    <w:rsid w:val="00A74695"/>
    <w:rsid w:val="00A757B0"/>
    <w:rsid w:val="00A75BB9"/>
    <w:rsid w:val="00A75EE3"/>
    <w:rsid w:val="00A7640B"/>
    <w:rsid w:val="00A776A4"/>
    <w:rsid w:val="00A77B63"/>
    <w:rsid w:val="00A80077"/>
    <w:rsid w:val="00A8049D"/>
    <w:rsid w:val="00A822C2"/>
    <w:rsid w:val="00A82329"/>
    <w:rsid w:val="00A82990"/>
    <w:rsid w:val="00A85E98"/>
    <w:rsid w:val="00A85F21"/>
    <w:rsid w:val="00A860FE"/>
    <w:rsid w:val="00A90401"/>
    <w:rsid w:val="00A9175D"/>
    <w:rsid w:val="00A921E3"/>
    <w:rsid w:val="00A93B61"/>
    <w:rsid w:val="00A949E4"/>
    <w:rsid w:val="00A94D20"/>
    <w:rsid w:val="00A96E13"/>
    <w:rsid w:val="00A9752B"/>
    <w:rsid w:val="00AA07A6"/>
    <w:rsid w:val="00AA2461"/>
    <w:rsid w:val="00AA2865"/>
    <w:rsid w:val="00AA2A5D"/>
    <w:rsid w:val="00AA3A9B"/>
    <w:rsid w:val="00AA3BF1"/>
    <w:rsid w:val="00AA441E"/>
    <w:rsid w:val="00AA5410"/>
    <w:rsid w:val="00AA5AEB"/>
    <w:rsid w:val="00AA5E86"/>
    <w:rsid w:val="00AB21C6"/>
    <w:rsid w:val="00AB2841"/>
    <w:rsid w:val="00AB45F1"/>
    <w:rsid w:val="00AB4D6A"/>
    <w:rsid w:val="00AB4E9F"/>
    <w:rsid w:val="00AB5765"/>
    <w:rsid w:val="00AB76DC"/>
    <w:rsid w:val="00AC4FAA"/>
    <w:rsid w:val="00AC5EAB"/>
    <w:rsid w:val="00AC63B0"/>
    <w:rsid w:val="00AC68E0"/>
    <w:rsid w:val="00AC6F7D"/>
    <w:rsid w:val="00AC720A"/>
    <w:rsid w:val="00AC7F4B"/>
    <w:rsid w:val="00AD0E40"/>
    <w:rsid w:val="00AD19C0"/>
    <w:rsid w:val="00AD3ED8"/>
    <w:rsid w:val="00AD3F96"/>
    <w:rsid w:val="00AD513C"/>
    <w:rsid w:val="00AD59C9"/>
    <w:rsid w:val="00AD60EA"/>
    <w:rsid w:val="00AD67D4"/>
    <w:rsid w:val="00AE04E4"/>
    <w:rsid w:val="00AE0AB3"/>
    <w:rsid w:val="00AE257E"/>
    <w:rsid w:val="00AE4331"/>
    <w:rsid w:val="00AE614D"/>
    <w:rsid w:val="00AE6461"/>
    <w:rsid w:val="00AE6D88"/>
    <w:rsid w:val="00AE7849"/>
    <w:rsid w:val="00AE7977"/>
    <w:rsid w:val="00AF133F"/>
    <w:rsid w:val="00AF1F10"/>
    <w:rsid w:val="00AF20A8"/>
    <w:rsid w:val="00AF3D39"/>
    <w:rsid w:val="00AF497B"/>
    <w:rsid w:val="00AF55FD"/>
    <w:rsid w:val="00AF6075"/>
    <w:rsid w:val="00AF62EB"/>
    <w:rsid w:val="00AF6A4C"/>
    <w:rsid w:val="00AF73E7"/>
    <w:rsid w:val="00AF7C23"/>
    <w:rsid w:val="00B00A55"/>
    <w:rsid w:val="00B012C3"/>
    <w:rsid w:val="00B02183"/>
    <w:rsid w:val="00B047C2"/>
    <w:rsid w:val="00B04A6F"/>
    <w:rsid w:val="00B04CB1"/>
    <w:rsid w:val="00B05635"/>
    <w:rsid w:val="00B05D66"/>
    <w:rsid w:val="00B0614C"/>
    <w:rsid w:val="00B068B3"/>
    <w:rsid w:val="00B07530"/>
    <w:rsid w:val="00B07620"/>
    <w:rsid w:val="00B11664"/>
    <w:rsid w:val="00B12DFF"/>
    <w:rsid w:val="00B1314F"/>
    <w:rsid w:val="00B151CF"/>
    <w:rsid w:val="00B17015"/>
    <w:rsid w:val="00B17253"/>
    <w:rsid w:val="00B17E86"/>
    <w:rsid w:val="00B20445"/>
    <w:rsid w:val="00B21C2B"/>
    <w:rsid w:val="00B22070"/>
    <w:rsid w:val="00B22BA0"/>
    <w:rsid w:val="00B23265"/>
    <w:rsid w:val="00B247AD"/>
    <w:rsid w:val="00B24A5B"/>
    <w:rsid w:val="00B253B0"/>
    <w:rsid w:val="00B25D05"/>
    <w:rsid w:val="00B26622"/>
    <w:rsid w:val="00B26669"/>
    <w:rsid w:val="00B276B4"/>
    <w:rsid w:val="00B27AC7"/>
    <w:rsid w:val="00B303F6"/>
    <w:rsid w:val="00B307B7"/>
    <w:rsid w:val="00B31B91"/>
    <w:rsid w:val="00B322F5"/>
    <w:rsid w:val="00B36028"/>
    <w:rsid w:val="00B368C0"/>
    <w:rsid w:val="00B36C5F"/>
    <w:rsid w:val="00B40064"/>
    <w:rsid w:val="00B4041C"/>
    <w:rsid w:val="00B41EE8"/>
    <w:rsid w:val="00B42D10"/>
    <w:rsid w:val="00B43601"/>
    <w:rsid w:val="00B445C4"/>
    <w:rsid w:val="00B44B41"/>
    <w:rsid w:val="00B45477"/>
    <w:rsid w:val="00B502BE"/>
    <w:rsid w:val="00B50A44"/>
    <w:rsid w:val="00B5258C"/>
    <w:rsid w:val="00B53DD3"/>
    <w:rsid w:val="00B55524"/>
    <w:rsid w:val="00B56366"/>
    <w:rsid w:val="00B5721C"/>
    <w:rsid w:val="00B575BF"/>
    <w:rsid w:val="00B6018C"/>
    <w:rsid w:val="00B612EA"/>
    <w:rsid w:val="00B6180F"/>
    <w:rsid w:val="00B6196F"/>
    <w:rsid w:val="00B61C66"/>
    <w:rsid w:val="00B62604"/>
    <w:rsid w:val="00B62DF2"/>
    <w:rsid w:val="00B6402E"/>
    <w:rsid w:val="00B66A87"/>
    <w:rsid w:val="00B66E2C"/>
    <w:rsid w:val="00B712D0"/>
    <w:rsid w:val="00B735AD"/>
    <w:rsid w:val="00B73A51"/>
    <w:rsid w:val="00B74A0B"/>
    <w:rsid w:val="00B74B21"/>
    <w:rsid w:val="00B757E5"/>
    <w:rsid w:val="00B76E43"/>
    <w:rsid w:val="00B77313"/>
    <w:rsid w:val="00B77B14"/>
    <w:rsid w:val="00B808E0"/>
    <w:rsid w:val="00B81F38"/>
    <w:rsid w:val="00B82A39"/>
    <w:rsid w:val="00B833CE"/>
    <w:rsid w:val="00B83B62"/>
    <w:rsid w:val="00B84E38"/>
    <w:rsid w:val="00B8535F"/>
    <w:rsid w:val="00B87045"/>
    <w:rsid w:val="00B878CD"/>
    <w:rsid w:val="00B90C8E"/>
    <w:rsid w:val="00B90EE3"/>
    <w:rsid w:val="00B91CA7"/>
    <w:rsid w:val="00B91CB1"/>
    <w:rsid w:val="00B9249B"/>
    <w:rsid w:val="00B93A4F"/>
    <w:rsid w:val="00B9536C"/>
    <w:rsid w:val="00B95B59"/>
    <w:rsid w:val="00B97CB6"/>
    <w:rsid w:val="00B97E19"/>
    <w:rsid w:val="00BA0C4D"/>
    <w:rsid w:val="00BA1FFB"/>
    <w:rsid w:val="00BA2B3F"/>
    <w:rsid w:val="00BA4E45"/>
    <w:rsid w:val="00BA59FB"/>
    <w:rsid w:val="00BB0229"/>
    <w:rsid w:val="00BB0B44"/>
    <w:rsid w:val="00BB14A3"/>
    <w:rsid w:val="00BB697E"/>
    <w:rsid w:val="00BB77A1"/>
    <w:rsid w:val="00BC15DE"/>
    <w:rsid w:val="00BC17C8"/>
    <w:rsid w:val="00BC238B"/>
    <w:rsid w:val="00BC369C"/>
    <w:rsid w:val="00BC44E6"/>
    <w:rsid w:val="00BC4972"/>
    <w:rsid w:val="00BC5A6B"/>
    <w:rsid w:val="00BC6560"/>
    <w:rsid w:val="00BC6897"/>
    <w:rsid w:val="00BC7468"/>
    <w:rsid w:val="00BC7B3C"/>
    <w:rsid w:val="00BD05CE"/>
    <w:rsid w:val="00BD144E"/>
    <w:rsid w:val="00BD1B8D"/>
    <w:rsid w:val="00BD33D4"/>
    <w:rsid w:val="00BD3561"/>
    <w:rsid w:val="00BD3B90"/>
    <w:rsid w:val="00BD40B1"/>
    <w:rsid w:val="00BD45F2"/>
    <w:rsid w:val="00BD61E2"/>
    <w:rsid w:val="00BE0AA4"/>
    <w:rsid w:val="00BE12DF"/>
    <w:rsid w:val="00BE1323"/>
    <w:rsid w:val="00BE28F8"/>
    <w:rsid w:val="00BE47BF"/>
    <w:rsid w:val="00BE5374"/>
    <w:rsid w:val="00BE627A"/>
    <w:rsid w:val="00BE6CE8"/>
    <w:rsid w:val="00BF1F91"/>
    <w:rsid w:val="00BF2F61"/>
    <w:rsid w:val="00BF51FF"/>
    <w:rsid w:val="00BF5A7D"/>
    <w:rsid w:val="00BF7452"/>
    <w:rsid w:val="00BF75CE"/>
    <w:rsid w:val="00BF7AF7"/>
    <w:rsid w:val="00BF7C54"/>
    <w:rsid w:val="00C010CB"/>
    <w:rsid w:val="00C0167E"/>
    <w:rsid w:val="00C01683"/>
    <w:rsid w:val="00C01BF7"/>
    <w:rsid w:val="00C01D5F"/>
    <w:rsid w:val="00C02529"/>
    <w:rsid w:val="00C02FC4"/>
    <w:rsid w:val="00C0345A"/>
    <w:rsid w:val="00C03511"/>
    <w:rsid w:val="00C038CE"/>
    <w:rsid w:val="00C0413D"/>
    <w:rsid w:val="00C04C3A"/>
    <w:rsid w:val="00C05700"/>
    <w:rsid w:val="00C057F9"/>
    <w:rsid w:val="00C074CD"/>
    <w:rsid w:val="00C07D26"/>
    <w:rsid w:val="00C107C3"/>
    <w:rsid w:val="00C10D16"/>
    <w:rsid w:val="00C11449"/>
    <w:rsid w:val="00C13520"/>
    <w:rsid w:val="00C141DF"/>
    <w:rsid w:val="00C14985"/>
    <w:rsid w:val="00C14F9B"/>
    <w:rsid w:val="00C14FAB"/>
    <w:rsid w:val="00C15084"/>
    <w:rsid w:val="00C15F42"/>
    <w:rsid w:val="00C1610B"/>
    <w:rsid w:val="00C1611D"/>
    <w:rsid w:val="00C16C9A"/>
    <w:rsid w:val="00C16E9A"/>
    <w:rsid w:val="00C175E4"/>
    <w:rsid w:val="00C17EBE"/>
    <w:rsid w:val="00C20FB6"/>
    <w:rsid w:val="00C221AC"/>
    <w:rsid w:val="00C232E0"/>
    <w:rsid w:val="00C2331A"/>
    <w:rsid w:val="00C236EA"/>
    <w:rsid w:val="00C23731"/>
    <w:rsid w:val="00C24B5E"/>
    <w:rsid w:val="00C2534F"/>
    <w:rsid w:val="00C254D6"/>
    <w:rsid w:val="00C258B3"/>
    <w:rsid w:val="00C25A3B"/>
    <w:rsid w:val="00C27730"/>
    <w:rsid w:val="00C30058"/>
    <w:rsid w:val="00C3090F"/>
    <w:rsid w:val="00C314A2"/>
    <w:rsid w:val="00C317A2"/>
    <w:rsid w:val="00C31986"/>
    <w:rsid w:val="00C343FC"/>
    <w:rsid w:val="00C344AC"/>
    <w:rsid w:val="00C3651F"/>
    <w:rsid w:val="00C36633"/>
    <w:rsid w:val="00C36C8F"/>
    <w:rsid w:val="00C36CF5"/>
    <w:rsid w:val="00C36E9D"/>
    <w:rsid w:val="00C37C86"/>
    <w:rsid w:val="00C403E9"/>
    <w:rsid w:val="00C412B1"/>
    <w:rsid w:val="00C41B16"/>
    <w:rsid w:val="00C4412C"/>
    <w:rsid w:val="00C4436C"/>
    <w:rsid w:val="00C45681"/>
    <w:rsid w:val="00C45F6C"/>
    <w:rsid w:val="00C461B2"/>
    <w:rsid w:val="00C4743E"/>
    <w:rsid w:val="00C47C8E"/>
    <w:rsid w:val="00C52FD1"/>
    <w:rsid w:val="00C5359B"/>
    <w:rsid w:val="00C53AF7"/>
    <w:rsid w:val="00C552BA"/>
    <w:rsid w:val="00C554B5"/>
    <w:rsid w:val="00C56EF2"/>
    <w:rsid w:val="00C57034"/>
    <w:rsid w:val="00C570A6"/>
    <w:rsid w:val="00C579F3"/>
    <w:rsid w:val="00C57DDF"/>
    <w:rsid w:val="00C600B3"/>
    <w:rsid w:val="00C60DE1"/>
    <w:rsid w:val="00C61464"/>
    <w:rsid w:val="00C61FF6"/>
    <w:rsid w:val="00C62196"/>
    <w:rsid w:val="00C626E0"/>
    <w:rsid w:val="00C6311F"/>
    <w:rsid w:val="00C63253"/>
    <w:rsid w:val="00C634EC"/>
    <w:rsid w:val="00C654EA"/>
    <w:rsid w:val="00C65839"/>
    <w:rsid w:val="00C6669F"/>
    <w:rsid w:val="00C679AB"/>
    <w:rsid w:val="00C67E8E"/>
    <w:rsid w:val="00C700DC"/>
    <w:rsid w:val="00C710CF"/>
    <w:rsid w:val="00C72177"/>
    <w:rsid w:val="00C72394"/>
    <w:rsid w:val="00C723C4"/>
    <w:rsid w:val="00C72C2A"/>
    <w:rsid w:val="00C74B8C"/>
    <w:rsid w:val="00C76EA4"/>
    <w:rsid w:val="00C775B1"/>
    <w:rsid w:val="00C801E5"/>
    <w:rsid w:val="00C80DD5"/>
    <w:rsid w:val="00C811D1"/>
    <w:rsid w:val="00C8233D"/>
    <w:rsid w:val="00C824D4"/>
    <w:rsid w:val="00C8268F"/>
    <w:rsid w:val="00C82A4E"/>
    <w:rsid w:val="00C83535"/>
    <w:rsid w:val="00C83A50"/>
    <w:rsid w:val="00C83D84"/>
    <w:rsid w:val="00C84B22"/>
    <w:rsid w:val="00C87436"/>
    <w:rsid w:val="00C8767A"/>
    <w:rsid w:val="00C87E16"/>
    <w:rsid w:val="00C9055A"/>
    <w:rsid w:val="00C912D9"/>
    <w:rsid w:val="00C91651"/>
    <w:rsid w:val="00C917A4"/>
    <w:rsid w:val="00C922A2"/>
    <w:rsid w:val="00C926CF"/>
    <w:rsid w:val="00C951DE"/>
    <w:rsid w:val="00C95611"/>
    <w:rsid w:val="00C95993"/>
    <w:rsid w:val="00C97CEE"/>
    <w:rsid w:val="00CA1AF4"/>
    <w:rsid w:val="00CA1C9D"/>
    <w:rsid w:val="00CA26EA"/>
    <w:rsid w:val="00CA2BA4"/>
    <w:rsid w:val="00CA2FB2"/>
    <w:rsid w:val="00CA3D3A"/>
    <w:rsid w:val="00CA42D6"/>
    <w:rsid w:val="00CA4312"/>
    <w:rsid w:val="00CA46F1"/>
    <w:rsid w:val="00CA528A"/>
    <w:rsid w:val="00CA7CD8"/>
    <w:rsid w:val="00CB15E9"/>
    <w:rsid w:val="00CB1C65"/>
    <w:rsid w:val="00CB23F8"/>
    <w:rsid w:val="00CB2BD5"/>
    <w:rsid w:val="00CB3468"/>
    <w:rsid w:val="00CB3C46"/>
    <w:rsid w:val="00CB3D0F"/>
    <w:rsid w:val="00CB5C55"/>
    <w:rsid w:val="00CB6A6A"/>
    <w:rsid w:val="00CC0486"/>
    <w:rsid w:val="00CC04CC"/>
    <w:rsid w:val="00CC05FB"/>
    <w:rsid w:val="00CC1D1A"/>
    <w:rsid w:val="00CC5956"/>
    <w:rsid w:val="00CC6260"/>
    <w:rsid w:val="00CC6A5E"/>
    <w:rsid w:val="00CC7070"/>
    <w:rsid w:val="00CD06DD"/>
    <w:rsid w:val="00CD0810"/>
    <w:rsid w:val="00CD10DC"/>
    <w:rsid w:val="00CD1404"/>
    <w:rsid w:val="00CD5A04"/>
    <w:rsid w:val="00CE1831"/>
    <w:rsid w:val="00CE28E3"/>
    <w:rsid w:val="00CE3118"/>
    <w:rsid w:val="00CE56CB"/>
    <w:rsid w:val="00CE57A1"/>
    <w:rsid w:val="00CE5810"/>
    <w:rsid w:val="00CE61E9"/>
    <w:rsid w:val="00CE7389"/>
    <w:rsid w:val="00CF13FC"/>
    <w:rsid w:val="00CF1A2D"/>
    <w:rsid w:val="00CF2913"/>
    <w:rsid w:val="00CF439F"/>
    <w:rsid w:val="00CF4A3F"/>
    <w:rsid w:val="00CF525E"/>
    <w:rsid w:val="00CF5AFE"/>
    <w:rsid w:val="00CF6EC4"/>
    <w:rsid w:val="00CF7120"/>
    <w:rsid w:val="00CF71E6"/>
    <w:rsid w:val="00CF724C"/>
    <w:rsid w:val="00D001B4"/>
    <w:rsid w:val="00D003B7"/>
    <w:rsid w:val="00D0097B"/>
    <w:rsid w:val="00D00E36"/>
    <w:rsid w:val="00D01532"/>
    <w:rsid w:val="00D015A5"/>
    <w:rsid w:val="00D02F4F"/>
    <w:rsid w:val="00D04CB3"/>
    <w:rsid w:val="00D06D1C"/>
    <w:rsid w:val="00D10050"/>
    <w:rsid w:val="00D1018A"/>
    <w:rsid w:val="00D104DE"/>
    <w:rsid w:val="00D108AF"/>
    <w:rsid w:val="00D116A6"/>
    <w:rsid w:val="00D12A56"/>
    <w:rsid w:val="00D13EE0"/>
    <w:rsid w:val="00D14054"/>
    <w:rsid w:val="00D14E59"/>
    <w:rsid w:val="00D1591C"/>
    <w:rsid w:val="00D15F34"/>
    <w:rsid w:val="00D20031"/>
    <w:rsid w:val="00D20FD9"/>
    <w:rsid w:val="00D24185"/>
    <w:rsid w:val="00D2523B"/>
    <w:rsid w:val="00D25B4D"/>
    <w:rsid w:val="00D2659A"/>
    <w:rsid w:val="00D27DB9"/>
    <w:rsid w:val="00D30142"/>
    <w:rsid w:val="00D30AC2"/>
    <w:rsid w:val="00D313B3"/>
    <w:rsid w:val="00D31B87"/>
    <w:rsid w:val="00D3292B"/>
    <w:rsid w:val="00D32CA1"/>
    <w:rsid w:val="00D33F02"/>
    <w:rsid w:val="00D34254"/>
    <w:rsid w:val="00D358F7"/>
    <w:rsid w:val="00D35B66"/>
    <w:rsid w:val="00D36376"/>
    <w:rsid w:val="00D36E67"/>
    <w:rsid w:val="00D37EF5"/>
    <w:rsid w:val="00D40F1A"/>
    <w:rsid w:val="00D419C9"/>
    <w:rsid w:val="00D428B9"/>
    <w:rsid w:val="00D43246"/>
    <w:rsid w:val="00D433AB"/>
    <w:rsid w:val="00D439F3"/>
    <w:rsid w:val="00D43AE8"/>
    <w:rsid w:val="00D44A7F"/>
    <w:rsid w:val="00D45750"/>
    <w:rsid w:val="00D457EA"/>
    <w:rsid w:val="00D45953"/>
    <w:rsid w:val="00D45C42"/>
    <w:rsid w:val="00D468DB"/>
    <w:rsid w:val="00D46E08"/>
    <w:rsid w:val="00D47846"/>
    <w:rsid w:val="00D5089A"/>
    <w:rsid w:val="00D52E54"/>
    <w:rsid w:val="00D52FF5"/>
    <w:rsid w:val="00D559BC"/>
    <w:rsid w:val="00D564C5"/>
    <w:rsid w:val="00D5658E"/>
    <w:rsid w:val="00D56DFA"/>
    <w:rsid w:val="00D6057A"/>
    <w:rsid w:val="00D60E22"/>
    <w:rsid w:val="00D60F2F"/>
    <w:rsid w:val="00D61302"/>
    <w:rsid w:val="00D62F4D"/>
    <w:rsid w:val="00D64906"/>
    <w:rsid w:val="00D652D9"/>
    <w:rsid w:val="00D66978"/>
    <w:rsid w:val="00D6713E"/>
    <w:rsid w:val="00D67C8A"/>
    <w:rsid w:val="00D67E9C"/>
    <w:rsid w:val="00D70DDA"/>
    <w:rsid w:val="00D70F3B"/>
    <w:rsid w:val="00D73AD9"/>
    <w:rsid w:val="00D73D2F"/>
    <w:rsid w:val="00D7498F"/>
    <w:rsid w:val="00D75EA9"/>
    <w:rsid w:val="00D76E8A"/>
    <w:rsid w:val="00D80C29"/>
    <w:rsid w:val="00D8157A"/>
    <w:rsid w:val="00D8316D"/>
    <w:rsid w:val="00D83B51"/>
    <w:rsid w:val="00D848F4"/>
    <w:rsid w:val="00D84ECA"/>
    <w:rsid w:val="00D8525E"/>
    <w:rsid w:val="00D86676"/>
    <w:rsid w:val="00D87B03"/>
    <w:rsid w:val="00D90101"/>
    <w:rsid w:val="00D9041B"/>
    <w:rsid w:val="00D90DBB"/>
    <w:rsid w:val="00D9141D"/>
    <w:rsid w:val="00D93797"/>
    <w:rsid w:val="00D93A49"/>
    <w:rsid w:val="00D93F43"/>
    <w:rsid w:val="00D946C9"/>
    <w:rsid w:val="00D94CF3"/>
    <w:rsid w:val="00D967A8"/>
    <w:rsid w:val="00D97A71"/>
    <w:rsid w:val="00DA058E"/>
    <w:rsid w:val="00DA0C93"/>
    <w:rsid w:val="00DA1042"/>
    <w:rsid w:val="00DA33C4"/>
    <w:rsid w:val="00DA390A"/>
    <w:rsid w:val="00DA512C"/>
    <w:rsid w:val="00DA6603"/>
    <w:rsid w:val="00DA6765"/>
    <w:rsid w:val="00DA6884"/>
    <w:rsid w:val="00DA71F9"/>
    <w:rsid w:val="00DA773E"/>
    <w:rsid w:val="00DB003C"/>
    <w:rsid w:val="00DB1E91"/>
    <w:rsid w:val="00DB1F3F"/>
    <w:rsid w:val="00DB20C9"/>
    <w:rsid w:val="00DB2206"/>
    <w:rsid w:val="00DB4410"/>
    <w:rsid w:val="00DB5117"/>
    <w:rsid w:val="00DB6031"/>
    <w:rsid w:val="00DB664A"/>
    <w:rsid w:val="00DB7463"/>
    <w:rsid w:val="00DB7608"/>
    <w:rsid w:val="00DC0882"/>
    <w:rsid w:val="00DC14AF"/>
    <w:rsid w:val="00DC1720"/>
    <w:rsid w:val="00DC31ED"/>
    <w:rsid w:val="00DC3633"/>
    <w:rsid w:val="00DC4108"/>
    <w:rsid w:val="00DC41FB"/>
    <w:rsid w:val="00DC4305"/>
    <w:rsid w:val="00DC49AB"/>
    <w:rsid w:val="00DC4EC7"/>
    <w:rsid w:val="00DC4F64"/>
    <w:rsid w:val="00DC50C5"/>
    <w:rsid w:val="00DC595A"/>
    <w:rsid w:val="00DC5E06"/>
    <w:rsid w:val="00DC5FAA"/>
    <w:rsid w:val="00DC60C1"/>
    <w:rsid w:val="00DC64A7"/>
    <w:rsid w:val="00DC681F"/>
    <w:rsid w:val="00DD046B"/>
    <w:rsid w:val="00DD0953"/>
    <w:rsid w:val="00DD0DDE"/>
    <w:rsid w:val="00DD1A95"/>
    <w:rsid w:val="00DD2B91"/>
    <w:rsid w:val="00DD2C81"/>
    <w:rsid w:val="00DD32B1"/>
    <w:rsid w:val="00DD3F33"/>
    <w:rsid w:val="00DD5985"/>
    <w:rsid w:val="00DD5C48"/>
    <w:rsid w:val="00DE013E"/>
    <w:rsid w:val="00DE06A7"/>
    <w:rsid w:val="00DE2496"/>
    <w:rsid w:val="00DE3B64"/>
    <w:rsid w:val="00DE506D"/>
    <w:rsid w:val="00DE6EAE"/>
    <w:rsid w:val="00DE7099"/>
    <w:rsid w:val="00DF08CE"/>
    <w:rsid w:val="00DF0FAA"/>
    <w:rsid w:val="00DF16DF"/>
    <w:rsid w:val="00DF2973"/>
    <w:rsid w:val="00DF30DC"/>
    <w:rsid w:val="00DF3307"/>
    <w:rsid w:val="00DF341B"/>
    <w:rsid w:val="00DF39E9"/>
    <w:rsid w:val="00DF3D11"/>
    <w:rsid w:val="00DF431B"/>
    <w:rsid w:val="00DF74D9"/>
    <w:rsid w:val="00E0360B"/>
    <w:rsid w:val="00E03A96"/>
    <w:rsid w:val="00E0414A"/>
    <w:rsid w:val="00E05D56"/>
    <w:rsid w:val="00E05DF0"/>
    <w:rsid w:val="00E07577"/>
    <w:rsid w:val="00E079B8"/>
    <w:rsid w:val="00E105A9"/>
    <w:rsid w:val="00E11FA7"/>
    <w:rsid w:val="00E141E8"/>
    <w:rsid w:val="00E14A30"/>
    <w:rsid w:val="00E14FAB"/>
    <w:rsid w:val="00E15056"/>
    <w:rsid w:val="00E15DB1"/>
    <w:rsid w:val="00E17552"/>
    <w:rsid w:val="00E21946"/>
    <w:rsid w:val="00E21B03"/>
    <w:rsid w:val="00E22445"/>
    <w:rsid w:val="00E22476"/>
    <w:rsid w:val="00E23777"/>
    <w:rsid w:val="00E23E54"/>
    <w:rsid w:val="00E260A3"/>
    <w:rsid w:val="00E26D15"/>
    <w:rsid w:val="00E26F75"/>
    <w:rsid w:val="00E27677"/>
    <w:rsid w:val="00E27A54"/>
    <w:rsid w:val="00E27DDB"/>
    <w:rsid w:val="00E30159"/>
    <w:rsid w:val="00E31702"/>
    <w:rsid w:val="00E31873"/>
    <w:rsid w:val="00E31B75"/>
    <w:rsid w:val="00E3242E"/>
    <w:rsid w:val="00E330C9"/>
    <w:rsid w:val="00E3330E"/>
    <w:rsid w:val="00E3351F"/>
    <w:rsid w:val="00E3395D"/>
    <w:rsid w:val="00E33992"/>
    <w:rsid w:val="00E35365"/>
    <w:rsid w:val="00E37FD9"/>
    <w:rsid w:val="00E402E3"/>
    <w:rsid w:val="00E40DAE"/>
    <w:rsid w:val="00E40F44"/>
    <w:rsid w:val="00E40F62"/>
    <w:rsid w:val="00E43249"/>
    <w:rsid w:val="00E435B2"/>
    <w:rsid w:val="00E436A2"/>
    <w:rsid w:val="00E4378A"/>
    <w:rsid w:val="00E454C0"/>
    <w:rsid w:val="00E45768"/>
    <w:rsid w:val="00E458D8"/>
    <w:rsid w:val="00E476FB"/>
    <w:rsid w:val="00E5079C"/>
    <w:rsid w:val="00E509BA"/>
    <w:rsid w:val="00E518A7"/>
    <w:rsid w:val="00E52446"/>
    <w:rsid w:val="00E529F5"/>
    <w:rsid w:val="00E5356B"/>
    <w:rsid w:val="00E53E00"/>
    <w:rsid w:val="00E54221"/>
    <w:rsid w:val="00E542D2"/>
    <w:rsid w:val="00E56199"/>
    <w:rsid w:val="00E5650A"/>
    <w:rsid w:val="00E56873"/>
    <w:rsid w:val="00E574EC"/>
    <w:rsid w:val="00E57F9C"/>
    <w:rsid w:val="00E61580"/>
    <w:rsid w:val="00E615F9"/>
    <w:rsid w:val="00E6193C"/>
    <w:rsid w:val="00E62BC2"/>
    <w:rsid w:val="00E634E4"/>
    <w:rsid w:val="00E63675"/>
    <w:rsid w:val="00E63DAA"/>
    <w:rsid w:val="00E64A54"/>
    <w:rsid w:val="00E64AC6"/>
    <w:rsid w:val="00E64C7A"/>
    <w:rsid w:val="00E64C7E"/>
    <w:rsid w:val="00E66281"/>
    <w:rsid w:val="00E66F80"/>
    <w:rsid w:val="00E6769E"/>
    <w:rsid w:val="00E7221D"/>
    <w:rsid w:val="00E744E2"/>
    <w:rsid w:val="00E7545B"/>
    <w:rsid w:val="00E7615F"/>
    <w:rsid w:val="00E76AE0"/>
    <w:rsid w:val="00E81568"/>
    <w:rsid w:val="00E8161D"/>
    <w:rsid w:val="00E81A87"/>
    <w:rsid w:val="00E83621"/>
    <w:rsid w:val="00E83948"/>
    <w:rsid w:val="00E83997"/>
    <w:rsid w:val="00E83CF9"/>
    <w:rsid w:val="00E842A9"/>
    <w:rsid w:val="00E86422"/>
    <w:rsid w:val="00E9054D"/>
    <w:rsid w:val="00E90906"/>
    <w:rsid w:val="00E92974"/>
    <w:rsid w:val="00E92F98"/>
    <w:rsid w:val="00E9306E"/>
    <w:rsid w:val="00E932D4"/>
    <w:rsid w:val="00E9331D"/>
    <w:rsid w:val="00E95322"/>
    <w:rsid w:val="00E95490"/>
    <w:rsid w:val="00E95D80"/>
    <w:rsid w:val="00E968C1"/>
    <w:rsid w:val="00E96982"/>
    <w:rsid w:val="00E971F6"/>
    <w:rsid w:val="00EA0E54"/>
    <w:rsid w:val="00EA1769"/>
    <w:rsid w:val="00EA3671"/>
    <w:rsid w:val="00EA3AFA"/>
    <w:rsid w:val="00EA3FFF"/>
    <w:rsid w:val="00EA4FB6"/>
    <w:rsid w:val="00EB0DEA"/>
    <w:rsid w:val="00EB0F35"/>
    <w:rsid w:val="00EB142D"/>
    <w:rsid w:val="00EB1F63"/>
    <w:rsid w:val="00EB27BC"/>
    <w:rsid w:val="00EB397E"/>
    <w:rsid w:val="00EB50CD"/>
    <w:rsid w:val="00EB62FF"/>
    <w:rsid w:val="00EB6A32"/>
    <w:rsid w:val="00EC10CD"/>
    <w:rsid w:val="00EC33A0"/>
    <w:rsid w:val="00EC4836"/>
    <w:rsid w:val="00EC5088"/>
    <w:rsid w:val="00EC57E1"/>
    <w:rsid w:val="00EC5ED4"/>
    <w:rsid w:val="00EC5F88"/>
    <w:rsid w:val="00EC77C9"/>
    <w:rsid w:val="00ED2133"/>
    <w:rsid w:val="00ED2593"/>
    <w:rsid w:val="00ED30F1"/>
    <w:rsid w:val="00ED3AE0"/>
    <w:rsid w:val="00ED4C98"/>
    <w:rsid w:val="00ED5B45"/>
    <w:rsid w:val="00ED5E38"/>
    <w:rsid w:val="00ED7A50"/>
    <w:rsid w:val="00EE01DD"/>
    <w:rsid w:val="00EE26F6"/>
    <w:rsid w:val="00EE2840"/>
    <w:rsid w:val="00EE4490"/>
    <w:rsid w:val="00EE4EEF"/>
    <w:rsid w:val="00EE52F4"/>
    <w:rsid w:val="00EE6509"/>
    <w:rsid w:val="00EE6832"/>
    <w:rsid w:val="00EE7058"/>
    <w:rsid w:val="00EF1755"/>
    <w:rsid w:val="00EF3404"/>
    <w:rsid w:val="00EF347A"/>
    <w:rsid w:val="00EF3D58"/>
    <w:rsid w:val="00EF4665"/>
    <w:rsid w:val="00EF513F"/>
    <w:rsid w:val="00EF5162"/>
    <w:rsid w:val="00EF7063"/>
    <w:rsid w:val="00EF7084"/>
    <w:rsid w:val="00F0240A"/>
    <w:rsid w:val="00F03837"/>
    <w:rsid w:val="00F0387E"/>
    <w:rsid w:val="00F03B39"/>
    <w:rsid w:val="00F04052"/>
    <w:rsid w:val="00F04FED"/>
    <w:rsid w:val="00F06673"/>
    <w:rsid w:val="00F06961"/>
    <w:rsid w:val="00F069C0"/>
    <w:rsid w:val="00F1066F"/>
    <w:rsid w:val="00F11BA8"/>
    <w:rsid w:val="00F12523"/>
    <w:rsid w:val="00F1329D"/>
    <w:rsid w:val="00F1415F"/>
    <w:rsid w:val="00F14201"/>
    <w:rsid w:val="00F143C2"/>
    <w:rsid w:val="00F1508C"/>
    <w:rsid w:val="00F1578E"/>
    <w:rsid w:val="00F20763"/>
    <w:rsid w:val="00F20944"/>
    <w:rsid w:val="00F21BC2"/>
    <w:rsid w:val="00F227C8"/>
    <w:rsid w:val="00F23CB7"/>
    <w:rsid w:val="00F257B5"/>
    <w:rsid w:val="00F258DA"/>
    <w:rsid w:val="00F25EA1"/>
    <w:rsid w:val="00F264EE"/>
    <w:rsid w:val="00F26FFB"/>
    <w:rsid w:val="00F2720E"/>
    <w:rsid w:val="00F2776D"/>
    <w:rsid w:val="00F30AB1"/>
    <w:rsid w:val="00F31E0F"/>
    <w:rsid w:val="00F31F15"/>
    <w:rsid w:val="00F346E6"/>
    <w:rsid w:val="00F36D77"/>
    <w:rsid w:val="00F3739C"/>
    <w:rsid w:val="00F40864"/>
    <w:rsid w:val="00F41570"/>
    <w:rsid w:val="00F43E43"/>
    <w:rsid w:val="00F44895"/>
    <w:rsid w:val="00F47497"/>
    <w:rsid w:val="00F50585"/>
    <w:rsid w:val="00F516E3"/>
    <w:rsid w:val="00F5381F"/>
    <w:rsid w:val="00F54832"/>
    <w:rsid w:val="00F54EEE"/>
    <w:rsid w:val="00F559D3"/>
    <w:rsid w:val="00F56FFC"/>
    <w:rsid w:val="00F57061"/>
    <w:rsid w:val="00F5741D"/>
    <w:rsid w:val="00F57885"/>
    <w:rsid w:val="00F62B42"/>
    <w:rsid w:val="00F6334E"/>
    <w:rsid w:val="00F66144"/>
    <w:rsid w:val="00F6713F"/>
    <w:rsid w:val="00F70055"/>
    <w:rsid w:val="00F7101F"/>
    <w:rsid w:val="00F73EAB"/>
    <w:rsid w:val="00F74B51"/>
    <w:rsid w:val="00F81362"/>
    <w:rsid w:val="00F854EE"/>
    <w:rsid w:val="00F87235"/>
    <w:rsid w:val="00F903D0"/>
    <w:rsid w:val="00F91353"/>
    <w:rsid w:val="00F946D4"/>
    <w:rsid w:val="00F959D0"/>
    <w:rsid w:val="00F95A35"/>
    <w:rsid w:val="00F9684A"/>
    <w:rsid w:val="00F96EFF"/>
    <w:rsid w:val="00F97047"/>
    <w:rsid w:val="00F97C0B"/>
    <w:rsid w:val="00FA0825"/>
    <w:rsid w:val="00FA08AD"/>
    <w:rsid w:val="00FA1BDD"/>
    <w:rsid w:val="00FA2F27"/>
    <w:rsid w:val="00FA4150"/>
    <w:rsid w:val="00FA5766"/>
    <w:rsid w:val="00FA5CB2"/>
    <w:rsid w:val="00FA7535"/>
    <w:rsid w:val="00FA7D7D"/>
    <w:rsid w:val="00FB4853"/>
    <w:rsid w:val="00FB620D"/>
    <w:rsid w:val="00FB6F67"/>
    <w:rsid w:val="00FB7D3A"/>
    <w:rsid w:val="00FC0AD7"/>
    <w:rsid w:val="00FC10DE"/>
    <w:rsid w:val="00FC2D5F"/>
    <w:rsid w:val="00FC3463"/>
    <w:rsid w:val="00FC392F"/>
    <w:rsid w:val="00FC3BF9"/>
    <w:rsid w:val="00FC3EE4"/>
    <w:rsid w:val="00FC5603"/>
    <w:rsid w:val="00FD07F4"/>
    <w:rsid w:val="00FD0B28"/>
    <w:rsid w:val="00FD17BA"/>
    <w:rsid w:val="00FD2B7B"/>
    <w:rsid w:val="00FD2C9D"/>
    <w:rsid w:val="00FD2F03"/>
    <w:rsid w:val="00FD2F74"/>
    <w:rsid w:val="00FD3715"/>
    <w:rsid w:val="00FD399A"/>
    <w:rsid w:val="00FD3B94"/>
    <w:rsid w:val="00FD3D63"/>
    <w:rsid w:val="00FD40DD"/>
    <w:rsid w:val="00FD43B3"/>
    <w:rsid w:val="00FD568F"/>
    <w:rsid w:val="00FD6138"/>
    <w:rsid w:val="00FD6295"/>
    <w:rsid w:val="00FD7393"/>
    <w:rsid w:val="00FE1118"/>
    <w:rsid w:val="00FE3BE1"/>
    <w:rsid w:val="00FE40E5"/>
    <w:rsid w:val="00FE4739"/>
    <w:rsid w:val="00FE47C5"/>
    <w:rsid w:val="00FE49BF"/>
    <w:rsid w:val="00FE4C92"/>
    <w:rsid w:val="00FE4DB2"/>
    <w:rsid w:val="00FE58F4"/>
    <w:rsid w:val="00FE6023"/>
    <w:rsid w:val="00FE681D"/>
    <w:rsid w:val="00FE6CF4"/>
    <w:rsid w:val="00FE74DF"/>
    <w:rsid w:val="00FE7642"/>
    <w:rsid w:val="00FF0DBD"/>
    <w:rsid w:val="00FF1287"/>
    <w:rsid w:val="00FF2100"/>
    <w:rsid w:val="00FF3A07"/>
    <w:rsid w:val="00FF3FEA"/>
    <w:rsid w:val="00FF4C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135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93"/>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NormalBeforeBullet"/>
    <w:next w:val="Normal"/>
    <w:link w:val="Heading4Char"/>
    <w:uiPriority w:val="9"/>
    <w:unhideWhenUsed/>
    <w:qFormat/>
    <w:rsid w:val="00F54EEE"/>
    <w:pPr>
      <w:outlineLvl w:val="3"/>
    </w:pPr>
    <w:rPr>
      <w:rFonts w:ascii="Franklin Gothic Book" w:hAnsi="Franklin Gothic Boo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7838A0"/>
    <w:pPr>
      <w:keepNext/>
      <w:spacing w:before="360" w:after="120" w:line="240" w:lineRule="auto"/>
      <w:outlineLvl w:val="3"/>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35"/>
    <w:rsid w:val="007838A0"/>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Styl moj,Akapit z listą1"/>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215E68"/>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F54EEE"/>
    <w:rPr>
      <w:rFonts w:ascii="Franklin Gothic Book" w:hAnsi="Franklin Gothic Book"/>
      <w:b/>
      <w:sz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807267"/>
    <w:pPr>
      <w:keepNext/>
      <w:keepLines/>
      <w:tabs>
        <w:tab w:val="left" w:pos="284"/>
      </w:tabs>
      <w:spacing w:before="0" w:after="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07267"/>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table" w:customStyle="1" w:styleId="HealthConsult1">
    <w:name w:val="HealthConsult1"/>
    <w:basedOn w:val="TableNormal"/>
    <w:next w:val="TableGrid"/>
    <w:uiPriority w:val="59"/>
    <w:rsid w:val="0005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345F"/>
    <w:rPr>
      <w:color w:val="605E5C"/>
      <w:shd w:val="clear" w:color="auto" w:fill="E1DFDD"/>
    </w:rPr>
  </w:style>
  <w:style w:type="paragraph" w:customStyle="1" w:styleId="TableBullet">
    <w:name w:val="TableBullet"/>
    <w:basedOn w:val="TableText1"/>
    <w:rsid w:val="003106CE"/>
    <w:pPr>
      <w:numPr>
        <w:numId w:val="24"/>
      </w:numPr>
      <w:tabs>
        <w:tab w:val="left" w:pos="216"/>
      </w:tabs>
      <w:spacing w:before="60" w:after="60" w:line="240" w:lineRule="auto"/>
      <w:ind w:left="216" w:hanging="216"/>
      <w:jc w:val="left"/>
    </w:pPr>
    <w:rPr>
      <w:rFonts w:ascii="Times New Roman" w:hAnsi="Times New Roman" w:cs="Times New Roman"/>
      <w:color w:val="000000"/>
      <w:sz w:val="21"/>
      <w:szCs w:val="21"/>
    </w:rPr>
  </w:style>
  <w:style w:type="table" w:customStyle="1" w:styleId="HTAtableplain1">
    <w:name w:val="HTAtableplain1"/>
    <w:basedOn w:val="TableNormal"/>
    <w:uiPriority w:val="59"/>
    <w:rsid w:val="003106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7A0BD6"/>
    <w:pPr>
      <w:spacing w:line="240" w:lineRule="auto"/>
    </w:pPr>
    <w:rPr>
      <w:noProof/>
      <w:lang w:val="en-US"/>
    </w:rPr>
  </w:style>
  <w:style w:type="character" w:customStyle="1" w:styleId="EndNoteBibliographyChar">
    <w:name w:val="EndNote Bibliography Char"/>
    <w:basedOn w:val="DefaultParagraphFont"/>
    <w:link w:val="EndNoteBibliography"/>
    <w:rsid w:val="007A0BD6"/>
    <w:rPr>
      <w:rFonts w:ascii="Franklin Gothic Book" w:hAnsi="Franklin Gothic Book"/>
      <w:noProof/>
      <w:lang w:val="en-US"/>
    </w:rPr>
  </w:style>
  <w:style w:type="paragraph" w:customStyle="1" w:styleId="Responsetext">
    <w:name w:val="Response text"/>
    <w:basedOn w:val="Normal"/>
    <w:link w:val="ResponsetextChar"/>
    <w:qFormat/>
    <w:rsid w:val="0095776A"/>
    <w:pPr>
      <w:spacing w:before="0" w:after="40" w:line="240" w:lineRule="auto"/>
      <w:jc w:val="both"/>
    </w:pPr>
    <w:rPr>
      <w:rFonts w:ascii="Arial Narrow" w:eastAsia="Times New Roman" w:hAnsi="Arial Narrow" w:cstheme="minorHAnsi"/>
      <w:noProof/>
    </w:rPr>
  </w:style>
  <w:style w:type="character" w:customStyle="1" w:styleId="ResponsetextChar">
    <w:name w:val="Response text Char"/>
    <w:basedOn w:val="DefaultParagraphFont"/>
    <w:link w:val="Responsetext"/>
    <w:rsid w:val="0095776A"/>
    <w:rPr>
      <w:rFonts w:ascii="Arial Narrow" w:eastAsia="Times New Roman" w:hAnsi="Arial Narrow" w:cstheme="minorHAnsi"/>
      <w:noProof/>
    </w:rPr>
  </w:style>
  <w:style w:type="paragraph" w:customStyle="1" w:styleId="Default">
    <w:name w:val="Default"/>
    <w:rsid w:val="00EB62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nhideWhenUsed/>
    <w:qFormat/>
    <w:rsid w:val="00B41EE8"/>
    <w:pPr>
      <w:spacing w:line="256" w:lineRule="auto"/>
    </w:pPr>
    <w:rPr>
      <w:rFonts w:asciiTheme="minorHAnsi" w:hAnsiTheme="minorHAnsi"/>
    </w:rPr>
  </w:style>
  <w:style w:type="character" w:customStyle="1" w:styleId="BodyTextChar">
    <w:name w:val="Body Text Char"/>
    <w:basedOn w:val="DefaultParagraphFont"/>
    <w:link w:val="BodyText"/>
    <w:rsid w:val="00B41EE8"/>
  </w:style>
  <w:style w:type="paragraph" w:customStyle="1" w:styleId="BulletBeforeDash">
    <w:name w:val="BulletBeforeDash"/>
    <w:basedOn w:val="Normal"/>
    <w:rsid w:val="00581066"/>
    <w:pPr>
      <w:numPr>
        <w:numId w:val="32"/>
      </w:numPr>
      <w:spacing w:before="0" w:after="0" w:line="240" w:lineRule="auto"/>
    </w:pPr>
    <w:rPr>
      <w:rFonts w:ascii="Times New Roman" w:eastAsia="Times New Roman" w:hAnsi="Times New Roman" w:cs="Times New Roman"/>
      <w:color w:val="000000"/>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702">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47074988">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0971448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0553525">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192770145">
      <w:bodyDiv w:val="1"/>
      <w:marLeft w:val="0"/>
      <w:marRight w:val="0"/>
      <w:marTop w:val="0"/>
      <w:marBottom w:val="0"/>
      <w:divBdr>
        <w:top w:val="none" w:sz="0" w:space="0" w:color="auto"/>
        <w:left w:val="none" w:sz="0" w:space="0" w:color="auto"/>
        <w:bottom w:val="none" w:sz="0" w:space="0" w:color="auto"/>
        <w:right w:val="none" w:sz="0" w:space="0" w:color="auto"/>
      </w:divBdr>
    </w:div>
    <w:div w:id="201555082">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2206725">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20354734">
      <w:bodyDiv w:val="1"/>
      <w:marLeft w:val="0"/>
      <w:marRight w:val="0"/>
      <w:marTop w:val="0"/>
      <w:marBottom w:val="0"/>
      <w:divBdr>
        <w:top w:val="none" w:sz="0" w:space="0" w:color="auto"/>
        <w:left w:val="none" w:sz="0" w:space="0" w:color="auto"/>
        <w:bottom w:val="none" w:sz="0" w:space="0" w:color="auto"/>
        <w:right w:val="none" w:sz="0" w:space="0" w:color="auto"/>
      </w:divBdr>
    </w:div>
    <w:div w:id="344091480">
      <w:bodyDiv w:val="1"/>
      <w:marLeft w:val="0"/>
      <w:marRight w:val="0"/>
      <w:marTop w:val="0"/>
      <w:marBottom w:val="0"/>
      <w:divBdr>
        <w:top w:val="none" w:sz="0" w:space="0" w:color="auto"/>
        <w:left w:val="none" w:sz="0" w:space="0" w:color="auto"/>
        <w:bottom w:val="none" w:sz="0" w:space="0" w:color="auto"/>
        <w:right w:val="none" w:sz="0" w:space="0" w:color="auto"/>
      </w:divBdr>
    </w:div>
    <w:div w:id="357043908">
      <w:bodyDiv w:val="1"/>
      <w:marLeft w:val="0"/>
      <w:marRight w:val="0"/>
      <w:marTop w:val="0"/>
      <w:marBottom w:val="0"/>
      <w:divBdr>
        <w:top w:val="none" w:sz="0" w:space="0" w:color="auto"/>
        <w:left w:val="none" w:sz="0" w:space="0" w:color="auto"/>
        <w:bottom w:val="none" w:sz="0" w:space="0" w:color="auto"/>
        <w:right w:val="none" w:sz="0" w:space="0" w:color="auto"/>
      </w:divBdr>
    </w:div>
    <w:div w:id="376861270">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2559343">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00909082">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38717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45462499">
      <w:bodyDiv w:val="1"/>
      <w:marLeft w:val="0"/>
      <w:marRight w:val="0"/>
      <w:marTop w:val="0"/>
      <w:marBottom w:val="0"/>
      <w:divBdr>
        <w:top w:val="none" w:sz="0" w:space="0" w:color="auto"/>
        <w:left w:val="none" w:sz="0" w:space="0" w:color="auto"/>
        <w:bottom w:val="none" w:sz="0" w:space="0" w:color="auto"/>
        <w:right w:val="none" w:sz="0" w:space="0" w:color="auto"/>
      </w:divBdr>
    </w:div>
    <w:div w:id="455491586">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07601848">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64730789">
      <w:bodyDiv w:val="1"/>
      <w:marLeft w:val="0"/>
      <w:marRight w:val="0"/>
      <w:marTop w:val="0"/>
      <w:marBottom w:val="0"/>
      <w:divBdr>
        <w:top w:val="none" w:sz="0" w:space="0" w:color="auto"/>
        <w:left w:val="none" w:sz="0" w:space="0" w:color="auto"/>
        <w:bottom w:val="none" w:sz="0" w:space="0" w:color="auto"/>
        <w:right w:val="none" w:sz="0" w:space="0" w:color="auto"/>
      </w:divBdr>
    </w:div>
    <w:div w:id="604119892">
      <w:bodyDiv w:val="1"/>
      <w:marLeft w:val="0"/>
      <w:marRight w:val="0"/>
      <w:marTop w:val="0"/>
      <w:marBottom w:val="0"/>
      <w:divBdr>
        <w:top w:val="none" w:sz="0" w:space="0" w:color="auto"/>
        <w:left w:val="none" w:sz="0" w:space="0" w:color="auto"/>
        <w:bottom w:val="none" w:sz="0" w:space="0" w:color="auto"/>
        <w:right w:val="none" w:sz="0" w:space="0" w:color="auto"/>
      </w:divBdr>
      <w:divsChild>
        <w:div w:id="771707614">
          <w:marLeft w:val="288"/>
          <w:marRight w:val="0"/>
          <w:marTop w:val="77"/>
          <w:marBottom w:val="0"/>
          <w:divBdr>
            <w:top w:val="none" w:sz="0" w:space="0" w:color="auto"/>
            <w:left w:val="none" w:sz="0" w:space="0" w:color="auto"/>
            <w:bottom w:val="none" w:sz="0" w:space="0" w:color="auto"/>
            <w:right w:val="none" w:sz="0" w:space="0" w:color="auto"/>
          </w:divBdr>
        </w:div>
      </w:divsChild>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60490504">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00096431">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81738636">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23283217">
      <w:bodyDiv w:val="1"/>
      <w:marLeft w:val="0"/>
      <w:marRight w:val="0"/>
      <w:marTop w:val="0"/>
      <w:marBottom w:val="0"/>
      <w:divBdr>
        <w:top w:val="none" w:sz="0" w:space="0" w:color="auto"/>
        <w:left w:val="none" w:sz="0" w:space="0" w:color="auto"/>
        <w:bottom w:val="none" w:sz="0" w:space="0" w:color="auto"/>
        <w:right w:val="none" w:sz="0" w:space="0" w:color="auto"/>
      </w:divBdr>
    </w:div>
    <w:div w:id="1032724671">
      <w:bodyDiv w:val="1"/>
      <w:marLeft w:val="0"/>
      <w:marRight w:val="0"/>
      <w:marTop w:val="0"/>
      <w:marBottom w:val="0"/>
      <w:divBdr>
        <w:top w:val="none" w:sz="0" w:space="0" w:color="auto"/>
        <w:left w:val="none" w:sz="0" w:space="0" w:color="auto"/>
        <w:bottom w:val="none" w:sz="0" w:space="0" w:color="auto"/>
        <w:right w:val="none" w:sz="0" w:space="0" w:color="auto"/>
      </w:divBdr>
    </w:div>
    <w:div w:id="1089275152">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06874155">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75616240">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1877380">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74567283">
      <w:bodyDiv w:val="1"/>
      <w:marLeft w:val="0"/>
      <w:marRight w:val="0"/>
      <w:marTop w:val="0"/>
      <w:marBottom w:val="0"/>
      <w:divBdr>
        <w:top w:val="none" w:sz="0" w:space="0" w:color="auto"/>
        <w:left w:val="none" w:sz="0" w:space="0" w:color="auto"/>
        <w:bottom w:val="none" w:sz="0" w:space="0" w:color="auto"/>
        <w:right w:val="none" w:sz="0" w:space="0" w:color="auto"/>
      </w:divBdr>
    </w:div>
    <w:div w:id="1498302040">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32902800">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60422496">
      <w:bodyDiv w:val="1"/>
      <w:marLeft w:val="0"/>
      <w:marRight w:val="0"/>
      <w:marTop w:val="0"/>
      <w:marBottom w:val="0"/>
      <w:divBdr>
        <w:top w:val="none" w:sz="0" w:space="0" w:color="auto"/>
        <w:left w:val="none" w:sz="0" w:space="0" w:color="auto"/>
        <w:bottom w:val="none" w:sz="0" w:space="0" w:color="auto"/>
        <w:right w:val="none" w:sz="0" w:space="0" w:color="auto"/>
      </w:divBdr>
    </w:div>
    <w:div w:id="1663923650">
      <w:bodyDiv w:val="1"/>
      <w:marLeft w:val="0"/>
      <w:marRight w:val="0"/>
      <w:marTop w:val="0"/>
      <w:marBottom w:val="0"/>
      <w:divBdr>
        <w:top w:val="none" w:sz="0" w:space="0" w:color="auto"/>
        <w:left w:val="none" w:sz="0" w:space="0" w:color="auto"/>
        <w:bottom w:val="none" w:sz="0" w:space="0" w:color="auto"/>
        <w:right w:val="none" w:sz="0" w:space="0" w:color="auto"/>
      </w:divBdr>
    </w:div>
    <w:div w:id="1724789007">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18371995">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68450602">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39168905">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30401118">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19832364">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387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9.health.gov.au/mbs/fullDisplay.cfm?type=item&amp;qt=ItemID&amp;q=12320" TargetMode="External"/><Relationship Id="rId18" Type="http://schemas.openxmlformats.org/officeDocument/2006/relationships/hyperlink" Target="http://www9.health.gov.au/mbs/fullDisplay.cfm?type=item&amp;qt=ItemID&amp;q=12315" TargetMode="External"/><Relationship Id="rId26" Type="http://schemas.openxmlformats.org/officeDocument/2006/relationships/hyperlink" Target="http://www9.health.gov.au/mbs/fullDisplay.cfm?type=item&amp;qt=ItemID&amp;q=12321" TargetMode="External"/><Relationship Id="rId39" Type="http://schemas.openxmlformats.org/officeDocument/2006/relationships/hyperlink" Target="http://www9.health.gov.au/mbs/fullDisplay.cfm?type=item&amp;qt=ItemID&amp;q=12322" TargetMode="External"/><Relationship Id="rId21" Type="http://schemas.openxmlformats.org/officeDocument/2006/relationships/hyperlink" Target="http://www9.health.gov.au/mbs/fullDisplay.cfm?type=item&amp;qt=ItemID&amp;q=12322" TargetMode="External"/><Relationship Id="rId34" Type="http://schemas.openxmlformats.org/officeDocument/2006/relationships/hyperlink" Target="http://www9.health.gov.au/mbs/fullDisplay.cfm?type=item&amp;qt=ItemID&amp;q=12306" TargetMode="External"/><Relationship Id="rId42" Type="http://schemas.openxmlformats.org/officeDocument/2006/relationships/hyperlink" Target="http://www9.health.gov.au/mbs/fullDisplay.cfm?type=item&amp;qt=ItemID&amp;q=12315" TargetMode="External"/><Relationship Id="rId47" Type="http://schemas.openxmlformats.org/officeDocument/2006/relationships/image" Target="media/image2.png"/><Relationship Id="rId50" Type="http://schemas.openxmlformats.org/officeDocument/2006/relationships/hyperlink" Target="http://www.msac.gov.au/internet/msac/publishing.nsf/Content/1665-public" TargetMode="External"/><Relationship Id="rId55" Type="http://schemas.openxmlformats.org/officeDocument/2006/relationships/hyperlink" Target="http://www.msac.gov.au/internet/msac/publishing.nsf/Content/1665-public" TargetMode="External"/><Relationship Id="rId63"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9.health.gov.au/mbs/fullDisplay.cfm?type=item&amp;qt=ItemID&amp;q=12306" TargetMode="External"/><Relationship Id="rId20" Type="http://schemas.openxmlformats.org/officeDocument/2006/relationships/hyperlink" Target="http://www9.health.gov.au/mbs/fullDisplay.cfm?type=item&amp;qt=ItemID&amp;q=12321" TargetMode="External"/><Relationship Id="rId29" Type="http://schemas.openxmlformats.org/officeDocument/2006/relationships/hyperlink" Target="http://www9.health.gov.au/mbs/fullDisplay.cfm?type=item&amp;qt=ItemID&amp;q=12312" TargetMode="External"/><Relationship Id="rId41" Type="http://schemas.openxmlformats.org/officeDocument/2006/relationships/hyperlink" Target="http://www9.health.gov.au/mbs/fullDisplay.cfm?type=item&amp;qt=ItemID&amp;q=12312" TargetMode="External"/><Relationship Id="rId54" Type="http://schemas.openxmlformats.org/officeDocument/2006/relationships/hyperlink" Target="http://www.msac.gov.au/internet/msac/publishing.nsf/Content/1665-public"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9.health.gov.au/mbs/fullDisplay.cfm?type=item&amp;qt=ItemID&amp;q=12312" TargetMode="External"/><Relationship Id="rId24" Type="http://schemas.openxmlformats.org/officeDocument/2006/relationships/hyperlink" Target="http://www9.health.gov.au/mbs/fullDisplay.cfm?type=item&amp;qt=ItemID&amp;q=12315" TargetMode="External"/><Relationship Id="rId32" Type="http://schemas.openxmlformats.org/officeDocument/2006/relationships/hyperlink" Target="http://www9.health.gov.au/mbs/fullDisplay.cfm?type=item&amp;qt=ItemID&amp;q=12321" TargetMode="External"/><Relationship Id="rId37" Type="http://schemas.openxmlformats.org/officeDocument/2006/relationships/hyperlink" Target="http://www9.health.gov.au/mbs/fullDisplay.cfm?type=item&amp;qt=ItemID&amp;q=12320" TargetMode="External"/><Relationship Id="rId40" Type="http://schemas.openxmlformats.org/officeDocument/2006/relationships/hyperlink" Target="http://www9.health.gov.au/mbs/fullDisplay.cfm?type=item&amp;qt=ItemID&amp;q=12306" TargetMode="External"/><Relationship Id="rId45" Type="http://schemas.openxmlformats.org/officeDocument/2006/relationships/hyperlink" Target="http://www9.health.gov.au/mbs/fullDisplay.cfm?type=item&amp;qt=ItemID&amp;q=12322" TargetMode="External"/><Relationship Id="rId53" Type="http://schemas.openxmlformats.org/officeDocument/2006/relationships/hyperlink" Target="http://www.msac.gov.au/internet/msac/publishing.nsf/Content/MSAC-Guidelines"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9.health.gov.au/mbs/fullDisplay.cfm?type=item&amp;qt=ItemID&amp;q=12322" TargetMode="External"/><Relationship Id="rId23" Type="http://schemas.openxmlformats.org/officeDocument/2006/relationships/hyperlink" Target="http://www9.health.gov.au/mbs/fullDisplay.cfm?type=item&amp;qt=ItemID&amp;q=12312" TargetMode="External"/><Relationship Id="rId28" Type="http://schemas.openxmlformats.org/officeDocument/2006/relationships/hyperlink" Target="http://www9.health.gov.au/mbs/fullDisplay.cfm?type=item&amp;qt=ItemID&amp;q=12306" TargetMode="External"/><Relationship Id="rId36" Type="http://schemas.openxmlformats.org/officeDocument/2006/relationships/hyperlink" Target="http://www9.health.gov.au/mbs/fullDisplay.cfm?type=item&amp;qt=ItemID&amp;q=12315" TargetMode="External"/><Relationship Id="rId49" Type="http://schemas.openxmlformats.org/officeDocument/2006/relationships/hyperlink" Target="https://healthybonesaustralia.org.au/wp-content/uploads/2021/02/HBA-Position-Statement-on-Osteoporosis-25-02-21.pdf" TargetMode="External"/><Relationship Id="rId57" Type="http://schemas.openxmlformats.org/officeDocument/2006/relationships/hyperlink" Target="http://msac.gov.au/internet/msac/publishing.nsf/Content/Home-1" TargetMode="External"/><Relationship Id="rId61" Type="http://schemas.openxmlformats.org/officeDocument/2006/relationships/footer" Target="footer2.xml"/><Relationship Id="rId10" Type="http://schemas.openxmlformats.org/officeDocument/2006/relationships/hyperlink" Target="http://www9.health.gov.au/mbs/fullDisplay.cfm?type=item&amp;qt=ItemID&amp;q=12306" TargetMode="External"/><Relationship Id="rId19" Type="http://schemas.openxmlformats.org/officeDocument/2006/relationships/hyperlink" Target="http://www9.health.gov.au/mbs/fullDisplay.cfm?type=item&amp;qt=ItemID&amp;q=12320" TargetMode="External"/><Relationship Id="rId31" Type="http://schemas.openxmlformats.org/officeDocument/2006/relationships/hyperlink" Target="http://www9.health.gov.au/mbs/fullDisplay.cfm?type=item&amp;qt=ItemID&amp;q=12320" TargetMode="External"/><Relationship Id="rId44" Type="http://schemas.openxmlformats.org/officeDocument/2006/relationships/hyperlink" Target="http://www9.health.gov.au/mbs/fullDisplay.cfm?type=item&amp;qt=ItemID&amp;q=12321" TargetMode="External"/><Relationship Id="rId52" Type="http://schemas.openxmlformats.org/officeDocument/2006/relationships/hyperlink" Target="http://www.msac.gov.au/internet/msac/publishing.nsf/Content/1665-public"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sac.gov.au/internet/msac/publishing.nsf/Content/1665-public" TargetMode="External"/><Relationship Id="rId14" Type="http://schemas.openxmlformats.org/officeDocument/2006/relationships/hyperlink" Target="http://www9.health.gov.au/mbs/fullDisplay.cfm?type=item&amp;qt=ItemID&amp;q=12321" TargetMode="External"/><Relationship Id="rId22" Type="http://schemas.openxmlformats.org/officeDocument/2006/relationships/hyperlink" Target="http://www9.health.gov.au/mbs/fullDisplay.cfm?type=item&amp;qt=ItemID&amp;q=12306" TargetMode="External"/><Relationship Id="rId27" Type="http://schemas.openxmlformats.org/officeDocument/2006/relationships/hyperlink" Target="http://www9.health.gov.au/mbs/fullDisplay.cfm?type=item&amp;qt=ItemID&amp;q=12322" TargetMode="External"/><Relationship Id="rId30" Type="http://schemas.openxmlformats.org/officeDocument/2006/relationships/hyperlink" Target="http://www9.health.gov.au/mbs/fullDisplay.cfm?type=item&amp;qt=ItemID&amp;q=12315" TargetMode="External"/><Relationship Id="rId35" Type="http://schemas.openxmlformats.org/officeDocument/2006/relationships/hyperlink" Target="http://www9.health.gov.au/mbs/fullDisplay.cfm?type=item&amp;qt=ItemID&amp;q=12312" TargetMode="External"/><Relationship Id="rId43" Type="http://schemas.openxmlformats.org/officeDocument/2006/relationships/hyperlink" Target="http://www9.health.gov.au/mbs/fullDisplay.cfm?type=item&amp;qt=ItemID&amp;q=12320" TargetMode="External"/><Relationship Id="rId48" Type="http://schemas.openxmlformats.org/officeDocument/2006/relationships/image" Target="media/image3.png"/><Relationship Id="rId56" Type="http://schemas.openxmlformats.org/officeDocument/2006/relationships/hyperlink" Target="https://www.health.gov.au/resources/publications/national-strategic-action-plan-for-osteoporosis-2019" TargetMode="External"/><Relationship Id="rId64" Type="http://schemas.openxmlformats.org/officeDocument/2006/relationships/fontTable" Target="fontTable.xml"/><Relationship Id="rId8" Type="http://schemas.openxmlformats.org/officeDocument/2006/relationships/hyperlink" Target="http://www.msac.gov.au/" TargetMode="External"/><Relationship Id="rId51" Type="http://schemas.openxmlformats.org/officeDocument/2006/relationships/hyperlink" Target="http://www.msac.gov.au/internet/msac/publishing.nsf/Content/1665-public" TargetMode="External"/><Relationship Id="rId3" Type="http://schemas.openxmlformats.org/officeDocument/2006/relationships/settings" Target="settings.xml"/><Relationship Id="rId12" Type="http://schemas.openxmlformats.org/officeDocument/2006/relationships/hyperlink" Target="http://www9.health.gov.au/mbs/fullDisplay.cfm?type=item&amp;qt=ItemID&amp;q=12315" TargetMode="External"/><Relationship Id="rId17" Type="http://schemas.openxmlformats.org/officeDocument/2006/relationships/hyperlink" Target="http://www9.health.gov.au/mbs/fullDisplay.cfm?type=item&amp;qt=ItemID&amp;q=12312" TargetMode="External"/><Relationship Id="rId25" Type="http://schemas.openxmlformats.org/officeDocument/2006/relationships/hyperlink" Target="http://www9.health.gov.au/mbs/fullDisplay.cfm?type=item&amp;qt=ItemID&amp;q=12320" TargetMode="External"/><Relationship Id="rId33" Type="http://schemas.openxmlformats.org/officeDocument/2006/relationships/hyperlink" Target="http://www9.health.gov.au/mbs/fullDisplay.cfm?type=item&amp;qt=ItemID&amp;q=12322" TargetMode="External"/><Relationship Id="rId38" Type="http://schemas.openxmlformats.org/officeDocument/2006/relationships/hyperlink" Target="http://www9.health.gov.au/mbs/fullDisplay.cfm?type=item&amp;qt=ItemID&amp;q=12321" TargetMode="External"/><Relationship Id="rId46" Type="http://schemas.openxmlformats.org/officeDocument/2006/relationships/hyperlink" Target="http://www.mbsonline.gov.au/internet/mbsonline/publishing.nsf/Content/Home" TargetMode="External"/><Relationship Id="rId5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medicarestatistics.humanservices.gov.au/statistics/mbs_item.jsp" TargetMode="External"/><Relationship Id="rId1" Type="http://schemas.openxmlformats.org/officeDocument/2006/relationships/hyperlink" Target="http://www9.health.gov.au/mbs/fullDisplay.cfm?type=note&amp;q=DN.1.18&amp;qt=noteID&amp;criteria=bone%20mineral%20d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18958</Words>
  <Characters>108061</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2022-10-27T05:28:00Z</dcterms:created>
  <dcterms:modified xsi:type="dcterms:W3CDTF">2022-10-28T00:49:00Z</dcterms:modified>
  <cp:category/>
</cp:coreProperties>
</file>