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F0761" w14:textId="77777777" w:rsidR="00181DB4" w:rsidRDefault="00181DB4" w:rsidP="00EA043E">
      <w:pPr>
        <w:spacing w:before="0" w:after="0"/>
        <w:jc w:val="center"/>
        <w:rPr>
          <w:rFonts w:ascii="Calibri" w:hAnsi="Calibri"/>
          <w:b/>
          <w:sz w:val="36"/>
          <w:szCs w:val="36"/>
        </w:rPr>
      </w:pPr>
      <w:bookmarkStart w:id="0" w:name="_Toc51080554"/>
      <w:bookmarkStart w:id="1" w:name="_Toc93478480"/>
      <w:r>
        <w:rPr>
          <w:rFonts w:ascii="Arial" w:hAnsi="Arial" w:cs="Arial"/>
          <w:b/>
          <w:noProof/>
          <w:color w:val="000080"/>
          <w:sz w:val="28"/>
          <w:szCs w:val="28"/>
        </w:rPr>
        <w:drawing>
          <wp:inline distT="0" distB="0" distL="0" distR="0" wp14:anchorId="54F8C68E" wp14:editId="66E61844">
            <wp:extent cx="2627630" cy="1078865"/>
            <wp:effectExtent l="0" t="0" r="1270" b="6985"/>
            <wp:docPr id="3" name="Picture 3"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C945FC5" w14:textId="77777777" w:rsidR="00181DB4" w:rsidRDefault="00181DB4" w:rsidP="00EA043E">
      <w:pPr>
        <w:spacing w:before="0" w:after="0"/>
        <w:jc w:val="center"/>
        <w:rPr>
          <w:rFonts w:ascii="Calibri" w:hAnsi="Calibri"/>
          <w:b/>
          <w:sz w:val="36"/>
          <w:szCs w:val="36"/>
        </w:rPr>
      </w:pPr>
    </w:p>
    <w:p w14:paraId="1B7AE2D8" w14:textId="7F4DE9FD" w:rsidR="00181DB4" w:rsidRDefault="00181DB4" w:rsidP="00181DB4">
      <w:pPr>
        <w:pStyle w:val="Subtitle"/>
        <w:rPr>
          <w:rFonts w:eastAsiaTheme="majorEastAsia"/>
          <w:i w:val="0"/>
          <w:sz w:val="36"/>
          <w:szCs w:val="36"/>
          <w:lang w:eastAsia="en-US"/>
        </w:rPr>
      </w:pPr>
      <w:r w:rsidRPr="005F6A3D">
        <w:rPr>
          <w:rFonts w:eastAsiaTheme="majorEastAsia"/>
          <w:i w:val="0"/>
          <w:sz w:val="36"/>
          <w:szCs w:val="36"/>
          <w:lang w:eastAsia="en-US"/>
        </w:rPr>
        <w:t>Public Summary Document</w:t>
      </w:r>
    </w:p>
    <w:bookmarkEnd w:id="0"/>
    <w:p w14:paraId="72B0BE3A" w14:textId="47706345" w:rsidR="00EA043E" w:rsidRPr="00181DB4" w:rsidRDefault="00181DB4" w:rsidP="00181DB4">
      <w:pPr>
        <w:pStyle w:val="Subtitle"/>
        <w:rPr>
          <w:rFonts w:eastAsiaTheme="majorEastAsia"/>
          <w:iCs/>
          <w:lang w:eastAsia="en-US"/>
        </w:rPr>
      </w:pPr>
      <w:r w:rsidRPr="00181DB4">
        <w:rPr>
          <w:rFonts w:eastAsiaTheme="majorEastAsia"/>
          <w:iCs/>
          <w:lang w:eastAsia="en-US"/>
        </w:rPr>
        <w:t xml:space="preserve">Application No. </w:t>
      </w:r>
      <w:r w:rsidR="00EA043E" w:rsidRPr="00181DB4">
        <w:rPr>
          <w:rFonts w:eastAsiaTheme="majorEastAsia"/>
          <w:iCs/>
          <w:lang w:eastAsia="en-US"/>
        </w:rPr>
        <w:t>1669</w:t>
      </w:r>
      <w:r w:rsidR="00B00A74">
        <w:rPr>
          <w:rFonts w:eastAsiaTheme="majorEastAsia"/>
          <w:iCs/>
          <w:lang w:eastAsia="en-US"/>
        </w:rPr>
        <w:t xml:space="preserve"> </w:t>
      </w:r>
      <w:r>
        <w:t>–</w:t>
      </w:r>
      <w:r>
        <w:rPr>
          <w:rFonts w:eastAsiaTheme="majorEastAsia"/>
          <w:iCs/>
          <w:lang w:eastAsia="en-US"/>
        </w:rPr>
        <w:t xml:space="preserve"> </w:t>
      </w:r>
      <w:r w:rsidR="00605E89" w:rsidRPr="00605E89">
        <w:rPr>
          <w:rFonts w:eastAsiaTheme="majorEastAsia"/>
          <w:iCs/>
          <w:lang w:eastAsia="en-US"/>
        </w:rPr>
        <w:t xml:space="preserve">KRAS G12C variant testing to determine eligibility for PBS-subsidised </w:t>
      </w:r>
      <w:proofErr w:type="spellStart"/>
      <w:r w:rsidR="00605E89" w:rsidRPr="00605E89">
        <w:rPr>
          <w:rFonts w:eastAsiaTheme="majorEastAsia"/>
          <w:iCs/>
          <w:lang w:eastAsia="en-US"/>
        </w:rPr>
        <w:t>sotorasib</w:t>
      </w:r>
      <w:proofErr w:type="spellEnd"/>
      <w:r w:rsidR="00605E89" w:rsidRPr="00605E89">
        <w:rPr>
          <w:rFonts w:eastAsiaTheme="majorEastAsia"/>
          <w:iCs/>
          <w:lang w:eastAsia="en-US"/>
        </w:rPr>
        <w:t xml:space="preserve"> second-line therapy in patients with locally advanced or metastatic </w:t>
      </w:r>
      <w:proofErr w:type="spellStart"/>
      <w:r w:rsidR="00605E89" w:rsidRPr="00605E89">
        <w:rPr>
          <w:rFonts w:eastAsiaTheme="majorEastAsia"/>
          <w:iCs/>
          <w:lang w:eastAsia="en-US"/>
        </w:rPr>
        <w:t>non small</w:t>
      </w:r>
      <w:proofErr w:type="spellEnd"/>
      <w:r w:rsidR="00605E89" w:rsidRPr="00605E89">
        <w:rPr>
          <w:rFonts w:eastAsiaTheme="majorEastAsia"/>
          <w:iCs/>
          <w:lang w:eastAsia="en-US"/>
        </w:rPr>
        <w:t xml:space="preserve"> cell lung cancer</w:t>
      </w:r>
    </w:p>
    <w:bookmarkEnd w:id="1"/>
    <w:p w14:paraId="29C67364" w14:textId="50C81ECD" w:rsidR="00DE6CC6" w:rsidRPr="00181DB4" w:rsidRDefault="00DE6CC6" w:rsidP="00DE6CC6">
      <w:pPr>
        <w:tabs>
          <w:tab w:val="left" w:pos="3686"/>
        </w:tabs>
        <w:spacing w:before="240" w:after="0"/>
        <w:jc w:val="left"/>
        <w:rPr>
          <w:rFonts w:ascii="Arial" w:eastAsia="Times New Roman" w:hAnsi="Arial" w:cs="Arial"/>
          <w:b/>
          <w:sz w:val="22"/>
          <w:lang w:eastAsia="en-AU"/>
        </w:rPr>
      </w:pPr>
      <w:r w:rsidRPr="00181DB4">
        <w:rPr>
          <w:rFonts w:ascii="Arial" w:eastAsia="Times New Roman" w:hAnsi="Arial" w:cs="Arial"/>
          <w:b/>
          <w:sz w:val="22"/>
          <w:lang w:eastAsia="en-AU"/>
        </w:rPr>
        <w:t xml:space="preserve">Applicant: </w:t>
      </w:r>
      <w:r w:rsidR="00181DB4">
        <w:rPr>
          <w:rFonts w:ascii="Arial" w:eastAsia="Times New Roman" w:hAnsi="Arial" w:cs="Arial"/>
          <w:b/>
          <w:sz w:val="22"/>
          <w:lang w:eastAsia="en-AU"/>
        </w:rPr>
        <w:tab/>
      </w:r>
      <w:r w:rsidRPr="00181DB4">
        <w:rPr>
          <w:rFonts w:ascii="Arial" w:eastAsia="Times New Roman" w:hAnsi="Arial" w:cs="Arial"/>
          <w:b/>
          <w:sz w:val="22"/>
          <w:lang w:eastAsia="en-AU"/>
        </w:rPr>
        <w:t>Amgen Australia Pty. Ltd.</w:t>
      </w:r>
    </w:p>
    <w:p w14:paraId="3D457DEC" w14:textId="5EA2E2B6" w:rsidR="00DE6CC6" w:rsidRPr="00181DB4" w:rsidRDefault="00DE6CC6" w:rsidP="00DE6CC6">
      <w:pPr>
        <w:tabs>
          <w:tab w:val="left" w:pos="3686"/>
        </w:tabs>
        <w:spacing w:before="240" w:after="0"/>
        <w:jc w:val="left"/>
        <w:rPr>
          <w:rFonts w:ascii="Arial" w:eastAsia="Times New Roman" w:hAnsi="Arial" w:cs="Arial"/>
          <w:b/>
          <w:sz w:val="22"/>
          <w:lang w:eastAsia="en-AU"/>
        </w:rPr>
      </w:pPr>
      <w:r w:rsidRPr="00181DB4">
        <w:rPr>
          <w:rFonts w:ascii="Arial" w:eastAsia="Times New Roman" w:hAnsi="Arial" w:cs="Arial"/>
          <w:b/>
          <w:sz w:val="22"/>
          <w:lang w:eastAsia="en-AU"/>
        </w:rPr>
        <w:t xml:space="preserve">Date of </w:t>
      </w:r>
      <w:r w:rsidR="00181DB4">
        <w:rPr>
          <w:rFonts w:ascii="Arial" w:eastAsia="Times New Roman" w:hAnsi="Arial" w:cs="Arial"/>
          <w:b/>
          <w:sz w:val="22"/>
          <w:lang w:eastAsia="en-AU"/>
        </w:rPr>
        <w:t>MSAC</w:t>
      </w:r>
      <w:r w:rsidRPr="00181DB4">
        <w:rPr>
          <w:rFonts w:ascii="Arial" w:eastAsia="Times New Roman" w:hAnsi="Arial" w:cs="Arial"/>
          <w:b/>
          <w:sz w:val="22"/>
          <w:lang w:eastAsia="en-AU"/>
        </w:rPr>
        <w:t xml:space="preserve"> consideration: </w:t>
      </w:r>
      <w:r w:rsidR="00181DB4">
        <w:rPr>
          <w:rFonts w:ascii="Arial" w:eastAsia="Times New Roman" w:hAnsi="Arial" w:cs="Arial"/>
          <w:b/>
          <w:sz w:val="22"/>
          <w:lang w:eastAsia="en-AU"/>
        </w:rPr>
        <w:tab/>
      </w:r>
      <w:r w:rsidR="00181DB4" w:rsidRPr="00A513B1">
        <w:rPr>
          <w:rFonts w:ascii="Arial" w:hAnsi="Arial" w:cs="Arial"/>
          <w:b/>
          <w:sz w:val="22"/>
        </w:rPr>
        <w:t>31 March – 1 April 2022</w:t>
      </w:r>
    </w:p>
    <w:p w14:paraId="3429F32E" w14:textId="77777777" w:rsidR="00DE6CC6" w:rsidRPr="00DE6CC6" w:rsidRDefault="00DE6CC6" w:rsidP="00EE72A6">
      <w:pPr>
        <w:keepNext/>
        <w:keepLines/>
        <w:numPr>
          <w:ilvl w:val="0"/>
          <w:numId w:val="86"/>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t>Purpose of application</w:t>
      </w:r>
    </w:p>
    <w:p w14:paraId="4862ECE6" w14:textId="77777777" w:rsidR="00DE6CC6" w:rsidRPr="00DE6CC6" w:rsidRDefault="00DE6CC6" w:rsidP="00DE6CC6">
      <w:pPr>
        <w:spacing w:before="0" w:after="240"/>
        <w:jc w:val="left"/>
        <w:rPr>
          <w:rFonts w:ascii="Times New Roman" w:eastAsia="Calibri" w:hAnsi="Times New Roman" w:cs="Times New Roman"/>
          <w:color w:val="000000"/>
        </w:rPr>
      </w:pPr>
      <w:r w:rsidRPr="00DE6CC6">
        <w:rPr>
          <w:rFonts w:ascii="Times New Roman" w:eastAsia="Calibri" w:hAnsi="Times New Roman" w:cs="Times New Roman"/>
          <w:color w:val="000000"/>
        </w:rPr>
        <w:t>The integrated codependent application was received from Amgen Australia Pty. Ltd. by the Department of Health, and requested:</w:t>
      </w:r>
    </w:p>
    <w:p w14:paraId="16270E72" w14:textId="6BAAC057" w:rsidR="00DE6CC6" w:rsidRPr="00DE6CC6" w:rsidRDefault="00DE6CC6" w:rsidP="00DE6CC6">
      <w:pPr>
        <w:pStyle w:val="ListParagraph"/>
        <w:numPr>
          <w:ilvl w:val="0"/>
          <w:numId w:val="59"/>
        </w:numPr>
        <w:spacing w:before="0" w:after="120"/>
        <w:jc w:val="left"/>
        <w:rPr>
          <w:rFonts w:ascii="Times New Roman" w:eastAsia="Calibri" w:hAnsi="Times New Roman" w:cs="Times New Roman"/>
        </w:rPr>
      </w:pPr>
      <w:r w:rsidRPr="00DE6CC6">
        <w:rPr>
          <w:rFonts w:ascii="Times New Roman" w:eastAsia="Calibri" w:hAnsi="Times New Roman" w:cs="Times New Roman"/>
        </w:rPr>
        <w:t xml:space="preserve">Medicare Benefits Schedule (MBS) listing of a </w:t>
      </w:r>
      <w:r w:rsidRPr="00DE6CC6">
        <w:rPr>
          <w:rFonts w:ascii="Times New Roman" w:eastAsia="Calibri" w:hAnsi="Times New Roman" w:cs="Times New Roman"/>
          <w:color w:val="000000"/>
        </w:rPr>
        <w:t xml:space="preserve">test </w:t>
      </w:r>
      <w:r w:rsidRPr="00DE6CC6">
        <w:rPr>
          <w:rFonts w:ascii="Times New Roman" w:eastAsia="Calibri" w:hAnsi="Times New Roman" w:cs="Times New Roman"/>
        </w:rPr>
        <w:t xml:space="preserve">for the identification of the </w:t>
      </w:r>
      <w:r w:rsidR="00431C7E" w:rsidRPr="00431C7E">
        <w:rPr>
          <w:rFonts w:ascii="Times New Roman" w:eastAsia="Calibri" w:hAnsi="Times New Roman" w:cs="Times New Roman"/>
        </w:rPr>
        <w:t>Kirsten rat sarcoma viral oncogene homologue (</w:t>
      </w:r>
      <w:r w:rsidRPr="00DE6CC6">
        <w:rPr>
          <w:rFonts w:ascii="Times New Roman" w:eastAsia="Calibri" w:hAnsi="Times New Roman" w:cs="Times New Roman"/>
          <w:i/>
          <w:color w:val="000000"/>
        </w:rPr>
        <w:t>KRAS</w:t>
      </w:r>
      <w:r w:rsidR="001F6D54" w:rsidRPr="001F6D54">
        <w:rPr>
          <w:rFonts w:ascii="Times New Roman" w:eastAsia="Calibri" w:hAnsi="Times New Roman" w:cs="Times New Roman"/>
          <w:iCs/>
          <w:color w:val="000000"/>
        </w:rPr>
        <w:t>)</w:t>
      </w:r>
      <w:r w:rsidR="001F6D54">
        <w:rPr>
          <w:rFonts w:ascii="Times New Roman" w:eastAsia="Calibri" w:hAnsi="Times New Roman" w:cs="Times New Roman"/>
          <w:iCs/>
          <w:color w:val="000000"/>
        </w:rPr>
        <w:t xml:space="preserve"> </w:t>
      </w:r>
      <w:r w:rsidRPr="00DE6CC6">
        <w:rPr>
          <w:rFonts w:ascii="Times New Roman" w:eastAsia="Calibri" w:hAnsi="Times New Roman" w:cs="Times New Roman"/>
        </w:rPr>
        <w:t xml:space="preserve">G12C variant to determine eligibility for treatment with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in patients diagnosed with </w:t>
      </w:r>
      <w:r w:rsidR="001F6D54" w:rsidRPr="001F6D54">
        <w:rPr>
          <w:rFonts w:ascii="Times New Roman" w:eastAsia="Calibri" w:hAnsi="Times New Roman" w:cs="Times New Roman"/>
        </w:rPr>
        <w:t>advanced (stage</w:t>
      </w:r>
      <w:r w:rsidR="00F7777A">
        <w:rPr>
          <w:rFonts w:ascii="Times New Roman" w:eastAsia="Calibri" w:hAnsi="Times New Roman" w:cs="Times New Roman"/>
        </w:rPr>
        <w:t> </w:t>
      </w:r>
      <w:r w:rsidR="001F6D54" w:rsidRPr="001F6D54">
        <w:rPr>
          <w:rFonts w:ascii="Times New Roman" w:eastAsia="Calibri" w:hAnsi="Times New Roman" w:cs="Times New Roman"/>
        </w:rPr>
        <w:t xml:space="preserve">IIIB/IV) </w:t>
      </w:r>
      <w:r w:rsidRPr="00DE6CC6">
        <w:rPr>
          <w:rFonts w:ascii="Times New Roman" w:eastAsia="Calibri" w:hAnsi="Times New Roman" w:cs="Times New Roman"/>
        </w:rPr>
        <w:t xml:space="preserve">non-squamous or </w:t>
      </w:r>
      <w:r w:rsidR="001F6D54" w:rsidRPr="001F6D54">
        <w:rPr>
          <w:rFonts w:ascii="Times New Roman" w:eastAsia="Calibri" w:hAnsi="Times New Roman" w:cs="Times New Roman"/>
        </w:rPr>
        <w:t>not otherwise specified (</w:t>
      </w:r>
      <w:r w:rsidRPr="00DE6CC6">
        <w:rPr>
          <w:rFonts w:ascii="Times New Roman" w:eastAsia="Calibri" w:hAnsi="Times New Roman" w:cs="Times New Roman"/>
        </w:rPr>
        <w:t>NOS</w:t>
      </w:r>
      <w:r w:rsidR="001F6D54">
        <w:rPr>
          <w:rFonts w:ascii="Times New Roman" w:eastAsia="Calibri" w:hAnsi="Times New Roman" w:cs="Times New Roman"/>
        </w:rPr>
        <w:t>)</w:t>
      </w:r>
      <w:r w:rsidRPr="00DE6CC6">
        <w:rPr>
          <w:rFonts w:ascii="Times New Roman" w:eastAsia="Calibri" w:hAnsi="Times New Roman" w:cs="Times New Roman"/>
        </w:rPr>
        <w:t xml:space="preserve"> non-small cell lung cancer (NSCLC)</w:t>
      </w:r>
    </w:p>
    <w:p w14:paraId="7361EB8D" w14:textId="3F854831" w:rsidR="00DE6CC6" w:rsidRPr="00DE6CC6" w:rsidRDefault="00DE6CC6" w:rsidP="00DE6CC6">
      <w:pPr>
        <w:pStyle w:val="ListParagraph"/>
        <w:numPr>
          <w:ilvl w:val="0"/>
          <w:numId w:val="59"/>
        </w:numPr>
        <w:spacing w:before="0" w:after="120"/>
        <w:jc w:val="left"/>
        <w:rPr>
          <w:rFonts w:ascii="Times New Roman" w:eastAsia="Calibri" w:hAnsi="Times New Roman" w:cs="Times New Roman"/>
        </w:rPr>
      </w:pPr>
      <w:r w:rsidRPr="00DE6CC6">
        <w:rPr>
          <w:rFonts w:ascii="Times New Roman" w:eastAsia="Calibri" w:hAnsi="Times New Roman" w:cs="Times New Roman"/>
        </w:rPr>
        <w:t xml:space="preserve">Pharmaceutical Benefits Scheme (PBS) Section 85 Authority Required listing of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for the treatment of advanced (stage IIIB/IV) non-squamous or NOS NSCLC in patients who have evidence of the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w:t>
      </w:r>
    </w:p>
    <w:p w14:paraId="55A530CE" w14:textId="7117DEB9" w:rsidR="00EE72A6" w:rsidRDefault="00EE72A6" w:rsidP="00EE72A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EE72A6">
        <w:rPr>
          <w:rFonts w:ascii="Arial" w:eastAsia="Times New Roman" w:hAnsi="Arial" w:cs="Arial"/>
          <w:b/>
          <w:bCs/>
          <w:szCs w:val="28"/>
          <w:lang w:eastAsia="en-AU"/>
        </w:rPr>
        <w:t>MSAC’s advice to the Minister</w:t>
      </w:r>
    </w:p>
    <w:p w14:paraId="039C34A3" w14:textId="4D0D4E27" w:rsidR="00EE72A6" w:rsidRPr="004B2CA1" w:rsidRDefault="004B2CA1" w:rsidP="004B2CA1">
      <w:pPr>
        <w:spacing w:before="0" w:after="240"/>
        <w:jc w:val="left"/>
        <w:rPr>
          <w:rFonts w:ascii="Times New Roman" w:eastAsia="Calibri" w:hAnsi="Times New Roman" w:cs="Times New Roman"/>
        </w:rPr>
      </w:pPr>
      <w:r w:rsidRPr="004B2CA1">
        <w:rPr>
          <w:rFonts w:ascii="Times New Roman" w:eastAsia="Calibri" w:hAnsi="Times New Roman" w:cs="Times New Roman"/>
        </w:rPr>
        <w:t xml:space="preserve">After considering the strength of the available evidence in relation to comparative safety, clinical </w:t>
      </w:r>
      <w:proofErr w:type="gramStart"/>
      <w:r w:rsidRPr="004B2CA1">
        <w:rPr>
          <w:rFonts w:ascii="Times New Roman" w:eastAsia="Calibri" w:hAnsi="Times New Roman" w:cs="Times New Roman"/>
        </w:rPr>
        <w:t>effectiveness</w:t>
      </w:r>
      <w:proofErr w:type="gramEnd"/>
      <w:r w:rsidRPr="004B2CA1">
        <w:rPr>
          <w:rFonts w:ascii="Times New Roman" w:eastAsia="Calibri" w:hAnsi="Times New Roman" w:cs="Times New Roman"/>
        </w:rPr>
        <w:t xml:space="preserve"> and cost-effectiveness, MSAC deferred its decision regarding testing for </w:t>
      </w:r>
      <w:r w:rsidRPr="00B00A74">
        <w:rPr>
          <w:rFonts w:ascii="Times New Roman" w:eastAsia="Calibri" w:hAnsi="Times New Roman" w:cs="Times New Roman"/>
          <w:i/>
          <w:iCs/>
        </w:rPr>
        <w:t>KRAS</w:t>
      </w:r>
      <w:r w:rsidRPr="004B2CA1">
        <w:rPr>
          <w:rFonts w:ascii="Times New Roman" w:eastAsia="Calibri" w:hAnsi="Times New Roman" w:cs="Times New Roman"/>
        </w:rPr>
        <w:t xml:space="preserve"> G12C variants in tumour tissue from patients with </w:t>
      </w:r>
      <w:r w:rsidR="000365D0">
        <w:rPr>
          <w:rFonts w:ascii="Times New Roman" w:eastAsia="Calibri" w:hAnsi="Times New Roman" w:cs="Times New Roman"/>
        </w:rPr>
        <w:t>NSCLC</w:t>
      </w:r>
      <w:r w:rsidRPr="004B2CA1">
        <w:rPr>
          <w:rFonts w:ascii="Times New Roman" w:eastAsia="Calibri" w:hAnsi="Times New Roman" w:cs="Times New Roman"/>
        </w:rPr>
        <w:t xml:space="preserve">, shown to have non-squamous histology or histology not otherwise specified. MSAC foreshadowed that it would expeditiously reconsider this testing if the Pharmaceutical Benefits Advisory Committee (PBAC) recommends </w:t>
      </w:r>
      <w:proofErr w:type="spellStart"/>
      <w:r w:rsidRPr="004B2CA1">
        <w:rPr>
          <w:rFonts w:ascii="Times New Roman" w:eastAsia="Calibri" w:hAnsi="Times New Roman" w:cs="Times New Roman"/>
        </w:rPr>
        <w:t>sotorasib</w:t>
      </w:r>
      <w:proofErr w:type="spellEnd"/>
      <w:r w:rsidRPr="004B2CA1">
        <w:rPr>
          <w:rFonts w:ascii="Times New Roman" w:eastAsia="Calibri" w:hAnsi="Times New Roman" w:cs="Times New Roman"/>
        </w:rPr>
        <w:t xml:space="preserve"> for those eligible patients in this population in whom a </w:t>
      </w:r>
      <w:r w:rsidRPr="00B00A74">
        <w:rPr>
          <w:rFonts w:ascii="Times New Roman" w:eastAsia="Calibri" w:hAnsi="Times New Roman" w:cs="Times New Roman"/>
          <w:i/>
          <w:iCs/>
        </w:rPr>
        <w:t>KRAS</w:t>
      </w:r>
      <w:r w:rsidRPr="004B2CA1">
        <w:rPr>
          <w:rFonts w:ascii="Times New Roman" w:eastAsia="Calibri" w:hAnsi="Times New Roman" w:cs="Times New Roman"/>
        </w:rPr>
        <w:t xml:space="preserve"> G12C variant is detected.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sumer summary of MSAC consideration"/>
      </w:tblPr>
      <w:tblGrid>
        <w:gridCol w:w="9016"/>
      </w:tblGrid>
      <w:tr w:rsidR="00EE72A6" w:rsidRPr="00EE72A6" w14:paraId="6CDD3DF2" w14:textId="77777777" w:rsidTr="00C04C4C">
        <w:trPr>
          <w:cnfStyle w:val="100000000000" w:firstRow="1" w:lastRow="0" w:firstColumn="0" w:lastColumn="0" w:oddVBand="0" w:evenVBand="0" w:oddHBand="0" w:evenHBand="0" w:firstRowFirstColumn="0" w:firstRowLastColumn="0" w:lastRowFirstColumn="0" w:lastRowLastColumn="0"/>
          <w:tblHeader/>
        </w:trPr>
        <w:tc>
          <w:tcPr>
            <w:tcW w:w="9016" w:type="dxa"/>
            <w:shd w:val="clear" w:color="auto" w:fill="auto"/>
          </w:tcPr>
          <w:p w14:paraId="1A9BFA47" w14:textId="77777777" w:rsidR="00EE72A6" w:rsidRPr="00EE72A6" w:rsidRDefault="00EE72A6" w:rsidP="00EE72A6">
            <w:pPr>
              <w:pStyle w:val="Heading3"/>
              <w:outlineLvl w:val="2"/>
              <w:rPr>
                <w:rFonts w:ascii="Times New Roman" w:eastAsiaTheme="minorHAnsi" w:hAnsi="Times New Roman" w:cs="Times New Roman"/>
                <w:b/>
                <w:bCs/>
                <w:iCs/>
                <w:sz w:val="24"/>
                <w:szCs w:val="24"/>
              </w:rPr>
            </w:pPr>
            <w:r w:rsidRPr="00EE72A6">
              <w:rPr>
                <w:rFonts w:ascii="Times New Roman" w:hAnsi="Times New Roman" w:cs="Times New Roman"/>
                <w:b/>
                <w:bCs/>
                <w:sz w:val="24"/>
                <w:szCs w:val="24"/>
              </w:rPr>
              <w:t>Consumer summary</w:t>
            </w:r>
          </w:p>
        </w:tc>
      </w:tr>
      <w:tr w:rsidR="00EE72A6" w:rsidRPr="00EE72A6" w14:paraId="4195A886" w14:textId="77777777" w:rsidTr="00C04C4C">
        <w:tc>
          <w:tcPr>
            <w:tcW w:w="9016" w:type="dxa"/>
          </w:tcPr>
          <w:p w14:paraId="43399E19" w14:textId="557972CE" w:rsidR="004B2CA1" w:rsidRPr="004B2CA1" w:rsidRDefault="004B2CA1" w:rsidP="004B2CA1">
            <w:pPr>
              <w:spacing w:after="240"/>
              <w:jc w:val="left"/>
              <w:rPr>
                <w:rFonts w:ascii="Times New Roman" w:eastAsia="Calibri" w:hAnsi="Times New Roman" w:cs="Times New Roman"/>
                <w:lang w:val="en-AU"/>
              </w:rPr>
            </w:pPr>
            <w:r w:rsidRPr="004B2CA1">
              <w:rPr>
                <w:rFonts w:ascii="Times New Roman" w:eastAsia="Calibri" w:hAnsi="Times New Roman" w:cs="Times New Roman"/>
                <w:lang w:val="en-AU"/>
              </w:rPr>
              <w:t>This application was from Amgen Australia</w:t>
            </w:r>
            <w:r w:rsidR="00DB3EEB">
              <w:rPr>
                <w:rFonts w:ascii="Times New Roman" w:eastAsia="Calibri" w:hAnsi="Times New Roman" w:cs="Times New Roman"/>
                <w:lang w:val="en-AU"/>
              </w:rPr>
              <w:t xml:space="preserve"> Pty</w:t>
            </w:r>
            <w:r w:rsidR="00F52291">
              <w:rPr>
                <w:rFonts w:ascii="Times New Roman" w:eastAsia="Calibri" w:hAnsi="Times New Roman" w:cs="Times New Roman"/>
                <w:lang w:val="en-AU"/>
              </w:rPr>
              <w:t>.</w:t>
            </w:r>
            <w:r w:rsidR="00DB3EEB">
              <w:rPr>
                <w:rFonts w:ascii="Times New Roman" w:eastAsia="Calibri" w:hAnsi="Times New Roman" w:cs="Times New Roman"/>
                <w:lang w:val="en-AU"/>
              </w:rPr>
              <w:t xml:space="preserve"> Ltd. The </w:t>
            </w:r>
            <w:r w:rsidR="00B00A74">
              <w:rPr>
                <w:rFonts w:ascii="Times New Roman" w:eastAsia="Calibri" w:hAnsi="Times New Roman" w:cs="Times New Roman"/>
                <w:lang w:val="en-AU"/>
              </w:rPr>
              <w:t>part of the application considered by MSAC</w:t>
            </w:r>
            <w:r w:rsidR="00DB3EEB">
              <w:rPr>
                <w:rFonts w:ascii="Times New Roman" w:eastAsia="Calibri" w:hAnsi="Times New Roman" w:cs="Times New Roman"/>
                <w:lang w:val="en-AU"/>
              </w:rPr>
              <w:t xml:space="preserve"> was </w:t>
            </w:r>
            <w:r w:rsidR="00B00A74">
              <w:rPr>
                <w:rFonts w:ascii="Times New Roman" w:eastAsia="Calibri" w:hAnsi="Times New Roman" w:cs="Times New Roman"/>
                <w:lang w:val="en-AU"/>
              </w:rPr>
              <w:t xml:space="preserve">to </w:t>
            </w:r>
            <w:r w:rsidR="00DB3EEB">
              <w:rPr>
                <w:rFonts w:ascii="Times New Roman" w:eastAsia="Calibri" w:hAnsi="Times New Roman" w:cs="Times New Roman"/>
                <w:lang w:val="en-AU"/>
              </w:rPr>
              <w:t xml:space="preserve">list genetic testing </w:t>
            </w:r>
            <w:r w:rsidR="00B00A74">
              <w:rPr>
                <w:rFonts w:ascii="Times New Roman" w:eastAsia="Calibri" w:hAnsi="Times New Roman" w:cs="Times New Roman"/>
                <w:lang w:val="en-AU"/>
              </w:rPr>
              <w:t xml:space="preserve">to detect the </w:t>
            </w:r>
            <w:r w:rsidR="00DB3EEB" w:rsidRPr="00DB3EEB">
              <w:rPr>
                <w:rFonts w:ascii="Times New Roman" w:eastAsia="Calibri" w:hAnsi="Times New Roman" w:cs="Times New Roman"/>
                <w:lang w:val="en-AU"/>
              </w:rPr>
              <w:t>Kirsten rat sarcoma viral oncogene homologue</w:t>
            </w:r>
            <w:r w:rsidRPr="004B2CA1">
              <w:rPr>
                <w:rFonts w:ascii="Times New Roman" w:eastAsia="Calibri" w:hAnsi="Times New Roman" w:cs="Times New Roman"/>
                <w:lang w:val="en-AU"/>
              </w:rPr>
              <w:t xml:space="preserve"> </w:t>
            </w:r>
            <w:r w:rsidR="001B49C1">
              <w:rPr>
                <w:rFonts w:ascii="Times New Roman" w:eastAsia="Calibri" w:hAnsi="Times New Roman" w:cs="Times New Roman"/>
                <w:lang w:val="en-AU"/>
              </w:rPr>
              <w:t>(</w:t>
            </w:r>
            <w:r w:rsidRPr="00B00A74">
              <w:rPr>
                <w:rFonts w:ascii="Times New Roman" w:eastAsia="Calibri" w:hAnsi="Times New Roman" w:cs="Times New Roman"/>
                <w:i/>
                <w:iCs/>
              </w:rPr>
              <w:t>KRAS</w:t>
            </w:r>
            <w:r w:rsidR="001B49C1" w:rsidRPr="00B00A74">
              <w:rPr>
                <w:rFonts w:ascii="Times New Roman" w:eastAsia="Calibri" w:hAnsi="Times New Roman" w:cs="Times New Roman"/>
                <w:lang w:val="en-AU"/>
              </w:rPr>
              <w:t>)</w:t>
            </w:r>
            <w:r w:rsidRPr="004B2CA1">
              <w:rPr>
                <w:rFonts w:ascii="Times New Roman" w:eastAsia="Calibri" w:hAnsi="Times New Roman" w:cs="Times New Roman"/>
                <w:lang w:val="en-AU"/>
              </w:rPr>
              <w:t xml:space="preserve"> G12C </w:t>
            </w:r>
            <w:r w:rsidR="00DB3EEB">
              <w:rPr>
                <w:rFonts w:ascii="Times New Roman" w:eastAsia="Calibri" w:hAnsi="Times New Roman" w:cs="Times New Roman"/>
                <w:lang w:val="en-AU"/>
              </w:rPr>
              <w:t xml:space="preserve">variant on </w:t>
            </w:r>
            <w:r w:rsidR="00DB3EEB" w:rsidRPr="004B2CA1">
              <w:rPr>
                <w:rFonts w:ascii="Times New Roman" w:eastAsia="Calibri" w:hAnsi="Times New Roman" w:cs="Times New Roman"/>
                <w:lang w:val="en-AU"/>
              </w:rPr>
              <w:t xml:space="preserve">the Medicare Benefits Schedule (MBS) </w:t>
            </w:r>
            <w:r w:rsidR="00DB3EEB">
              <w:rPr>
                <w:rFonts w:ascii="Times New Roman" w:eastAsia="Calibri" w:hAnsi="Times New Roman" w:cs="Times New Roman"/>
                <w:lang w:val="en-AU"/>
              </w:rPr>
              <w:t>for</w:t>
            </w:r>
            <w:r w:rsidRPr="004B2CA1">
              <w:rPr>
                <w:rFonts w:ascii="Times New Roman" w:eastAsia="Calibri" w:hAnsi="Times New Roman" w:cs="Times New Roman"/>
                <w:lang w:val="en-AU"/>
              </w:rPr>
              <w:t xml:space="preserve"> </w:t>
            </w:r>
            <w:r w:rsidRPr="004B2CA1">
              <w:rPr>
                <w:rFonts w:ascii="Times New Roman" w:eastAsia="Calibri" w:hAnsi="Times New Roman" w:cs="Times New Roman"/>
                <w:lang w:val="en-AU"/>
              </w:rPr>
              <w:lastRenderedPageBreak/>
              <w:t>patients with certain type</w:t>
            </w:r>
            <w:r w:rsidR="00A23D48">
              <w:rPr>
                <w:rFonts w:ascii="Times New Roman" w:eastAsia="Calibri" w:hAnsi="Times New Roman" w:cs="Times New Roman"/>
                <w:lang w:val="en-AU"/>
              </w:rPr>
              <w:t>s</w:t>
            </w:r>
            <w:r w:rsidRPr="004B2CA1">
              <w:rPr>
                <w:rFonts w:ascii="Times New Roman" w:eastAsia="Calibri" w:hAnsi="Times New Roman" w:cs="Times New Roman"/>
                <w:lang w:val="en-AU"/>
              </w:rPr>
              <w:t xml:space="preserve"> of </w:t>
            </w:r>
            <w:r w:rsidR="00DD1F70">
              <w:rPr>
                <w:rFonts w:ascii="Times New Roman" w:eastAsia="Calibri" w:hAnsi="Times New Roman" w:cs="Times New Roman"/>
                <w:lang w:val="en-AU"/>
              </w:rPr>
              <w:t xml:space="preserve">advanced </w:t>
            </w:r>
            <w:r w:rsidRPr="004B2CA1">
              <w:rPr>
                <w:rFonts w:ascii="Times New Roman" w:eastAsia="Calibri" w:hAnsi="Times New Roman" w:cs="Times New Roman"/>
                <w:lang w:val="en-AU"/>
              </w:rPr>
              <w:t>lung cancer</w:t>
            </w:r>
            <w:r w:rsidR="00DB3EEB">
              <w:rPr>
                <w:rFonts w:ascii="Times New Roman" w:eastAsia="Calibri" w:hAnsi="Times New Roman" w:cs="Times New Roman"/>
                <w:lang w:val="en-AU"/>
              </w:rPr>
              <w:t xml:space="preserve">. </w:t>
            </w:r>
            <w:r w:rsidR="009F3AD7">
              <w:rPr>
                <w:rFonts w:ascii="Times New Roman" w:eastAsia="Calibri" w:hAnsi="Times New Roman" w:cs="Times New Roman"/>
                <w:lang w:val="en-AU"/>
              </w:rPr>
              <w:t>Th</w:t>
            </w:r>
            <w:r w:rsidR="001E0C84">
              <w:rPr>
                <w:rFonts w:ascii="Times New Roman" w:eastAsia="Calibri" w:hAnsi="Times New Roman" w:cs="Times New Roman"/>
                <w:lang w:val="en-AU"/>
              </w:rPr>
              <w:t>is</w:t>
            </w:r>
            <w:r w:rsidR="009F3AD7">
              <w:rPr>
                <w:rFonts w:ascii="Times New Roman" w:eastAsia="Calibri" w:hAnsi="Times New Roman" w:cs="Times New Roman"/>
                <w:lang w:val="en-AU"/>
              </w:rPr>
              <w:t xml:space="preserve"> </w:t>
            </w:r>
            <w:r w:rsidR="009F3AD7">
              <w:rPr>
                <w:rFonts w:ascii="Times New Roman" w:eastAsia="Calibri" w:hAnsi="Times New Roman" w:cs="Times New Roman"/>
                <w:i/>
                <w:iCs/>
                <w:lang w:val="en-AU"/>
              </w:rPr>
              <w:t xml:space="preserve">KRAS </w:t>
            </w:r>
            <w:r w:rsidR="009F3AD7">
              <w:rPr>
                <w:rFonts w:ascii="Times New Roman" w:eastAsia="Calibri" w:hAnsi="Times New Roman" w:cs="Times New Roman"/>
                <w:lang w:val="en-AU"/>
              </w:rPr>
              <w:t xml:space="preserve">G12C variant is </w:t>
            </w:r>
            <w:r w:rsidR="001E0C84">
              <w:rPr>
                <w:rFonts w:ascii="Times New Roman" w:eastAsia="Calibri" w:hAnsi="Times New Roman" w:cs="Times New Roman"/>
                <w:lang w:val="en-AU"/>
              </w:rPr>
              <w:t xml:space="preserve">quite </w:t>
            </w:r>
            <w:r w:rsidR="009F3AD7">
              <w:rPr>
                <w:rFonts w:ascii="Times New Roman" w:eastAsia="Calibri" w:hAnsi="Times New Roman" w:cs="Times New Roman"/>
                <w:lang w:val="en-AU"/>
              </w:rPr>
              <w:t xml:space="preserve">common in </w:t>
            </w:r>
            <w:r w:rsidR="001E0C84">
              <w:rPr>
                <w:rFonts w:ascii="Times New Roman" w:eastAsia="Calibri" w:hAnsi="Times New Roman" w:cs="Times New Roman"/>
                <w:lang w:val="en-AU"/>
              </w:rPr>
              <w:t>lung cancer</w:t>
            </w:r>
            <w:r w:rsidR="002E2FC7">
              <w:rPr>
                <w:rFonts w:ascii="Times New Roman" w:eastAsia="Calibri" w:hAnsi="Times New Roman" w:cs="Times New Roman"/>
                <w:lang w:val="en-AU"/>
              </w:rPr>
              <w:t>,</w:t>
            </w:r>
            <w:r w:rsidR="009F3AD7">
              <w:rPr>
                <w:rFonts w:ascii="Times New Roman" w:eastAsia="Calibri" w:hAnsi="Times New Roman" w:cs="Times New Roman"/>
                <w:lang w:val="en-AU"/>
              </w:rPr>
              <w:t xml:space="preserve"> b</w:t>
            </w:r>
            <w:r w:rsidR="002E2FC7">
              <w:rPr>
                <w:rFonts w:ascii="Times New Roman" w:eastAsia="Calibri" w:hAnsi="Times New Roman" w:cs="Times New Roman"/>
                <w:lang w:val="en-AU"/>
              </w:rPr>
              <w:t xml:space="preserve">ut </w:t>
            </w:r>
            <w:r w:rsidR="00785178">
              <w:rPr>
                <w:rFonts w:ascii="Times New Roman" w:eastAsia="Calibri" w:hAnsi="Times New Roman" w:cs="Times New Roman"/>
                <w:lang w:val="en-AU"/>
              </w:rPr>
              <w:t>despite being a recognised oncogenic driver</w:t>
            </w:r>
            <w:r w:rsidR="00A33362">
              <w:rPr>
                <w:rFonts w:ascii="Times New Roman" w:eastAsia="Calibri" w:hAnsi="Times New Roman" w:cs="Times New Roman"/>
                <w:lang w:val="en-AU"/>
              </w:rPr>
              <w:t xml:space="preserve"> (</w:t>
            </w:r>
            <w:proofErr w:type="gramStart"/>
            <w:r w:rsidR="00A33362">
              <w:rPr>
                <w:rFonts w:ascii="Times New Roman" w:eastAsia="Calibri" w:hAnsi="Times New Roman" w:cs="Times New Roman"/>
                <w:lang w:val="en-AU"/>
              </w:rPr>
              <w:t>i.e.</w:t>
            </w:r>
            <w:proofErr w:type="gramEnd"/>
            <w:r w:rsidR="00A33362">
              <w:rPr>
                <w:rFonts w:ascii="Times New Roman" w:eastAsia="Calibri" w:hAnsi="Times New Roman" w:cs="Times New Roman"/>
                <w:lang w:val="en-AU"/>
              </w:rPr>
              <w:t xml:space="preserve"> </w:t>
            </w:r>
            <w:r w:rsidR="001E0C84">
              <w:rPr>
                <w:rFonts w:ascii="Times New Roman" w:eastAsia="Calibri" w:hAnsi="Times New Roman" w:cs="Times New Roman"/>
                <w:lang w:val="en-AU"/>
              </w:rPr>
              <w:t xml:space="preserve">a </w:t>
            </w:r>
            <w:r w:rsidR="00A33362">
              <w:rPr>
                <w:rFonts w:ascii="Times New Roman" w:eastAsia="Calibri" w:hAnsi="Times New Roman" w:cs="Times New Roman"/>
                <w:lang w:val="en-AU"/>
              </w:rPr>
              <w:t>genetic change that is likely to make a cancer develop</w:t>
            </w:r>
            <w:r w:rsidR="001E0C84">
              <w:rPr>
                <w:rFonts w:ascii="Times New Roman" w:eastAsia="Calibri" w:hAnsi="Times New Roman" w:cs="Times New Roman"/>
                <w:lang w:val="en-AU"/>
              </w:rPr>
              <w:t xml:space="preserve"> and then worsen</w:t>
            </w:r>
            <w:r w:rsidR="00A33362">
              <w:rPr>
                <w:rFonts w:ascii="Times New Roman" w:eastAsia="Calibri" w:hAnsi="Times New Roman" w:cs="Times New Roman"/>
                <w:lang w:val="en-AU"/>
              </w:rPr>
              <w:t>)</w:t>
            </w:r>
            <w:r w:rsidR="00785178">
              <w:rPr>
                <w:rFonts w:ascii="Times New Roman" w:eastAsia="Calibri" w:hAnsi="Times New Roman" w:cs="Times New Roman"/>
                <w:lang w:val="en-AU"/>
              </w:rPr>
              <w:t xml:space="preserve">, </w:t>
            </w:r>
            <w:r w:rsidR="002E2FC7">
              <w:rPr>
                <w:rFonts w:ascii="Times New Roman" w:eastAsia="Calibri" w:hAnsi="Times New Roman" w:cs="Times New Roman"/>
                <w:lang w:val="en-AU"/>
              </w:rPr>
              <w:t>no</w:t>
            </w:r>
            <w:r w:rsidR="009F3AD7">
              <w:rPr>
                <w:rFonts w:ascii="Times New Roman" w:eastAsia="Calibri" w:hAnsi="Times New Roman" w:cs="Times New Roman"/>
                <w:lang w:val="en-AU"/>
              </w:rPr>
              <w:t xml:space="preserve"> </w:t>
            </w:r>
            <w:r w:rsidR="001E0C84">
              <w:rPr>
                <w:rFonts w:ascii="Times New Roman" w:eastAsia="Calibri" w:hAnsi="Times New Roman" w:cs="Times New Roman"/>
                <w:lang w:val="en-AU"/>
              </w:rPr>
              <w:t xml:space="preserve">effective </w:t>
            </w:r>
            <w:r w:rsidR="009F3AD7">
              <w:rPr>
                <w:rFonts w:ascii="Times New Roman" w:eastAsia="Calibri" w:hAnsi="Times New Roman" w:cs="Times New Roman"/>
                <w:lang w:val="en-AU"/>
              </w:rPr>
              <w:t xml:space="preserve">therapy </w:t>
            </w:r>
            <w:r w:rsidR="001E0C84">
              <w:rPr>
                <w:rFonts w:ascii="Times New Roman" w:eastAsia="Calibri" w:hAnsi="Times New Roman" w:cs="Times New Roman"/>
                <w:lang w:val="en-AU"/>
              </w:rPr>
              <w:t xml:space="preserve">targeting </w:t>
            </w:r>
            <w:r w:rsidR="009F3AD7">
              <w:rPr>
                <w:rFonts w:ascii="Times New Roman" w:eastAsia="Calibri" w:hAnsi="Times New Roman" w:cs="Times New Roman"/>
                <w:lang w:val="en-AU"/>
              </w:rPr>
              <w:t xml:space="preserve">this variant has previously </w:t>
            </w:r>
            <w:r w:rsidR="001E0C84">
              <w:rPr>
                <w:rFonts w:ascii="Times New Roman" w:eastAsia="Calibri" w:hAnsi="Times New Roman" w:cs="Times New Roman"/>
                <w:lang w:val="en-AU"/>
              </w:rPr>
              <w:t>been made</w:t>
            </w:r>
            <w:r w:rsidR="009F3AD7">
              <w:rPr>
                <w:rFonts w:ascii="Times New Roman" w:eastAsia="Calibri" w:hAnsi="Times New Roman" w:cs="Times New Roman"/>
                <w:lang w:val="en-AU"/>
              </w:rPr>
              <w:t xml:space="preserve">. </w:t>
            </w:r>
            <w:r w:rsidR="00DB3EEB">
              <w:rPr>
                <w:rFonts w:ascii="Times New Roman" w:eastAsia="Calibri" w:hAnsi="Times New Roman" w:cs="Times New Roman"/>
                <w:lang w:val="en-AU"/>
              </w:rPr>
              <w:t xml:space="preserve">If the test </w:t>
            </w:r>
            <w:r w:rsidR="00A23D48">
              <w:rPr>
                <w:rFonts w:ascii="Times New Roman" w:eastAsia="Calibri" w:hAnsi="Times New Roman" w:cs="Times New Roman"/>
                <w:lang w:val="en-AU"/>
              </w:rPr>
              <w:t xml:space="preserve">result </w:t>
            </w:r>
            <w:r w:rsidR="00DB3EEB">
              <w:rPr>
                <w:rFonts w:ascii="Times New Roman" w:eastAsia="Calibri" w:hAnsi="Times New Roman" w:cs="Times New Roman"/>
                <w:lang w:val="en-AU"/>
              </w:rPr>
              <w:t xml:space="preserve">is positive, the person could be eligible to receive a medicine called </w:t>
            </w:r>
            <w:proofErr w:type="spellStart"/>
            <w:r w:rsidRPr="004B2CA1">
              <w:rPr>
                <w:rFonts w:ascii="Times New Roman" w:eastAsia="Calibri" w:hAnsi="Times New Roman" w:cs="Times New Roman"/>
                <w:lang w:val="en-AU"/>
              </w:rPr>
              <w:t>sotorasib</w:t>
            </w:r>
            <w:proofErr w:type="spellEnd"/>
            <w:r w:rsidRPr="004B2CA1">
              <w:rPr>
                <w:rFonts w:ascii="Times New Roman" w:eastAsia="Calibri" w:hAnsi="Times New Roman" w:cs="Times New Roman"/>
                <w:lang w:val="en-AU"/>
              </w:rPr>
              <w:t xml:space="preserve"> on the Pharmaceutical Benefits Scheme (PBS).</w:t>
            </w:r>
            <w:r w:rsidR="00A23D48">
              <w:rPr>
                <w:rFonts w:ascii="Times New Roman" w:eastAsia="Calibri" w:hAnsi="Times New Roman" w:cs="Times New Roman"/>
                <w:lang w:val="en-AU"/>
              </w:rPr>
              <w:t xml:space="preserve"> </w:t>
            </w:r>
            <w:proofErr w:type="spellStart"/>
            <w:r w:rsidR="00A23D48" w:rsidRPr="004B2CA1">
              <w:rPr>
                <w:rFonts w:ascii="Times New Roman" w:eastAsia="Calibri" w:hAnsi="Times New Roman" w:cs="Times New Roman"/>
                <w:lang w:val="en-AU"/>
              </w:rPr>
              <w:t>Sotorasib</w:t>
            </w:r>
            <w:proofErr w:type="spellEnd"/>
            <w:r w:rsidR="00A23D48" w:rsidRPr="004B2CA1">
              <w:rPr>
                <w:rFonts w:ascii="Times New Roman" w:eastAsia="Calibri" w:hAnsi="Times New Roman" w:cs="Times New Roman"/>
                <w:lang w:val="en-AU"/>
              </w:rPr>
              <w:t xml:space="preserve"> was made to specifically target the </w:t>
            </w:r>
            <w:r w:rsidR="00A23D48" w:rsidRPr="00A23D48">
              <w:rPr>
                <w:rFonts w:ascii="Times New Roman" w:eastAsia="Calibri" w:hAnsi="Times New Roman" w:cs="Times New Roman"/>
                <w:i/>
                <w:iCs/>
                <w:lang w:val="en-AU"/>
              </w:rPr>
              <w:t>KRAS</w:t>
            </w:r>
            <w:r w:rsidR="00A23D48" w:rsidRPr="004B2CA1">
              <w:rPr>
                <w:rFonts w:ascii="Times New Roman" w:eastAsia="Calibri" w:hAnsi="Times New Roman" w:cs="Times New Roman"/>
                <w:lang w:val="en-AU"/>
              </w:rPr>
              <w:t xml:space="preserve"> G12C variant in people with advanced </w:t>
            </w:r>
            <w:r w:rsidR="00A23D48">
              <w:rPr>
                <w:rFonts w:ascii="Times New Roman" w:eastAsia="Calibri" w:hAnsi="Times New Roman" w:cs="Times New Roman"/>
                <w:lang w:val="en-AU"/>
              </w:rPr>
              <w:t>lung cancer</w:t>
            </w:r>
            <w:r w:rsidR="00A23D48" w:rsidRPr="004B2CA1">
              <w:rPr>
                <w:rFonts w:ascii="Times New Roman" w:eastAsia="Calibri" w:hAnsi="Times New Roman" w:cs="Times New Roman"/>
                <w:lang w:val="en-AU"/>
              </w:rPr>
              <w:t>.</w:t>
            </w:r>
          </w:p>
          <w:p w14:paraId="14730E96" w14:textId="3BC80AE0" w:rsidR="004B2CA1" w:rsidRPr="004B2CA1" w:rsidRDefault="001B49C1" w:rsidP="004B2CA1">
            <w:pPr>
              <w:spacing w:before="0" w:after="240"/>
              <w:jc w:val="left"/>
              <w:rPr>
                <w:rFonts w:ascii="Times New Roman" w:eastAsia="Calibri" w:hAnsi="Times New Roman" w:cs="Times New Roman"/>
                <w:lang w:val="en-AU"/>
              </w:rPr>
            </w:pPr>
            <w:r>
              <w:rPr>
                <w:rFonts w:ascii="Times New Roman" w:eastAsia="Calibri" w:hAnsi="Times New Roman" w:cs="Times New Roman"/>
                <w:lang w:val="en-AU"/>
              </w:rPr>
              <w:t xml:space="preserve">The applicant proposed that </w:t>
            </w:r>
            <w:r w:rsidRPr="00C069B6">
              <w:rPr>
                <w:rFonts w:ascii="Times New Roman" w:eastAsia="Calibri" w:hAnsi="Times New Roman" w:cs="Times New Roman"/>
                <w:i/>
                <w:iCs/>
                <w:lang w:val="en-AU"/>
              </w:rPr>
              <w:t>KRAS</w:t>
            </w:r>
            <w:r w:rsidRPr="004B2CA1">
              <w:rPr>
                <w:rFonts w:ascii="Times New Roman" w:eastAsia="Calibri" w:hAnsi="Times New Roman" w:cs="Times New Roman"/>
                <w:lang w:val="en-AU"/>
              </w:rPr>
              <w:t xml:space="preserve"> G12C</w:t>
            </w:r>
            <w:r>
              <w:rPr>
                <w:rFonts w:ascii="Times New Roman" w:eastAsia="Calibri" w:hAnsi="Times New Roman" w:cs="Times New Roman"/>
                <w:lang w:val="en-AU"/>
              </w:rPr>
              <w:t xml:space="preserve"> genetic testing be added to an existing MBS item (73337) which funds testing </w:t>
            </w:r>
            <w:r w:rsidR="00A23D48">
              <w:rPr>
                <w:rFonts w:ascii="Times New Roman" w:eastAsia="Calibri" w:hAnsi="Times New Roman" w:cs="Times New Roman"/>
                <w:lang w:val="en-AU"/>
              </w:rPr>
              <w:t>o</w:t>
            </w:r>
            <w:r>
              <w:rPr>
                <w:rFonts w:ascii="Times New Roman" w:eastAsia="Calibri" w:hAnsi="Times New Roman" w:cs="Times New Roman"/>
                <w:lang w:val="en-AU"/>
              </w:rPr>
              <w:t>f</w:t>
            </w:r>
            <w:r w:rsidR="00A23D48">
              <w:rPr>
                <w:rFonts w:ascii="Times New Roman" w:eastAsia="Calibri" w:hAnsi="Times New Roman" w:cs="Times New Roman"/>
                <w:lang w:val="en-AU"/>
              </w:rPr>
              <w:t xml:space="preserve"> the</w:t>
            </w:r>
            <w:r w:rsidR="004B2CA1" w:rsidRPr="004B2CA1">
              <w:rPr>
                <w:rFonts w:ascii="Times New Roman" w:eastAsia="Calibri" w:hAnsi="Times New Roman" w:cs="Times New Roman"/>
                <w:lang w:val="en-AU"/>
              </w:rPr>
              <w:t xml:space="preserve"> </w:t>
            </w:r>
            <w:r w:rsidR="000365D0" w:rsidRPr="000365D0">
              <w:rPr>
                <w:rFonts w:ascii="Times New Roman" w:eastAsia="Calibri" w:hAnsi="Times New Roman" w:cs="Times New Roman"/>
                <w:lang w:val="en-AU"/>
              </w:rPr>
              <w:t xml:space="preserve">epidermal growth factor receptor </w:t>
            </w:r>
            <w:r w:rsidR="000365D0">
              <w:rPr>
                <w:rFonts w:ascii="Times New Roman" w:eastAsia="Calibri" w:hAnsi="Times New Roman" w:cs="Times New Roman"/>
                <w:lang w:val="en-AU"/>
              </w:rPr>
              <w:t>(</w:t>
            </w:r>
            <w:r w:rsidR="004B2CA1" w:rsidRPr="00A23D48">
              <w:rPr>
                <w:rFonts w:ascii="Times New Roman" w:eastAsia="Calibri" w:hAnsi="Times New Roman" w:cs="Times New Roman"/>
                <w:i/>
                <w:iCs/>
                <w:lang w:val="en-AU"/>
              </w:rPr>
              <w:t>EGFR</w:t>
            </w:r>
            <w:r w:rsidR="000365D0">
              <w:rPr>
                <w:rFonts w:ascii="Times New Roman" w:eastAsia="Calibri" w:hAnsi="Times New Roman" w:cs="Times New Roman"/>
                <w:lang w:val="en-AU"/>
              </w:rPr>
              <w:t>)</w:t>
            </w:r>
            <w:r w:rsidR="004B2CA1" w:rsidRPr="004B2CA1">
              <w:rPr>
                <w:rFonts w:ascii="Times New Roman" w:eastAsia="Calibri" w:hAnsi="Times New Roman" w:cs="Times New Roman"/>
                <w:lang w:val="en-AU"/>
              </w:rPr>
              <w:t xml:space="preserve"> </w:t>
            </w:r>
            <w:r w:rsidR="00A23D48">
              <w:rPr>
                <w:rFonts w:ascii="Times New Roman" w:eastAsia="Calibri" w:hAnsi="Times New Roman" w:cs="Times New Roman"/>
                <w:lang w:val="en-AU"/>
              </w:rPr>
              <w:t>gene</w:t>
            </w:r>
            <w:r w:rsidR="004B2CA1" w:rsidRPr="004B2CA1">
              <w:rPr>
                <w:rFonts w:ascii="Times New Roman" w:eastAsia="Calibri" w:hAnsi="Times New Roman" w:cs="Times New Roman"/>
                <w:lang w:val="en-AU"/>
              </w:rPr>
              <w:t xml:space="preserve">. </w:t>
            </w:r>
            <w:r w:rsidRPr="001B49C1">
              <w:rPr>
                <w:rFonts w:ascii="Times New Roman" w:eastAsia="Calibri" w:hAnsi="Times New Roman" w:cs="Times New Roman"/>
                <w:lang w:val="en-AU"/>
              </w:rPr>
              <w:t xml:space="preserve">Many laboratories are already testing for </w:t>
            </w:r>
            <w:r w:rsidRPr="00C069B6">
              <w:rPr>
                <w:rFonts w:ascii="Times New Roman" w:eastAsia="Calibri" w:hAnsi="Times New Roman" w:cs="Times New Roman"/>
                <w:i/>
                <w:iCs/>
                <w:lang w:val="en-AU"/>
              </w:rPr>
              <w:t>KRAS</w:t>
            </w:r>
            <w:r w:rsidRPr="004B2CA1">
              <w:rPr>
                <w:rFonts w:ascii="Times New Roman" w:eastAsia="Calibri" w:hAnsi="Times New Roman" w:cs="Times New Roman"/>
                <w:lang w:val="en-AU"/>
              </w:rPr>
              <w:t xml:space="preserve"> G12C</w:t>
            </w:r>
            <w:r>
              <w:rPr>
                <w:rFonts w:ascii="Times New Roman" w:eastAsia="Calibri" w:hAnsi="Times New Roman" w:cs="Times New Roman"/>
                <w:lang w:val="en-AU"/>
              </w:rPr>
              <w:t xml:space="preserve"> status when they are testing a tumour for </w:t>
            </w:r>
            <w:r w:rsidRPr="00A23D48">
              <w:rPr>
                <w:rFonts w:ascii="Times New Roman" w:eastAsia="Calibri" w:hAnsi="Times New Roman" w:cs="Times New Roman"/>
                <w:i/>
                <w:iCs/>
              </w:rPr>
              <w:t>EFGR</w:t>
            </w:r>
            <w:r>
              <w:rPr>
                <w:rFonts w:ascii="Times New Roman" w:eastAsia="Calibri" w:hAnsi="Times New Roman" w:cs="Times New Roman"/>
                <w:lang w:val="en-AU"/>
              </w:rPr>
              <w:t xml:space="preserve"> gene </w:t>
            </w:r>
            <w:r w:rsidR="00A23D48">
              <w:rPr>
                <w:rFonts w:ascii="Times New Roman" w:eastAsia="Calibri" w:hAnsi="Times New Roman" w:cs="Times New Roman"/>
                <w:lang w:val="en-AU"/>
              </w:rPr>
              <w:t>status</w:t>
            </w:r>
            <w:r>
              <w:rPr>
                <w:rFonts w:ascii="Times New Roman" w:eastAsia="Calibri" w:hAnsi="Times New Roman" w:cs="Times New Roman"/>
                <w:lang w:val="en-AU"/>
              </w:rPr>
              <w:t xml:space="preserve">. </w:t>
            </w:r>
            <w:r w:rsidR="004B2CA1" w:rsidRPr="004B2CA1">
              <w:rPr>
                <w:rFonts w:ascii="Times New Roman" w:eastAsia="Calibri" w:hAnsi="Times New Roman" w:cs="Times New Roman"/>
                <w:lang w:val="en-AU"/>
              </w:rPr>
              <w:t>This test</w:t>
            </w:r>
            <w:r>
              <w:rPr>
                <w:rFonts w:ascii="Times New Roman" w:eastAsia="Calibri" w:hAnsi="Times New Roman" w:cs="Times New Roman"/>
                <w:lang w:val="en-AU"/>
              </w:rPr>
              <w:t>ing</w:t>
            </w:r>
            <w:r w:rsidR="004B2CA1" w:rsidRPr="004B2CA1">
              <w:rPr>
                <w:rFonts w:ascii="Times New Roman" w:eastAsia="Calibri" w:hAnsi="Times New Roman" w:cs="Times New Roman"/>
                <w:lang w:val="en-AU"/>
              </w:rPr>
              <w:t xml:space="preserve"> is </w:t>
            </w:r>
            <w:r w:rsidR="00A23D48">
              <w:rPr>
                <w:rFonts w:ascii="Times New Roman" w:eastAsia="Calibri" w:hAnsi="Times New Roman" w:cs="Times New Roman"/>
                <w:lang w:val="en-AU"/>
              </w:rPr>
              <w:t>frequently</w:t>
            </w:r>
            <w:r w:rsidR="009D470C">
              <w:rPr>
                <w:rFonts w:ascii="Times New Roman" w:eastAsia="Calibri" w:hAnsi="Times New Roman" w:cs="Times New Roman"/>
                <w:lang w:val="en-AU"/>
              </w:rPr>
              <w:t xml:space="preserve"> </w:t>
            </w:r>
            <w:r w:rsidR="004B2CA1" w:rsidRPr="004B2CA1">
              <w:rPr>
                <w:rFonts w:ascii="Times New Roman" w:eastAsia="Calibri" w:hAnsi="Times New Roman" w:cs="Times New Roman"/>
                <w:lang w:val="en-AU"/>
              </w:rPr>
              <w:t xml:space="preserve">done as part of a </w:t>
            </w:r>
            <w:r w:rsidR="00A23D48">
              <w:rPr>
                <w:rFonts w:ascii="Times New Roman" w:eastAsia="Calibri" w:hAnsi="Times New Roman" w:cs="Times New Roman"/>
                <w:lang w:val="en-AU"/>
              </w:rPr>
              <w:t xml:space="preserve">genetic </w:t>
            </w:r>
            <w:r w:rsidR="004B2CA1" w:rsidRPr="004B2CA1">
              <w:rPr>
                <w:rFonts w:ascii="Times New Roman" w:eastAsia="Calibri" w:hAnsi="Times New Roman" w:cs="Times New Roman"/>
                <w:lang w:val="en-AU"/>
              </w:rPr>
              <w:t xml:space="preserve">panel, which means that several genes are tested at once. </w:t>
            </w:r>
            <w:r w:rsidR="00542BAD">
              <w:rPr>
                <w:rFonts w:ascii="Times New Roman" w:eastAsia="Times New Roman" w:hAnsi="Times New Roman" w:cs="Times New Roman"/>
                <w:szCs w:val="20"/>
                <w:lang w:eastAsia="en-AU"/>
              </w:rPr>
              <w:t xml:space="preserve">MSAC </w:t>
            </w:r>
            <w:r w:rsidR="00A23D48">
              <w:rPr>
                <w:rFonts w:ascii="Times New Roman" w:eastAsia="Times New Roman" w:hAnsi="Times New Roman" w:cs="Times New Roman"/>
                <w:szCs w:val="20"/>
                <w:lang w:eastAsia="en-AU"/>
              </w:rPr>
              <w:t xml:space="preserve">therefore </w:t>
            </w:r>
            <w:r w:rsidR="00542BAD">
              <w:rPr>
                <w:rFonts w:ascii="Times New Roman" w:eastAsia="Times New Roman" w:hAnsi="Times New Roman" w:cs="Times New Roman"/>
                <w:szCs w:val="20"/>
                <w:lang w:eastAsia="en-AU"/>
              </w:rPr>
              <w:t xml:space="preserve">considered it was reasonable to include </w:t>
            </w:r>
            <w:r w:rsidR="00542BAD" w:rsidRPr="00A23D48">
              <w:rPr>
                <w:rFonts w:ascii="Times New Roman" w:eastAsia="Times New Roman" w:hAnsi="Times New Roman" w:cs="Times New Roman"/>
                <w:i/>
                <w:iCs/>
                <w:szCs w:val="20"/>
                <w:lang w:eastAsia="en-AU"/>
              </w:rPr>
              <w:t>KRAS</w:t>
            </w:r>
            <w:r w:rsidR="00542BAD">
              <w:rPr>
                <w:rFonts w:ascii="Times New Roman" w:eastAsia="Times New Roman" w:hAnsi="Times New Roman" w:cs="Times New Roman"/>
                <w:szCs w:val="20"/>
                <w:lang w:eastAsia="en-AU"/>
              </w:rPr>
              <w:t xml:space="preserve"> G12C testing in the item descriptor without increasing the fee.</w:t>
            </w:r>
          </w:p>
          <w:p w14:paraId="0AEBE4F0" w14:textId="4FAB37DC" w:rsidR="004B2CA1" w:rsidRDefault="008B72C4" w:rsidP="004B2CA1">
            <w:pPr>
              <w:spacing w:before="0" w:after="240"/>
              <w:jc w:val="left"/>
              <w:rPr>
                <w:rFonts w:ascii="Times New Roman" w:eastAsia="Calibri" w:hAnsi="Times New Roman" w:cs="Times New Roman"/>
                <w:lang w:val="en-AU"/>
              </w:rPr>
            </w:pPr>
            <w:r>
              <w:rPr>
                <w:rFonts w:ascii="Times New Roman" w:eastAsia="Calibri" w:hAnsi="Times New Roman" w:cs="Times New Roman"/>
                <w:lang w:val="en-AU"/>
              </w:rPr>
              <w:t xml:space="preserve">MSAC considered that </w:t>
            </w:r>
            <w:r w:rsidR="006178A3">
              <w:rPr>
                <w:rFonts w:ascii="Times New Roman" w:eastAsia="Calibri" w:hAnsi="Times New Roman" w:cs="Times New Roman"/>
              </w:rPr>
              <w:t>testing people with this type of advanced lung cancer</w:t>
            </w:r>
            <w:r w:rsidR="00542BAD">
              <w:rPr>
                <w:rFonts w:ascii="Times New Roman" w:eastAsia="Calibri" w:hAnsi="Times New Roman" w:cs="Times New Roman"/>
              </w:rPr>
              <w:t xml:space="preserve"> would accurately identify</w:t>
            </w:r>
            <w:r w:rsidR="007D5343">
              <w:rPr>
                <w:rFonts w:ascii="Times New Roman" w:eastAsia="Calibri" w:hAnsi="Times New Roman" w:cs="Times New Roman"/>
              </w:rPr>
              <w:t xml:space="preserve"> the</w:t>
            </w:r>
            <w:r w:rsidR="00542BAD">
              <w:rPr>
                <w:rFonts w:ascii="Times New Roman" w:eastAsia="Calibri" w:hAnsi="Times New Roman" w:cs="Times New Roman"/>
              </w:rPr>
              <w:t xml:space="preserve"> </w:t>
            </w:r>
            <w:r w:rsidR="00542BAD" w:rsidRPr="00A23D48">
              <w:rPr>
                <w:rFonts w:ascii="Times New Roman" w:eastAsia="Calibri" w:hAnsi="Times New Roman" w:cs="Times New Roman"/>
                <w:i/>
                <w:iCs/>
              </w:rPr>
              <w:t>KRAS</w:t>
            </w:r>
            <w:r w:rsidR="00542BAD">
              <w:rPr>
                <w:rFonts w:ascii="Times New Roman" w:eastAsia="Calibri" w:hAnsi="Times New Roman" w:cs="Times New Roman"/>
              </w:rPr>
              <w:t xml:space="preserve"> G12C vari</w:t>
            </w:r>
            <w:r w:rsidR="007D5343">
              <w:rPr>
                <w:rFonts w:ascii="Times New Roman" w:eastAsia="Calibri" w:hAnsi="Times New Roman" w:cs="Times New Roman"/>
              </w:rPr>
              <w:t>a</w:t>
            </w:r>
            <w:r w:rsidR="00542BAD">
              <w:rPr>
                <w:rFonts w:ascii="Times New Roman" w:eastAsia="Calibri" w:hAnsi="Times New Roman" w:cs="Times New Roman"/>
              </w:rPr>
              <w:t xml:space="preserve">nt and thus help determine eligibility for </w:t>
            </w:r>
            <w:proofErr w:type="spellStart"/>
            <w:r w:rsidR="00542BAD">
              <w:rPr>
                <w:rFonts w:ascii="Times New Roman" w:eastAsia="Calibri" w:hAnsi="Times New Roman" w:cs="Times New Roman"/>
              </w:rPr>
              <w:t>sotorasib</w:t>
            </w:r>
            <w:proofErr w:type="spellEnd"/>
            <w:r>
              <w:rPr>
                <w:rFonts w:ascii="Times New Roman" w:eastAsia="Calibri" w:hAnsi="Times New Roman" w:cs="Times New Roman"/>
                <w:lang w:val="en-AU"/>
              </w:rPr>
              <w:t>. MSAC will quickly reconsider this application if the</w:t>
            </w:r>
            <w:r w:rsidR="004B2CA1" w:rsidRPr="004B2CA1">
              <w:rPr>
                <w:rFonts w:ascii="Times New Roman" w:eastAsia="Calibri" w:hAnsi="Times New Roman" w:cs="Times New Roman"/>
                <w:lang w:val="en-AU"/>
              </w:rPr>
              <w:t xml:space="preserve"> Pharmaceutical Benefits Advisory </w:t>
            </w:r>
            <w:r>
              <w:rPr>
                <w:rFonts w:ascii="Times New Roman" w:eastAsia="Calibri" w:hAnsi="Times New Roman" w:cs="Times New Roman"/>
                <w:lang w:val="en-AU"/>
              </w:rPr>
              <w:t xml:space="preserve">Committee (PBAC) </w:t>
            </w:r>
            <w:r w:rsidR="004B2CA1" w:rsidRPr="004B2CA1">
              <w:rPr>
                <w:rFonts w:ascii="Times New Roman" w:eastAsia="Calibri" w:hAnsi="Times New Roman" w:cs="Times New Roman"/>
                <w:lang w:val="en-AU"/>
              </w:rPr>
              <w:t>re</w:t>
            </w:r>
            <w:r>
              <w:rPr>
                <w:rFonts w:ascii="Times New Roman" w:eastAsia="Calibri" w:hAnsi="Times New Roman" w:cs="Times New Roman"/>
                <w:lang w:val="en-AU"/>
              </w:rPr>
              <w:t xml:space="preserve">commends listing </w:t>
            </w:r>
            <w:proofErr w:type="spellStart"/>
            <w:r>
              <w:rPr>
                <w:rFonts w:ascii="Times New Roman" w:eastAsia="Calibri" w:hAnsi="Times New Roman" w:cs="Times New Roman"/>
                <w:lang w:val="en-AU"/>
              </w:rPr>
              <w:t>sotorasib</w:t>
            </w:r>
            <w:proofErr w:type="spellEnd"/>
            <w:r>
              <w:rPr>
                <w:rFonts w:ascii="Times New Roman" w:eastAsia="Calibri" w:hAnsi="Times New Roman" w:cs="Times New Roman"/>
                <w:lang w:val="en-AU"/>
              </w:rPr>
              <w:t xml:space="preserve"> as requested</w:t>
            </w:r>
            <w:r w:rsidR="004B2CA1" w:rsidRPr="004B2CA1">
              <w:rPr>
                <w:rFonts w:ascii="Times New Roman" w:eastAsia="Calibri" w:hAnsi="Times New Roman" w:cs="Times New Roman"/>
                <w:lang w:val="en-AU"/>
              </w:rPr>
              <w:t>.</w:t>
            </w:r>
          </w:p>
          <w:p w14:paraId="1E570F06" w14:textId="7397357D" w:rsidR="00EE72A6" w:rsidRPr="004B2CA1" w:rsidRDefault="00EE72A6" w:rsidP="004B2CA1">
            <w:pPr>
              <w:spacing w:before="0" w:after="240"/>
              <w:jc w:val="left"/>
              <w:rPr>
                <w:rFonts w:ascii="Times New Roman" w:hAnsi="Times New Roman" w:cs="Times New Roman"/>
                <w:b/>
                <w:bCs/>
                <w:szCs w:val="24"/>
              </w:rPr>
            </w:pPr>
            <w:r w:rsidRPr="004B2CA1">
              <w:rPr>
                <w:rFonts w:ascii="Times New Roman" w:hAnsi="Times New Roman" w:cs="Times New Roman"/>
                <w:b/>
                <w:bCs/>
                <w:szCs w:val="24"/>
              </w:rPr>
              <w:t>MSAC’s advice to the Commonwealth Minister for Health</w:t>
            </w:r>
          </w:p>
          <w:p w14:paraId="0CE829BB" w14:textId="6ED6D8B1" w:rsidR="00EE72A6" w:rsidRPr="00EE72A6" w:rsidRDefault="004B2CA1" w:rsidP="00EE72A6">
            <w:pPr>
              <w:pStyle w:val="Default"/>
              <w:spacing w:after="240"/>
              <w:rPr>
                <w:rFonts w:eastAsiaTheme="minorHAnsi"/>
                <w:iCs/>
                <w:color w:val="auto"/>
              </w:rPr>
            </w:pPr>
            <w:r w:rsidRPr="004B2CA1">
              <w:rPr>
                <w:rFonts w:eastAsiaTheme="minorHAnsi"/>
                <w:iCs/>
                <w:color w:val="auto"/>
              </w:rPr>
              <w:t xml:space="preserve">MSAC considered testing </w:t>
            </w:r>
            <w:r w:rsidR="00DD1F70" w:rsidRPr="001B49C1">
              <w:rPr>
                <w:lang w:val="en-AU"/>
              </w:rPr>
              <w:t xml:space="preserve">for </w:t>
            </w:r>
            <w:r w:rsidR="00DD1F70" w:rsidRPr="00C069B6">
              <w:rPr>
                <w:i/>
                <w:iCs/>
                <w:lang w:val="en-AU"/>
              </w:rPr>
              <w:t>KRAS</w:t>
            </w:r>
            <w:r w:rsidR="00DD1F70" w:rsidRPr="004B2CA1">
              <w:rPr>
                <w:lang w:val="en-AU"/>
              </w:rPr>
              <w:t xml:space="preserve"> G12C</w:t>
            </w:r>
            <w:r w:rsidR="00DD1F70">
              <w:rPr>
                <w:lang w:val="en-AU"/>
              </w:rPr>
              <w:t xml:space="preserve"> status</w:t>
            </w:r>
            <w:r w:rsidR="00DD1F70" w:rsidRPr="004B2CA1">
              <w:rPr>
                <w:rFonts w:eastAsiaTheme="minorHAnsi"/>
                <w:iCs/>
                <w:color w:val="auto"/>
              </w:rPr>
              <w:t xml:space="preserve"> </w:t>
            </w:r>
            <w:r w:rsidRPr="004B2CA1">
              <w:rPr>
                <w:rFonts w:eastAsiaTheme="minorHAnsi"/>
                <w:iCs/>
                <w:color w:val="auto"/>
              </w:rPr>
              <w:t>to be safe</w:t>
            </w:r>
            <w:r w:rsidR="008B72C4">
              <w:rPr>
                <w:rFonts w:eastAsiaTheme="minorHAnsi"/>
                <w:iCs/>
                <w:color w:val="auto"/>
              </w:rPr>
              <w:t xml:space="preserve">, </w:t>
            </w:r>
            <w:proofErr w:type="gramStart"/>
            <w:r w:rsidR="008B72C4" w:rsidRPr="004B2CA1">
              <w:rPr>
                <w:rFonts w:eastAsiaTheme="minorHAnsi"/>
                <w:iCs/>
                <w:color w:val="auto"/>
              </w:rPr>
              <w:t>effective</w:t>
            </w:r>
            <w:proofErr w:type="gramEnd"/>
            <w:r w:rsidRPr="004B2CA1">
              <w:rPr>
                <w:rFonts w:eastAsiaTheme="minorHAnsi"/>
                <w:iCs/>
                <w:color w:val="auto"/>
              </w:rPr>
              <w:t xml:space="preserve"> and </w:t>
            </w:r>
            <w:r w:rsidR="006178A3">
              <w:rPr>
                <w:rFonts w:eastAsiaTheme="minorHAnsi"/>
                <w:iCs/>
                <w:color w:val="auto"/>
              </w:rPr>
              <w:t>cost-effective</w:t>
            </w:r>
            <w:r w:rsidRPr="004B2CA1">
              <w:rPr>
                <w:rFonts w:eastAsiaTheme="minorHAnsi"/>
                <w:iCs/>
                <w:color w:val="auto"/>
              </w:rPr>
              <w:t xml:space="preserve">, </w:t>
            </w:r>
            <w:r w:rsidR="008B72C4">
              <w:rPr>
                <w:rFonts w:eastAsiaTheme="minorHAnsi"/>
                <w:iCs/>
                <w:color w:val="auto"/>
              </w:rPr>
              <w:t xml:space="preserve">but </w:t>
            </w:r>
            <w:r w:rsidR="00DD1F70">
              <w:rPr>
                <w:rFonts w:eastAsiaTheme="minorHAnsi"/>
                <w:iCs/>
                <w:color w:val="auto"/>
              </w:rPr>
              <w:t xml:space="preserve">deferred its </w:t>
            </w:r>
            <w:r w:rsidR="008B72C4">
              <w:rPr>
                <w:rFonts w:eastAsiaTheme="minorHAnsi"/>
                <w:iCs/>
                <w:color w:val="auto"/>
              </w:rPr>
              <w:t xml:space="preserve">decision about listing </w:t>
            </w:r>
            <w:r w:rsidRPr="004B2CA1">
              <w:rPr>
                <w:rFonts w:eastAsiaTheme="minorHAnsi"/>
                <w:iCs/>
                <w:color w:val="auto"/>
              </w:rPr>
              <w:t>it</w:t>
            </w:r>
            <w:r w:rsidR="008B72C4">
              <w:rPr>
                <w:rFonts w:eastAsiaTheme="minorHAnsi"/>
                <w:iCs/>
                <w:color w:val="auto"/>
              </w:rPr>
              <w:t xml:space="preserve"> on the MBS. MSAC noted it would quickly reconsider this application if the</w:t>
            </w:r>
            <w:r w:rsidRPr="004B2CA1">
              <w:rPr>
                <w:rFonts w:eastAsiaTheme="minorHAnsi"/>
                <w:iCs/>
                <w:color w:val="auto"/>
              </w:rPr>
              <w:t xml:space="preserve"> PBAC </w:t>
            </w:r>
            <w:r w:rsidR="008B72C4">
              <w:rPr>
                <w:rFonts w:eastAsiaTheme="minorHAnsi"/>
                <w:iCs/>
                <w:color w:val="auto"/>
              </w:rPr>
              <w:t>recommends</w:t>
            </w:r>
            <w:r w:rsidRPr="004B2CA1">
              <w:rPr>
                <w:rFonts w:eastAsiaTheme="minorHAnsi"/>
                <w:iCs/>
                <w:color w:val="auto"/>
              </w:rPr>
              <w:t xml:space="preserve"> </w:t>
            </w:r>
            <w:r w:rsidR="00DD1F70">
              <w:rPr>
                <w:rFonts w:eastAsiaTheme="minorHAnsi"/>
                <w:iCs/>
                <w:color w:val="auto"/>
              </w:rPr>
              <w:t xml:space="preserve">listing </w:t>
            </w:r>
            <w:proofErr w:type="spellStart"/>
            <w:r w:rsidRPr="004B2CA1">
              <w:rPr>
                <w:rFonts w:eastAsiaTheme="minorHAnsi"/>
                <w:iCs/>
                <w:color w:val="auto"/>
              </w:rPr>
              <w:t>sot</w:t>
            </w:r>
            <w:r w:rsidR="00DD1F70">
              <w:rPr>
                <w:rFonts w:eastAsiaTheme="minorHAnsi"/>
                <w:iCs/>
                <w:color w:val="auto"/>
              </w:rPr>
              <w:t>o</w:t>
            </w:r>
            <w:r w:rsidRPr="004B2CA1">
              <w:rPr>
                <w:rFonts w:eastAsiaTheme="minorHAnsi"/>
                <w:iCs/>
                <w:color w:val="auto"/>
              </w:rPr>
              <w:t>rasib</w:t>
            </w:r>
            <w:proofErr w:type="spellEnd"/>
            <w:r w:rsidRPr="004B2CA1">
              <w:rPr>
                <w:rFonts w:eastAsiaTheme="minorHAnsi"/>
                <w:iCs/>
                <w:color w:val="auto"/>
              </w:rPr>
              <w:t xml:space="preserve"> on the PBS</w:t>
            </w:r>
            <w:r w:rsidR="00DD1F70">
              <w:rPr>
                <w:rFonts w:eastAsiaTheme="minorHAnsi"/>
                <w:iCs/>
                <w:color w:val="auto"/>
              </w:rPr>
              <w:t>.</w:t>
            </w:r>
          </w:p>
        </w:tc>
      </w:tr>
    </w:tbl>
    <w:p w14:paraId="53FB86AB" w14:textId="064557F8" w:rsidR="004B2CA1" w:rsidRDefault="004B2CA1" w:rsidP="00EE72A6">
      <w:pPr>
        <w:keepNext/>
        <w:keepLines/>
        <w:numPr>
          <w:ilvl w:val="0"/>
          <w:numId w:val="92"/>
        </w:numPr>
        <w:spacing w:before="360" w:after="240"/>
        <w:ind w:hanging="720"/>
        <w:jc w:val="left"/>
        <w:outlineLvl w:val="0"/>
        <w:rPr>
          <w:rFonts w:ascii="Arial" w:eastAsia="Times New Roman" w:hAnsi="Arial" w:cs="Arial"/>
          <w:b/>
          <w:bCs/>
          <w:szCs w:val="28"/>
          <w:lang w:eastAsia="en-AU"/>
        </w:rPr>
      </w:pPr>
      <w:r>
        <w:rPr>
          <w:rFonts w:ascii="Arial" w:eastAsia="Times New Roman" w:hAnsi="Arial" w:cs="Arial"/>
          <w:b/>
          <w:bCs/>
          <w:szCs w:val="28"/>
          <w:lang w:eastAsia="en-AU"/>
        </w:rPr>
        <w:lastRenderedPageBreak/>
        <w:t>Summary of consideration and rationale for MSAC’s advice</w:t>
      </w:r>
    </w:p>
    <w:p w14:paraId="3B1BE840" w14:textId="57CD2D42" w:rsidR="004B2CA1" w:rsidRPr="004B2CA1" w:rsidRDefault="004B2CA1" w:rsidP="004B2CA1">
      <w:pPr>
        <w:spacing w:before="240" w:after="240"/>
        <w:jc w:val="left"/>
        <w:rPr>
          <w:rFonts w:ascii="Times New Roman" w:eastAsia="Times New Roman" w:hAnsi="Times New Roman" w:cs="Times New Roman"/>
          <w:szCs w:val="20"/>
          <w:lang w:eastAsia="en-AU"/>
        </w:rPr>
      </w:pPr>
      <w:r w:rsidRPr="004B2CA1">
        <w:rPr>
          <w:rFonts w:ascii="Times New Roman" w:eastAsia="Times New Roman" w:hAnsi="Times New Roman" w:cs="Times New Roman"/>
          <w:szCs w:val="20"/>
          <w:lang w:eastAsia="en-AU"/>
        </w:rPr>
        <w:t>MSAC noted that this was an integrated codependent application from Amgen Australia</w:t>
      </w:r>
      <w:r w:rsidR="00425214">
        <w:rPr>
          <w:rFonts w:ascii="Times New Roman" w:eastAsia="Times New Roman" w:hAnsi="Times New Roman" w:cs="Times New Roman"/>
          <w:szCs w:val="20"/>
          <w:lang w:eastAsia="en-AU"/>
        </w:rPr>
        <w:t xml:space="preserve"> Pty</w:t>
      </w:r>
      <w:r w:rsidR="00F52291">
        <w:rPr>
          <w:rFonts w:ascii="Times New Roman" w:eastAsia="Times New Roman" w:hAnsi="Times New Roman" w:cs="Times New Roman"/>
          <w:szCs w:val="20"/>
          <w:lang w:eastAsia="en-AU"/>
        </w:rPr>
        <w:t>.</w:t>
      </w:r>
      <w:r w:rsidR="00425214">
        <w:rPr>
          <w:rFonts w:ascii="Times New Roman" w:eastAsia="Times New Roman" w:hAnsi="Times New Roman" w:cs="Times New Roman"/>
          <w:szCs w:val="20"/>
          <w:lang w:eastAsia="en-AU"/>
        </w:rPr>
        <w:t xml:space="preserve"> Ltd</w:t>
      </w:r>
      <w:r w:rsidR="00F52291">
        <w:rPr>
          <w:rFonts w:ascii="Times New Roman" w:eastAsia="Times New Roman" w:hAnsi="Times New Roman" w:cs="Times New Roman"/>
          <w:szCs w:val="20"/>
          <w:lang w:eastAsia="en-AU"/>
        </w:rPr>
        <w:t>.</w:t>
      </w:r>
      <w:r w:rsidRPr="004B2CA1">
        <w:rPr>
          <w:rFonts w:ascii="Times New Roman" w:eastAsia="Times New Roman" w:hAnsi="Times New Roman" w:cs="Times New Roman"/>
          <w:szCs w:val="20"/>
          <w:lang w:eastAsia="en-AU"/>
        </w:rPr>
        <w:t xml:space="preserve"> to include </w:t>
      </w:r>
      <w:r w:rsidR="00425214">
        <w:rPr>
          <w:rFonts w:ascii="Times New Roman" w:eastAsia="Times New Roman" w:hAnsi="Times New Roman" w:cs="Times New Roman"/>
          <w:szCs w:val="20"/>
          <w:lang w:eastAsia="en-AU"/>
        </w:rPr>
        <w:t xml:space="preserve">genetic </w:t>
      </w:r>
      <w:r w:rsidRPr="004B2CA1">
        <w:rPr>
          <w:rFonts w:ascii="Times New Roman" w:eastAsia="Times New Roman" w:hAnsi="Times New Roman" w:cs="Times New Roman"/>
          <w:szCs w:val="20"/>
          <w:lang w:eastAsia="en-AU"/>
        </w:rPr>
        <w:t xml:space="preserve">testing for the </w:t>
      </w:r>
      <w:r w:rsidRPr="00DD1F70">
        <w:rPr>
          <w:rFonts w:ascii="Times New Roman" w:eastAsia="Times New Roman" w:hAnsi="Times New Roman" w:cs="Times New Roman"/>
          <w:i/>
          <w:iCs/>
          <w:szCs w:val="20"/>
          <w:lang w:eastAsia="en-AU"/>
        </w:rPr>
        <w:t>KRAS</w:t>
      </w:r>
      <w:r w:rsidRPr="004B2CA1">
        <w:rPr>
          <w:rFonts w:ascii="Times New Roman" w:eastAsia="Times New Roman" w:hAnsi="Times New Roman" w:cs="Times New Roman"/>
          <w:szCs w:val="20"/>
          <w:lang w:eastAsia="en-AU"/>
        </w:rPr>
        <w:t xml:space="preserve"> G12C variant into the existing MBS item 73337 </w:t>
      </w:r>
      <w:r w:rsidR="00425214">
        <w:rPr>
          <w:rFonts w:ascii="Times New Roman" w:eastAsia="Times New Roman" w:hAnsi="Times New Roman" w:cs="Times New Roman"/>
          <w:szCs w:val="20"/>
          <w:lang w:eastAsia="en-AU"/>
        </w:rPr>
        <w:t xml:space="preserve">for </w:t>
      </w:r>
      <w:r w:rsidRPr="004B2CA1">
        <w:rPr>
          <w:rFonts w:ascii="Times New Roman" w:eastAsia="Times New Roman" w:hAnsi="Times New Roman" w:cs="Times New Roman"/>
          <w:szCs w:val="20"/>
          <w:lang w:eastAsia="en-AU"/>
        </w:rPr>
        <w:t xml:space="preserve">epidermal growth factor receptor </w:t>
      </w:r>
      <w:r w:rsidR="00425214">
        <w:rPr>
          <w:rFonts w:ascii="Times New Roman" w:eastAsia="Times New Roman" w:hAnsi="Times New Roman" w:cs="Times New Roman"/>
          <w:szCs w:val="20"/>
          <w:lang w:eastAsia="en-AU"/>
        </w:rPr>
        <w:t>(</w:t>
      </w:r>
      <w:r w:rsidRPr="00DD1F70">
        <w:rPr>
          <w:rFonts w:ascii="Times New Roman" w:eastAsia="Times New Roman" w:hAnsi="Times New Roman" w:cs="Times New Roman"/>
          <w:i/>
          <w:iCs/>
          <w:szCs w:val="20"/>
          <w:lang w:eastAsia="en-AU"/>
        </w:rPr>
        <w:t>EGFR</w:t>
      </w:r>
      <w:r w:rsidR="00425214">
        <w:rPr>
          <w:rFonts w:ascii="Times New Roman" w:eastAsia="Times New Roman" w:hAnsi="Times New Roman" w:cs="Times New Roman"/>
          <w:szCs w:val="20"/>
          <w:lang w:eastAsia="en-AU"/>
        </w:rPr>
        <w:t>)</w:t>
      </w:r>
      <w:r w:rsidRPr="004B2CA1">
        <w:rPr>
          <w:rFonts w:ascii="Times New Roman" w:eastAsia="Times New Roman" w:hAnsi="Times New Roman" w:cs="Times New Roman"/>
          <w:szCs w:val="20"/>
          <w:lang w:eastAsia="en-AU"/>
        </w:rPr>
        <w:t xml:space="preserve"> testing in patients with non-squamous or NOS NSCLC, to determine eligibility for treatment with </w:t>
      </w:r>
      <w:proofErr w:type="spellStart"/>
      <w:r w:rsidRPr="004B2CA1">
        <w:rPr>
          <w:rFonts w:ascii="Times New Roman" w:eastAsia="Times New Roman" w:hAnsi="Times New Roman" w:cs="Times New Roman"/>
          <w:szCs w:val="20"/>
          <w:lang w:eastAsia="en-AU"/>
        </w:rPr>
        <w:t>sotorasib</w:t>
      </w:r>
      <w:proofErr w:type="spellEnd"/>
      <w:r w:rsidRPr="004B2CA1">
        <w:rPr>
          <w:rFonts w:ascii="Times New Roman" w:eastAsia="Times New Roman" w:hAnsi="Times New Roman" w:cs="Times New Roman"/>
          <w:szCs w:val="20"/>
          <w:lang w:eastAsia="en-AU"/>
        </w:rPr>
        <w:t xml:space="preserve"> for the treatment of advanced (stage IIIB/IV) NSCLC.</w:t>
      </w:r>
    </w:p>
    <w:p w14:paraId="38A9B87E" w14:textId="3877889D" w:rsidR="004B2CA1" w:rsidRPr="004B2CA1" w:rsidRDefault="004B2CA1" w:rsidP="004B2CA1">
      <w:pPr>
        <w:spacing w:before="240" w:after="240"/>
        <w:jc w:val="left"/>
        <w:rPr>
          <w:rFonts w:ascii="Times New Roman" w:eastAsia="Times New Roman" w:hAnsi="Times New Roman" w:cs="Times New Roman"/>
          <w:szCs w:val="20"/>
          <w:lang w:eastAsia="en-AU"/>
        </w:rPr>
      </w:pPr>
      <w:r w:rsidRPr="004B2CA1">
        <w:rPr>
          <w:rFonts w:ascii="Times New Roman" w:eastAsia="Times New Roman" w:hAnsi="Times New Roman" w:cs="Times New Roman"/>
          <w:szCs w:val="20"/>
          <w:lang w:eastAsia="en-AU"/>
        </w:rPr>
        <w:t xml:space="preserve">MSAC noted that the </w:t>
      </w:r>
      <w:r w:rsidR="00425214">
        <w:rPr>
          <w:rFonts w:ascii="Times New Roman" w:eastAsia="Times New Roman" w:hAnsi="Times New Roman" w:cs="Times New Roman"/>
          <w:szCs w:val="20"/>
          <w:lang w:eastAsia="en-AU"/>
        </w:rPr>
        <w:t>March 202</w:t>
      </w:r>
      <w:r w:rsidR="007D5343">
        <w:rPr>
          <w:rFonts w:ascii="Times New Roman" w:eastAsia="Times New Roman" w:hAnsi="Times New Roman" w:cs="Times New Roman"/>
          <w:szCs w:val="20"/>
          <w:lang w:eastAsia="en-AU"/>
        </w:rPr>
        <w:t>2</w:t>
      </w:r>
      <w:r w:rsidR="00425214">
        <w:rPr>
          <w:rFonts w:ascii="Times New Roman" w:eastAsia="Times New Roman" w:hAnsi="Times New Roman" w:cs="Times New Roman"/>
          <w:szCs w:val="20"/>
          <w:lang w:eastAsia="en-AU"/>
        </w:rPr>
        <w:t xml:space="preserve"> </w:t>
      </w:r>
      <w:r w:rsidR="007D5343">
        <w:rPr>
          <w:rFonts w:ascii="Times New Roman" w:eastAsia="Times New Roman" w:hAnsi="Times New Roman" w:cs="Times New Roman"/>
          <w:szCs w:val="20"/>
          <w:lang w:eastAsia="en-AU"/>
        </w:rPr>
        <w:t>P</w:t>
      </w:r>
      <w:r w:rsidR="00DD1F70">
        <w:rPr>
          <w:rFonts w:ascii="Times New Roman" w:eastAsia="Times New Roman" w:hAnsi="Times New Roman" w:cs="Times New Roman"/>
          <w:szCs w:val="20"/>
          <w:lang w:eastAsia="en-AU"/>
        </w:rPr>
        <w:t xml:space="preserve">BAC </w:t>
      </w:r>
      <w:r w:rsidR="00425214">
        <w:rPr>
          <w:rFonts w:ascii="Times New Roman" w:eastAsia="Times New Roman" w:hAnsi="Times New Roman" w:cs="Times New Roman"/>
          <w:szCs w:val="20"/>
          <w:lang w:eastAsia="en-AU"/>
        </w:rPr>
        <w:t>meeting</w:t>
      </w:r>
      <w:r w:rsidRPr="004B2CA1">
        <w:rPr>
          <w:rFonts w:ascii="Times New Roman" w:eastAsia="Times New Roman" w:hAnsi="Times New Roman" w:cs="Times New Roman"/>
          <w:szCs w:val="20"/>
          <w:lang w:eastAsia="en-AU"/>
        </w:rPr>
        <w:t xml:space="preserve"> </w:t>
      </w:r>
      <w:r w:rsidR="00F23AA3">
        <w:rPr>
          <w:rFonts w:ascii="Times New Roman" w:eastAsia="Times New Roman" w:hAnsi="Times New Roman" w:cs="Times New Roman"/>
          <w:szCs w:val="20"/>
          <w:lang w:eastAsia="en-AU"/>
        </w:rPr>
        <w:t>d</w:t>
      </w:r>
      <w:r w:rsidR="00DD1F70">
        <w:rPr>
          <w:rFonts w:ascii="Times New Roman" w:eastAsia="Times New Roman" w:hAnsi="Times New Roman" w:cs="Times New Roman"/>
          <w:szCs w:val="20"/>
          <w:lang w:eastAsia="en-AU"/>
        </w:rPr>
        <w:t>ecide</w:t>
      </w:r>
      <w:r w:rsidR="00F23AA3">
        <w:rPr>
          <w:rFonts w:ascii="Times New Roman" w:eastAsia="Times New Roman" w:hAnsi="Times New Roman" w:cs="Times New Roman"/>
          <w:szCs w:val="20"/>
          <w:lang w:eastAsia="en-AU"/>
        </w:rPr>
        <w:t xml:space="preserve">d </w:t>
      </w:r>
      <w:r w:rsidR="00DD1F70">
        <w:rPr>
          <w:rFonts w:ascii="Times New Roman" w:eastAsia="Times New Roman" w:hAnsi="Times New Roman" w:cs="Times New Roman"/>
          <w:szCs w:val="20"/>
          <w:lang w:eastAsia="en-AU"/>
        </w:rPr>
        <w:t xml:space="preserve">to </w:t>
      </w:r>
      <w:r w:rsidR="00F23AA3">
        <w:rPr>
          <w:rFonts w:ascii="Times New Roman" w:eastAsia="Times New Roman" w:hAnsi="Times New Roman" w:cs="Times New Roman"/>
          <w:szCs w:val="20"/>
          <w:lang w:eastAsia="en-AU"/>
        </w:rPr>
        <w:t xml:space="preserve">not recommend </w:t>
      </w:r>
      <w:r w:rsidRPr="004B2CA1">
        <w:rPr>
          <w:rFonts w:ascii="Times New Roman" w:eastAsia="Times New Roman" w:hAnsi="Times New Roman" w:cs="Times New Roman"/>
          <w:szCs w:val="20"/>
          <w:lang w:eastAsia="en-AU"/>
        </w:rPr>
        <w:t xml:space="preserve">listing </w:t>
      </w:r>
      <w:proofErr w:type="spellStart"/>
      <w:r w:rsidRPr="004B2CA1">
        <w:rPr>
          <w:rFonts w:ascii="Times New Roman" w:eastAsia="Times New Roman" w:hAnsi="Times New Roman" w:cs="Times New Roman"/>
          <w:szCs w:val="20"/>
          <w:lang w:eastAsia="en-AU"/>
        </w:rPr>
        <w:t>sotorasib</w:t>
      </w:r>
      <w:proofErr w:type="spellEnd"/>
      <w:r w:rsidRPr="004B2CA1">
        <w:rPr>
          <w:rFonts w:ascii="Times New Roman" w:eastAsia="Times New Roman" w:hAnsi="Times New Roman" w:cs="Times New Roman"/>
          <w:szCs w:val="20"/>
          <w:lang w:eastAsia="en-AU"/>
        </w:rPr>
        <w:t xml:space="preserve"> on the PBS</w:t>
      </w:r>
      <w:r w:rsidR="00F23AA3">
        <w:rPr>
          <w:rFonts w:ascii="Times New Roman" w:eastAsia="Times New Roman" w:hAnsi="Times New Roman" w:cs="Times New Roman"/>
          <w:szCs w:val="20"/>
          <w:lang w:eastAsia="en-AU"/>
        </w:rPr>
        <w:t xml:space="preserve"> for the</w:t>
      </w:r>
      <w:r w:rsidRPr="004B2CA1">
        <w:rPr>
          <w:rFonts w:ascii="Times New Roman" w:eastAsia="Times New Roman" w:hAnsi="Times New Roman" w:cs="Times New Roman"/>
          <w:szCs w:val="20"/>
          <w:lang w:eastAsia="en-AU"/>
        </w:rPr>
        <w:t xml:space="preserve"> </w:t>
      </w:r>
      <w:r w:rsidR="00F23AA3" w:rsidRPr="00F23AA3">
        <w:rPr>
          <w:rFonts w:ascii="Times New Roman" w:eastAsia="Times New Roman" w:hAnsi="Times New Roman" w:cs="Times New Roman"/>
          <w:szCs w:val="20"/>
          <w:lang w:eastAsia="en-AU"/>
        </w:rPr>
        <w:t xml:space="preserve">treatment of </w:t>
      </w:r>
      <w:r w:rsidR="00F7777A">
        <w:rPr>
          <w:rFonts w:ascii="Times New Roman" w:eastAsia="Times New Roman" w:hAnsi="Times New Roman" w:cs="Times New Roman"/>
          <w:szCs w:val="20"/>
          <w:lang w:eastAsia="en-AU"/>
        </w:rPr>
        <w:t xml:space="preserve">patients with </w:t>
      </w:r>
      <w:r w:rsidR="00F23AA3" w:rsidRPr="00F23AA3">
        <w:rPr>
          <w:rFonts w:ascii="Times New Roman" w:eastAsia="Times New Roman" w:hAnsi="Times New Roman" w:cs="Times New Roman"/>
          <w:szCs w:val="20"/>
          <w:lang w:eastAsia="en-AU"/>
        </w:rPr>
        <w:t>non-squamous or NOS Stage IIIB (locally advanced) or Stage</w:t>
      </w:r>
      <w:r w:rsidR="00F7777A">
        <w:rPr>
          <w:rFonts w:ascii="Times New Roman" w:eastAsia="Times New Roman" w:hAnsi="Times New Roman" w:cs="Times New Roman"/>
          <w:szCs w:val="20"/>
          <w:lang w:eastAsia="en-AU"/>
        </w:rPr>
        <w:t> </w:t>
      </w:r>
      <w:r w:rsidR="00F23AA3" w:rsidRPr="00F23AA3">
        <w:rPr>
          <w:rFonts w:ascii="Times New Roman" w:eastAsia="Times New Roman" w:hAnsi="Times New Roman" w:cs="Times New Roman"/>
          <w:szCs w:val="20"/>
          <w:lang w:eastAsia="en-AU"/>
        </w:rPr>
        <w:t>IV (metastatic) NSCLC</w:t>
      </w:r>
      <w:r w:rsidR="00730FF8">
        <w:rPr>
          <w:rFonts w:ascii="Times New Roman" w:eastAsia="Times New Roman" w:hAnsi="Times New Roman" w:cs="Times New Roman"/>
          <w:szCs w:val="20"/>
          <w:lang w:eastAsia="en-AU"/>
        </w:rPr>
        <w:t xml:space="preserve"> </w:t>
      </w:r>
      <w:r w:rsidR="00F23AA3" w:rsidRPr="00F23AA3">
        <w:rPr>
          <w:rFonts w:ascii="Times New Roman" w:eastAsia="Times New Roman" w:hAnsi="Times New Roman" w:cs="Times New Roman"/>
          <w:szCs w:val="20"/>
          <w:lang w:eastAsia="en-AU"/>
        </w:rPr>
        <w:t xml:space="preserve">who harbour the </w:t>
      </w:r>
      <w:r w:rsidR="00F23AA3" w:rsidRPr="00DD1F70">
        <w:rPr>
          <w:rFonts w:ascii="Times New Roman" w:eastAsia="Times New Roman" w:hAnsi="Times New Roman" w:cs="Times New Roman"/>
          <w:i/>
          <w:iCs/>
          <w:szCs w:val="20"/>
          <w:lang w:eastAsia="en-AU"/>
        </w:rPr>
        <w:t>KRAS</w:t>
      </w:r>
      <w:r w:rsidR="00F23AA3" w:rsidRPr="00F23AA3">
        <w:rPr>
          <w:rFonts w:ascii="Times New Roman" w:eastAsia="Times New Roman" w:hAnsi="Times New Roman" w:cs="Times New Roman"/>
          <w:szCs w:val="20"/>
          <w:lang w:eastAsia="en-AU"/>
        </w:rPr>
        <w:t xml:space="preserve"> G12C variant and who have progressed on prior therapy</w:t>
      </w:r>
      <w:r w:rsidRPr="004B2CA1">
        <w:rPr>
          <w:rFonts w:ascii="Times New Roman" w:eastAsia="Times New Roman" w:hAnsi="Times New Roman" w:cs="Times New Roman"/>
          <w:szCs w:val="20"/>
          <w:lang w:eastAsia="en-AU"/>
        </w:rPr>
        <w:t>.</w:t>
      </w:r>
    </w:p>
    <w:p w14:paraId="39B28BCF" w14:textId="709A0DC4" w:rsidR="004B2CA1" w:rsidRPr="004B2CA1" w:rsidRDefault="00320FCA" w:rsidP="004B2CA1">
      <w:pPr>
        <w:spacing w:before="0" w:after="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MSAC noted that </w:t>
      </w:r>
      <w:r w:rsidRPr="00E526DE">
        <w:rPr>
          <w:rFonts w:ascii="Times New Roman" w:eastAsia="Times New Roman" w:hAnsi="Times New Roman" w:cs="Times New Roman"/>
          <w:i/>
          <w:iCs/>
          <w:szCs w:val="20"/>
          <w:lang w:eastAsia="en-AU"/>
        </w:rPr>
        <w:t>KRAS</w:t>
      </w:r>
      <w:r w:rsidRPr="00320FCA">
        <w:rPr>
          <w:rFonts w:ascii="Times New Roman" w:eastAsia="Times New Roman" w:hAnsi="Times New Roman" w:cs="Times New Roman"/>
          <w:szCs w:val="20"/>
          <w:lang w:eastAsia="en-AU"/>
        </w:rPr>
        <w:t xml:space="preserve"> G12C variant testing is proposed to occur concurrently with pathogenic </w:t>
      </w:r>
      <w:r w:rsidRPr="00E526DE">
        <w:rPr>
          <w:rFonts w:ascii="Times New Roman" w:eastAsia="Times New Roman" w:hAnsi="Times New Roman" w:cs="Times New Roman"/>
          <w:i/>
          <w:iCs/>
          <w:szCs w:val="20"/>
          <w:lang w:eastAsia="en-AU"/>
        </w:rPr>
        <w:t>EGFR</w:t>
      </w:r>
      <w:r w:rsidRPr="00320FCA">
        <w:rPr>
          <w:rFonts w:ascii="Times New Roman" w:eastAsia="Times New Roman" w:hAnsi="Times New Roman" w:cs="Times New Roman"/>
          <w:szCs w:val="20"/>
          <w:lang w:eastAsia="en-AU"/>
        </w:rPr>
        <w:t xml:space="preserve"> variant testing at initial diagnosis of non-squamous </w:t>
      </w:r>
      <w:r w:rsidR="00D319F5">
        <w:rPr>
          <w:rFonts w:ascii="Times New Roman" w:eastAsia="Times New Roman" w:hAnsi="Times New Roman" w:cs="Times New Roman"/>
          <w:szCs w:val="20"/>
          <w:lang w:eastAsia="en-AU"/>
        </w:rPr>
        <w:t xml:space="preserve">or NOS </w:t>
      </w:r>
      <w:r w:rsidRPr="00320FCA">
        <w:rPr>
          <w:rFonts w:ascii="Times New Roman" w:eastAsia="Times New Roman" w:hAnsi="Times New Roman" w:cs="Times New Roman"/>
          <w:szCs w:val="20"/>
          <w:lang w:eastAsia="en-AU"/>
        </w:rPr>
        <w:t xml:space="preserve">NSCLC. </w:t>
      </w:r>
      <w:r w:rsidR="00D319F5">
        <w:rPr>
          <w:rFonts w:ascii="Times New Roman" w:eastAsia="Times New Roman" w:hAnsi="Times New Roman" w:cs="Times New Roman"/>
          <w:szCs w:val="20"/>
          <w:lang w:eastAsia="en-AU"/>
        </w:rPr>
        <w:t xml:space="preserve">MSAC considered this timing of testing to be suitable because </w:t>
      </w:r>
      <w:r w:rsidR="00D319F5" w:rsidRPr="00D319F5">
        <w:rPr>
          <w:rFonts w:ascii="Times New Roman" w:eastAsia="Times New Roman" w:hAnsi="Times New Roman" w:cs="Times New Roman"/>
          <w:i/>
          <w:iCs/>
          <w:szCs w:val="20"/>
          <w:lang w:eastAsia="en-AU"/>
        </w:rPr>
        <w:t>KRAS</w:t>
      </w:r>
      <w:r w:rsidR="00D319F5">
        <w:rPr>
          <w:rFonts w:ascii="Times New Roman" w:eastAsia="Times New Roman" w:hAnsi="Times New Roman" w:cs="Times New Roman"/>
          <w:szCs w:val="20"/>
          <w:lang w:eastAsia="en-AU"/>
        </w:rPr>
        <w:t xml:space="preserve"> pathogenic variants are known to be stable over time. MSAC accepted advice that, i</w:t>
      </w:r>
      <w:r w:rsidRPr="00320FCA">
        <w:rPr>
          <w:rFonts w:ascii="Times New Roman" w:eastAsia="Times New Roman" w:hAnsi="Times New Roman" w:cs="Times New Roman"/>
          <w:szCs w:val="20"/>
          <w:lang w:eastAsia="en-AU"/>
        </w:rPr>
        <w:t xml:space="preserve">n </w:t>
      </w:r>
      <w:proofErr w:type="gramStart"/>
      <w:r w:rsidRPr="00320FCA">
        <w:rPr>
          <w:rFonts w:ascii="Times New Roman" w:eastAsia="Times New Roman" w:hAnsi="Times New Roman" w:cs="Times New Roman"/>
          <w:szCs w:val="20"/>
          <w:lang w:eastAsia="en-AU"/>
        </w:rPr>
        <w:t>the majority of</w:t>
      </w:r>
      <w:proofErr w:type="gramEnd"/>
      <w:r w:rsidRPr="00320FCA">
        <w:rPr>
          <w:rFonts w:ascii="Times New Roman" w:eastAsia="Times New Roman" w:hAnsi="Times New Roman" w:cs="Times New Roman"/>
          <w:szCs w:val="20"/>
          <w:lang w:eastAsia="en-AU"/>
        </w:rPr>
        <w:t xml:space="preserve"> </w:t>
      </w:r>
      <w:r w:rsidR="00D319F5">
        <w:rPr>
          <w:rFonts w:ascii="Times New Roman" w:eastAsia="Times New Roman" w:hAnsi="Times New Roman" w:cs="Times New Roman"/>
          <w:szCs w:val="20"/>
          <w:lang w:eastAsia="en-AU"/>
        </w:rPr>
        <w:t xml:space="preserve">pathology </w:t>
      </w:r>
      <w:r w:rsidRPr="00320FCA">
        <w:rPr>
          <w:rFonts w:ascii="Times New Roman" w:eastAsia="Times New Roman" w:hAnsi="Times New Roman" w:cs="Times New Roman"/>
          <w:szCs w:val="20"/>
          <w:lang w:eastAsia="en-AU"/>
        </w:rPr>
        <w:t>laboratories in Australia</w:t>
      </w:r>
      <w:r w:rsidR="00C71AEB">
        <w:rPr>
          <w:rFonts w:ascii="Times New Roman" w:eastAsia="Times New Roman" w:hAnsi="Times New Roman" w:cs="Times New Roman"/>
          <w:szCs w:val="20"/>
          <w:lang w:eastAsia="en-AU"/>
        </w:rPr>
        <w:t>, genetic testing using</w:t>
      </w:r>
      <w:r w:rsidRPr="00320FCA">
        <w:rPr>
          <w:rFonts w:ascii="Times New Roman" w:eastAsia="Times New Roman" w:hAnsi="Times New Roman" w:cs="Times New Roman"/>
          <w:szCs w:val="20"/>
          <w:lang w:eastAsia="en-AU"/>
        </w:rPr>
        <w:t xml:space="preserve"> </w:t>
      </w:r>
      <w:r w:rsidR="00E526DE" w:rsidRPr="004B2CA1">
        <w:rPr>
          <w:rFonts w:ascii="Times New Roman" w:eastAsia="Times New Roman" w:hAnsi="Times New Roman" w:cs="Times New Roman"/>
          <w:szCs w:val="20"/>
          <w:lang w:eastAsia="en-AU"/>
        </w:rPr>
        <w:t xml:space="preserve">polymerase chain reaction </w:t>
      </w:r>
      <w:r w:rsidR="00E526DE">
        <w:rPr>
          <w:rFonts w:ascii="Times New Roman" w:eastAsia="Times New Roman" w:hAnsi="Times New Roman" w:cs="Times New Roman"/>
          <w:szCs w:val="20"/>
          <w:lang w:eastAsia="en-AU"/>
        </w:rPr>
        <w:t>(</w:t>
      </w:r>
      <w:r w:rsidR="00E526DE" w:rsidRPr="004B2CA1">
        <w:rPr>
          <w:rFonts w:ascii="Times New Roman" w:eastAsia="Times New Roman" w:hAnsi="Times New Roman" w:cs="Times New Roman"/>
          <w:szCs w:val="20"/>
          <w:lang w:eastAsia="en-AU"/>
        </w:rPr>
        <w:t>PCR</w:t>
      </w:r>
      <w:r w:rsidR="00E526DE">
        <w:rPr>
          <w:rFonts w:ascii="Times New Roman" w:eastAsia="Times New Roman" w:hAnsi="Times New Roman" w:cs="Times New Roman"/>
          <w:szCs w:val="20"/>
          <w:lang w:eastAsia="en-AU"/>
        </w:rPr>
        <w:t xml:space="preserve">) </w:t>
      </w:r>
      <w:r w:rsidR="00CC4878">
        <w:rPr>
          <w:rFonts w:ascii="Times New Roman" w:eastAsia="Times New Roman" w:hAnsi="Times New Roman" w:cs="Times New Roman"/>
          <w:szCs w:val="20"/>
          <w:lang w:eastAsia="en-AU"/>
        </w:rPr>
        <w:t xml:space="preserve">panels </w:t>
      </w:r>
      <w:r w:rsidR="00E526DE">
        <w:rPr>
          <w:rFonts w:ascii="Times New Roman" w:eastAsia="Times New Roman" w:hAnsi="Times New Roman" w:cs="Times New Roman"/>
          <w:szCs w:val="20"/>
          <w:lang w:eastAsia="en-AU"/>
        </w:rPr>
        <w:t xml:space="preserve">or </w:t>
      </w:r>
      <w:r w:rsidR="00C71AEB">
        <w:rPr>
          <w:rFonts w:ascii="Times New Roman" w:eastAsia="Times New Roman" w:hAnsi="Times New Roman" w:cs="Times New Roman"/>
          <w:szCs w:val="20"/>
          <w:lang w:eastAsia="en-AU"/>
        </w:rPr>
        <w:t>next generation sequencing (</w:t>
      </w:r>
      <w:r w:rsidRPr="00320FCA">
        <w:rPr>
          <w:rFonts w:ascii="Times New Roman" w:eastAsia="Times New Roman" w:hAnsi="Times New Roman" w:cs="Times New Roman"/>
          <w:szCs w:val="20"/>
          <w:lang w:eastAsia="en-AU"/>
        </w:rPr>
        <w:t>NGS</w:t>
      </w:r>
      <w:r w:rsidR="00C71AEB">
        <w:rPr>
          <w:rFonts w:ascii="Times New Roman" w:eastAsia="Times New Roman" w:hAnsi="Times New Roman" w:cs="Times New Roman"/>
          <w:szCs w:val="20"/>
          <w:lang w:eastAsia="en-AU"/>
        </w:rPr>
        <w:t>)</w:t>
      </w:r>
      <w:r w:rsidRPr="00320FCA">
        <w:rPr>
          <w:rFonts w:ascii="Times New Roman" w:eastAsia="Times New Roman" w:hAnsi="Times New Roman" w:cs="Times New Roman"/>
          <w:szCs w:val="20"/>
          <w:lang w:eastAsia="en-AU"/>
        </w:rPr>
        <w:t xml:space="preserve"> would be used to analyse the presence of pathogenic variants in both </w:t>
      </w:r>
      <w:r w:rsidRPr="00E526DE">
        <w:rPr>
          <w:rFonts w:ascii="Times New Roman" w:eastAsia="Times New Roman" w:hAnsi="Times New Roman" w:cs="Times New Roman"/>
          <w:i/>
          <w:iCs/>
          <w:szCs w:val="20"/>
          <w:lang w:eastAsia="en-AU"/>
        </w:rPr>
        <w:t>EGFR</w:t>
      </w:r>
      <w:r w:rsidRPr="00320FCA">
        <w:rPr>
          <w:rFonts w:ascii="Times New Roman" w:eastAsia="Times New Roman" w:hAnsi="Times New Roman" w:cs="Times New Roman"/>
          <w:szCs w:val="20"/>
          <w:lang w:eastAsia="en-AU"/>
        </w:rPr>
        <w:t xml:space="preserve"> and </w:t>
      </w:r>
      <w:r w:rsidRPr="00E526DE">
        <w:rPr>
          <w:rFonts w:ascii="Times New Roman" w:eastAsia="Times New Roman" w:hAnsi="Times New Roman" w:cs="Times New Roman"/>
          <w:i/>
          <w:iCs/>
          <w:szCs w:val="20"/>
          <w:lang w:eastAsia="en-AU"/>
        </w:rPr>
        <w:t>KRAS</w:t>
      </w:r>
      <w:r w:rsidRPr="00320FCA">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w:t>
      </w:r>
      <w:r w:rsidR="00CC4878">
        <w:rPr>
          <w:rFonts w:ascii="Times New Roman" w:eastAsia="Times New Roman" w:hAnsi="Times New Roman" w:cs="Times New Roman"/>
          <w:szCs w:val="20"/>
          <w:lang w:eastAsia="en-AU"/>
        </w:rPr>
        <w:t>MSAC noted that, currently, the turnaround time for reporting the results of PCR panels is usually several hours, whilst the tu</w:t>
      </w:r>
      <w:r w:rsidR="0002444E">
        <w:rPr>
          <w:rFonts w:ascii="Times New Roman" w:eastAsia="Times New Roman" w:hAnsi="Times New Roman" w:cs="Times New Roman"/>
          <w:szCs w:val="20"/>
          <w:lang w:eastAsia="en-AU"/>
        </w:rPr>
        <w:t>r</w:t>
      </w:r>
      <w:r w:rsidR="00CC4878">
        <w:rPr>
          <w:rFonts w:ascii="Times New Roman" w:eastAsia="Times New Roman" w:hAnsi="Times New Roman" w:cs="Times New Roman"/>
          <w:szCs w:val="20"/>
          <w:lang w:eastAsia="en-AU"/>
        </w:rPr>
        <w:t xml:space="preserve">naround time for reporting the results of NGS is usually several days. </w:t>
      </w:r>
      <w:r w:rsidR="004B2CA1" w:rsidRPr="004B2CA1">
        <w:rPr>
          <w:rFonts w:ascii="Times New Roman" w:eastAsia="Times New Roman" w:hAnsi="Times New Roman" w:cs="Times New Roman"/>
          <w:szCs w:val="20"/>
          <w:lang w:eastAsia="en-AU"/>
        </w:rPr>
        <w:t xml:space="preserve">MSAC </w:t>
      </w:r>
      <w:bookmarkStart w:id="2" w:name="_Hlk101275855"/>
      <w:r w:rsidR="00E526DE">
        <w:rPr>
          <w:rFonts w:ascii="Times New Roman" w:eastAsia="Times New Roman" w:hAnsi="Times New Roman" w:cs="Times New Roman"/>
          <w:szCs w:val="20"/>
          <w:lang w:eastAsia="en-AU"/>
        </w:rPr>
        <w:t>consider</w:t>
      </w:r>
      <w:r w:rsidR="00284AF8">
        <w:rPr>
          <w:rFonts w:ascii="Times New Roman" w:eastAsia="Times New Roman" w:hAnsi="Times New Roman" w:cs="Times New Roman"/>
          <w:szCs w:val="20"/>
          <w:lang w:eastAsia="en-AU"/>
        </w:rPr>
        <w:t>ed</w:t>
      </w:r>
      <w:r w:rsidR="004B2CA1" w:rsidRPr="004B2CA1">
        <w:rPr>
          <w:rFonts w:ascii="Times New Roman" w:eastAsia="Times New Roman" w:hAnsi="Times New Roman" w:cs="Times New Roman"/>
          <w:szCs w:val="20"/>
          <w:lang w:eastAsia="en-AU"/>
        </w:rPr>
        <w:t xml:space="preserve"> that the </w:t>
      </w:r>
      <w:r w:rsidR="00E526DE">
        <w:rPr>
          <w:rFonts w:ascii="Times New Roman" w:eastAsia="Times New Roman" w:hAnsi="Times New Roman" w:cs="Times New Roman"/>
          <w:szCs w:val="20"/>
          <w:lang w:eastAsia="en-AU"/>
        </w:rPr>
        <w:t xml:space="preserve">PCR and </w:t>
      </w:r>
      <w:r w:rsidR="004B2CA1" w:rsidRPr="004B2CA1">
        <w:rPr>
          <w:rFonts w:ascii="Times New Roman" w:eastAsia="Times New Roman" w:hAnsi="Times New Roman" w:cs="Times New Roman"/>
          <w:szCs w:val="20"/>
          <w:lang w:eastAsia="en-AU"/>
        </w:rPr>
        <w:lastRenderedPageBreak/>
        <w:t>NGS technolog</w:t>
      </w:r>
      <w:r w:rsidR="00E526DE">
        <w:rPr>
          <w:rFonts w:ascii="Times New Roman" w:eastAsia="Times New Roman" w:hAnsi="Times New Roman" w:cs="Times New Roman"/>
          <w:szCs w:val="20"/>
          <w:lang w:eastAsia="en-AU"/>
        </w:rPr>
        <w:t>ies were</w:t>
      </w:r>
      <w:r w:rsidR="00CC4878">
        <w:rPr>
          <w:rFonts w:ascii="Times New Roman" w:eastAsia="Times New Roman" w:hAnsi="Times New Roman" w:cs="Times New Roman"/>
          <w:szCs w:val="20"/>
          <w:lang w:eastAsia="en-AU"/>
        </w:rPr>
        <w:t xml:space="preserve"> both</w:t>
      </w:r>
      <w:r w:rsidR="004B2CA1" w:rsidRPr="004B2CA1">
        <w:rPr>
          <w:rFonts w:ascii="Times New Roman" w:eastAsia="Times New Roman" w:hAnsi="Times New Roman" w:cs="Times New Roman"/>
          <w:szCs w:val="20"/>
          <w:lang w:eastAsia="en-AU"/>
        </w:rPr>
        <w:t xml:space="preserve"> mature </w:t>
      </w:r>
      <w:r w:rsidR="00EE1E91">
        <w:rPr>
          <w:rFonts w:ascii="Times New Roman" w:eastAsia="Times New Roman" w:hAnsi="Times New Roman" w:cs="Times New Roman"/>
          <w:szCs w:val="20"/>
          <w:lang w:eastAsia="en-AU"/>
        </w:rPr>
        <w:t>in testing NSCLC tumours because</w:t>
      </w:r>
      <w:r w:rsidR="004B2CA1" w:rsidRPr="004B2CA1">
        <w:rPr>
          <w:rFonts w:ascii="Times New Roman" w:eastAsia="Times New Roman" w:hAnsi="Times New Roman" w:cs="Times New Roman"/>
          <w:szCs w:val="20"/>
          <w:lang w:eastAsia="en-AU"/>
        </w:rPr>
        <w:t xml:space="preserve"> testing for </w:t>
      </w:r>
      <w:r w:rsidR="004B2CA1" w:rsidRPr="00E526DE">
        <w:rPr>
          <w:rFonts w:ascii="Times New Roman" w:eastAsia="Times New Roman" w:hAnsi="Times New Roman" w:cs="Times New Roman"/>
          <w:i/>
          <w:iCs/>
          <w:szCs w:val="20"/>
          <w:lang w:eastAsia="en-AU"/>
        </w:rPr>
        <w:t>KRAS</w:t>
      </w:r>
      <w:r w:rsidR="004B2CA1" w:rsidRPr="004B2CA1">
        <w:rPr>
          <w:rFonts w:ascii="Times New Roman" w:eastAsia="Times New Roman" w:hAnsi="Times New Roman" w:cs="Times New Roman"/>
          <w:szCs w:val="20"/>
          <w:lang w:eastAsia="en-AU"/>
        </w:rPr>
        <w:t xml:space="preserve"> pathogenic variants is already included in NSCLC gene panels along with </w:t>
      </w:r>
      <w:r w:rsidR="004B2CA1" w:rsidRPr="00E526DE">
        <w:rPr>
          <w:rFonts w:ascii="Times New Roman" w:eastAsia="Times New Roman" w:hAnsi="Times New Roman" w:cs="Times New Roman"/>
          <w:i/>
          <w:iCs/>
          <w:szCs w:val="20"/>
          <w:lang w:eastAsia="en-AU"/>
        </w:rPr>
        <w:t>EGFR</w:t>
      </w:r>
      <w:bookmarkEnd w:id="2"/>
      <w:r w:rsidR="00E526DE">
        <w:rPr>
          <w:rFonts w:ascii="Times New Roman" w:eastAsia="Times New Roman" w:hAnsi="Times New Roman" w:cs="Times New Roman"/>
          <w:szCs w:val="20"/>
          <w:lang w:eastAsia="en-AU"/>
        </w:rPr>
        <w:t xml:space="preserve"> testing.</w:t>
      </w:r>
      <w:r w:rsidR="004B2CA1" w:rsidRPr="004B2CA1">
        <w:rPr>
          <w:rFonts w:ascii="Times New Roman" w:eastAsia="Times New Roman" w:hAnsi="Times New Roman" w:cs="Times New Roman"/>
          <w:szCs w:val="20"/>
          <w:lang w:eastAsia="en-AU"/>
        </w:rPr>
        <w:t xml:space="preserve"> National Association of Testing Authorities, Australia has accredited the proposed gene panel</w:t>
      </w:r>
      <w:r w:rsidR="00283B06">
        <w:rPr>
          <w:rFonts w:ascii="Times New Roman" w:eastAsia="Times New Roman" w:hAnsi="Times New Roman" w:cs="Times New Roman"/>
          <w:szCs w:val="20"/>
          <w:lang w:eastAsia="en-AU"/>
        </w:rPr>
        <w:t>s</w:t>
      </w:r>
      <w:r w:rsidR="004B2CA1" w:rsidRPr="004B2CA1">
        <w:rPr>
          <w:rFonts w:ascii="Times New Roman" w:eastAsia="Times New Roman" w:hAnsi="Times New Roman" w:cs="Times New Roman"/>
          <w:szCs w:val="20"/>
          <w:lang w:eastAsia="en-AU"/>
        </w:rPr>
        <w:t>, and an external quality assurance program (QAP) is available.</w:t>
      </w:r>
    </w:p>
    <w:p w14:paraId="41FD0DE8" w14:textId="664F103E" w:rsidR="004B2CA1" w:rsidRPr="004B2CA1" w:rsidRDefault="004B2CA1" w:rsidP="00EE1E91">
      <w:pPr>
        <w:spacing w:before="240" w:after="120"/>
        <w:jc w:val="left"/>
        <w:rPr>
          <w:rFonts w:ascii="Times New Roman" w:eastAsia="Times New Roman" w:hAnsi="Times New Roman" w:cs="Times New Roman"/>
          <w:szCs w:val="20"/>
          <w:lang w:eastAsia="en-AU"/>
        </w:rPr>
      </w:pPr>
      <w:r w:rsidRPr="004B2CA1">
        <w:rPr>
          <w:rFonts w:ascii="Times New Roman" w:eastAsia="Times New Roman" w:hAnsi="Times New Roman" w:cs="Times New Roman"/>
          <w:szCs w:val="20"/>
          <w:lang w:eastAsia="en-AU"/>
        </w:rPr>
        <w:t xml:space="preserve">MSAC noted no proposed change in the existing fee for MBS item 73337, as the current fee covers the cost of NGS panel testing ($397.35). </w:t>
      </w:r>
      <w:r w:rsidR="00B35F51">
        <w:rPr>
          <w:rFonts w:ascii="Times New Roman" w:eastAsia="Times New Roman" w:hAnsi="Times New Roman" w:cs="Times New Roman"/>
          <w:szCs w:val="20"/>
          <w:lang w:eastAsia="en-AU"/>
        </w:rPr>
        <w:t>MSAC noted the consultation feedback received did not agree with the proposed fee</w:t>
      </w:r>
      <w:r w:rsidR="00F5620B">
        <w:rPr>
          <w:rFonts w:ascii="Times New Roman" w:eastAsia="Times New Roman" w:hAnsi="Times New Roman" w:cs="Times New Roman"/>
          <w:szCs w:val="20"/>
          <w:lang w:eastAsia="en-AU"/>
        </w:rPr>
        <w:t xml:space="preserve">, citing </w:t>
      </w:r>
      <w:r w:rsidRPr="004B2CA1">
        <w:rPr>
          <w:rFonts w:ascii="Times New Roman" w:eastAsia="Times New Roman" w:hAnsi="Times New Roman" w:cs="Times New Roman"/>
          <w:szCs w:val="20"/>
          <w:lang w:eastAsia="en-AU"/>
        </w:rPr>
        <w:t xml:space="preserve">the extra costs associated with reporting </w:t>
      </w:r>
      <w:r w:rsidRPr="00EE1E91">
        <w:rPr>
          <w:rFonts w:ascii="Times New Roman" w:eastAsia="Times New Roman" w:hAnsi="Times New Roman" w:cs="Times New Roman"/>
          <w:i/>
          <w:iCs/>
          <w:szCs w:val="20"/>
          <w:lang w:eastAsia="en-AU"/>
        </w:rPr>
        <w:t>KRAS</w:t>
      </w:r>
      <w:r w:rsidRPr="004B2CA1">
        <w:rPr>
          <w:rFonts w:ascii="Times New Roman" w:eastAsia="Times New Roman" w:hAnsi="Times New Roman" w:cs="Times New Roman"/>
          <w:szCs w:val="20"/>
          <w:lang w:eastAsia="en-AU"/>
        </w:rPr>
        <w:t xml:space="preserve"> results, validating </w:t>
      </w:r>
      <w:r w:rsidRPr="00EE1E91">
        <w:rPr>
          <w:rFonts w:ascii="Times New Roman" w:eastAsia="Times New Roman" w:hAnsi="Times New Roman" w:cs="Times New Roman"/>
          <w:i/>
          <w:iCs/>
          <w:szCs w:val="20"/>
          <w:lang w:eastAsia="en-AU"/>
        </w:rPr>
        <w:t>KRAS</w:t>
      </w:r>
      <w:r w:rsidRPr="004B2CA1">
        <w:rPr>
          <w:rFonts w:ascii="Times New Roman" w:eastAsia="Times New Roman" w:hAnsi="Times New Roman" w:cs="Times New Roman"/>
          <w:szCs w:val="20"/>
          <w:lang w:eastAsia="en-AU"/>
        </w:rPr>
        <w:t xml:space="preserve"> testing in NSCLC specimens and ongoing participation in additional QAPs </w:t>
      </w:r>
      <w:r w:rsidR="007D5343">
        <w:rPr>
          <w:rFonts w:ascii="Times New Roman" w:eastAsia="Times New Roman" w:hAnsi="Times New Roman" w:cs="Times New Roman"/>
          <w:szCs w:val="20"/>
          <w:lang w:eastAsia="en-AU"/>
        </w:rPr>
        <w:t>are</w:t>
      </w:r>
      <w:r w:rsidRPr="004B2CA1">
        <w:rPr>
          <w:rFonts w:ascii="Times New Roman" w:eastAsia="Times New Roman" w:hAnsi="Times New Roman" w:cs="Times New Roman"/>
          <w:szCs w:val="20"/>
          <w:lang w:eastAsia="en-AU"/>
        </w:rPr>
        <w:t xml:space="preserve"> not covered by the current </w:t>
      </w:r>
      <w:r w:rsidRPr="00EE1E91">
        <w:rPr>
          <w:rFonts w:ascii="Times New Roman" w:eastAsia="Times New Roman" w:hAnsi="Times New Roman" w:cs="Times New Roman"/>
          <w:i/>
          <w:iCs/>
          <w:szCs w:val="20"/>
          <w:lang w:eastAsia="en-AU"/>
        </w:rPr>
        <w:t>EGFR</w:t>
      </w:r>
      <w:r w:rsidRPr="004B2CA1">
        <w:rPr>
          <w:rFonts w:ascii="Times New Roman" w:eastAsia="Times New Roman" w:hAnsi="Times New Roman" w:cs="Times New Roman"/>
          <w:szCs w:val="20"/>
          <w:lang w:eastAsia="en-AU"/>
        </w:rPr>
        <w:t xml:space="preserve"> MBS item 73337 and fee.</w:t>
      </w:r>
      <w:r w:rsidR="00F237C6">
        <w:rPr>
          <w:rFonts w:ascii="Times New Roman" w:eastAsia="Times New Roman" w:hAnsi="Times New Roman" w:cs="Times New Roman"/>
          <w:szCs w:val="20"/>
          <w:lang w:eastAsia="en-AU"/>
        </w:rPr>
        <w:t xml:space="preserve"> </w:t>
      </w:r>
      <w:r w:rsidR="00EE1E91">
        <w:rPr>
          <w:rFonts w:ascii="Times New Roman" w:eastAsia="Times New Roman" w:hAnsi="Times New Roman" w:cs="Times New Roman"/>
          <w:szCs w:val="20"/>
          <w:lang w:eastAsia="en-AU"/>
        </w:rPr>
        <w:t xml:space="preserve">On balance, </w:t>
      </w:r>
      <w:r w:rsidR="00473105">
        <w:rPr>
          <w:rFonts w:ascii="Times New Roman" w:eastAsia="Times New Roman" w:hAnsi="Times New Roman" w:cs="Times New Roman"/>
          <w:szCs w:val="20"/>
          <w:lang w:eastAsia="en-AU"/>
        </w:rPr>
        <w:t xml:space="preserve">MSAC </w:t>
      </w:r>
      <w:r w:rsidR="00F237C6">
        <w:rPr>
          <w:rFonts w:ascii="Times New Roman" w:eastAsia="Times New Roman" w:hAnsi="Times New Roman" w:cs="Times New Roman"/>
          <w:szCs w:val="20"/>
          <w:lang w:eastAsia="en-AU"/>
        </w:rPr>
        <w:t xml:space="preserve">considered it was reasonable to include </w:t>
      </w:r>
      <w:r w:rsidR="00F237C6" w:rsidRPr="00B106DE">
        <w:rPr>
          <w:rFonts w:ascii="Times New Roman" w:eastAsia="Times New Roman" w:hAnsi="Times New Roman" w:cs="Times New Roman"/>
          <w:i/>
          <w:iCs/>
          <w:szCs w:val="20"/>
          <w:lang w:eastAsia="en-AU"/>
        </w:rPr>
        <w:t>KRAS</w:t>
      </w:r>
      <w:r w:rsidR="00F237C6">
        <w:rPr>
          <w:rFonts w:ascii="Times New Roman" w:eastAsia="Times New Roman" w:hAnsi="Times New Roman" w:cs="Times New Roman"/>
          <w:szCs w:val="20"/>
          <w:lang w:eastAsia="en-AU"/>
        </w:rPr>
        <w:t xml:space="preserve"> G12C testing in the item descriptor without increasing the fee. MSAC noted that </w:t>
      </w:r>
      <w:r w:rsidR="00F237C6" w:rsidRPr="00DE6CC6">
        <w:rPr>
          <w:rFonts w:ascii="Times New Roman" w:eastAsia="Times New Roman" w:hAnsi="Times New Roman" w:cs="Times New Roman"/>
          <w:szCs w:val="20"/>
          <w:lang w:eastAsia="en-AU"/>
        </w:rPr>
        <w:t xml:space="preserve">Application 1634 – </w:t>
      </w:r>
      <w:r w:rsidR="00F237C6" w:rsidRPr="00DE6CC6">
        <w:rPr>
          <w:rFonts w:ascii="Times New Roman" w:eastAsia="Times New Roman" w:hAnsi="Times New Roman" w:cs="Times New Roman"/>
          <w:i/>
          <w:iCs/>
          <w:szCs w:val="20"/>
          <w:lang w:eastAsia="en-AU"/>
        </w:rPr>
        <w:t>Comprehensive genomic profiling of non-small cell lung cancer tumour tissue specimens using next generation sequencing assays</w:t>
      </w:r>
      <w:r w:rsidR="00F237C6">
        <w:rPr>
          <w:rFonts w:ascii="Times New Roman" w:eastAsia="Times New Roman" w:hAnsi="Times New Roman" w:cs="Times New Roman"/>
          <w:i/>
          <w:iCs/>
          <w:szCs w:val="20"/>
          <w:lang w:eastAsia="en-AU"/>
        </w:rPr>
        <w:t>,</w:t>
      </w:r>
      <w:r w:rsidR="00F237C6">
        <w:rPr>
          <w:rFonts w:ascii="Times New Roman" w:eastAsia="Times New Roman" w:hAnsi="Times New Roman" w:cs="Times New Roman"/>
          <w:szCs w:val="20"/>
          <w:lang w:eastAsia="en-AU"/>
        </w:rPr>
        <w:t xml:space="preserve"> </w:t>
      </w:r>
      <w:r w:rsidR="00F237C6" w:rsidRPr="00DE6CC6">
        <w:rPr>
          <w:rFonts w:ascii="Times New Roman" w:eastAsia="Times New Roman" w:hAnsi="Times New Roman" w:cs="Times New Roman"/>
          <w:szCs w:val="20"/>
          <w:lang w:eastAsia="en-AU"/>
        </w:rPr>
        <w:t xml:space="preserve">was considered by PASC in April 2021 and proposes a </w:t>
      </w:r>
      <w:r w:rsidR="00F237C6">
        <w:rPr>
          <w:rFonts w:ascii="Times New Roman" w:eastAsia="Times New Roman" w:hAnsi="Times New Roman" w:cs="Times New Roman"/>
          <w:szCs w:val="20"/>
          <w:lang w:eastAsia="en-AU"/>
        </w:rPr>
        <w:t xml:space="preserve">comprehensive </w:t>
      </w:r>
      <w:r w:rsidR="00F237C6" w:rsidRPr="00DE6CC6">
        <w:rPr>
          <w:rFonts w:ascii="Times New Roman" w:eastAsia="Times New Roman" w:hAnsi="Times New Roman" w:cs="Times New Roman"/>
          <w:szCs w:val="20"/>
          <w:lang w:eastAsia="en-AU"/>
        </w:rPr>
        <w:t>gene panel test for NSCLC biomarkers.</w:t>
      </w:r>
    </w:p>
    <w:p w14:paraId="175FC4D6" w14:textId="1DFCBBBD" w:rsidR="00283B06" w:rsidRPr="004B2CA1" w:rsidRDefault="00283B06" w:rsidP="00283B06">
      <w:pPr>
        <w:spacing w:before="240" w:after="24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MSAC also noted that </w:t>
      </w:r>
      <w:r w:rsidRPr="00DE6CC6">
        <w:rPr>
          <w:rFonts w:ascii="Times New Roman" w:eastAsia="Times New Roman" w:hAnsi="Times New Roman" w:cs="Times New Roman"/>
          <w:bCs/>
          <w:szCs w:val="20"/>
          <w:lang w:eastAsia="en-AU"/>
        </w:rPr>
        <w:t xml:space="preserve">the consultation feedback </w:t>
      </w:r>
      <w:r w:rsidRPr="00DE6CC6">
        <w:rPr>
          <w:rFonts w:ascii="Times New Roman" w:eastAsia="Times New Roman" w:hAnsi="Times New Roman" w:cs="Times New Roman"/>
          <w:szCs w:val="20"/>
          <w:lang w:eastAsia="en-AU"/>
        </w:rPr>
        <w:t>stating that it was unclear whether a laboratory using multigene assay</w:t>
      </w:r>
      <w:r>
        <w:rPr>
          <w:rFonts w:ascii="Times New Roman" w:eastAsia="Times New Roman" w:hAnsi="Times New Roman" w:cs="Times New Roman"/>
          <w:szCs w:val="20"/>
          <w:lang w:eastAsia="en-AU"/>
        </w:rPr>
        <w:t>s</w:t>
      </w:r>
      <w:r w:rsidRPr="00DE6CC6">
        <w:rPr>
          <w:rFonts w:ascii="Times New Roman" w:eastAsia="Times New Roman" w:hAnsi="Times New Roman" w:cs="Times New Roman"/>
          <w:szCs w:val="20"/>
          <w:lang w:eastAsia="en-AU"/>
        </w:rPr>
        <w:t xml:space="preserve"> o</w:t>
      </w:r>
      <w:r>
        <w:rPr>
          <w:rFonts w:ascii="Times New Roman" w:eastAsia="Times New Roman" w:hAnsi="Times New Roman" w:cs="Times New Roman"/>
          <w:szCs w:val="20"/>
          <w:lang w:eastAsia="en-AU"/>
        </w:rPr>
        <w:t>r</w:t>
      </w:r>
      <w:r w:rsidRPr="00DE6CC6">
        <w:rPr>
          <w:rFonts w:ascii="Times New Roman" w:eastAsia="Times New Roman" w:hAnsi="Times New Roman" w:cs="Times New Roman"/>
          <w:szCs w:val="20"/>
          <w:lang w:eastAsia="en-AU"/>
        </w:rPr>
        <w:t xml:space="preserve"> NGS would </w:t>
      </w:r>
      <w:r>
        <w:rPr>
          <w:rFonts w:ascii="Times New Roman" w:eastAsia="Times New Roman" w:hAnsi="Times New Roman" w:cs="Times New Roman"/>
          <w:szCs w:val="20"/>
          <w:lang w:eastAsia="en-AU"/>
        </w:rPr>
        <w:t xml:space="preserve">make a single </w:t>
      </w:r>
      <w:r w:rsidRPr="00DE6CC6">
        <w:rPr>
          <w:rFonts w:ascii="Times New Roman" w:eastAsia="Times New Roman" w:hAnsi="Times New Roman" w:cs="Times New Roman"/>
          <w:szCs w:val="20"/>
          <w:lang w:eastAsia="en-AU"/>
        </w:rPr>
        <w:t xml:space="preserve">claim for both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or whether laboratories performing single gene tests </w:t>
      </w:r>
      <w:r>
        <w:rPr>
          <w:rFonts w:ascii="Times New Roman" w:eastAsia="Times New Roman" w:hAnsi="Times New Roman" w:cs="Times New Roman"/>
          <w:szCs w:val="20"/>
          <w:lang w:eastAsia="en-AU"/>
        </w:rPr>
        <w:t>would</w:t>
      </w:r>
      <w:r w:rsidRPr="00DE6CC6">
        <w:rPr>
          <w:rFonts w:ascii="Times New Roman" w:eastAsia="Times New Roman" w:hAnsi="Times New Roman" w:cs="Times New Roman"/>
          <w:szCs w:val="20"/>
          <w:lang w:eastAsia="en-AU"/>
        </w:rPr>
        <w:t xml:space="preserve"> claim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8D1E52">
        <w:rPr>
          <w:rFonts w:ascii="Times New Roman" w:eastAsia="Times New Roman" w:hAnsi="Times New Roman" w:cs="Times New Roman"/>
          <w:i/>
          <w:iCs/>
          <w:szCs w:val="20"/>
          <w:lang w:eastAsia="en-AU"/>
        </w:rPr>
        <w:t>K</w:t>
      </w:r>
      <w:r w:rsidRPr="00DE6CC6">
        <w:rPr>
          <w:rFonts w:ascii="Times New Roman" w:eastAsia="Times New Roman" w:hAnsi="Times New Roman" w:cs="Times New Roman"/>
          <w:i/>
          <w:iCs/>
          <w:szCs w:val="20"/>
          <w:lang w:eastAsia="en-AU"/>
        </w:rPr>
        <w:t>RAS</w:t>
      </w:r>
      <w:r w:rsidRPr="00DE6CC6">
        <w:rPr>
          <w:rFonts w:ascii="Times New Roman" w:eastAsia="Times New Roman" w:hAnsi="Times New Roman" w:cs="Times New Roman"/>
          <w:szCs w:val="20"/>
          <w:lang w:eastAsia="en-AU"/>
        </w:rPr>
        <w:t xml:space="preserve"> separately</w:t>
      </w:r>
      <w:r>
        <w:rPr>
          <w:rFonts w:ascii="Times New Roman" w:eastAsia="Times New Roman" w:hAnsi="Times New Roman" w:cs="Times New Roman"/>
          <w:szCs w:val="20"/>
          <w:lang w:eastAsia="en-AU"/>
        </w:rPr>
        <w:t xml:space="preserve"> and suggesting an </w:t>
      </w:r>
      <w:r w:rsidRPr="00DE6CC6">
        <w:rPr>
          <w:rFonts w:ascii="Times New Roman" w:eastAsia="Times New Roman" w:hAnsi="Times New Roman" w:cs="Times New Roman"/>
          <w:szCs w:val="20"/>
          <w:lang w:eastAsia="en-AU"/>
        </w:rPr>
        <w:t>alter</w:t>
      </w:r>
      <w:r>
        <w:rPr>
          <w:rFonts w:ascii="Times New Roman" w:eastAsia="Times New Roman" w:hAnsi="Times New Roman" w:cs="Times New Roman"/>
          <w:szCs w:val="20"/>
          <w:lang w:eastAsia="en-AU"/>
        </w:rPr>
        <w:t>ation to</w:t>
      </w:r>
      <w:r w:rsidRPr="00DE6CC6">
        <w:rPr>
          <w:rFonts w:ascii="Times New Roman" w:eastAsia="Times New Roman" w:hAnsi="Times New Roman" w:cs="Times New Roman"/>
          <w:szCs w:val="20"/>
          <w:lang w:eastAsia="en-AU"/>
        </w:rPr>
        <w:t xml:space="preserve"> the </w:t>
      </w:r>
      <w:r w:rsidRPr="00DE6CC6">
        <w:rPr>
          <w:rFonts w:ascii="Times New Roman" w:eastAsia="Times New Roman" w:hAnsi="Times New Roman" w:cs="Times New Roman"/>
          <w:i/>
          <w:iCs/>
          <w:szCs w:val="20"/>
          <w:lang w:eastAsia="en-AU"/>
        </w:rPr>
        <w:t>ALK</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ROS1</w:t>
      </w:r>
      <w:r w:rsidRPr="00DE6CC6">
        <w:rPr>
          <w:rFonts w:ascii="Times New Roman" w:eastAsia="Times New Roman" w:hAnsi="Times New Roman" w:cs="Times New Roman"/>
          <w:szCs w:val="20"/>
          <w:lang w:eastAsia="en-AU"/>
        </w:rPr>
        <w:t xml:space="preserve"> item</w:t>
      </w:r>
      <w:r>
        <w:rPr>
          <w:rFonts w:ascii="Times New Roman" w:eastAsia="Times New Roman" w:hAnsi="Times New Roman" w:cs="Times New Roman"/>
          <w:szCs w:val="20"/>
          <w:lang w:eastAsia="en-AU"/>
        </w:rPr>
        <w:t xml:space="preserve"> descriptors</w:t>
      </w:r>
      <w:r w:rsidRPr="00DE6CC6">
        <w:rPr>
          <w:rFonts w:ascii="Times New Roman" w:eastAsia="Times New Roman" w:hAnsi="Times New Roman" w:cs="Times New Roman"/>
          <w:szCs w:val="20"/>
          <w:lang w:eastAsia="en-AU"/>
        </w:rPr>
        <w:t xml:space="preserve"> to state that both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should be negative prior to proceeding with </w:t>
      </w:r>
      <w:r>
        <w:rPr>
          <w:rFonts w:ascii="Times New Roman" w:eastAsia="Times New Roman" w:hAnsi="Times New Roman" w:cs="Times New Roman"/>
          <w:szCs w:val="20"/>
          <w:lang w:eastAsia="en-AU"/>
        </w:rPr>
        <w:t>testing these genes</w:t>
      </w:r>
      <w:r w:rsidRPr="00DE6CC6">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w:t>
      </w:r>
      <w:r w:rsidRPr="004B2CA1">
        <w:rPr>
          <w:rFonts w:ascii="Times New Roman" w:eastAsia="Times New Roman" w:hAnsi="Times New Roman" w:cs="Times New Roman"/>
          <w:szCs w:val="20"/>
          <w:lang w:eastAsia="en-AU"/>
        </w:rPr>
        <w:t xml:space="preserve">MSAC </w:t>
      </w:r>
      <w:r>
        <w:rPr>
          <w:rFonts w:ascii="Times New Roman" w:eastAsia="Times New Roman" w:hAnsi="Times New Roman" w:cs="Times New Roman"/>
          <w:szCs w:val="20"/>
          <w:lang w:eastAsia="en-AU"/>
        </w:rPr>
        <w:t xml:space="preserve">advised </w:t>
      </w:r>
      <w:r w:rsidRPr="004B2CA1">
        <w:rPr>
          <w:rFonts w:ascii="Times New Roman" w:eastAsia="Times New Roman" w:hAnsi="Times New Roman" w:cs="Times New Roman"/>
          <w:szCs w:val="20"/>
          <w:lang w:eastAsia="en-AU"/>
        </w:rPr>
        <w:t xml:space="preserve">that MBS item 73337 </w:t>
      </w:r>
      <w:r>
        <w:rPr>
          <w:rFonts w:ascii="Times New Roman" w:eastAsia="Times New Roman" w:hAnsi="Times New Roman" w:cs="Times New Roman"/>
          <w:szCs w:val="20"/>
          <w:lang w:eastAsia="en-AU"/>
        </w:rPr>
        <w:t>sh</w:t>
      </w:r>
      <w:r w:rsidRPr="004B2CA1">
        <w:rPr>
          <w:rFonts w:ascii="Times New Roman" w:eastAsia="Times New Roman" w:hAnsi="Times New Roman" w:cs="Times New Roman"/>
          <w:szCs w:val="20"/>
          <w:lang w:eastAsia="en-AU"/>
        </w:rPr>
        <w:t xml:space="preserve">ould be restricted to “once per tumour diagnosis” if </w:t>
      </w:r>
      <w:r w:rsidRPr="00EE1E91">
        <w:rPr>
          <w:rFonts w:ascii="Times New Roman" w:eastAsia="Times New Roman" w:hAnsi="Times New Roman" w:cs="Times New Roman"/>
          <w:i/>
          <w:iCs/>
          <w:szCs w:val="20"/>
          <w:lang w:eastAsia="en-AU"/>
        </w:rPr>
        <w:t>KRAS</w:t>
      </w:r>
      <w:r w:rsidRPr="004B2CA1">
        <w:rPr>
          <w:rFonts w:ascii="Times New Roman" w:eastAsia="Times New Roman" w:hAnsi="Times New Roman" w:cs="Times New Roman"/>
          <w:szCs w:val="20"/>
          <w:lang w:eastAsia="en-AU"/>
        </w:rPr>
        <w:t xml:space="preserve"> testing was included.</w:t>
      </w:r>
    </w:p>
    <w:p w14:paraId="240B6582" w14:textId="610F109C" w:rsidR="004B2CA1" w:rsidRPr="004B2CA1" w:rsidRDefault="00542BAD" w:rsidP="004B2CA1">
      <w:pPr>
        <w:spacing w:before="0" w:after="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MSAC noted that item 73337 is </w:t>
      </w:r>
      <w:r w:rsidR="00B106DE">
        <w:rPr>
          <w:rFonts w:ascii="Times New Roman" w:eastAsia="Times New Roman" w:hAnsi="Times New Roman" w:cs="Times New Roman"/>
          <w:szCs w:val="20"/>
          <w:lang w:eastAsia="en-AU"/>
        </w:rPr>
        <w:t xml:space="preserve">pathologist determinable. MSAC </w:t>
      </w:r>
      <w:r w:rsidR="000719A2">
        <w:rPr>
          <w:rFonts w:ascii="Times New Roman" w:eastAsia="Times New Roman" w:hAnsi="Times New Roman" w:cs="Times New Roman"/>
          <w:szCs w:val="20"/>
          <w:lang w:eastAsia="en-AU"/>
        </w:rPr>
        <w:t xml:space="preserve">supported continuation of this </w:t>
      </w:r>
      <w:proofErr w:type="gramStart"/>
      <w:r w:rsidR="000719A2">
        <w:rPr>
          <w:rFonts w:ascii="Times New Roman" w:eastAsia="Times New Roman" w:hAnsi="Times New Roman" w:cs="Times New Roman"/>
          <w:szCs w:val="20"/>
          <w:lang w:eastAsia="en-AU"/>
        </w:rPr>
        <w:t>arrangement, but</w:t>
      </w:r>
      <w:proofErr w:type="gramEnd"/>
      <w:r w:rsidR="000719A2">
        <w:rPr>
          <w:rFonts w:ascii="Times New Roman" w:eastAsia="Times New Roman" w:hAnsi="Times New Roman" w:cs="Times New Roman"/>
          <w:szCs w:val="20"/>
          <w:lang w:eastAsia="en-AU"/>
        </w:rPr>
        <w:t xml:space="preserve"> </w:t>
      </w:r>
      <w:r w:rsidR="00B106DE">
        <w:rPr>
          <w:rFonts w:ascii="Times New Roman" w:eastAsia="Times New Roman" w:hAnsi="Times New Roman" w:cs="Times New Roman"/>
          <w:szCs w:val="20"/>
          <w:lang w:eastAsia="en-AU"/>
        </w:rPr>
        <w:t>noted tha</w:t>
      </w:r>
      <w:r w:rsidR="00EE1E91">
        <w:rPr>
          <w:rFonts w:ascii="Times New Roman" w:eastAsia="Times New Roman" w:hAnsi="Times New Roman" w:cs="Times New Roman"/>
          <w:szCs w:val="20"/>
          <w:lang w:eastAsia="en-AU"/>
        </w:rPr>
        <w:t>t</w:t>
      </w:r>
      <w:r w:rsidR="00B106DE">
        <w:rPr>
          <w:rFonts w:ascii="Times New Roman" w:eastAsia="Times New Roman" w:hAnsi="Times New Roman" w:cs="Times New Roman"/>
          <w:szCs w:val="20"/>
          <w:lang w:eastAsia="en-AU"/>
        </w:rPr>
        <w:t xml:space="preserve"> the </w:t>
      </w:r>
      <w:r w:rsidR="00B106DE" w:rsidRPr="00B106DE">
        <w:rPr>
          <w:rFonts w:ascii="Times New Roman" w:eastAsia="Times New Roman" w:hAnsi="Times New Roman" w:cs="Times New Roman"/>
          <w:szCs w:val="20"/>
          <w:lang w:eastAsia="en-AU"/>
        </w:rPr>
        <w:t>Department will consult further with the Royal College of Pathologists of Australasia</w:t>
      </w:r>
      <w:r w:rsidR="00B106DE">
        <w:rPr>
          <w:rFonts w:ascii="Times New Roman" w:eastAsia="Times New Roman" w:hAnsi="Times New Roman" w:cs="Times New Roman"/>
          <w:szCs w:val="20"/>
          <w:lang w:eastAsia="en-AU"/>
        </w:rPr>
        <w:t xml:space="preserve"> (RCPA)</w:t>
      </w:r>
      <w:r w:rsidR="00B106DE" w:rsidRPr="00B106DE">
        <w:rPr>
          <w:rFonts w:ascii="Times New Roman" w:eastAsia="Times New Roman" w:hAnsi="Times New Roman" w:cs="Times New Roman"/>
          <w:szCs w:val="20"/>
          <w:lang w:eastAsia="en-AU"/>
        </w:rPr>
        <w:t xml:space="preserve"> to confirm what appropriate restrictions should be in place for a pathologist to determine that the test is necessary in the absence of a request from a treating practitioner.</w:t>
      </w:r>
    </w:p>
    <w:p w14:paraId="223F4E24" w14:textId="2E9B2FC8" w:rsidR="004B2CA1" w:rsidRPr="004B2CA1" w:rsidRDefault="004B2CA1" w:rsidP="004B2CA1">
      <w:pPr>
        <w:spacing w:before="240" w:after="240"/>
        <w:jc w:val="left"/>
        <w:rPr>
          <w:rFonts w:ascii="Times New Roman" w:eastAsia="Times New Roman" w:hAnsi="Times New Roman" w:cs="Times New Roman"/>
          <w:szCs w:val="20"/>
          <w:lang w:eastAsia="en-AU"/>
        </w:rPr>
      </w:pPr>
      <w:r w:rsidRPr="004B2CA1">
        <w:rPr>
          <w:rFonts w:ascii="Times New Roman" w:eastAsia="Times New Roman" w:hAnsi="Times New Roman" w:cs="Times New Roman"/>
          <w:szCs w:val="20"/>
          <w:lang w:eastAsia="en-AU"/>
        </w:rPr>
        <w:t xml:space="preserve">MSAC accepted that </w:t>
      </w:r>
      <w:r w:rsidR="00CC4878">
        <w:rPr>
          <w:rFonts w:ascii="Times New Roman" w:eastAsia="Times New Roman" w:hAnsi="Times New Roman" w:cs="Times New Roman"/>
          <w:szCs w:val="20"/>
          <w:lang w:eastAsia="en-AU"/>
        </w:rPr>
        <w:t xml:space="preserve">adding </w:t>
      </w:r>
      <w:r w:rsidRPr="00B106DE">
        <w:rPr>
          <w:rFonts w:ascii="Times New Roman" w:eastAsia="Times New Roman" w:hAnsi="Times New Roman" w:cs="Times New Roman"/>
          <w:i/>
          <w:iCs/>
          <w:szCs w:val="20"/>
          <w:lang w:eastAsia="en-AU"/>
        </w:rPr>
        <w:t>KRAS</w:t>
      </w:r>
      <w:r w:rsidRPr="004B2CA1">
        <w:rPr>
          <w:rFonts w:ascii="Times New Roman" w:eastAsia="Times New Roman" w:hAnsi="Times New Roman" w:cs="Times New Roman"/>
          <w:szCs w:val="20"/>
          <w:lang w:eastAsia="en-AU"/>
        </w:rPr>
        <w:t xml:space="preserve"> testing </w:t>
      </w:r>
      <w:r w:rsidR="00CC4878">
        <w:rPr>
          <w:rFonts w:ascii="Times New Roman" w:eastAsia="Times New Roman" w:hAnsi="Times New Roman" w:cs="Times New Roman"/>
          <w:szCs w:val="20"/>
          <w:lang w:eastAsia="en-AU"/>
        </w:rPr>
        <w:t xml:space="preserve">to </w:t>
      </w:r>
      <w:r w:rsidR="00CC4878" w:rsidRPr="00CC4878">
        <w:rPr>
          <w:rFonts w:ascii="Times New Roman" w:eastAsia="Times New Roman" w:hAnsi="Times New Roman" w:cs="Times New Roman"/>
          <w:i/>
          <w:iCs/>
          <w:szCs w:val="20"/>
          <w:lang w:eastAsia="en-AU"/>
        </w:rPr>
        <w:t>EGFR</w:t>
      </w:r>
      <w:r w:rsidR="00CC4878">
        <w:rPr>
          <w:rFonts w:ascii="Times New Roman" w:eastAsia="Times New Roman" w:hAnsi="Times New Roman" w:cs="Times New Roman"/>
          <w:szCs w:val="20"/>
          <w:lang w:eastAsia="en-AU"/>
        </w:rPr>
        <w:t xml:space="preserve"> testing alone </w:t>
      </w:r>
      <w:r w:rsidRPr="004B2CA1">
        <w:rPr>
          <w:rFonts w:ascii="Times New Roman" w:eastAsia="Times New Roman" w:hAnsi="Times New Roman" w:cs="Times New Roman"/>
          <w:szCs w:val="20"/>
          <w:lang w:eastAsia="en-AU"/>
        </w:rPr>
        <w:t xml:space="preserve">in MBS item 73337 would not change the safety profile of the </w:t>
      </w:r>
      <w:r w:rsidR="00CC4878">
        <w:rPr>
          <w:rFonts w:ascii="Times New Roman" w:eastAsia="Times New Roman" w:hAnsi="Times New Roman" w:cs="Times New Roman"/>
          <w:szCs w:val="20"/>
          <w:lang w:eastAsia="en-AU"/>
        </w:rPr>
        <w:t xml:space="preserve">overall </w:t>
      </w:r>
      <w:r w:rsidRPr="004B2CA1">
        <w:rPr>
          <w:rFonts w:ascii="Times New Roman" w:eastAsia="Times New Roman" w:hAnsi="Times New Roman" w:cs="Times New Roman"/>
          <w:szCs w:val="20"/>
          <w:lang w:eastAsia="en-AU"/>
        </w:rPr>
        <w:t xml:space="preserve">test. Although a </w:t>
      </w:r>
      <w:proofErr w:type="spellStart"/>
      <w:r w:rsidRPr="004B2CA1">
        <w:rPr>
          <w:rFonts w:ascii="Times New Roman" w:eastAsia="Times New Roman" w:hAnsi="Times New Roman" w:cs="Times New Roman"/>
          <w:szCs w:val="20"/>
          <w:lang w:eastAsia="en-AU"/>
        </w:rPr>
        <w:t>rebiopsy</w:t>
      </w:r>
      <w:proofErr w:type="spellEnd"/>
      <w:r w:rsidRPr="004B2CA1">
        <w:rPr>
          <w:rFonts w:ascii="Times New Roman" w:eastAsia="Times New Roman" w:hAnsi="Times New Roman" w:cs="Times New Roman"/>
          <w:szCs w:val="20"/>
          <w:lang w:eastAsia="en-AU"/>
        </w:rPr>
        <w:t xml:space="preserve"> may be necessary if insufficient DNA is obtained through the original biopsy sample, MSAC </w:t>
      </w:r>
      <w:r w:rsidR="00CC4878">
        <w:rPr>
          <w:rFonts w:ascii="Times New Roman" w:eastAsia="Times New Roman" w:hAnsi="Times New Roman" w:cs="Times New Roman"/>
          <w:szCs w:val="20"/>
          <w:lang w:eastAsia="en-AU"/>
        </w:rPr>
        <w:t xml:space="preserve">considered that this was rare and would not increase with the addition of </w:t>
      </w:r>
      <w:r w:rsidR="00CC4878" w:rsidRPr="00CC4878">
        <w:rPr>
          <w:rFonts w:ascii="Times New Roman" w:eastAsia="Times New Roman" w:hAnsi="Times New Roman" w:cs="Times New Roman"/>
          <w:i/>
          <w:iCs/>
          <w:szCs w:val="20"/>
          <w:lang w:eastAsia="en-AU"/>
        </w:rPr>
        <w:t>KRAS</w:t>
      </w:r>
      <w:r w:rsidR="00CC4878">
        <w:rPr>
          <w:rFonts w:ascii="Times New Roman" w:eastAsia="Times New Roman" w:hAnsi="Times New Roman" w:cs="Times New Roman"/>
          <w:szCs w:val="20"/>
          <w:lang w:eastAsia="en-AU"/>
        </w:rPr>
        <w:t xml:space="preserve"> testing</w:t>
      </w:r>
      <w:r w:rsidRPr="004B2CA1">
        <w:rPr>
          <w:rFonts w:ascii="Times New Roman" w:eastAsia="Times New Roman" w:hAnsi="Times New Roman" w:cs="Times New Roman"/>
          <w:szCs w:val="20"/>
          <w:lang w:eastAsia="en-AU"/>
        </w:rPr>
        <w:t>.</w:t>
      </w:r>
    </w:p>
    <w:p w14:paraId="0FC6D710" w14:textId="0AF47CBA" w:rsidR="00B765D7" w:rsidRDefault="004B2CA1" w:rsidP="004B2CA1">
      <w:pPr>
        <w:spacing w:before="240" w:after="240"/>
        <w:jc w:val="left"/>
        <w:rPr>
          <w:rFonts w:ascii="Times New Roman" w:eastAsia="Times New Roman" w:hAnsi="Times New Roman" w:cs="Times New Roman"/>
          <w:szCs w:val="20"/>
          <w:lang w:eastAsia="en-AU"/>
        </w:rPr>
      </w:pPr>
      <w:r w:rsidRPr="004B2CA1">
        <w:rPr>
          <w:rFonts w:ascii="Times New Roman" w:eastAsia="Times New Roman" w:hAnsi="Times New Roman" w:cs="Times New Roman"/>
          <w:szCs w:val="20"/>
          <w:lang w:eastAsia="en-AU"/>
        </w:rPr>
        <w:t xml:space="preserve">MSAC noted the </w:t>
      </w:r>
      <w:r w:rsidR="0080051C">
        <w:rPr>
          <w:rFonts w:ascii="Times New Roman" w:eastAsia="Times New Roman" w:hAnsi="Times New Roman" w:cs="Times New Roman"/>
          <w:szCs w:val="20"/>
          <w:lang w:eastAsia="en-AU"/>
        </w:rPr>
        <w:t xml:space="preserve">prognostic </w:t>
      </w:r>
      <w:r w:rsidRPr="004B2CA1">
        <w:rPr>
          <w:rFonts w:ascii="Times New Roman" w:eastAsia="Times New Roman" w:hAnsi="Times New Roman" w:cs="Times New Roman"/>
          <w:szCs w:val="20"/>
          <w:lang w:eastAsia="en-AU"/>
        </w:rPr>
        <w:t xml:space="preserve">evidence </w:t>
      </w:r>
      <w:r w:rsidR="0080051C">
        <w:rPr>
          <w:rFonts w:ascii="Times New Roman" w:eastAsia="Times New Roman" w:hAnsi="Times New Roman" w:cs="Times New Roman"/>
          <w:szCs w:val="20"/>
          <w:lang w:eastAsia="en-AU"/>
        </w:rPr>
        <w:t xml:space="preserve">was informed </w:t>
      </w:r>
      <w:r w:rsidRPr="004B2CA1">
        <w:rPr>
          <w:rFonts w:ascii="Times New Roman" w:eastAsia="Times New Roman" w:hAnsi="Times New Roman" w:cs="Times New Roman"/>
          <w:szCs w:val="20"/>
          <w:lang w:eastAsia="en-AU"/>
        </w:rPr>
        <w:t>from 1</w:t>
      </w:r>
      <w:r w:rsidR="0080051C">
        <w:rPr>
          <w:rFonts w:ascii="Times New Roman" w:eastAsia="Times New Roman" w:hAnsi="Times New Roman" w:cs="Times New Roman"/>
          <w:szCs w:val="20"/>
          <w:lang w:eastAsia="en-AU"/>
        </w:rPr>
        <w:t>3</w:t>
      </w:r>
      <w:r w:rsidRPr="004B2CA1">
        <w:rPr>
          <w:rFonts w:ascii="Times New Roman" w:eastAsia="Times New Roman" w:hAnsi="Times New Roman" w:cs="Times New Roman"/>
          <w:szCs w:val="20"/>
          <w:lang w:eastAsia="en-AU"/>
        </w:rPr>
        <w:t xml:space="preserve"> </w:t>
      </w:r>
      <w:r w:rsidR="0080051C" w:rsidRPr="004B2CA1">
        <w:rPr>
          <w:rFonts w:ascii="Times New Roman" w:eastAsia="Times New Roman" w:hAnsi="Times New Roman" w:cs="Times New Roman"/>
          <w:szCs w:val="20"/>
          <w:lang w:eastAsia="en-AU"/>
        </w:rPr>
        <w:t xml:space="preserve">studies </w:t>
      </w:r>
      <w:r w:rsidR="00283B06">
        <w:rPr>
          <w:rFonts w:ascii="Times New Roman" w:eastAsia="Times New Roman" w:hAnsi="Times New Roman" w:cs="Times New Roman"/>
          <w:szCs w:val="20"/>
          <w:lang w:eastAsia="en-AU"/>
        </w:rPr>
        <w:t xml:space="preserve">of </w:t>
      </w:r>
      <w:r w:rsidR="0080051C">
        <w:rPr>
          <w:rFonts w:ascii="Times New Roman" w:eastAsia="Times New Roman" w:hAnsi="Times New Roman" w:cs="Times New Roman"/>
          <w:szCs w:val="20"/>
          <w:lang w:eastAsia="en-AU"/>
        </w:rPr>
        <w:t xml:space="preserve">which the majority were of </w:t>
      </w:r>
      <w:r w:rsidRPr="004B2CA1">
        <w:rPr>
          <w:rFonts w:ascii="Times New Roman" w:eastAsia="Times New Roman" w:hAnsi="Times New Roman" w:cs="Times New Roman"/>
          <w:szCs w:val="20"/>
          <w:lang w:eastAsia="en-AU"/>
        </w:rPr>
        <w:t>good</w:t>
      </w:r>
      <w:r w:rsidR="0080051C">
        <w:rPr>
          <w:rFonts w:ascii="Times New Roman" w:eastAsia="Times New Roman" w:hAnsi="Times New Roman" w:cs="Times New Roman"/>
          <w:szCs w:val="20"/>
          <w:lang w:eastAsia="en-AU"/>
        </w:rPr>
        <w:t xml:space="preserve"> </w:t>
      </w:r>
      <w:r w:rsidRPr="004B2CA1">
        <w:rPr>
          <w:rFonts w:ascii="Times New Roman" w:eastAsia="Times New Roman" w:hAnsi="Times New Roman" w:cs="Times New Roman"/>
          <w:szCs w:val="20"/>
          <w:lang w:eastAsia="en-AU"/>
        </w:rPr>
        <w:t xml:space="preserve">quality. </w:t>
      </w:r>
      <w:r w:rsidR="00BE0532">
        <w:rPr>
          <w:rFonts w:ascii="Times New Roman" w:eastAsia="Times New Roman" w:hAnsi="Times New Roman" w:cs="Times New Roman"/>
          <w:szCs w:val="20"/>
          <w:lang w:eastAsia="en-AU"/>
        </w:rPr>
        <w:t xml:space="preserve">MSAC agreed with the ESCs and </w:t>
      </w:r>
      <w:r w:rsidR="00BE0532" w:rsidRPr="00DC4181">
        <w:rPr>
          <w:rFonts w:ascii="Times New Roman" w:eastAsia="Times New Roman" w:hAnsi="Times New Roman" w:cs="Times New Roman"/>
          <w:bCs/>
          <w:noProof/>
          <w:szCs w:val="24"/>
          <w:lang w:eastAsia="en-AU"/>
        </w:rPr>
        <w:t xml:space="preserve">considered that most studies assessing the prognostic value of </w:t>
      </w:r>
      <w:r w:rsidR="00BE0532" w:rsidRPr="00DC4181">
        <w:rPr>
          <w:rFonts w:ascii="Times New Roman" w:eastAsia="Times New Roman" w:hAnsi="Times New Roman" w:cs="Times New Roman"/>
          <w:bCs/>
          <w:i/>
          <w:noProof/>
          <w:szCs w:val="24"/>
          <w:lang w:eastAsia="en-AU"/>
        </w:rPr>
        <w:t xml:space="preserve">KRAS </w:t>
      </w:r>
      <w:r w:rsidR="00BE0532" w:rsidRPr="00DC4181">
        <w:rPr>
          <w:rFonts w:ascii="Times New Roman" w:eastAsia="Times New Roman" w:hAnsi="Times New Roman" w:cs="Times New Roman"/>
          <w:bCs/>
          <w:noProof/>
          <w:szCs w:val="24"/>
          <w:lang w:eastAsia="en-AU"/>
        </w:rPr>
        <w:t xml:space="preserve">G12C compared with </w:t>
      </w:r>
      <w:r w:rsidR="00BE0532" w:rsidRPr="00DC4181">
        <w:rPr>
          <w:rFonts w:ascii="Times New Roman" w:eastAsia="Times New Roman" w:hAnsi="Times New Roman" w:cs="Times New Roman"/>
          <w:bCs/>
          <w:i/>
          <w:noProof/>
          <w:szCs w:val="24"/>
          <w:lang w:eastAsia="en-AU"/>
        </w:rPr>
        <w:t>KRAS</w:t>
      </w:r>
      <w:r w:rsidR="00BE0532" w:rsidRPr="00DC4181">
        <w:rPr>
          <w:rFonts w:ascii="Times New Roman" w:eastAsia="Times New Roman" w:hAnsi="Times New Roman" w:cs="Times New Roman"/>
          <w:bCs/>
          <w:noProof/>
          <w:szCs w:val="24"/>
          <w:lang w:eastAsia="en-AU"/>
        </w:rPr>
        <w:t xml:space="preserve"> wild type or other </w:t>
      </w:r>
      <w:r w:rsidR="00BE0532" w:rsidRPr="00DC4181">
        <w:rPr>
          <w:rFonts w:ascii="Times New Roman" w:eastAsia="Times New Roman" w:hAnsi="Times New Roman" w:cs="Times New Roman"/>
          <w:bCs/>
          <w:i/>
          <w:noProof/>
          <w:szCs w:val="24"/>
          <w:lang w:eastAsia="en-AU"/>
        </w:rPr>
        <w:t xml:space="preserve">KRAS </w:t>
      </w:r>
      <w:r w:rsidR="00BE0532" w:rsidRPr="00DC4181">
        <w:rPr>
          <w:rFonts w:ascii="Times New Roman" w:eastAsia="Times New Roman" w:hAnsi="Times New Roman" w:cs="Times New Roman"/>
          <w:bCs/>
          <w:noProof/>
          <w:szCs w:val="24"/>
          <w:lang w:eastAsia="en-AU"/>
        </w:rPr>
        <w:t xml:space="preserve">variants were of low risk of bias and showed no significant differences </w:t>
      </w:r>
      <w:r w:rsidR="00BE0532">
        <w:rPr>
          <w:rFonts w:ascii="Times New Roman" w:eastAsia="Times New Roman" w:hAnsi="Times New Roman" w:cs="Times New Roman"/>
          <w:bCs/>
          <w:noProof/>
          <w:szCs w:val="24"/>
          <w:lang w:eastAsia="en-AU"/>
        </w:rPr>
        <w:t>in</w:t>
      </w:r>
      <w:r w:rsidR="00BE0532" w:rsidRPr="00DC4181">
        <w:rPr>
          <w:rFonts w:ascii="Times New Roman" w:eastAsia="Times New Roman" w:hAnsi="Times New Roman" w:cs="Times New Roman"/>
          <w:bCs/>
          <w:noProof/>
          <w:szCs w:val="24"/>
          <w:lang w:eastAsia="en-AU"/>
        </w:rPr>
        <w:t xml:space="preserve"> progression-free or overall survival</w:t>
      </w:r>
      <w:r w:rsidRPr="004B2CA1">
        <w:rPr>
          <w:rFonts w:ascii="Times New Roman" w:eastAsia="Times New Roman" w:hAnsi="Times New Roman" w:cs="Times New Roman"/>
          <w:szCs w:val="20"/>
          <w:lang w:eastAsia="en-AU"/>
        </w:rPr>
        <w:t>.</w:t>
      </w:r>
    </w:p>
    <w:p w14:paraId="71A56EDA" w14:textId="0972E265" w:rsidR="004B2CA1" w:rsidRDefault="00B765D7" w:rsidP="004B2CA1">
      <w:pPr>
        <w:spacing w:before="240" w:after="24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MSAC considered that </w:t>
      </w:r>
      <w:r>
        <w:rPr>
          <w:rFonts w:ascii="Times New Roman" w:eastAsia="Times New Roman" w:hAnsi="Times New Roman" w:cs="Times New Roman"/>
          <w:bCs/>
          <w:szCs w:val="20"/>
          <w:lang w:eastAsia="en-AU"/>
        </w:rPr>
        <w:t>that</w:t>
      </w:r>
      <w:r w:rsidRPr="00DE6CC6">
        <w:rPr>
          <w:rFonts w:ascii="Times New Roman" w:eastAsia="Times New Roman" w:hAnsi="Times New Roman" w:cs="Times New Roman"/>
          <w:bCs/>
          <w:szCs w:val="20"/>
          <w:lang w:eastAsia="en-AU"/>
        </w:rPr>
        <w:t xml:space="preserve"> the rationale for </w:t>
      </w:r>
      <w:proofErr w:type="spellStart"/>
      <w:r w:rsidRPr="00DE6CC6">
        <w:rPr>
          <w:rFonts w:ascii="Times New Roman" w:eastAsia="Times New Roman" w:hAnsi="Times New Roman" w:cs="Times New Roman"/>
          <w:bCs/>
          <w:szCs w:val="20"/>
          <w:lang w:eastAsia="en-AU"/>
        </w:rPr>
        <w:t>codependency</w:t>
      </w:r>
      <w:proofErr w:type="spellEnd"/>
      <w:r w:rsidRPr="00DE6CC6">
        <w:rPr>
          <w:rFonts w:ascii="Times New Roman" w:eastAsia="Times New Roman" w:hAnsi="Times New Roman" w:cs="Times New Roman"/>
          <w:bCs/>
          <w:szCs w:val="20"/>
          <w:lang w:eastAsia="en-AU"/>
        </w:rPr>
        <w:t xml:space="preserve"> was based on biological plausibility</w:t>
      </w:r>
      <w:r w:rsidR="00283B06">
        <w:rPr>
          <w:rFonts w:ascii="Times New Roman" w:eastAsia="Times New Roman" w:hAnsi="Times New Roman" w:cs="Times New Roman"/>
          <w:bCs/>
          <w:szCs w:val="20"/>
          <w:lang w:eastAsia="en-AU"/>
        </w:rPr>
        <w:t>. As such,</w:t>
      </w:r>
      <w:r w:rsidR="006178A3">
        <w:rPr>
          <w:rFonts w:ascii="Times New Roman" w:eastAsia="Times New Roman" w:hAnsi="Times New Roman" w:cs="Times New Roman"/>
          <w:bCs/>
          <w:szCs w:val="20"/>
          <w:lang w:eastAsia="en-AU"/>
        </w:rPr>
        <w:t xml:space="preserve"> predictive </w:t>
      </w:r>
      <w:r w:rsidR="00283B06">
        <w:rPr>
          <w:rFonts w:ascii="Times New Roman" w:eastAsia="Times New Roman" w:hAnsi="Times New Roman" w:cs="Times New Roman"/>
          <w:bCs/>
          <w:szCs w:val="20"/>
          <w:lang w:eastAsia="en-AU"/>
        </w:rPr>
        <w:t>value</w:t>
      </w:r>
      <w:r w:rsidR="006178A3">
        <w:rPr>
          <w:rFonts w:ascii="Times New Roman" w:eastAsia="Times New Roman" w:hAnsi="Times New Roman" w:cs="Times New Roman"/>
          <w:bCs/>
          <w:szCs w:val="20"/>
          <w:lang w:eastAsia="en-AU"/>
        </w:rPr>
        <w:t xml:space="preserve"> was assumed</w:t>
      </w:r>
      <w:r w:rsidRPr="00DE6CC6">
        <w:rPr>
          <w:rFonts w:ascii="Times New Roman" w:eastAsia="Times New Roman" w:hAnsi="Times New Roman" w:cs="Times New Roman"/>
          <w:bCs/>
          <w:szCs w:val="20"/>
          <w:lang w:eastAsia="en-AU"/>
        </w:rPr>
        <w:t xml:space="preserve"> as the </w:t>
      </w:r>
      <w:proofErr w:type="spellStart"/>
      <w:r w:rsidRPr="00DE6CC6">
        <w:rPr>
          <w:rFonts w:ascii="Times New Roman" w:eastAsia="Times New Roman" w:hAnsi="Times New Roman" w:cs="Times New Roman"/>
          <w:bCs/>
          <w:szCs w:val="20"/>
          <w:lang w:eastAsia="en-AU"/>
        </w:rPr>
        <w:t>Codebreak</w:t>
      </w:r>
      <w:proofErr w:type="spellEnd"/>
      <w:r w:rsidRPr="00DE6CC6">
        <w:rPr>
          <w:rFonts w:ascii="Times New Roman" w:eastAsia="Times New Roman" w:hAnsi="Times New Roman" w:cs="Times New Roman"/>
          <w:bCs/>
          <w:szCs w:val="20"/>
          <w:lang w:eastAsia="en-AU"/>
        </w:rPr>
        <w:t xml:space="preserve"> 100 study only enrolled patients with NSCLC who were </w:t>
      </w:r>
      <w:r w:rsidRPr="00DE6CC6">
        <w:rPr>
          <w:rFonts w:ascii="Times New Roman" w:eastAsia="Times New Roman" w:hAnsi="Times New Roman" w:cs="Times New Roman"/>
          <w:i/>
          <w:szCs w:val="20"/>
          <w:lang w:eastAsia="en-AU"/>
        </w:rPr>
        <w:t>KRAS</w:t>
      </w:r>
      <w:r w:rsidRPr="00DE6CC6">
        <w:rPr>
          <w:rFonts w:ascii="Times New Roman" w:eastAsia="Times New Roman" w:hAnsi="Times New Roman" w:cs="Times New Roman"/>
          <w:szCs w:val="20"/>
          <w:lang w:eastAsia="en-AU"/>
        </w:rPr>
        <w:t xml:space="preserve"> G12C positive.</w:t>
      </w:r>
      <w:r>
        <w:rPr>
          <w:rFonts w:ascii="Times New Roman" w:eastAsia="Times New Roman" w:hAnsi="Times New Roman" w:cs="Times New Roman"/>
          <w:szCs w:val="20"/>
          <w:lang w:eastAsia="en-AU"/>
        </w:rPr>
        <w:t xml:space="preserve"> MSAC considered this was acceptable as </w:t>
      </w:r>
      <w:proofErr w:type="spellStart"/>
      <w:r w:rsidR="004B2CA1" w:rsidRPr="004B2CA1">
        <w:rPr>
          <w:rFonts w:ascii="Times New Roman" w:eastAsia="Times New Roman" w:hAnsi="Times New Roman" w:cs="Times New Roman"/>
          <w:szCs w:val="20"/>
          <w:lang w:eastAsia="en-AU"/>
        </w:rPr>
        <w:t>sotorasib</w:t>
      </w:r>
      <w:proofErr w:type="spellEnd"/>
      <w:r w:rsidR="004B2CA1" w:rsidRPr="004B2CA1">
        <w:rPr>
          <w:rFonts w:ascii="Times New Roman" w:eastAsia="Times New Roman" w:hAnsi="Times New Roman" w:cs="Times New Roman"/>
          <w:szCs w:val="20"/>
          <w:lang w:eastAsia="en-AU"/>
        </w:rPr>
        <w:t xml:space="preserve"> is a </w:t>
      </w:r>
      <w:r>
        <w:rPr>
          <w:rFonts w:ascii="Times New Roman" w:eastAsia="Times New Roman" w:hAnsi="Times New Roman" w:cs="Times New Roman"/>
          <w:szCs w:val="20"/>
          <w:lang w:eastAsia="en-AU"/>
        </w:rPr>
        <w:t>first in class medicine</w:t>
      </w:r>
      <w:r w:rsidR="004B2CA1" w:rsidRPr="004B2CA1">
        <w:rPr>
          <w:rFonts w:ascii="Times New Roman" w:eastAsia="Times New Roman" w:hAnsi="Times New Roman" w:cs="Times New Roman"/>
          <w:szCs w:val="20"/>
          <w:lang w:eastAsia="en-AU"/>
        </w:rPr>
        <w:t xml:space="preserve"> target</w:t>
      </w:r>
      <w:r>
        <w:rPr>
          <w:rFonts w:ascii="Times New Roman" w:eastAsia="Times New Roman" w:hAnsi="Times New Roman" w:cs="Times New Roman"/>
          <w:szCs w:val="20"/>
          <w:lang w:eastAsia="en-AU"/>
        </w:rPr>
        <w:t>ing</w:t>
      </w:r>
      <w:r w:rsidR="004B2CA1" w:rsidRPr="004B2CA1">
        <w:rPr>
          <w:rFonts w:ascii="Times New Roman" w:eastAsia="Times New Roman" w:hAnsi="Times New Roman" w:cs="Times New Roman"/>
          <w:szCs w:val="20"/>
          <w:lang w:eastAsia="en-AU"/>
        </w:rPr>
        <w:t xml:space="preserve"> the </w:t>
      </w:r>
      <w:r w:rsidR="004B2CA1" w:rsidRPr="00283B06">
        <w:rPr>
          <w:rFonts w:ascii="Times New Roman" w:eastAsia="Times New Roman" w:hAnsi="Times New Roman" w:cs="Times New Roman"/>
          <w:i/>
          <w:iCs/>
          <w:szCs w:val="20"/>
          <w:lang w:eastAsia="en-AU"/>
        </w:rPr>
        <w:t>KRAS</w:t>
      </w:r>
      <w:r w:rsidR="004B2CA1" w:rsidRPr="004B2CA1">
        <w:rPr>
          <w:rFonts w:ascii="Times New Roman" w:eastAsia="Times New Roman" w:hAnsi="Times New Roman" w:cs="Times New Roman"/>
          <w:szCs w:val="20"/>
          <w:lang w:eastAsia="en-AU"/>
        </w:rPr>
        <w:t xml:space="preserve"> G12C </w:t>
      </w:r>
      <w:r>
        <w:rPr>
          <w:rFonts w:ascii="Times New Roman" w:eastAsia="Times New Roman" w:hAnsi="Times New Roman" w:cs="Times New Roman"/>
          <w:szCs w:val="20"/>
          <w:lang w:eastAsia="en-AU"/>
        </w:rPr>
        <w:t>variant</w:t>
      </w:r>
      <w:r w:rsidR="004B2CA1" w:rsidRPr="004B2CA1">
        <w:rPr>
          <w:rFonts w:ascii="Times New Roman" w:eastAsia="Times New Roman" w:hAnsi="Times New Roman" w:cs="Times New Roman"/>
          <w:szCs w:val="20"/>
          <w:lang w:eastAsia="en-AU"/>
        </w:rPr>
        <w:t>, and</w:t>
      </w:r>
      <w:r w:rsidR="00473105">
        <w:rPr>
          <w:rFonts w:ascii="Times New Roman" w:eastAsia="Times New Roman" w:hAnsi="Times New Roman" w:cs="Times New Roman"/>
          <w:szCs w:val="20"/>
          <w:lang w:eastAsia="en-AU"/>
        </w:rPr>
        <w:t xml:space="preserve"> thus</w:t>
      </w:r>
      <w:r w:rsidR="004B2CA1" w:rsidRPr="004B2CA1">
        <w:rPr>
          <w:rFonts w:ascii="Times New Roman" w:eastAsia="Times New Roman" w:hAnsi="Times New Roman" w:cs="Times New Roman"/>
          <w:szCs w:val="20"/>
          <w:lang w:eastAsia="en-AU"/>
        </w:rPr>
        <w:t xml:space="preserve"> designing a trial that treated people without the </w:t>
      </w:r>
      <w:r>
        <w:rPr>
          <w:rFonts w:ascii="Times New Roman" w:eastAsia="Times New Roman" w:hAnsi="Times New Roman" w:cs="Times New Roman"/>
          <w:szCs w:val="20"/>
          <w:lang w:eastAsia="en-AU"/>
        </w:rPr>
        <w:t>pathogenic variant</w:t>
      </w:r>
      <w:r w:rsidRPr="004B2CA1">
        <w:rPr>
          <w:rFonts w:ascii="Times New Roman" w:eastAsia="Times New Roman" w:hAnsi="Times New Roman" w:cs="Times New Roman"/>
          <w:szCs w:val="20"/>
          <w:lang w:eastAsia="en-AU"/>
        </w:rPr>
        <w:t xml:space="preserve"> </w:t>
      </w:r>
      <w:r w:rsidR="004B2CA1" w:rsidRPr="004B2CA1">
        <w:rPr>
          <w:rFonts w:ascii="Times New Roman" w:eastAsia="Times New Roman" w:hAnsi="Times New Roman" w:cs="Times New Roman"/>
          <w:szCs w:val="20"/>
          <w:lang w:eastAsia="en-AU"/>
        </w:rPr>
        <w:t xml:space="preserve">would have </w:t>
      </w:r>
      <w:r w:rsidR="00283B06">
        <w:rPr>
          <w:rFonts w:ascii="Times New Roman" w:eastAsia="Times New Roman" w:hAnsi="Times New Roman" w:cs="Times New Roman"/>
          <w:szCs w:val="20"/>
          <w:lang w:eastAsia="en-AU"/>
        </w:rPr>
        <w:t xml:space="preserve">been difficult to justify </w:t>
      </w:r>
      <w:r w:rsidR="004B2CA1" w:rsidRPr="004B2CA1">
        <w:rPr>
          <w:rFonts w:ascii="Times New Roman" w:eastAsia="Times New Roman" w:hAnsi="Times New Roman" w:cs="Times New Roman"/>
          <w:szCs w:val="20"/>
          <w:lang w:eastAsia="en-AU"/>
        </w:rPr>
        <w:t>ethical</w:t>
      </w:r>
      <w:r w:rsidR="00283B06">
        <w:rPr>
          <w:rFonts w:ascii="Times New Roman" w:eastAsia="Times New Roman" w:hAnsi="Times New Roman" w:cs="Times New Roman"/>
          <w:szCs w:val="20"/>
          <w:lang w:eastAsia="en-AU"/>
        </w:rPr>
        <w:t>ly</w:t>
      </w:r>
      <w:r w:rsidR="004B2CA1" w:rsidRPr="004B2CA1">
        <w:rPr>
          <w:rFonts w:ascii="Times New Roman" w:eastAsia="Times New Roman" w:hAnsi="Times New Roman" w:cs="Times New Roman"/>
          <w:szCs w:val="20"/>
          <w:lang w:eastAsia="en-AU"/>
        </w:rPr>
        <w:t>.</w:t>
      </w:r>
    </w:p>
    <w:p w14:paraId="49B7BCDE" w14:textId="1763FF3B" w:rsidR="00475CC6" w:rsidRDefault="00475CC6" w:rsidP="004B2CA1">
      <w:pPr>
        <w:spacing w:before="240" w:after="240"/>
        <w:jc w:val="left"/>
        <w:rPr>
          <w:rFonts w:ascii="Times New Roman" w:eastAsia="Times New Roman" w:hAnsi="Times New Roman" w:cs="Times New Roman"/>
          <w:szCs w:val="20"/>
          <w:lang w:eastAsia="en-AU"/>
        </w:rPr>
      </w:pPr>
      <w:r w:rsidRPr="004B2CA1">
        <w:rPr>
          <w:rFonts w:ascii="Times New Roman" w:eastAsia="Times New Roman" w:hAnsi="Times New Roman" w:cs="Times New Roman"/>
          <w:szCs w:val="20"/>
          <w:lang w:eastAsia="en-AU"/>
        </w:rPr>
        <w:t xml:space="preserve">MSAC </w:t>
      </w:r>
      <w:r w:rsidR="00F52291">
        <w:rPr>
          <w:rFonts w:ascii="Times New Roman" w:eastAsia="Times New Roman" w:hAnsi="Times New Roman" w:cs="Times New Roman"/>
          <w:szCs w:val="20"/>
          <w:lang w:eastAsia="en-AU"/>
        </w:rPr>
        <w:t>accepted</w:t>
      </w:r>
      <w:r w:rsidRPr="004B2CA1">
        <w:rPr>
          <w:rFonts w:ascii="Times New Roman" w:eastAsia="Times New Roman" w:hAnsi="Times New Roman" w:cs="Times New Roman"/>
          <w:szCs w:val="20"/>
          <w:lang w:eastAsia="en-AU"/>
        </w:rPr>
        <w:t xml:space="preserve"> the</w:t>
      </w:r>
      <w:r w:rsidR="00C71AEB">
        <w:rPr>
          <w:rFonts w:ascii="Times New Roman" w:eastAsia="Times New Roman" w:hAnsi="Times New Roman" w:cs="Times New Roman"/>
          <w:szCs w:val="20"/>
          <w:lang w:eastAsia="en-AU"/>
        </w:rPr>
        <w:t xml:space="preserve">re was </w:t>
      </w:r>
      <w:r w:rsidR="00C71AEB" w:rsidRPr="00DC4181">
        <w:rPr>
          <w:rFonts w:ascii="Times New Roman" w:eastAsia="Times New Roman" w:hAnsi="Times New Roman" w:cs="Times New Roman"/>
          <w:bCs/>
          <w:noProof/>
          <w:szCs w:val="24"/>
          <w:lang w:eastAsia="en-AU"/>
        </w:rPr>
        <w:t xml:space="preserve">high concordance </w:t>
      </w:r>
      <w:r w:rsidR="00283B06">
        <w:rPr>
          <w:rFonts w:ascii="Times New Roman" w:eastAsia="Times New Roman" w:hAnsi="Times New Roman" w:cs="Times New Roman"/>
          <w:bCs/>
          <w:noProof/>
          <w:szCs w:val="24"/>
          <w:lang w:eastAsia="en-AU"/>
        </w:rPr>
        <w:t xml:space="preserve">between </w:t>
      </w:r>
      <w:r w:rsidR="00C71AEB">
        <w:rPr>
          <w:rFonts w:ascii="Times New Roman" w:eastAsia="Times New Roman" w:hAnsi="Times New Roman" w:cs="Times New Roman"/>
          <w:bCs/>
          <w:noProof/>
          <w:szCs w:val="24"/>
          <w:lang w:eastAsia="en-AU"/>
        </w:rPr>
        <w:t>NGS</w:t>
      </w:r>
      <w:r w:rsidR="00C71AEB" w:rsidRPr="00DC4181">
        <w:rPr>
          <w:rFonts w:ascii="Times New Roman" w:eastAsia="Times New Roman" w:hAnsi="Times New Roman" w:cs="Times New Roman"/>
          <w:bCs/>
          <w:noProof/>
          <w:szCs w:val="24"/>
          <w:lang w:eastAsia="en-AU"/>
        </w:rPr>
        <w:t xml:space="preserve"> (the most commonly used technique in Australia) </w:t>
      </w:r>
      <w:r w:rsidR="00283B06">
        <w:rPr>
          <w:rFonts w:ascii="Times New Roman" w:eastAsia="Times New Roman" w:hAnsi="Times New Roman" w:cs="Times New Roman"/>
          <w:bCs/>
          <w:noProof/>
          <w:szCs w:val="24"/>
          <w:lang w:eastAsia="en-AU"/>
        </w:rPr>
        <w:t>and</w:t>
      </w:r>
      <w:r w:rsidR="00C71AEB" w:rsidRPr="00DC4181">
        <w:rPr>
          <w:rFonts w:ascii="Times New Roman" w:eastAsia="Times New Roman" w:hAnsi="Times New Roman" w:cs="Times New Roman"/>
          <w:bCs/>
          <w:noProof/>
          <w:szCs w:val="24"/>
          <w:lang w:eastAsia="en-AU"/>
        </w:rPr>
        <w:t xml:space="preserve"> the </w:t>
      </w:r>
      <w:r w:rsidR="00283B06" w:rsidRPr="004B2CA1">
        <w:rPr>
          <w:rFonts w:ascii="Times New Roman" w:eastAsia="Times New Roman" w:hAnsi="Times New Roman" w:cs="Times New Roman"/>
          <w:szCs w:val="20"/>
          <w:lang w:eastAsia="en-AU"/>
        </w:rPr>
        <w:t>clinical utility standard</w:t>
      </w:r>
      <w:r w:rsidR="00283B06">
        <w:rPr>
          <w:rFonts w:ascii="Times New Roman" w:eastAsia="Times New Roman" w:hAnsi="Times New Roman" w:cs="Times New Roman"/>
          <w:bCs/>
          <w:noProof/>
          <w:szCs w:val="24"/>
          <w:lang w:eastAsia="en-AU"/>
        </w:rPr>
        <w:t xml:space="preserve"> </w:t>
      </w:r>
      <w:r w:rsidR="00C71AEB">
        <w:rPr>
          <w:rFonts w:ascii="Times New Roman" w:eastAsia="Times New Roman" w:hAnsi="Times New Roman" w:cs="Times New Roman"/>
          <w:bCs/>
          <w:noProof/>
          <w:szCs w:val="24"/>
          <w:lang w:eastAsia="en-AU"/>
        </w:rPr>
        <w:t xml:space="preserve">test used </w:t>
      </w:r>
      <w:r w:rsidRPr="004B2CA1">
        <w:rPr>
          <w:rFonts w:ascii="Times New Roman" w:eastAsia="Times New Roman" w:hAnsi="Times New Roman" w:cs="Times New Roman"/>
          <w:szCs w:val="20"/>
          <w:lang w:eastAsia="en-AU"/>
        </w:rPr>
        <w:t xml:space="preserve">in the </w:t>
      </w:r>
      <w:proofErr w:type="spellStart"/>
      <w:r w:rsidRPr="004B2CA1">
        <w:rPr>
          <w:rFonts w:ascii="Times New Roman" w:eastAsia="Times New Roman" w:hAnsi="Times New Roman" w:cs="Times New Roman"/>
          <w:szCs w:val="20"/>
          <w:lang w:eastAsia="en-AU"/>
        </w:rPr>
        <w:t>Codebreak</w:t>
      </w:r>
      <w:proofErr w:type="spellEnd"/>
      <w:r w:rsidRPr="004B2CA1">
        <w:rPr>
          <w:rFonts w:ascii="Times New Roman" w:eastAsia="Times New Roman" w:hAnsi="Times New Roman" w:cs="Times New Roman"/>
          <w:szCs w:val="20"/>
          <w:lang w:eastAsia="en-AU"/>
        </w:rPr>
        <w:t xml:space="preserve"> 100 study (</w:t>
      </w:r>
      <w:proofErr w:type="spellStart"/>
      <w:r w:rsidRPr="00F52291">
        <w:rPr>
          <w:rFonts w:ascii="Times New Roman" w:eastAsia="Times New Roman" w:hAnsi="Times New Roman" w:cs="Times New Roman"/>
          <w:i/>
          <w:iCs/>
          <w:szCs w:val="20"/>
          <w:lang w:eastAsia="en-AU"/>
        </w:rPr>
        <w:t>therascreen</w:t>
      </w:r>
      <w:proofErr w:type="spellEnd"/>
      <w:r w:rsidRPr="004B2CA1">
        <w:rPr>
          <w:rFonts w:ascii="Times New Roman" w:eastAsia="Times New Roman" w:hAnsi="Times New Roman" w:cs="Times New Roman"/>
          <w:szCs w:val="20"/>
          <w:lang w:eastAsia="en-AU"/>
        </w:rPr>
        <w:t xml:space="preserve"> </w:t>
      </w:r>
      <w:r w:rsidRPr="00F52291">
        <w:rPr>
          <w:rFonts w:ascii="Times New Roman" w:eastAsia="Times New Roman" w:hAnsi="Times New Roman" w:cs="Times New Roman"/>
          <w:i/>
          <w:iCs/>
          <w:szCs w:val="20"/>
          <w:lang w:eastAsia="en-AU"/>
        </w:rPr>
        <w:t>KRAS</w:t>
      </w:r>
      <w:r w:rsidRPr="004B2CA1">
        <w:rPr>
          <w:rFonts w:ascii="Times New Roman" w:eastAsia="Times New Roman" w:hAnsi="Times New Roman" w:cs="Times New Roman"/>
          <w:szCs w:val="20"/>
          <w:lang w:eastAsia="en-AU"/>
        </w:rPr>
        <w:t xml:space="preserve"> PCR kit) for detecting pathogenic </w:t>
      </w:r>
      <w:r w:rsidRPr="00F52291">
        <w:rPr>
          <w:rFonts w:ascii="Times New Roman" w:eastAsia="Times New Roman" w:hAnsi="Times New Roman" w:cs="Times New Roman"/>
          <w:i/>
          <w:iCs/>
          <w:szCs w:val="20"/>
          <w:lang w:eastAsia="en-AU"/>
        </w:rPr>
        <w:t>KRAS</w:t>
      </w:r>
      <w:r w:rsidR="00F52291">
        <w:rPr>
          <w:rFonts w:ascii="Times New Roman" w:eastAsia="Times New Roman" w:hAnsi="Times New Roman" w:cs="Times New Roman"/>
          <w:szCs w:val="20"/>
          <w:lang w:eastAsia="en-AU"/>
        </w:rPr>
        <w:t xml:space="preserve"> variants</w:t>
      </w:r>
      <w:r w:rsidR="00283B06">
        <w:rPr>
          <w:rFonts w:ascii="Times New Roman" w:eastAsia="Times New Roman" w:hAnsi="Times New Roman" w:cs="Times New Roman"/>
          <w:szCs w:val="20"/>
          <w:lang w:eastAsia="en-AU"/>
        </w:rPr>
        <w:t>,</w:t>
      </w:r>
      <w:r w:rsidR="00454019">
        <w:rPr>
          <w:rFonts w:ascii="Times New Roman" w:eastAsia="Times New Roman" w:hAnsi="Times New Roman" w:cs="Times New Roman"/>
          <w:szCs w:val="20"/>
          <w:lang w:eastAsia="en-AU"/>
        </w:rPr>
        <w:t xml:space="preserve"> </w:t>
      </w:r>
      <w:r w:rsidR="00454019" w:rsidRPr="00DC4181">
        <w:rPr>
          <w:rFonts w:ascii="Times New Roman" w:eastAsia="Times New Roman" w:hAnsi="Times New Roman" w:cs="Times New Roman"/>
          <w:bCs/>
          <w:noProof/>
          <w:szCs w:val="24"/>
          <w:lang w:eastAsia="en-AU"/>
        </w:rPr>
        <w:t xml:space="preserve">but </w:t>
      </w:r>
      <w:r w:rsidR="00F52291">
        <w:rPr>
          <w:rFonts w:ascii="Times New Roman" w:eastAsia="Times New Roman" w:hAnsi="Times New Roman" w:cs="Times New Roman"/>
          <w:bCs/>
          <w:noProof/>
          <w:szCs w:val="24"/>
          <w:lang w:eastAsia="en-AU"/>
        </w:rPr>
        <w:t xml:space="preserve">noted </w:t>
      </w:r>
      <w:r w:rsidR="00454019" w:rsidRPr="00DC4181">
        <w:rPr>
          <w:rFonts w:ascii="Times New Roman" w:eastAsia="Times New Roman" w:hAnsi="Times New Roman" w:cs="Times New Roman"/>
          <w:bCs/>
          <w:noProof/>
          <w:szCs w:val="24"/>
          <w:lang w:eastAsia="en-AU"/>
        </w:rPr>
        <w:t xml:space="preserve">the evidence </w:t>
      </w:r>
      <w:r w:rsidR="00454019" w:rsidRPr="00DC4181">
        <w:rPr>
          <w:rFonts w:ascii="Times New Roman" w:eastAsia="Times New Roman" w:hAnsi="Times New Roman" w:cs="Times New Roman"/>
          <w:bCs/>
          <w:noProof/>
          <w:szCs w:val="24"/>
          <w:lang w:eastAsia="en-AU"/>
        </w:rPr>
        <w:lastRenderedPageBreak/>
        <w:t>was limited to a single study with small patient numbers</w:t>
      </w:r>
      <w:r w:rsidR="00D90A20">
        <w:rPr>
          <w:rFonts w:ascii="Times New Roman" w:eastAsia="Times New Roman" w:hAnsi="Times New Roman" w:cs="Times New Roman"/>
          <w:bCs/>
          <w:noProof/>
          <w:szCs w:val="24"/>
          <w:lang w:eastAsia="en-AU"/>
        </w:rPr>
        <w:t xml:space="preserve"> (see Table 5)</w:t>
      </w:r>
      <w:r w:rsidR="00454019" w:rsidRPr="00DC4181">
        <w:rPr>
          <w:rFonts w:ascii="Times New Roman" w:eastAsia="Times New Roman" w:hAnsi="Times New Roman" w:cs="Times New Roman"/>
          <w:bCs/>
          <w:noProof/>
          <w:szCs w:val="24"/>
          <w:lang w:eastAsia="en-AU"/>
        </w:rPr>
        <w:t>.</w:t>
      </w:r>
      <w:r w:rsidRPr="004B2CA1">
        <w:rPr>
          <w:rFonts w:ascii="Times New Roman" w:eastAsia="Times New Roman" w:hAnsi="Times New Roman" w:cs="Times New Roman"/>
          <w:szCs w:val="20"/>
          <w:lang w:eastAsia="en-AU"/>
        </w:rPr>
        <w:t xml:space="preserve"> MSAC</w:t>
      </w:r>
      <w:r w:rsidR="00454019">
        <w:rPr>
          <w:rFonts w:ascii="Times New Roman" w:eastAsia="Times New Roman" w:hAnsi="Times New Roman" w:cs="Times New Roman"/>
          <w:szCs w:val="20"/>
          <w:lang w:eastAsia="en-AU"/>
        </w:rPr>
        <w:t xml:space="preserve"> also noted that the research-based limit of detection study by Sherwood et al. (2017) </w:t>
      </w:r>
      <w:r w:rsidR="00454019" w:rsidRPr="00454019">
        <w:rPr>
          <w:rFonts w:ascii="Times New Roman" w:eastAsia="Times New Roman" w:hAnsi="Times New Roman" w:cs="Times New Roman"/>
          <w:szCs w:val="20"/>
          <w:lang w:eastAsia="en-AU"/>
        </w:rPr>
        <w:t xml:space="preserve">found that both </w:t>
      </w:r>
      <w:r w:rsidR="00454019">
        <w:rPr>
          <w:rFonts w:ascii="Times New Roman" w:eastAsia="Times New Roman" w:hAnsi="Times New Roman" w:cs="Times New Roman"/>
          <w:szCs w:val="20"/>
          <w:lang w:eastAsia="en-AU"/>
        </w:rPr>
        <w:t>the</w:t>
      </w:r>
      <w:r w:rsidR="00454019" w:rsidRPr="00454019">
        <w:rPr>
          <w:rFonts w:ascii="Times New Roman" w:eastAsia="Times New Roman" w:hAnsi="Times New Roman" w:cs="Times New Roman"/>
          <w:szCs w:val="20"/>
          <w:lang w:eastAsia="en-AU"/>
        </w:rPr>
        <w:t xml:space="preserve"> PCR kits and several NGS methodologies performed well with limits of detection at or below </w:t>
      </w:r>
      <w:proofErr w:type="gramStart"/>
      <w:r w:rsidR="00454019" w:rsidRPr="00454019">
        <w:rPr>
          <w:rFonts w:ascii="Times New Roman" w:eastAsia="Times New Roman" w:hAnsi="Times New Roman" w:cs="Times New Roman"/>
          <w:szCs w:val="20"/>
          <w:lang w:eastAsia="en-AU"/>
        </w:rPr>
        <w:t>10%</w:t>
      </w:r>
      <w:r w:rsidR="000719A2">
        <w:rPr>
          <w:rFonts w:ascii="Times New Roman" w:eastAsia="Times New Roman" w:hAnsi="Times New Roman" w:cs="Times New Roman"/>
          <w:szCs w:val="20"/>
          <w:lang w:eastAsia="en-AU"/>
        </w:rPr>
        <w:t>, and</w:t>
      </w:r>
      <w:proofErr w:type="gramEnd"/>
      <w:r w:rsidR="000719A2">
        <w:rPr>
          <w:rFonts w:ascii="Times New Roman" w:eastAsia="Times New Roman" w:hAnsi="Times New Roman" w:cs="Times New Roman"/>
          <w:szCs w:val="20"/>
          <w:lang w:eastAsia="en-AU"/>
        </w:rPr>
        <w:t xml:space="preserve"> considered that the main issue leading to variation in results relates to the quality of the tumour sample</w:t>
      </w:r>
      <w:r w:rsidR="00454019" w:rsidRPr="00454019">
        <w:rPr>
          <w:rFonts w:ascii="Times New Roman" w:eastAsia="Times New Roman" w:hAnsi="Times New Roman" w:cs="Times New Roman"/>
          <w:szCs w:val="20"/>
          <w:lang w:eastAsia="en-AU"/>
        </w:rPr>
        <w:t>.</w:t>
      </w:r>
    </w:p>
    <w:p w14:paraId="70076BC0" w14:textId="61190629" w:rsidR="000719A2" w:rsidRPr="004B2CA1" w:rsidRDefault="000719A2" w:rsidP="004B2CA1">
      <w:pPr>
        <w:spacing w:before="240" w:after="24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MSA</w:t>
      </w:r>
      <w:r w:rsidR="007D5343">
        <w:rPr>
          <w:rFonts w:ascii="Times New Roman" w:eastAsia="Times New Roman" w:hAnsi="Times New Roman" w:cs="Times New Roman"/>
          <w:szCs w:val="20"/>
          <w:lang w:eastAsia="en-AU"/>
        </w:rPr>
        <w:t>C</w:t>
      </w:r>
      <w:r>
        <w:rPr>
          <w:rFonts w:ascii="Times New Roman" w:eastAsia="Times New Roman" w:hAnsi="Times New Roman" w:cs="Times New Roman"/>
          <w:szCs w:val="20"/>
          <w:lang w:eastAsia="en-AU"/>
        </w:rPr>
        <w:t xml:space="preserve"> noted that 8 studies were assessed reporting the prevalence of </w:t>
      </w:r>
      <w:r w:rsidRPr="00DE6CC6">
        <w:rPr>
          <w:rFonts w:ascii="Times New Roman" w:eastAsia="Calibri" w:hAnsi="Times New Roman" w:cs="Times New Roman"/>
          <w:iCs/>
        </w:rPr>
        <w:t xml:space="preserve">any pathogenic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variant </w:t>
      </w:r>
      <w:r>
        <w:rPr>
          <w:rFonts w:ascii="Times New Roman" w:eastAsia="Calibri" w:hAnsi="Times New Roman" w:cs="Times New Roman"/>
          <w:iCs/>
        </w:rPr>
        <w:t xml:space="preserve">as being </w:t>
      </w:r>
      <w:r w:rsidRPr="00DE6CC6">
        <w:rPr>
          <w:rFonts w:ascii="Times New Roman" w:eastAsia="Calibri" w:hAnsi="Times New Roman" w:cs="Times New Roman"/>
          <w:iCs/>
        </w:rPr>
        <w:t xml:space="preserve">37.5% (range 24–49) and </w:t>
      </w:r>
      <w:r>
        <w:rPr>
          <w:rFonts w:ascii="Times New Roman" w:eastAsia="Times New Roman" w:hAnsi="Times New Roman" w:cs="Times New Roman"/>
          <w:szCs w:val="20"/>
          <w:lang w:eastAsia="en-AU"/>
        </w:rPr>
        <w:t xml:space="preserve">the prevalence of </w:t>
      </w:r>
      <w:r w:rsidRPr="00DE6CC6">
        <w:rPr>
          <w:rFonts w:ascii="Times New Roman" w:eastAsia="Calibri" w:hAnsi="Times New Roman" w:cs="Times New Roman"/>
          <w:iCs/>
        </w:rPr>
        <w:t xml:space="preserve">the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G12C variant </w:t>
      </w:r>
      <w:r>
        <w:rPr>
          <w:rFonts w:ascii="Times New Roman" w:eastAsia="Calibri" w:hAnsi="Times New Roman" w:cs="Times New Roman"/>
          <w:iCs/>
        </w:rPr>
        <w:t xml:space="preserve">as being </w:t>
      </w:r>
      <w:r w:rsidRPr="00DE6CC6">
        <w:rPr>
          <w:rFonts w:ascii="Times New Roman" w:eastAsia="Calibri" w:hAnsi="Times New Roman" w:cs="Times New Roman"/>
          <w:iCs/>
        </w:rPr>
        <w:t>14.5% (range 10–20).</w:t>
      </w:r>
    </w:p>
    <w:p w14:paraId="3F8F8690" w14:textId="06994939" w:rsidR="007B0123" w:rsidRDefault="007B0123" w:rsidP="004B2CA1">
      <w:pPr>
        <w:spacing w:before="240" w:after="240"/>
        <w:jc w:val="left"/>
        <w:rPr>
          <w:rFonts w:ascii="Times New Roman" w:eastAsia="Times New Roman" w:hAnsi="Times New Roman" w:cs="Times New Roman"/>
          <w:szCs w:val="20"/>
          <w:lang w:eastAsia="en-AU"/>
        </w:rPr>
      </w:pPr>
      <w:r>
        <w:rPr>
          <w:rFonts w:ascii="Times New Roman" w:eastAsia="Times New Roman" w:hAnsi="Times New Roman" w:cs="Times New Roman"/>
          <w:bCs/>
          <w:szCs w:val="20"/>
          <w:lang w:eastAsia="en-AU"/>
        </w:rPr>
        <w:t xml:space="preserve">MSAC noted </w:t>
      </w:r>
      <w:r w:rsidR="00FB351A" w:rsidRPr="00DE6CC6">
        <w:rPr>
          <w:rFonts w:ascii="Times New Roman" w:eastAsia="Times New Roman" w:hAnsi="Times New Roman" w:cs="Times New Roman"/>
          <w:bCs/>
          <w:szCs w:val="20"/>
          <w:lang w:eastAsia="en-AU"/>
        </w:rPr>
        <w:t>that the base case</w:t>
      </w:r>
      <w:r>
        <w:rPr>
          <w:rFonts w:ascii="Times New Roman" w:eastAsia="Times New Roman" w:hAnsi="Times New Roman" w:cs="Times New Roman"/>
          <w:bCs/>
          <w:szCs w:val="20"/>
          <w:lang w:eastAsia="en-AU"/>
        </w:rPr>
        <w:t xml:space="preserve"> structure</w:t>
      </w:r>
      <w:r w:rsidR="00FB351A" w:rsidRPr="00DE6CC6">
        <w:rPr>
          <w:rFonts w:ascii="Times New Roman" w:eastAsia="Times New Roman" w:hAnsi="Times New Roman" w:cs="Times New Roman"/>
          <w:bCs/>
          <w:szCs w:val="20"/>
          <w:lang w:eastAsia="en-AU"/>
        </w:rPr>
        <w:t xml:space="preserve"> </w:t>
      </w:r>
      <w:r w:rsidR="00F52291">
        <w:rPr>
          <w:rFonts w:ascii="Times New Roman" w:eastAsia="Times New Roman" w:hAnsi="Times New Roman" w:cs="Times New Roman"/>
          <w:bCs/>
          <w:szCs w:val="20"/>
          <w:lang w:eastAsia="en-AU"/>
        </w:rPr>
        <w:t xml:space="preserve">of the modelled economic evaluation of </w:t>
      </w:r>
      <w:proofErr w:type="spellStart"/>
      <w:r w:rsidR="00F52291">
        <w:rPr>
          <w:rFonts w:ascii="Times New Roman" w:eastAsia="Times New Roman" w:hAnsi="Times New Roman" w:cs="Times New Roman"/>
          <w:bCs/>
          <w:szCs w:val="20"/>
          <w:lang w:eastAsia="en-AU"/>
        </w:rPr>
        <w:t>sotorasib</w:t>
      </w:r>
      <w:proofErr w:type="spellEnd"/>
      <w:r w:rsidR="00F52291">
        <w:rPr>
          <w:rFonts w:ascii="Times New Roman" w:eastAsia="Times New Roman" w:hAnsi="Times New Roman" w:cs="Times New Roman"/>
          <w:bCs/>
          <w:szCs w:val="20"/>
          <w:lang w:eastAsia="en-AU"/>
        </w:rPr>
        <w:t xml:space="preserve"> </w:t>
      </w:r>
      <w:r w:rsidR="00FB351A" w:rsidRPr="00DE6CC6">
        <w:rPr>
          <w:rFonts w:ascii="Times New Roman" w:eastAsia="Times New Roman" w:hAnsi="Times New Roman" w:cs="Times New Roman"/>
          <w:bCs/>
          <w:szCs w:val="20"/>
          <w:lang w:eastAsia="en-AU"/>
        </w:rPr>
        <w:t xml:space="preserve">did not </w:t>
      </w:r>
      <w:r>
        <w:rPr>
          <w:rFonts w:ascii="Times New Roman" w:eastAsia="Times New Roman" w:hAnsi="Times New Roman" w:cs="Times New Roman"/>
          <w:bCs/>
          <w:szCs w:val="20"/>
          <w:lang w:eastAsia="en-AU"/>
        </w:rPr>
        <w:t>incorporate a testing component as it</w:t>
      </w:r>
      <w:r w:rsidR="00FB351A" w:rsidRPr="00DE6CC6">
        <w:rPr>
          <w:rFonts w:ascii="Times New Roman" w:eastAsia="Times New Roman" w:hAnsi="Times New Roman" w:cs="Times New Roman"/>
          <w:bCs/>
          <w:szCs w:val="20"/>
          <w:lang w:eastAsia="en-AU"/>
        </w:rPr>
        <w:t xml:space="preserve"> assumed perfect test performance (</w:t>
      </w:r>
      <w:proofErr w:type="gramStart"/>
      <w:r w:rsidR="00FB351A" w:rsidRPr="00DE6CC6">
        <w:rPr>
          <w:rFonts w:ascii="Times New Roman" w:eastAsia="Times New Roman" w:hAnsi="Times New Roman" w:cs="Times New Roman"/>
          <w:bCs/>
          <w:szCs w:val="20"/>
          <w:lang w:eastAsia="en-AU"/>
        </w:rPr>
        <w:t>i.e.</w:t>
      </w:r>
      <w:proofErr w:type="gramEnd"/>
      <w:r w:rsidR="00FB351A" w:rsidRPr="00DE6CC6">
        <w:rPr>
          <w:rFonts w:ascii="Times New Roman" w:eastAsia="Times New Roman" w:hAnsi="Times New Roman" w:cs="Times New Roman"/>
          <w:bCs/>
          <w:szCs w:val="20"/>
          <w:lang w:eastAsia="en-AU"/>
        </w:rPr>
        <w:t xml:space="preserve"> 100% sensitivity and specificity) based on the high concordance of PCR and NGS</w:t>
      </w:r>
      <w:r>
        <w:rPr>
          <w:rFonts w:ascii="Times New Roman" w:eastAsia="Times New Roman" w:hAnsi="Times New Roman" w:cs="Times New Roman"/>
          <w:bCs/>
          <w:szCs w:val="20"/>
          <w:lang w:eastAsia="en-AU"/>
        </w:rPr>
        <w:t>,</w:t>
      </w:r>
      <w:r w:rsidR="00FB351A" w:rsidRPr="00DE6CC6">
        <w:rPr>
          <w:rFonts w:ascii="Times New Roman" w:eastAsia="Times New Roman" w:hAnsi="Times New Roman" w:cs="Times New Roman"/>
          <w:bCs/>
          <w:szCs w:val="20"/>
          <w:lang w:eastAsia="en-AU"/>
        </w:rPr>
        <w:t xml:space="preserve"> and that testing is associated with no additional cost based on </w:t>
      </w:r>
      <w:r w:rsidR="00F52291">
        <w:rPr>
          <w:rFonts w:ascii="Times New Roman" w:eastAsia="Times New Roman" w:hAnsi="Times New Roman" w:cs="Times New Roman"/>
          <w:bCs/>
          <w:szCs w:val="20"/>
          <w:lang w:eastAsia="en-AU"/>
        </w:rPr>
        <w:t xml:space="preserve">the claim </w:t>
      </w:r>
      <w:r w:rsidR="00FB351A" w:rsidRPr="00DE6CC6">
        <w:rPr>
          <w:rFonts w:ascii="Times New Roman" w:eastAsia="Times New Roman" w:hAnsi="Times New Roman" w:cs="Times New Roman"/>
          <w:bCs/>
          <w:szCs w:val="20"/>
          <w:lang w:eastAsia="en-AU"/>
        </w:rPr>
        <w:t xml:space="preserve">that </w:t>
      </w:r>
      <w:r w:rsidR="00FB351A" w:rsidRPr="00DE6CC6">
        <w:rPr>
          <w:rFonts w:ascii="Times New Roman" w:eastAsia="Times New Roman" w:hAnsi="Times New Roman" w:cs="Times New Roman"/>
          <w:bCs/>
          <w:i/>
          <w:iCs/>
          <w:szCs w:val="20"/>
          <w:lang w:eastAsia="en-AU"/>
        </w:rPr>
        <w:t>KRAS</w:t>
      </w:r>
      <w:r w:rsidR="00FB351A" w:rsidRPr="00DE6CC6">
        <w:rPr>
          <w:rFonts w:ascii="Times New Roman" w:eastAsia="Times New Roman" w:hAnsi="Times New Roman" w:cs="Times New Roman"/>
          <w:bCs/>
          <w:szCs w:val="20"/>
          <w:lang w:eastAsia="en-AU"/>
        </w:rPr>
        <w:t xml:space="preserve"> variant testing </w:t>
      </w:r>
      <w:r w:rsidR="00FB351A" w:rsidRPr="00DE6CC6">
        <w:rPr>
          <w:rFonts w:ascii="Times New Roman" w:eastAsia="Times New Roman" w:hAnsi="Times New Roman" w:cs="Times New Roman"/>
          <w:szCs w:val="20"/>
          <w:lang w:eastAsia="en-AU"/>
        </w:rPr>
        <w:t>w</w:t>
      </w:r>
      <w:r w:rsidR="00F52291">
        <w:rPr>
          <w:rFonts w:ascii="Times New Roman" w:eastAsia="Times New Roman" w:hAnsi="Times New Roman" w:cs="Times New Roman"/>
          <w:szCs w:val="20"/>
          <w:lang w:eastAsia="en-AU"/>
        </w:rPr>
        <w:t>ould</w:t>
      </w:r>
      <w:r w:rsidR="00FB351A" w:rsidRPr="00DE6CC6">
        <w:rPr>
          <w:rFonts w:ascii="Times New Roman" w:eastAsia="Times New Roman" w:hAnsi="Times New Roman" w:cs="Times New Roman"/>
          <w:szCs w:val="20"/>
          <w:lang w:eastAsia="en-AU"/>
        </w:rPr>
        <w:t xml:space="preserve"> occur with all current </w:t>
      </w:r>
      <w:r w:rsidR="00FB351A" w:rsidRPr="00DE6CC6">
        <w:rPr>
          <w:rFonts w:ascii="Times New Roman" w:eastAsia="Times New Roman" w:hAnsi="Times New Roman" w:cs="Times New Roman"/>
          <w:i/>
          <w:iCs/>
          <w:szCs w:val="20"/>
          <w:lang w:eastAsia="en-AU"/>
        </w:rPr>
        <w:t>EGFR</w:t>
      </w:r>
      <w:r w:rsidR="00FB351A" w:rsidRPr="00DE6CC6">
        <w:rPr>
          <w:rFonts w:ascii="Times New Roman" w:eastAsia="Times New Roman" w:hAnsi="Times New Roman" w:cs="Times New Roman"/>
          <w:szCs w:val="20"/>
          <w:lang w:eastAsia="en-AU"/>
        </w:rPr>
        <w:t xml:space="preserve"> variant testing using NGS. </w:t>
      </w:r>
      <w:r>
        <w:rPr>
          <w:rFonts w:ascii="Times New Roman" w:eastAsia="Times New Roman" w:hAnsi="Times New Roman" w:cs="Times New Roman"/>
          <w:szCs w:val="20"/>
          <w:lang w:eastAsia="en-AU"/>
        </w:rPr>
        <w:t xml:space="preserve">MSAC noted that </w:t>
      </w:r>
      <w:r w:rsidRPr="00DE6CC6">
        <w:rPr>
          <w:rFonts w:ascii="Times New Roman" w:eastAsia="Times New Roman" w:hAnsi="Times New Roman" w:cs="Times New Roman"/>
          <w:szCs w:val="20"/>
          <w:lang w:eastAsia="en-AU"/>
        </w:rPr>
        <w:t>it is well-known that NGS performed with poor quality or inadequate tumour DNA samples ha</w:t>
      </w:r>
      <w:r w:rsidR="007D5343">
        <w:rPr>
          <w:rFonts w:ascii="Times New Roman" w:eastAsia="Times New Roman" w:hAnsi="Times New Roman" w:cs="Times New Roman"/>
          <w:szCs w:val="20"/>
          <w:lang w:eastAsia="en-AU"/>
        </w:rPr>
        <w:t>s</w:t>
      </w:r>
      <w:r w:rsidRPr="00DE6CC6">
        <w:rPr>
          <w:rFonts w:ascii="Times New Roman" w:eastAsia="Times New Roman" w:hAnsi="Times New Roman" w:cs="Times New Roman"/>
          <w:szCs w:val="20"/>
          <w:lang w:eastAsia="en-AU"/>
        </w:rPr>
        <w:t xml:space="preserve"> an increased likelihood of having a false negative </w:t>
      </w:r>
      <w:proofErr w:type="gramStart"/>
      <w:r w:rsidRPr="00DE6CC6">
        <w:rPr>
          <w:rFonts w:ascii="Times New Roman" w:eastAsia="Times New Roman" w:hAnsi="Times New Roman" w:cs="Times New Roman"/>
          <w:szCs w:val="20"/>
          <w:lang w:eastAsia="en-AU"/>
        </w:rPr>
        <w:t>result</w:t>
      </w:r>
      <w:r>
        <w:rPr>
          <w:rFonts w:ascii="Times New Roman" w:eastAsia="Times New Roman" w:hAnsi="Times New Roman" w:cs="Times New Roman"/>
          <w:szCs w:val="20"/>
          <w:lang w:eastAsia="en-AU"/>
        </w:rPr>
        <w:t>, but</w:t>
      </w:r>
      <w:proofErr w:type="gramEnd"/>
      <w:r w:rsidR="005D1B15">
        <w:rPr>
          <w:rFonts w:ascii="Times New Roman" w:eastAsia="Times New Roman" w:hAnsi="Times New Roman" w:cs="Times New Roman"/>
          <w:szCs w:val="20"/>
          <w:lang w:eastAsia="en-AU"/>
        </w:rPr>
        <w:t xml:space="preserve"> </w:t>
      </w:r>
      <w:r w:rsidR="00F52291">
        <w:rPr>
          <w:rFonts w:ascii="Times New Roman" w:eastAsia="Times New Roman" w:hAnsi="Times New Roman" w:cs="Times New Roman"/>
          <w:szCs w:val="20"/>
          <w:lang w:eastAsia="en-AU"/>
        </w:rPr>
        <w:t>accepted</w:t>
      </w:r>
      <w:r>
        <w:rPr>
          <w:rFonts w:ascii="Times New Roman" w:eastAsia="Times New Roman" w:hAnsi="Times New Roman" w:cs="Times New Roman"/>
          <w:szCs w:val="20"/>
          <w:lang w:eastAsia="en-AU"/>
        </w:rPr>
        <w:t xml:space="preserve"> that sensitivity analys</w:t>
      </w:r>
      <w:r w:rsidR="000719A2">
        <w:rPr>
          <w:rFonts w:ascii="Times New Roman" w:eastAsia="Times New Roman" w:hAnsi="Times New Roman" w:cs="Times New Roman"/>
          <w:szCs w:val="20"/>
          <w:lang w:eastAsia="en-AU"/>
        </w:rPr>
        <w:t>e</w:t>
      </w:r>
      <w:r>
        <w:rPr>
          <w:rFonts w:ascii="Times New Roman" w:eastAsia="Times New Roman" w:hAnsi="Times New Roman" w:cs="Times New Roman"/>
          <w:szCs w:val="20"/>
          <w:lang w:eastAsia="en-AU"/>
        </w:rPr>
        <w:t xml:space="preserve">s demonstrated that the </w:t>
      </w:r>
      <w:r w:rsidRPr="00DE6CC6">
        <w:rPr>
          <w:rFonts w:ascii="Times New Roman" w:eastAsia="Times New Roman" w:hAnsi="Times New Roman" w:cs="Times New Roman"/>
          <w:szCs w:val="20"/>
          <w:lang w:eastAsia="en-AU"/>
        </w:rPr>
        <w:t>incremental cost-effectiveness ratio (ICER) was insensitive to</w:t>
      </w:r>
      <w:r>
        <w:rPr>
          <w:rFonts w:ascii="Times New Roman" w:eastAsia="Times New Roman" w:hAnsi="Times New Roman" w:cs="Times New Roman"/>
          <w:szCs w:val="20"/>
          <w:lang w:eastAsia="en-AU"/>
        </w:rPr>
        <w:t xml:space="preserve"> variation in test performance parameters (see Table 6).</w:t>
      </w:r>
    </w:p>
    <w:p w14:paraId="729A8EBD" w14:textId="419AB6E5" w:rsidR="004B2CA1" w:rsidRPr="004B2CA1" w:rsidRDefault="009F07E4" w:rsidP="004B2CA1">
      <w:pPr>
        <w:spacing w:before="240" w:after="24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MSAC noted </w:t>
      </w:r>
      <w:r w:rsidRPr="00DE6CC6">
        <w:rPr>
          <w:rFonts w:ascii="Times New Roman" w:eastAsia="Times New Roman" w:hAnsi="Times New Roman" w:cs="Times New Roman"/>
          <w:bCs/>
          <w:szCs w:val="20"/>
          <w:lang w:eastAsia="en-AU"/>
        </w:rPr>
        <w:t xml:space="preserve">that the </w:t>
      </w:r>
      <w:r w:rsidRPr="00DE6CC6">
        <w:rPr>
          <w:rFonts w:ascii="Times New Roman" w:eastAsia="Times New Roman" w:hAnsi="Times New Roman" w:cs="Times New Roman"/>
          <w:iCs/>
          <w:szCs w:val="20"/>
          <w:lang w:eastAsia="en-AU"/>
        </w:rPr>
        <w:t xml:space="preserve">submission </w:t>
      </w:r>
      <w:r w:rsidR="00F52291">
        <w:rPr>
          <w:rFonts w:ascii="Times New Roman" w:eastAsia="Times New Roman" w:hAnsi="Times New Roman" w:cs="Times New Roman"/>
          <w:iCs/>
          <w:szCs w:val="20"/>
          <w:lang w:eastAsia="en-AU"/>
        </w:rPr>
        <w:t xml:space="preserve">claimed </w:t>
      </w:r>
      <w:r w:rsidRPr="00DE6CC6">
        <w:rPr>
          <w:rFonts w:ascii="Times New Roman" w:eastAsia="Times New Roman" w:hAnsi="Times New Roman" w:cs="Times New Roman"/>
          <w:iCs/>
          <w:szCs w:val="20"/>
          <w:lang w:eastAsia="en-AU"/>
        </w:rPr>
        <w:t xml:space="preserve">no change in </w:t>
      </w:r>
      <w:r w:rsidR="00F52291">
        <w:rPr>
          <w:rFonts w:ascii="Times New Roman" w:eastAsia="Times New Roman" w:hAnsi="Times New Roman" w:cs="Times New Roman"/>
          <w:iCs/>
          <w:szCs w:val="20"/>
          <w:lang w:eastAsia="en-AU"/>
        </w:rPr>
        <w:t xml:space="preserve">the volume of </w:t>
      </w:r>
      <w:r w:rsidRPr="00DE6CC6">
        <w:rPr>
          <w:rFonts w:ascii="Times New Roman" w:eastAsia="Times New Roman" w:hAnsi="Times New Roman" w:cs="Times New Roman"/>
          <w:iCs/>
          <w:szCs w:val="20"/>
          <w:lang w:eastAsia="en-AU"/>
        </w:rPr>
        <w:t xml:space="preserve">testing </w:t>
      </w:r>
      <w:r w:rsidR="00F52291">
        <w:rPr>
          <w:rFonts w:ascii="Times New Roman" w:eastAsia="Times New Roman" w:hAnsi="Times New Roman" w:cs="Times New Roman"/>
          <w:iCs/>
          <w:szCs w:val="20"/>
          <w:lang w:eastAsia="en-AU"/>
        </w:rPr>
        <w:t xml:space="preserve">related to MBS item 73337, </w:t>
      </w:r>
      <w:r w:rsidRPr="00DE6CC6">
        <w:rPr>
          <w:rFonts w:ascii="Times New Roman" w:eastAsia="Times New Roman" w:hAnsi="Times New Roman" w:cs="Times New Roman"/>
          <w:iCs/>
          <w:szCs w:val="20"/>
          <w:lang w:eastAsia="en-AU"/>
        </w:rPr>
        <w:t>and thus no additional cost to the MBS.</w:t>
      </w:r>
      <w:r w:rsidRPr="00DE6CC6">
        <w:rPr>
          <w:rFonts w:ascii="Times New Roman" w:eastAsia="Times New Roman" w:hAnsi="Times New Roman" w:cs="Times New Roman"/>
          <w:i/>
          <w:szCs w:val="20"/>
          <w:lang w:eastAsia="en-AU"/>
        </w:rPr>
        <w:t xml:space="preserve"> </w:t>
      </w:r>
      <w:r w:rsidR="005B585B">
        <w:rPr>
          <w:rFonts w:ascii="Times New Roman" w:eastAsia="Times New Roman" w:hAnsi="Times New Roman" w:cs="Times New Roman"/>
          <w:szCs w:val="20"/>
          <w:lang w:eastAsia="en-AU"/>
        </w:rPr>
        <w:t xml:space="preserve">MSAC </w:t>
      </w:r>
      <w:r>
        <w:rPr>
          <w:rFonts w:ascii="Times New Roman" w:eastAsia="Times New Roman" w:hAnsi="Times New Roman" w:cs="Times New Roman"/>
          <w:szCs w:val="20"/>
          <w:lang w:eastAsia="en-AU"/>
        </w:rPr>
        <w:t xml:space="preserve">also </w:t>
      </w:r>
      <w:r w:rsidR="005B585B">
        <w:rPr>
          <w:rFonts w:ascii="Times New Roman" w:eastAsia="Times New Roman" w:hAnsi="Times New Roman" w:cs="Times New Roman"/>
          <w:szCs w:val="20"/>
          <w:lang w:eastAsia="en-AU"/>
        </w:rPr>
        <w:t xml:space="preserve">noted the </w:t>
      </w:r>
      <w:r w:rsidR="005B585B" w:rsidRPr="00DE6CC6">
        <w:rPr>
          <w:rFonts w:ascii="Times New Roman" w:eastAsia="Times New Roman" w:hAnsi="Times New Roman" w:cs="Times New Roman"/>
          <w:bCs/>
          <w:szCs w:val="20"/>
          <w:lang w:eastAsia="en-AU"/>
        </w:rPr>
        <w:t>pre-</w:t>
      </w:r>
      <w:r w:rsidR="005B585B">
        <w:rPr>
          <w:rFonts w:ascii="Times New Roman" w:eastAsia="Times New Roman" w:hAnsi="Times New Roman" w:cs="Times New Roman"/>
          <w:bCs/>
          <w:szCs w:val="20"/>
          <w:lang w:eastAsia="en-AU"/>
        </w:rPr>
        <w:t>subcommittee</w:t>
      </w:r>
      <w:r w:rsidR="005B585B" w:rsidRPr="00DE6CC6">
        <w:rPr>
          <w:rFonts w:ascii="Times New Roman" w:eastAsia="Times New Roman" w:hAnsi="Times New Roman" w:cs="Times New Roman"/>
          <w:bCs/>
          <w:szCs w:val="20"/>
          <w:lang w:eastAsia="en-AU"/>
        </w:rPr>
        <w:t xml:space="preserve"> response</w:t>
      </w:r>
      <w:r>
        <w:rPr>
          <w:rFonts w:ascii="Times New Roman" w:eastAsia="Times New Roman" w:hAnsi="Times New Roman" w:cs="Times New Roman"/>
          <w:bCs/>
          <w:szCs w:val="20"/>
          <w:lang w:eastAsia="en-AU"/>
        </w:rPr>
        <w:t xml:space="preserve"> </w:t>
      </w:r>
      <w:r w:rsidRPr="00DE6CC6">
        <w:rPr>
          <w:rFonts w:ascii="Times New Roman" w:eastAsia="Times New Roman" w:hAnsi="Times New Roman" w:cs="Times New Roman"/>
          <w:bCs/>
          <w:szCs w:val="20"/>
          <w:lang w:eastAsia="en-AU"/>
        </w:rPr>
        <w:t xml:space="preserve">acknowledged that there may be a </w:t>
      </w:r>
      <w:r w:rsidRPr="00DE6CC6">
        <w:rPr>
          <w:rFonts w:ascii="Times New Roman" w:eastAsia="Times New Roman" w:hAnsi="Times New Roman" w:cs="Calibri"/>
          <w:szCs w:val="20"/>
          <w:lang w:eastAsia="en-AU"/>
        </w:rPr>
        <w:t>small increase in MBS testing costs from a small number of low throughput laboratories still using single-gene testing</w:t>
      </w:r>
      <w:r>
        <w:rPr>
          <w:rFonts w:ascii="Times New Roman" w:eastAsia="Times New Roman" w:hAnsi="Times New Roman" w:cs="Calibri"/>
          <w:szCs w:val="20"/>
          <w:lang w:eastAsia="en-AU"/>
        </w:rPr>
        <w:t xml:space="preserve">, but </w:t>
      </w:r>
      <w:r w:rsidRPr="004B2CA1">
        <w:rPr>
          <w:rFonts w:ascii="Times New Roman" w:eastAsia="Times New Roman" w:hAnsi="Times New Roman" w:cs="Times New Roman"/>
          <w:szCs w:val="20"/>
          <w:lang w:eastAsia="en-AU"/>
        </w:rPr>
        <w:t>the applicant did not anticipate a large volume of catch-up testing</w:t>
      </w:r>
      <w:r>
        <w:rPr>
          <w:rFonts w:ascii="Times New Roman" w:eastAsia="Times New Roman" w:hAnsi="Times New Roman" w:cs="Times New Roman"/>
          <w:szCs w:val="20"/>
          <w:lang w:eastAsia="en-AU"/>
        </w:rPr>
        <w:t xml:space="preserve"> would be required</w:t>
      </w:r>
      <w:r w:rsidRPr="004B2CA1">
        <w:rPr>
          <w:rFonts w:ascii="Times New Roman" w:eastAsia="Times New Roman" w:hAnsi="Times New Roman" w:cs="Times New Roman"/>
          <w:szCs w:val="20"/>
          <w:lang w:eastAsia="en-AU"/>
        </w:rPr>
        <w:t>.</w:t>
      </w:r>
      <w:r w:rsidR="005B585B">
        <w:rPr>
          <w:rFonts w:ascii="Times New Roman" w:eastAsia="Times New Roman" w:hAnsi="Times New Roman" w:cs="Times New Roman"/>
          <w:bCs/>
          <w:szCs w:val="20"/>
          <w:lang w:eastAsia="en-AU"/>
        </w:rPr>
        <w:t xml:space="preserve"> </w:t>
      </w:r>
      <w:r>
        <w:rPr>
          <w:rFonts w:ascii="Times New Roman" w:eastAsia="Times New Roman" w:hAnsi="Times New Roman" w:cs="Times New Roman"/>
          <w:bCs/>
          <w:szCs w:val="20"/>
          <w:lang w:eastAsia="en-AU"/>
        </w:rPr>
        <w:t xml:space="preserve">Overall, </w:t>
      </w:r>
      <w:r w:rsidR="004B2CA1" w:rsidRPr="004B2CA1">
        <w:rPr>
          <w:rFonts w:ascii="Times New Roman" w:eastAsia="Times New Roman" w:hAnsi="Times New Roman" w:cs="Times New Roman"/>
          <w:szCs w:val="20"/>
          <w:lang w:eastAsia="en-AU"/>
        </w:rPr>
        <w:t xml:space="preserve">MSAC accepted the cost-neutrality of adding </w:t>
      </w:r>
      <w:r w:rsidR="004B2CA1" w:rsidRPr="00F52291">
        <w:rPr>
          <w:rFonts w:ascii="Times New Roman" w:eastAsia="Times New Roman" w:hAnsi="Times New Roman" w:cs="Times New Roman"/>
          <w:i/>
          <w:iCs/>
          <w:szCs w:val="20"/>
          <w:lang w:eastAsia="en-AU"/>
        </w:rPr>
        <w:t>KRAS</w:t>
      </w:r>
      <w:r w:rsidR="004B2CA1" w:rsidRPr="004B2CA1">
        <w:rPr>
          <w:rFonts w:ascii="Times New Roman" w:eastAsia="Times New Roman" w:hAnsi="Times New Roman" w:cs="Times New Roman"/>
          <w:szCs w:val="20"/>
          <w:lang w:eastAsia="en-AU"/>
        </w:rPr>
        <w:t xml:space="preserve"> G12C testing to MBS item 73337</w:t>
      </w:r>
      <w:r>
        <w:rPr>
          <w:rFonts w:ascii="Times New Roman" w:eastAsia="Times New Roman" w:hAnsi="Times New Roman" w:cs="Times New Roman"/>
          <w:szCs w:val="20"/>
          <w:lang w:eastAsia="en-AU"/>
        </w:rPr>
        <w:t>.</w:t>
      </w:r>
    </w:p>
    <w:p w14:paraId="2D4C69CF" w14:textId="46523CF0" w:rsidR="004B2CA1" w:rsidRPr="004B2CA1" w:rsidRDefault="005B585B" w:rsidP="004B2CA1">
      <w:pPr>
        <w:spacing w:before="240" w:after="24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Overall, </w:t>
      </w:r>
      <w:r w:rsidR="004B2CA1" w:rsidRPr="004B2CA1">
        <w:rPr>
          <w:rFonts w:ascii="Times New Roman" w:eastAsia="Times New Roman" w:hAnsi="Times New Roman" w:cs="Times New Roman"/>
          <w:szCs w:val="20"/>
          <w:lang w:eastAsia="en-AU"/>
        </w:rPr>
        <w:t>MSAC considered that</w:t>
      </w:r>
      <w:r w:rsidR="001B6176">
        <w:rPr>
          <w:rFonts w:ascii="Times New Roman" w:eastAsia="Times New Roman" w:hAnsi="Times New Roman" w:cs="Times New Roman"/>
          <w:szCs w:val="20"/>
          <w:lang w:eastAsia="en-AU"/>
        </w:rPr>
        <w:t xml:space="preserve"> testing for</w:t>
      </w:r>
      <w:r w:rsidR="004B2CA1" w:rsidRPr="004B2CA1">
        <w:rPr>
          <w:rFonts w:ascii="Times New Roman" w:eastAsia="Times New Roman" w:hAnsi="Times New Roman" w:cs="Times New Roman"/>
          <w:szCs w:val="20"/>
          <w:lang w:eastAsia="en-AU"/>
        </w:rPr>
        <w:t xml:space="preserve"> </w:t>
      </w:r>
      <w:r w:rsidR="004B2CA1" w:rsidRPr="001B6176">
        <w:rPr>
          <w:rFonts w:ascii="Times New Roman" w:eastAsia="Times New Roman" w:hAnsi="Times New Roman" w:cs="Times New Roman"/>
          <w:i/>
          <w:iCs/>
          <w:szCs w:val="20"/>
          <w:lang w:eastAsia="en-AU"/>
        </w:rPr>
        <w:t xml:space="preserve">KRAS </w:t>
      </w:r>
      <w:r w:rsidR="004B2CA1" w:rsidRPr="004B2CA1">
        <w:rPr>
          <w:rFonts w:ascii="Times New Roman" w:eastAsia="Times New Roman" w:hAnsi="Times New Roman" w:cs="Times New Roman"/>
          <w:szCs w:val="20"/>
          <w:lang w:eastAsia="en-AU"/>
        </w:rPr>
        <w:t xml:space="preserve">G12C </w:t>
      </w:r>
      <w:r w:rsidR="001B6176">
        <w:rPr>
          <w:rFonts w:ascii="Times New Roman" w:eastAsia="Times New Roman" w:hAnsi="Times New Roman" w:cs="Times New Roman"/>
          <w:szCs w:val="20"/>
          <w:lang w:eastAsia="en-AU"/>
        </w:rPr>
        <w:t xml:space="preserve">status </w:t>
      </w:r>
      <w:r w:rsidR="004B2CA1" w:rsidRPr="004B2CA1">
        <w:rPr>
          <w:rFonts w:ascii="Times New Roman" w:eastAsia="Times New Roman" w:hAnsi="Times New Roman" w:cs="Times New Roman"/>
          <w:szCs w:val="20"/>
          <w:lang w:eastAsia="en-AU"/>
        </w:rPr>
        <w:t xml:space="preserve">is </w:t>
      </w:r>
      <w:r>
        <w:rPr>
          <w:rFonts w:ascii="Times New Roman" w:eastAsia="Times New Roman" w:hAnsi="Times New Roman" w:cs="Times New Roman"/>
          <w:szCs w:val="20"/>
          <w:lang w:eastAsia="en-AU"/>
        </w:rPr>
        <w:t xml:space="preserve">safe, </w:t>
      </w:r>
      <w:proofErr w:type="gramStart"/>
      <w:r w:rsidR="004B2CA1" w:rsidRPr="004B2CA1">
        <w:rPr>
          <w:rFonts w:ascii="Times New Roman" w:eastAsia="Times New Roman" w:hAnsi="Times New Roman" w:cs="Times New Roman"/>
          <w:szCs w:val="20"/>
          <w:lang w:eastAsia="en-AU"/>
        </w:rPr>
        <w:t>effective</w:t>
      </w:r>
      <w:proofErr w:type="gramEnd"/>
      <w:r w:rsidR="004B2CA1" w:rsidRPr="004B2CA1">
        <w:rPr>
          <w:rFonts w:ascii="Times New Roman" w:eastAsia="Times New Roman" w:hAnsi="Times New Roman" w:cs="Times New Roman"/>
          <w:szCs w:val="20"/>
          <w:lang w:eastAsia="en-AU"/>
        </w:rPr>
        <w:t xml:space="preserve"> and cost-effective,</w:t>
      </w:r>
      <w:r>
        <w:rPr>
          <w:rFonts w:ascii="Times New Roman" w:eastAsia="Times New Roman" w:hAnsi="Times New Roman" w:cs="Times New Roman"/>
          <w:szCs w:val="20"/>
          <w:lang w:eastAsia="en-AU"/>
        </w:rPr>
        <w:t xml:space="preserve"> but </w:t>
      </w:r>
      <w:r w:rsidRPr="004B2CA1">
        <w:rPr>
          <w:rFonts w:ascii="Times New Roman" w:eastAsia="Times New Roman" w:hAnsi="Times New Roman" w:cs="Times New Roman"/>
          <w:szCs w:val="20"/>
          <w:lang w:eastAsia="en-AU"/>
        </w:rPr>
        <w:t xml:space="preserve">deferred its decision </w:t>
      </w:r>
      <w:r w:rsidR="00F237C6">
        <w:rPr>
          <w:rFonts w:ascii="Times New Roman" w:eastAsia="Times New Roman" w:hAnsi="Times New Roman" w:cs="Times New Roman"/>
          <w:szCs w:val="20"/>
          <w:lang w:eastAsia="en-AU"/>
        </w:rPr>
        <w:t xml:space="preserve">about listing it on the MBS. </w:t>
      </w:r>
      <w:r>
        <w:rPr>
          <w:rFonts w:ascii="Times New Roman" w:eastAsia="Times New Roman" w:hAnsi="Times New Roman" w:cs="Times New Roman"/>
          <w:szCs w:val="20"/>
          <w:lang w:eastAsia="en-AU"/>
        </w:rPr>
        <w:t xml:space="preserve">MSAC </w:t>
      </w:r>
      <w:r w:rsidR="004B2CA1" w:rsidRPr="004B2CA1">
        <w:rPr>
          <w:rFonts w:ascii="Times New Roman" w:eastAsia="Times New Roman" w:hAnsi="Times New Roman" w:cs="Times New Roman"/>
          <w:szCs w:val="20"/>
          <w:lang w:eastAsia="en-AU"/>
        </w:rPr>
        <w:t xml:space="preserve">foreshadowed that it would expeditiously reconsider this testing if PBAC recommends </w:t>
      </w:r>
      <w:proofErr w:type="spellStart"/>
      <w:r w:rsidR="004B2CA1" w:rsidRPr="004B2CA1">
        <w:rPr>
          <w:rFonts w:ascii="Times New Roman" w:eastAsia="Times New Roman" w:hAnsi="Times New Roman" w:cs="Times New Roman"/>
          <w:szCs w:val="20"/>
          <w:lang w:eastAsia="en-AU"/>
        </w:rPr>
        <w:t>sotorasib</w:t>
      </w:r>
      <w:proofErr w:type="spellEnd"/>
      <w:r w:rsidR="004B2CA1" w:rsidRPr="004B2CA1">
        <w:rPr>
          <w:rFonts w:ascii="Times New Roman" w:eastAsia="Times New Roman" w:hAnsi="Times New Roman" w:cs="Times New Roman"/>
          <w:szCs w:val="20"/>
          <w:lang w:eastAsia="en-AU"/>
        </w:rPr>
        <w:t xml:space="preserve"> for </w:t>
      </w:r>
      <w:r w:rsidR="001B6176">
        <w:rPr>
          <w:rFonts w:ascii="Times New Roman" w:eastAsia="Times New Roman" w:hAnsi="Times New Roman" w:cs="Times New Roman"/>
          <w:szCs w:val="20"/>
          <w:lang w:eastAsia="en-AU"/>
        </w:rPr>
        <w:t xml:space="preserve">those </w:t>
      </w:r>
      <w:r w:rsidR="004B2CA1" w:rsidRPr="004B2CA1">
        <w:rPr>
          <w:rFonts w:ascii="Times New Roman" w:eastAsia="Times New Roman" w:hAnsi="Times New Roman" w:cs="Times New Roman"/>
          <w:szCs w:val="20"/>
          <w:lang w:eastAsia="en-AU"/>
        </w:rPr>
        <w:t xml:space="preserve">eligible patients in this population in whom a </w:t>
      </w:r>
      <w:r w:rsidR="004B2CA1" w:rsidRPr="001B6176">
        <w:rPr>
          <w:rFonts w:ascii="Times New Roman" w:eastAsia="Times New Roman" w:hAnsi="Times New Roman" w:cs="Times New Roman"/>
          <w:i/>
          <w:iCs/>
          <w:szCs w:val="20"/>
          <w:lang w:eastAsia="en-AU"/>
        </w:rPr>
        <w:t xml:space="preserve">KRAS </w:t>
      </w:r>
      <w:r w:rsidR="004B2CA1" w:rsidRPr="004B2CA1">
        <w:rPr>
          <w:rFonts w:ascii="Times New Roman" w:eastAsia="Times New Roman" w:hAnsi="Times New Roman" w:cs="Times New Roman"/>
          <w:szCs w:val="20"/>
          <w:lang w:eastAsia="en-AU"/>
        </w:rPr>
        <w:t>G12C variant is detected.</w:t>
      </w:r>
    </w:p>
    <w:p w14:paraId="0E966CA6" w14:textId="3C062D10" w:rsidR="00DE6CC6" w:rsidRPr="00DE6CC6" w:rsidRDefault="00DE6CC6" w:rsidP="00EE72A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t>Background</w:t>
      </w:r>
    </w:p>
    <w:p w14:paraId="3BD2C97D" w14:textId="77777777" w:rsidR="00DE6CC6" w:rsidRPr="00DE6CC6" w:rsidRDefault="00DE6CC6" w:rsidP="00DE6CC6">
      <w:pPr>
        <w:spacing w:before="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MSAC has not previously considered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G12C testing for access to </w:t>
      </w:r>
      <w:proofErr w:type="spellStart"/>
      <w:r w:rsidRPr="00DE6CC6">
        <w:rPr>
          <w:rFonts w:ascii="Times New Roman" w:eastAsia="Times New Roman" w:hAnsi="Times New Roman" w:cs="Times New Roman"/>
          <w:szCs w:val="20"/>
          <w:lang w:eastAsia="en-AU"/>
        </w:rPr>
        <w:t>sotorasib</w:t>
      </w:r>
      <w:proofErr w:type="spellEnd"/>
      <w:r w:rsidRPr="00DE6CC6">
        <w:rPr>
          <w:rFonts w:ascii="Times New Roman" w:eastAsia="Times New Roman" w:hAnsi="Times New Roman" w:cs="Times New Roman"/>
          <w:szCs w:val="20"/>
          <w:lang w:eastAsia="en-AU"/>
        </w:rPr>
        <w:t xml:space="preserve"> for the treatment of advanced stage IIIB/IV NSCLC.</w:t>
      </w:r>
    </w:p>
    <w:p w14:paraId="30DD9A17" w14:textId="77777777" w:rsidR="00DE6CC6" w:rsidRPr="00DE6CC6" w:rsidRDefault="00DE6CC6" w:rsidP="00EE72A6">
      <w:pPr>
        <w:keepNext/>
        <w:keepLines/>
        <w:spacing w:after="0"/>
        <w:jc w:val="left"/>
        <w:outlineLvl w:val="1"/>
        <w:rPr>
          <w:rFonts w:ascii="Times New Roman" w:eastAsia="Times New Roman" w:hAnsi="Times New Roman" w:cs="Times New Roman"/>
          <w:bCs/>
          <w:i/>
          <w:szCs w:val="26"/>
          <w:lang w:eastAsia="en-AU"/>
        </w:rPr>
      </w:pPr>
      <w:r w:rsidRPr="00DE6CC6">
        <w:rPr>
          <w:rFonts w:ascii="Times New Roman" w:eastAsia="Times New Roman" w:hAnsi="Times New Roman" w:cs="Times New Roman"/>
          <w:bCs/>
          <w:i/>
          <w:szCs w:val="26"/>
          <w:lang w:eastAsia="en-AU"/>
        </w:rPr>
        <w:t>MBS item 73337</w:t>
      </w:r>
    </w:p>
    <w:p w14:paraId="406D3979" w14:textId="431E526C" w:rsidR="00DE6CC6" w:rsidRPr="00DE6CC6" w:rsidRDefault="00DE6CC6" w:rsidP="00DE6CC6">
      <w:pPr>
        <w:spacing w:before="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At the 25</w:t>
      </w:r>
      <w:r w:rsidRPr="00DE6CC6">
        <w:rPr>
          <w:rFonts w:ascii="Times New Roman" w:eastAsia="Times New Roman" w:hAnsi="Times New Roman" w:cs="Times New Roman"/>
          <w:szCs w:val="20"/>
          <w:lang w:eastAsia="en-AU"/>
        </w:rPr>
        <w:noBreakHyphen/>
        <w:t xml:space="preserve">26 November 2021 meeting for application 1642, MSAC supported the </w:t>
      </w:r>
      <w:r w:rsidR="00B9331A">
        <w:rPr>
          <w:rFonts w:ascii="Times New Roman" w:eastAsia="Times New Roman" w:hAnsi="Times New Roman" w:cs="Times New Roman"/>
          <w:szCs w:val="20"/>
          <w:lang w:eastAsia="en-AU"/>
        </w:rPr>
        <w:t>replacement of “</w:t>
      </w:r>
      <w:r w:rsidRPr="00DE6CC6">
        <w:rPr>
          <w:rFonts w:ascii="Times New Roman" w:eastAsia="Times New Roman" w:hAnsi="Times New Roman" w:cs="Times New Roman"/>
          <w:szCs w:val="20"/>
          <w:lang w:eastAsia="en-AU"/>
        </w:rPr>
        <w:t>pembrolizumab</w:t>
      </w:r>
      <w:r w:rsidR="00B9331A">
        <w:rPr>
          <w:rFonts w:ascii="Times New Roman" w:eastAsia="Times New Roman" w:hAnsi="Times New Roman" w:cs="Times New Roman"/>
          <w:szCs w:val="20"/>
          <w:lang w:eastAsia="en-AU"/>
        </w:rPr>
        <w:t>”</w:t>
      </w:r>
      <w:r w:rsidRPr="00DE6CC6">
        <w:rPr>
          <w:rFonts w:ascii="Times New Roman" w:eastAsia="Times New Roman" w:hAnsi="Times New Roman" w:cs="Times New Roman"/>
          <w:szCs w:val="20"/>
          <w:lang w:eastAsia="en-AU"/>
        </w:rPr>
        <w:t xml:space="preserve"> </w:t>
      </w:r>
      <w:r w:rsidR="00B9331A">
        <w:rPr>
          <w:rFonts w:ascii="Times New Roman" w:eastAsia="Times New Roman" w:hAnsi="Times New Roman" w:cs="Times New Roman"/>
          <w:szCs w:val="20"/>
          <w:lang w:eastAsia="en-AU"/>
        </w:rPr>
        <w:t>by “an immunotherapy listed” in the item descriptor for MBS item 73337</w:t>
      </w:r>
      <w:r w:rsidRPr="00DE6CC6">
        <w:rPr>
          <w:rFonts w:ascii="Times New Roman" w:eastAsia="Times New Roman" w:hAnsi="Times New Roman" w:cs="Times New Roman"/>
          <w:szCs w:val="20"/>
          <w:lang w:eastAsia="en-AU"/>
        </w:rPr>
        <w:t>. See App No. 1642 Public Summary Document [PSD] 2021,</w:t>
      </w:r>
      <w:r w:rsidR="00B9331A">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szCs w:val="20"/>
          <w:lang w:eastAsia="en-AU"/>
        </w:rPr>
        <w:t>p3</w:t>
      </w:r>
      <w:r w:rsidR="00A15954">
        <w:rPr>
          <w:rFonts w:ascii="Times New Roman" w:eastAsia="Times New Roman" w:hAnsi="Times New Roman" w:cs="Times New Roman"/>
          <w:szCs w:val="20"/>
          <w:lang w:eastAsia="en-AU"/>
        </w:rPr>
        <w:t>, and Table</w:t>
      </w:r>
      <w:r w:rsidR="00B71EC3">
        <w:rPr>
          <w:rFonts w:ascii="Times New Roman" w:eastAsia="Times New Roman" w:hAnsi="Times New Roman" w:cs="Times New Roman"/>
          <w:szCs w:val="20"/>
          <w:lang w:eastAsia="en-AU"/>
        </w:rPr>
        <w:t> </w:t>
      </w:r>
      <w:r w:rsidR="00A15954">
        <w:rPr>
          <w:rFonts w:ascii="Times New Roman" w:eastAsia="Times New Roman" w:hAnsi="Times New Roman" w:cs="Times New Roman"/>
          <w:szCs w:val="20"/>
          <w:lang w:eastAsia="en-AU"/>
        </w:rPr>
        <w:t>2 below</w:t>
      </w:r>
      <w:r w:rsidRPr="00DE6CC6">
        <w:rPr>
          <w:rFonts w:ascii="Times New Roman" w:eastAsia="Times New Roman" w:hAnsi="Times New Roman" w:cs="Times New Roman"/>
          <w:szCs w:val="20"/>
          <w:lang w:eastAsia="en-AU"/>
        </w:rPr>
        <w:t>.</w:t>
      </w:r>
    </w:p>
    <w:p w14:paraId="3CE4912C" w14:textId="77777777" w:rsidR="00DE6CC6" w:rsidRPr="00DE6CC6" w:rsidRDefault="00DE6CC6" w:rsidP="00EE72A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t>Prerequisites to implementation of any funding advice</w:t>
      </w:r>
    </w:p>
    <w:p w14:paraId="27A20FC4"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In May 2021, Qiagen Australia </w:t>
      </w:r>
      <w:proofErr w:type="gramStart"/>
      <w:r w:rsidRPr="00DE6CC6">
        <w:rPr>
          <w:rFonts w:ascii="Times New Roman" w:eastAsia="Calibri" w:hAnsi="Times New Roman" w:cs="Times New Roman"/>
        </w:rPr>
        <w:t>submitted an application</w:t>
      </w:r>
      <w:proofErr w:type="gramEnd"/>
      <w:r w:rsidRPr="00DE6CC6">
        <w:rPr>
          <w:rFonts w:ascii="Times New Roman" w:eastAsia="Calibri" w:hAnsi="Times New Roman" w:cs="Times New Roman"/>
        </w:rPr>
        <w:t xml:space="preserve"> to the Therapeutic Good Administration (TGA) for the registration of the companion diagnostic </w:t>
      </w:r>
      <w:proofErr w:type="spellStart"/>
      <w:r w:rsidRPr="00DE6CC6">
        <w:rPr>
          <w:rFonts w:ascii="Times New Roman" w:eastAsia="Calibri" w:hAnsi="Times New Roman" w:cs="Times New Roman"/>
          <w:i/>
        </w:rPr>
        <w:t>therascreen</w:t>
      </w:r>
      <w:proofErr w:type="spellEnd"/>
      <w:r w:rsidRPr="00DE6CC6">
        <w:rPr>
          <w:rFonts w:ascii="Times New Roman" w:eastAsia="Calibri" w:hAnsi="Times New Roman" w:cs="Times New Roman"/>
          <w:i/>
        </w:rPr>
        <w:t xml:space="preserve"> KRAS</w:t>
      </w:r>
      <w:r w:rsidRPr="00DE6CC6">
        <w:rPr>
          <w:rFonts w:ascii="Times New Roman" w:eastAsia="Calibri" w:hAnsi="Times New Roman" w:cs="Times New Roman"/>
        </w:rPr>
        <w:t xml:space="preserve"> PCR Kit to identify the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 so that it could be targeted by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w:t>
      </w:r>
    </w:p>
    <w:p w14:paraId="0F439052"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lastRenderedPageBreak/>
        <w:t xml:space="preserve">Other PCR-based assays available for </w:t>
      </w:r>
      <w:r w:rsidRPr="00DE6CC6">
        <w:rPr>
          <w:rFonts w:ascii="Times New Roman" w:eastAsia="Calibri" w:hAnsi="Times New Roman" w:cs="Times New Roman"/>
          <w:i/>
        </w:rPr>
        <w:t>KRAS</w:t>
      </w:r>
      <w:r w:rsidRPr="00DE6CC6">
        <w:rPr>
          <w:rFonts w:ascii="Times New Roman" w:eastAsia="Calibri" w:hAnsi="Times New Roman" w:cs="Times New Roman"/>
        </w:rPr>
        <w:t xml:space="preserve"> pathogenic variant testing in Australia include the </w:t>
      </w:r>
      <w:proofErr w:type="spellStart"/>
      <w:r w:rsidRPr="00DE6CC6">
        <w:rPr>
          <w:rFonts w:ascii="Times New Roman" w:eastAsia="Calibri" w:hAnsi="Times New Roman" w:cs="Times New Roman"/>
        </w:rPr>
        <w:t>Idylla</w:t>
      </w:r>
      <w:proofErr w:type="spellEnd"/>
      <w:r w:rsidRPr="00DE6CC6">
        <w:rPr>
          <w:rFonts w:ascii="Times New Roman" w:eastAsia="Calibri" w:hAnsi="Times New Roman" w:cs="Times New Roman"/>
          <w:vertAlign w:val="superscript"/>
        </w:rPr>
        <w:t>™</w:t>
      </w:r>
      <w:r w:rsidRPr="00DE6CC6">
        <w:rPr>
          <w:rFonts w:ascii="Times New Roman" w:eastAsia="Calibri" w:hAnsi="Times New Roman" w:cs="Times New Roman"/>
        </w:rPr>
        <w:t xml:space="preserve"> </w:t>
      </w:r>
      <w:r w:rsidRPr="00DE6CC6">
        <w:rPr>
          <w:rFonts w:ascii="Times New Roman" w:eastAsia="Calibri" w:hAnsi="Times New Roman" w:cs="Times New Roman"/>
          <w:i/>
        </w:rPr>
        <w:t>KRAS</w:t>
      </w:r>
      <w:r w:rsidRPr="00DE6CC6">
        <w:rPr>
          <w:rFonts w:ascii="Times New Roman" w:eastAsia="Calibri" w:hAnsi="Times New Roman" w:cs="Times New Roman"/>
        </w:rPr>
        <w:t xml:space="preserve"> Mutation Test (</w:t>
      </w:r>
      <w:proofErr w:type="spellStart"/>
      <w:r w:rsidRPr="00DE6CC6">
        <w:rPr>
          <w:rFonts w:ascii="Times New Roman" w:eastAsia="Calibri" w:hAnsi="Times New Roman" w:cs="Times New Roman"/>
        </w:rPr>
        <w:t>Biocartis</w:t>
      </w:r>
      <w:proofErr w:type="spellEnd"/>
      <w:r w:rsidRPr="00DE6CC6">
        <w:rPr>
          <w:rFonts w:ascii="Times New Roman" w:eastAsia="Calibri" w:hAnsi="Times New Roman" w:cs="Times New Roman"/>
        </w:rPr>
        <w:t xml:space="preserve">) and the </w:t>
      </w:r>
      <w:proofErr w:type="spellStart"/>
      <w:r w:rsidRPr="00DE6CC6">
        <w:rPr>
          <w:rFonts w:ascii="Times New Roman" w:eastAsia="Calibri" w:hAnsi="Times New Roman" w:cs="Times New Roman"/>
        </w:rPr>
        <w:t>cobas</w:t>
      </w:r>
      <w:proofErr w:type="spellEnd"/>
      <w:r w:rsidRPr="00DE6CC6">
        <w:rPr>
          <w:rFonts w:ascii="Times New Roman" w:eastAsia="Calibri" w:hAnsi="Times New Roman" w:cs="Times New Roman"/>
          <w:vertAlign w:val="superscript"/>
        </w:rPr>
        <w:t>®</w:t>
      </w:r>
      <w:r w:rsidRPr="00DE6CC6">
        <w:rPr>
          <w:rFonts w:ascii="Times New Roman" w:eastAsia="Calibri" w:hAnsi="Times New Roman" w:cs="Times New Roman"/>
        </w:rPr>
        <w:t xml:space="preserve"> </w:t>
      </w:r>
      <w:r w:rsidRPr="00DE6CC6">
        <w:rPr>
          <w:rFonts w:ascii="Times New Roman" w:eastAsia="Calibri" w:hAnsi="Times New Roman" w:cs="Times New Roman"/>
          <w:i/>
        </w:rPr>
        <w:t>KRAS</w:t>
      </w:r>
      <w:r w:rsidRPr="00DE6CC6">
        <w:rPr>
          <w:rFonts w:ascii="Times New Roman" w:eastAsia="Calibri" w:hAnsi="Times New Roman" w:cs="Times New Roman"/>
        </w:rPr>
        <w:t xml:space="preserve"> Mutation Test (Roche Diagnostics).</w:t>
      </w:r>
    </w:p>
    <w:p w14:paraId="2E046385" w14:textId="505A8798"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 NGS platforms that are most frequently used in Australia are manufactured by Illumina and </w:t>
      </w:r>
      <w:proofErr w:type="spellStart"/>
      <w:r w:rsidRPr="00DE6CC6">
        <w:rPr>
          <w:rFonts w:ascii="Times New Roman" w:eastAsia="Calibri" w:hAnsi="Times New Roman" w:cs="Times New Roman"/>
        </w:rPr>
        <w:t>ThermoFisher</w:t>
      </w:r>
      <w:proofErr w:type="spellEnd"/>
      <w:r w:rsidRPr="00DE6CC6">
        <w:rPr>
          <w:rFonts w:ascii="Times New Roman" w:eastAsia="Calibri" w:hAnsi="Times New Roman" w:cs="Times New Roman"/>
        </w:rPr>
        <w:t xml:space="preserve">. They are most often used with a standard targeted gene panel which includes the </w:t>
      </w:r>
      <w:r w:rsidRPr="00DE6CC6">
        <w:rPr>
          <w:rFonts w:ascii="Times New Roman" w:eastAsia="Calibri" w:hAnsi="Times New Roman" w:cs="Times New Roman"/>
          <w:i/>
        </w:rPr>
        <w:t>KRAS</w:t>
      </w:r>
      <w:r w:rsidRPr="00DE6CC6">
        <w:rPr>
          <w:rFonts w:ascii="Times New Roman" w:eastAsia="Calibri" w:hAnsi="Times New Roman" w:cs="Times New Roman"/>
        </w:rPr>
        <w:t xml:space="preserve"> gene, such as the </w:t>
      </w:r>
      <w:proofErr w:type="spellStart"/>
      <w:r w:rsidRPr="00DE6CC6">
        <w:rPr>
          <w:rFonts w:ascii="Times New Roman" w:eastAsia="Calibri" w:hAnsi="Times New Roman" w:cs="Times New Roman"/>
        </w:rPr>
        <w:t>TruSight</w:t>
      </w:r>
      <w:proofErr w:type="spellEnd"/>
      <w:r w:rsidRPr="00DE6CC6">
        <w:rPr>
          <w:rFonts w:ascii="Times New Roman" w:eastAsia="Calibri" w:hAnsi="Times New Roman" w:cs="Times New Roman"/>
        </w:rPr>
        <w:t xml:space="preserve"> Oncology panels from Illumina and the Ion </w:t>
      </w:r>
      <w:proofErr w:type="spellStart"/>
      <w:r w:rsidRPr="00DE6CC6">
        <w:rPr>
          <w:rFonts w:ascii="Times New Roman" w:eastAsia="Calibri" w:hAnsi="Times New Roman" w:cs="Times New Roman"/>
        </w:rPr>
        <w:t>AmpliSeq</w:t>
      </w:r>
      <w:proofErr w:type="spellEnd"/>
      <w:r w:rsidRPr="00DE6CC6">
        <w:rPr>
          <w:rFonts w:ascii="Times New Roman" w:eastAsia="Calibri" w:hAnsi="Times New Roman" w:cs="Times New Roman"/>
        </w:rPr>
        <w:t xml:space="preserve"> Cancer panels from </w:t>
      </w:r>
      <w:proofErr w:type="spellStart"/>
      <w:r w:rsidRPr="00DE6CC6">
        <w:rPr>
          <w:rFonts w:ascii="Times New Roman" w:eastAsia="Calibri" w:hAnsi="Times New Roman" w:cs="Times New Roman"/>
        </w:rPr>
        <w:t>ThermoFisher</w:t>
      </w:r>
      <w:proofErr w:type="spellEnd"/>
      <w:r w:rsidRPr="00DE6CC6">
        <w:rPr>
          <w:rFonts w:ascii="Times New Roman" w:eastAsia="Calibri" w:hAnsi="Times New Roman" w:cs="Times New Roman"/>
        </w:rPr>
        <w:t xml:space="preserve"> Scientific. These are designed to detect pathogenic variants in multiple genes at the same time. Laboratories using these panels as the basis for their “in-house” tests, are individually required to perform the necessary validations, gain the National Association of Testing Authorities (NATA) accreditation, and </w:t>
      </w:r>
      <w:r w:rsidR="00B9331A">
        <w:rPr>
          <w:rFonts w:ascii="Times New Roman" w:eastAsia="Calibri" w:hAnsi="Times New Roman" w:cs="Times New Roman"/>
        </w:rPr>
        <w:t xml:space="preserve">notify </w:t>
      </w:r>
      <w:r w:rsidRPr="00DE6CC6">
        <w:rPr>
          <w:rFonts w:ascii="Times New Roman" w:eastAsia="Calibri" w:hAnsi="Times New Roman" w:cs="Times New Roman"/>
        </w:rPr>
        <w:t>the TGA.</w:t>
      </w:r>
    </w:p>
    <w:p w14:paraId="796AB4F6" w14:textId="77777777" w:rsidR="00DE6CC6" w:rsidRPr="00DE6CC6" w:rsidRDefault="00DE6CC6" w:rsidP="00EE72A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t>Proposal for public funding</w:t>
      </w:r>
    </w:p>
    <w:p w14:paraId="0DAD44CB" w14:textId="0B16AAAF"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 MBS listing proposed by the submission is a modified version of MBS item 73337 which is consistent with the MBS item agreed in the ratified PICO Confirmation (Table 1). </w:t>
      </w:r>
      <w:r w:rsidR="009754D5">
        <w:rPr>
          <w:rFonts w:ascii="Times New Roman" w:eastAsia="Calibri" w:hAnsi="Times New Roman" w:cs="Times New Roman"/>
        </w:rPr>
        <w:t>The p</w:t>
      </w:r>
      <w:r w:rsidRPr="00DE6CC6">
        <w:rPr>
          <w:rFonts w:ascii="Times New Roman" w:eastAsia="Calibri" w:hAnsi="Times New Roman" w:cs="Times New Roman"/>
        </w:rPr>
        <w:t>otential for double claiming based on the restriction as written was identified as an issue at the PASC meeting.</w:t>
      </w:r>
    </w:p>
    <w:p w14:paraId="4B34EA4D" w14:textId="2FEBCEDD" w:rsidR="00DE6CC6" w:rsidRPr="00DE6CC6" w:rsidRDefault="00DE6CC6" w:rsidP="00DE6CC6">
      <w:pPr>
        <w:keepNext/>
        <w:spacing w:before="0" w:after="40"/>
        <w:outlineLvl w:val="4"/>
        <w:rPr>
          <w:rFonts w:ascii="Arial Narrow" w:eastAsia="Times New Roman" w:hAnsi="Arial Narrow" w:cs="Arial"/>
          <w:b/>
          <w:bCs/>
          <w:iCs/>
          <w:sz w:val="20"/>
          <w:szCs w:val="20"/>
        </w:rPr>
      </w:pPr>
      <w:r w:rsidRPr="00DE6CC6">
        <w:rPr>
          <w:rFonts w:ascii="Arial Narrow" w:eastAsia="Times New Roman" w:hAnsi="Arial Narrow" w:cs="Arial"/>
          <w:b/>
          <w:bCs/>
          <w:iCs/>
          <w:sz w:val="20"/>
          <w:szCs w:val="20"/>
        </w:rPr>
        <w:t>Table 1</w:t>
      </w:r>
      <w:r w:rsidRPr="00DE6CC6">
        <w:rPr>
          <w:rFonts w:ascii="Arial Narrow" w:eastAsia="Times New Roman" w:hAnsi="Arial Narrow" w:cs="Arial"/>
          <w:b/>
          <w:bCs/>
          <w:iCs/>
          <w:sz w:val="20"/>
          <w:szCs w:val="20"/>
        </w:rPr>
        <w:tab/>
        <w:t>Proposed MBS listing</w:t>
      </w:r>
    </w:p>
    <w:tbl>
      <w:tblPr>
        <w:tblStyle w:val="HTATableshade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E6CC6" w:rsidRPr="00DE6CC6" w14:paraId="437DDFF4" w14:textId="77777777" w:rsidTr="007E2C6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auto"/>
          </w:tcPr>
          <w:p w14:paraId="480D5B8C" w14:textId="77777777" w:rsidR="00DE6CC6" w:rsidRPr="00DE6CC6" w:rsidRDefault="00DE6CC6" w:rsidP="00DE6CC6">
            <w:pPr>
              <w:keepNext/>
              <w:tabs>
                <w:tab w:val="right" w:pos="8490"/>
              </w:tabs>
              <w:spacing w:before="40" w:after="40" w:line="256" w:lineRule="auto"/>
              <w:jc w:val="left"/>
              <w:rPr>
                <w:rFonts w:ascii="Arial Narrow" w:eastAsia="Calibri" w:hAnsi="Arial Narrow"/>
              </w:rPr>
            </w:pPr>
            <w:r w:rsidRPr="00DE6CC6">
              <w:rPr>
                <w:rFonts w:ascii="Arial Narrow" w:eastAsia="Calibri" w:hAnsi="Arial Narrow"/>
                <w:color w:val="000000"/>
                <w:sz w:val="20"/>
              </w:rPr>
              <w:tab/>
              <w:t>Category 6 – PATHOLOGY SERVICES</w:t>
            </w:r>
          </w:p>
        </w:tc>
      </w:tr>
      <w:tr w:rsidR="00DE6CC6" w:rsidRPr="00DE6CC6" w14:paraId="2FB86E63" w14:textId="77777777" w:rsidTr="007E2C67">
        <w:tc>
          <w:tcPr>
            <w:tcW w:w="5000" w:type="pct"/>
          </w:tcPr>
          <w:p w14:paraId="4F05622A" w14:textId="77777777" w:rsidR="00DE6CC6" w:rsidRPr="00DE6CC6" w:rsidRDefault="00DE6CC6" w:rsidP="00DE6CC6">
            <w:pPr>
              <w:keepNext/>
              <w:spacing w:before="40" w:after="40"/>
              <w:jc w:val="left"/>
              <w:rPr>
                <w:rFonts w:ascii="Arial Narrow" w:hAnsi="Arial Narrow"/>
                <w:color w:val="000000"/>
                <w:sz w:val="20"/>
                <w:szCs w:val="20"/>
              </w:rPr>
            </w:pPr>
            <w:r w:rsidRPr="00DE6CC6">
              <w:rPr>
                <w:rFonts w:ascii="Arial Narrow" w:hAnsi="Arial Narrow"/>
                <w:color w:val="000000"/>
                <w:sz w:val="20"/>
                <w:szCs w:val="20"/>
              </w:rPr>
              <w:t>73337</w:t>
            </w:r>
          </w:p>
          <w:p w14:paraId="6D27DBF5" w14:textId="702D2804" w:rsidR="00DE6CC6" w:rsidRPr="00DE6CC6" w:rsidRDefault="00DE6CC6" w:rsidP="00EE72A6">
            <w:pPr>
              <w:keepNext/>
              <w:spacing w:before="40" w:after="240"/>
              <w:jc w:val="left"/>
              <w:rPr>
                <w:rFonts w:ascii="Arial Narrow" w:hAnsi="Arial Narrow"/>
                <w:color w:val="000000"/>
                <w:sz w:val="20"/>
                <w:szCs w:val="20"/>
              </w:rPr>
            </w:pPr>
            <w:r w:rsidRPr="00DE6CC6">
              <w:rPr>
                <w:rFonts w:ascii="Arial Narrow" w:hAnsi="Arial Narrow"/>
                <w:color w:val="000000"/>
                <w:sz w:val="20"/>
                <w:szCs w:val="20"/>
              </w:rPr>
              <w:t>A test of tumour tissue from a patient diagnosed with non-small cell lung cancer, shown to have non-squamous histology or histology not otherwise specified, requested by, or on behalf of a specialist or consultant physician, to determine if:</w:t>
            </w:r>
          </w:p>
          <w:p w14:paraId="2D2E2863" w14:textId="77777777" w:rsidR="00DE6CC6" w:rsidRPr="00DE6CC6" w:rsidRDefault="00DE6CC6" w:rsidP="00DE6CC6">
            <w:pPr>
              <w:keepNext/>
              <w:spacing w:before="40" w:after="40"/>
              <w:ind w:left="314"/>
              <w:jc w:val="left"/>
              <w:rPr>
                <w:rFonts w:ascii="Arial Narrow" w:hAnsi="Arial Narrow"/>
                <w:color w:val="000000"/>
                <w:sz w:val="20"/>
                <w:szCs w:val="20"/>
              </w:rPr>
            </w:pPr>
            <w:r w:rsidRPr="00DE6CC6">
              <w:rPr>
                <w:rFonts w:ascii="Arial Narrow" w:hAnsi="Arial Narrow"/>
                <w:color w:val="000000"/>
                <w:sz w:val="20"/>
                <w:szCs w:val="20"/>
              </w:rPr>
              <w:t xml:space="preserve">1. the requirements relating to epidermal growth factor receptor (EGFR) gene status for access to erlotinib, gefitinib or </w:t>
            </w:r>
            <w:proofErr w:type="spellStart"/>
            <w:r w:rsidRPr="00DE6CC6">
              <w:rPr>
                <w:rFonts w:ascii="Arial Narrow" w:hAnsi="Arial Narrow"/>
                <w:color w:val="000000"/>
                <w:sz w:val="20"/>
                <w:szCs w:val="20"/>
              </w:rPr>
              <w:t>afatinib</w:t>
            </w:r>
            <w:proofErr w:type="spellEnd"/>
            <w:r w:rsidRPr="00DE6CC6">
              <w:rPr>
                <w:rFonts w:ascii="Arial Narrow" w:hAnsi="Arial Narrow"/>
                <w:color w:val="000000"/>
                <w:sz w:val="20"/>
                <w:szCs w:val="20"/>
              </w:rPr>
              <w:t xml:space="preserve"> under the Pharmaceutical Benefits Scheme are fulfilled; or</w:t>
            </w:r>
          </w:p>
          <w:p w14:paraId="72140CDF" w14:textId="65F60925" w:rsidR="00DE6CC6" w:rsidRPr="00DE6CC6" w:rsidRDefault="00DE6CC6" w:rsidP="00EE72A6">
            <w:pPr>
              <w:keepNext/>
              <w:spacing w:before="40" w:after="40"/>
              <w:ind w:left="314"/>
              <w:jc w:val="left"/>
              <w:rPr>
                <w:rFonts w:ascii="Arial Narrow" w:hAnsi="Arial Narrow"/>
                <w:color w:val="000000"/>
                <w:sz w:val="20"/>
                <w:szCs w:val="20"/>
              </w:rPr>
            </w:pPr>
            <w:r w:rsidRPr="00DE6CC6">
              <w:rPr>
                <w:rFonts w:ascii="Arial Narrow" w:hAnsi="Arial Narrow"/>
                <w:color w:val="000000"/>
                <w:sz w:val="20"/>
                <w:szCs w:val="20"/>
              </w:rPr>
              <w:t xml:space="preserve">2. the requirements relating to </w:t>
            </w:r>
            <w:proofErr w:type="gramStart"/>
            <w:r w:rsidRPr="00DE6CC6">
              <w:rPr>
                <w:rFonts w:ascii="Arial Narrow" w:hAnsi="Arial Narrow"/>
                <w:color w:val="000000"/>
                <w:sz w:val="20"/>
                <w:szCs w:val="20"/>
              </w:rPr>
              <w:t>Kirsten</w:t>
            </w:r>
            <w:proofErr w:type="gramEnd"/>
            <w:r w:rsidRPr="00DE6CC6">
              <w:rPr>
                <w:rFonts w:ascii="Arial Narrow" w:hAnsi="Arial Narrow"/>
                <w:color w:val="000000"/>
                <w:sz w:val="20"/>
                <w:szCs w:val="20"/>
              </w:rPr>
              <w:t xml:space="preserve"> rat sarcoma oncogene (KRAS) G12C variant status for access to </w:t>
            </w:r>
            <w:proofErr w:type="spellStart"/>
            <w:r w:rsidRPr="00DE6CC6">
              <w:rPr>
                <w:rFonts w:ascii="Arial Narrow" w:hAnsi="Arial Narrow"/>
                <w:color w:val="000000"/>
                <w:sz w:val="20"/>
                <w:szCs w:val="20"/>
              </w:rPr>
              <w:t>sotorasib</w:t>
            </w:r>
            <w:proofErr w:type="spellEnd"/>
            <w:r w:rsidRPr="00DE6CC6">
              <w:rPr>
                <w:rFonts w:ascii="Arial Narrow" w:hAnsi="Arial Narrow"/>
                <w:color w:val="000000"/>
                <w:sz w:val="20"/>
                <w:szCs w:val="20"/>
              </w:rPr>
              <w:t xml:space="preserve"> under the Pharmaceutical Benefits Scheme are fulfilled.</w:t>
            </w:r>
          </w:p>
          <w:p w14:paraId="063EBBD4" w14:textId="77777777" w:rsidR="00DE6CC6" w:rsidRPr="00DE6CC6" w:rsidRDefault="00DE6CC6" w:rsidP="00EE72A6">
            <w:pPr>
              <w:keepNext/>
              <w:spacing w:before="240" w:after="40" w:line="257" w:lineRule="auto"/>
              <w:jc w:val="left"/>
              <w:rPr>
                <w:rFonts w:ascii="Arial Narrow" w:eastAsia="Calibri" w:hAnsi="Arial Narrow"/>
                <w:snapToGrid w:val="0"/>
              </w:rPr>
            </w:pPr>
            <w:r w:rsidRPr="00DE6CC6">
              <w:rPr>
                <w:rFonts w:ascii="Arial Narrow" w:eastAsia="Calibri" w:hAnsi="Arial Narrow"/>
                <w:color w:val="000000"/>
                <w:sz w:val="20"/>
              </w:rPr>
              <w:t>Fee: $397.35 Benefit: 75% = $298.05 85% = $337.75</w:t>
            </w:r>
          </w:p>
        </w:tc>
      </w:tr>
    </w:tbl>
    <w:p w14:paraId="516F928C" w14:textId="77777777" w:rsidR="00DE6CC6" w:rsidRPr="00DE6CC6" w:rsidRDefault="00DE6CC6" w:rsidP="009754D5">
      <w:pPr>
        <w:widowControl w:val="0"/>
        <w:spacing w:before="40" w:after="240"/>
        <w:rPr>
          <w:rFonts w:ascii="Arial Narrow" w:eastAsia="Calibri" w:hAnsi="Arial Narrow" w:cs="Arial"/>
          <w:snapToGrid w:val="0"/>
          <w:sz w:val="18"/>
          <w:szCs w:val="20"/>
        </w:rPr>
      </w:pPr>
      <w:r w:rsidRPr="00DE6CC6">
        <w:rPr>
          <w:rFonts w:ascii="Arial Narrow" w:eastAsia="Calibri" w:hAnsi="Arial Narrow" w:cs="Arial"/>
          <w:snapToGrid w:val="0"/>
          <w:sz w:val="18"/>
          <w:szCs w:val="20"/>
        </w:rPr>
        <w:t>Source: Section 1.4.1, p34 of the submission; and Table 5, p17 of the ratified PICO Confirmation</w:t>
      </w:r>
    </w:p>
    <w:p w14:paraId="4055E2BF" w14:textId="5C335C8F" w:rsidR="00DE6CC6" w:rsidRPr="00DE6CC6" w:rsidRDefault="00DE6CC6" w:rsidP="009754D5">
      <w:pPr>
        <w:spacing w:before="240" w:after="240"/>
        <w:jc w:val="left"/>
        <w:rPr>
          <w:rFonts w:ascii="Times New Roman" w:eastAsia="Calibri" w:hAnsi="Times New Roman" w:cs="Times New Roman"/>
        </w:rPr>
      </w:pPr>
      <w:r w:rsidRPr="00DE6CC6">
        <w:rPr>
          <w:rFonts w:ascii="Times New Roman" w:eastAsia="Calibri" w:hAnsi="Times New Roman" w:cs="Times New Roman"/>
        </w:rPr>
        <w:t xml:space="preserve">During the evaluation, it was noted that the wording of the original MBS item descriptor with respect to pathogenic </w:t>
      </w:r>
      <w:r w:rsidRPr="00DE6CC6">
        <w:rPr>
          <w:rFonts w:ascii="Times New Roman" w:eastAsia="Calibri" w:hAnsi="Times New Roman" w:cs="Times New Roman"/>
          <w:i/>
        </w:rPr>
        <w:t>EGFR</w:t>
      </w:r>
      <w:r w:rsidRPr="00DE6CC6">
        <w:rPr>
          <w:rFonts w:ascii="Times New Roman" w:eastAsia="Calibri" w:hAnsi="Times New Roman" w:cs="Times New Roman"/>
        </w:rPr>
        <w:t xml:space="preserve"> variant testing had changed, to specify access to specific TKIs, and that the testing requirement for access to pembrolizumab had been omitted. </w:t>
      </w:r>
      <w:r w:rsidR="009754D5">
        <w:rPr>
          <w:rFonts w:ascii="Times New Roman" w:eastAsia="Calibri" w:hAnsi="Times New Roman" w:cs="Times New Roman"/>
        </w:rPr>
        <w:t xml:space="preserve">Revised </w:t>
      </w:r>
      <w:r w:rsidRPr="00DE6CC6">
        <w:rPr>
          <w:rFonts w:ascii="Times New Roman" w:eastAsia="Calibri" w:hAnsi="Times New Roman" w:cs="Times New Roman"/>
        </w:rPr>
        <w:t xml:space="preserve">wording </w:t>
      </w:r>
      <w:r w:rsidR="009754D5">
        <w:rPr>
          <w:rFonts w:ascii="Times New Roman" w:eastAsia="Calibri" w:hAnsi="Times New Roman" w:cs="Times New Roman"/>
        </w:rPr>
        <w:t xml:space="preserve">for </w:t>
      </w:r>
      <w:r w:rsidRPr="00DE6CC6">
        <w:rPr>
          <w:rFonts w:ascii="Times New Roman" w:eastAsia="Calibri" w:hAnsi="Times New Roman" w:cs="Times New Roman"/>
        </w:rPr>
        <w:t xml:space="preserve">the proposed MBS item descriptor </w:t>
      </w:r>
      <w:r w:rsidR="009754D5">
        <w:rPr>
          <w:rFonts w:ascii="Times New Roman" w:eastAsia="Calibri" w:hAnsi="Times New Roman" w:cs="Times New Roman"/>
        </w:rPr>
        <w:t>is highlighted below</w:t>
      </w:r>
      <w:r w:rsidRPr="00DE6CC6">
        <w:rPr>
          <w:rFonts w:ascii="Times New Roman" w:eastAsia="Calibri" w:hAnsi="Times New Roman" w:cs="Times New Roman"/>
        </w:rPr>
        <w:t>.</w:t>
      </w:r>
    </w:p>
    <w:p w14:paraId="39E883B7" w14:textId="2FFF84A8" w:rsidR="00DE6CC6" w:rsidRPr="00EE72A6" w:rsidRDefault="00DE6CC6" w:rsidP="00B71EC3">
      <w:pPr>
        <w:keepNext/>
        <w:keepLines/>
        <w:spacing w:before="0" w:after="40"/>
        <w:outlineLvl w:val="4"/>
        <w:rPr>
          <w:rFonts w:ascii="Arial Narrow" w:eastAsia="Times New Roman" w:hAnsi="Arial Narrow" w:cs="Arial"/>
          <w:b/>
          <w:bCs/>
          <w:iCs/>
          <w:sz w:val="20"/>
          <w:szCs w:val="20"/>
        </w:rPr>
      </w:pPr>
      <w:r w:rsidRPr="00EE72A6">
        <w:rPr>
          <w:rFonts w:ascii="Arial Narrow" w:eastAsia="Times New Roman" w:hAnsi="Arial Narrow" w:cs="Arial"/>
          <w:b/>
          <w:bCs/>
          <w:iCs/>
          <w:sz w:val="20"/>
          <w:szCs w:val="20"/>
        </w:rPr>
        <w:lastRenderedPageBreak/>
        <w:t>Table 2</w:t>
      </w:r>
      <w:r w:rsidRPr="00EE72A6">
        <w:rPr>
          <w:rFonts w:ascii="Arial Narrow" w:eastAsia="Times New Roman" w:hAnsi="Arial Narrow" w:cs="Arial"/>
          <w:b/>
          <w:bCs/>
          <w:iCs/>
          <w:sz w:val="20"/>
          <w:szCs w:val="20"/>
        </w:rPr>
        <w:tab/>
        <w:t xml:space="preserve">Revised proposed MBS listing, </w:t>
      </w:r>
      <w:r w:rsidR="008D1E52" w:rsidRPr="00EE72A6">
        <w:rPr>
          <w:rFonts w:ascii="Arial Narrow" w:eastAsia="Times New Roman" w:hAnsi="Arial Narrow" w:cs="Arial"/>
          <w:b/>
          <w:bCs/>
          <w:iCs/>
          <w:sz w:val="20"/>
          <w:szCs w:val="20"/>
        </w:rPr>
        <w:t xml:space="preserve">as </w:t>
      </w:r>
      <w:r w:rsidRPr="00EE72A6">
        <w:rPr>
          <w:rFonts w:ascii="Arial Narrow" w:eastAsia="Times New Roman" w:hAnsi="Arial Narrow" w:cs="Arial"/>
          <w:b/>
          <w:bCs/>
          <w:iCs/>
          <w:sz w:val="20"/>
          <w:szCs w:val="20"/>
        </w:rPr>
        <w:t xml:space="preserve">amended </w:t>
      </w:r>
      <w:r w:rsidR="00007D99" w:rsidRPr="00EE72A6">
        <w:rPr>
          <w:rFonts w:ascii="Arial Narrow" w:eastAsia="Times New Roman" w:hAnsi="Arial Narrow" w:cs="Arial"/>
          <w:b/>
          <w:bCs/>
          <w:iCs/>
          <w:sz w:val="20"/>
          <w:szCs w:val="20"/>
        </w:rPr>
        <w:t>by the ESCs</w:t>
      </w:r>
    </w:p>
    <w:tbl>
      <w:tblPr>
        <w:tblStyle w:val="PBACtable1"/>
        <w:tblW w:w="0" w:type="auto"/>
        <w:tblLook w:val="04A0" w:firstRow="1" w:lastRow="0" w:firstColumn="1" w:lastColumn="0" w:noHBand="0" w:noVBand="1"/>
      </w:tblPr>
      <w:tblGrid>
        <w:gridCol w:w="9016"/>
      </w:tblGrid>
      <w:tr w:rsidR="00DE6CC6" w:rsidRPr="00EE72A6" w14:paraId="5178580B" w14:textId="77777777" w:rsidTr="007E2C67">
        <w:tc>
          <w:tcPr>
            <w:tcW w:w="9016" w:type="dxa"/>
            <w:shd w:val="clear" w:color="auto" w:fill="auto"/>
          </w:tcPr>
          <w:p w14:paraId="2811E484" w14:textId="77777777" w:rsidR="00DE6CC6" w:rsidRPr="00EE72A6" w:rsidRDefault="00DE6CC6" w:rsidP="00B71EC3">
            <w:pPr>
              <w:keepNext/>
              <w:keepLines/>
              <w:tabs>
                <w:tab w:val="right" w:pos="8650"/>
              </w:tabs>
              <w:spacing w:before="40" w:after="40"/>
              <w:jc w:val="left"/>
              <w:rPr>
                <w:rFonts w:ascii="Arial Narrow" w:eastAsia="Times New Roman" w:hAnsi="Arial Narrow" w:cs="Times New Roman"/>
                <w:sz w:val="20"/>
                <w:szCs w:val="20"/>
                <w:lang w:eastAsia="en-AU"/>
              </w:rPr>
            </w:pPr>
            <w:r w:rsidRPr="00EE72A6">
              <w:rPr>
                <w:rFonts w:ascii="Arial Narrow" w:eastAsia="Times New Roman" w:hAnsi="Arial Narrow" w:cs="Times New Roman"/>
                <w:sz w:val="20"/>
                <w:szCs w:val="20"/>
                <w:lang w:eastAsia="en-AU"/>
              </w:rPr>
              <w:tab/>
              <w:t>Category 6 – PATHOLOGY SERVICES</w:t>
            </w:r>
          </w:p>
        </w:tc>
      </w:tr>
      <w:tr w:rsidR="00DE6CC6" w:rsidRPr="00EE72A6" w14:paraId="7E499842" w14:textId="77777777" w:rsidTr="007E2C67">
        <w:tc>
          <w:tcPr>
            <w:tcW w:w="9016" w:type="dxa"/>
          </w:tcPr>
          <w:p w14:paraId="10D691C3" w14:textId="77777777" w:rsidR="00DE6CC6" w:rsidRPr="00EE72A6" w:rsidRDefault="00DE6CC6" w:rsidP="00B71EC3">
            <w:pPr>
              <w:keepNext/>
              <w:keepLines/>
              <w:spacing w:before="40" w:after="40"/>
              <w:jc w:val="left"/>
              <w:rPr>
                <w:rFonts w:ascii="Arial Narrow" w:eastAsia="Times New Roman" w:hAnsi="Arial Narrow" w:cs="Times New Roman"/>
                <w:sz w:val="20"/>
                <w:szCs w:val="20"/>
                <w:lang w:eastAsia="en-AU"/>
              </w:rPr>
            </w:pPr>
            <w:r w:rsidRPr="00EE72A6">
              <w:rPr>
                <w:rFonts w:ascii="Arial Narrow" w:eastAsia="Times New Roman" w:hAnsi="Arial Narrow" w:cs="Times New Roman"/>
                <w:sz w:val="20"/>
                <w:szCs w:val="20"/>
                <w:lang w:eastAsia="en-AU"/>
              </w:rPr>
              <w:t>73337</w:t>
            </w:r>
          </w:p>
          <w:p w14:paraId="0686C012" w14:textId="2AC9C34F" w:rsidR="00DE6CC6" w:rsidRPr="00EE72A6" w:rsidRDefault="00DE6CC6" w:rsidP="00B71EC3">
            <w:pPr>
              <w:keepNext/>
              <w:keepLines/>
              <w:spacing w:before="40" w:after="240"/>
              <w:jc w:val="left"/>
              <w:rPr>
                <w:rFonts w:ascii="Arial Narrow" w:eastAsia="Times New Roman" w:hAnsi="Arial Narrow" w:cs="Times New Roman"/>
                <w:sz w:val="20"/>
                <w:szCs w:val="20"/>
                <w:lang w:eastAsia="en-AU"/>
              </w:rPr>
            </w:pPr>
            <w:r w:rsidRPr="00EE72A6">
              <w:rPr>
                <w:rFonts w:ascii="Arial Narrow" w:eastAsia="Times New Roman" w:hAnsi="Arial Narrow" w:cs="Times New Roman"/>
                <w:sz w:val="20"/>
                <w:szCs w:val="20"/>
                <w:lang w:eastAsia="en-AU"/>
              </w:rPr>
              <w:t>A test of tumour tissue from a patient diagnosed with non-small cell lung cancer, shown to have non-squamous histology or histology not otherwise specified, requested by, or on behalf of a specialist or consultant physician, to determine:</w:t>
            </w:r>
          </w:p>
          <w:p w14:paraId="7A8328EF" w14:textId="77777777" w:rsidR="00DE6CC6" w:rsidRPr="00EE72A6" w:rsidRDefault="00DE6CC6" w:rsidP="00B71EC3">
            <w:pPr>
              <w:keepNext/>
              <w:keepLines/>
              <w:numPr>
                <w:ilvl w:val="0"/>
                <w:numId w:val="21"/>
              </w:numPr>
              <w:spacing w:before="40" w:after="40"/>
              <w:jc w:val="left"/>
              <w:rPr>
                <w:rFonts w:ascii="Arial Narrow" w:eastAsia="Times New Roman" w:hAnsi="Arial Narrow" w:cs="Times New Roman"/>
                <w:sz w:val="20"/>
                <w:szCs w:val="20"/>
                <w:lang w:eastAsia="en-AU"/>
              </w:rPr>
            </w:pPr>
            <w:r w:rsidRPr="00EE72A6">
              <w:rPr>
                <w:rFonts w:ascii="Arial Narrow" w:eastAsia="Times New Roman" w:hAnsi="Arial Narrow" w:cs="Times New Roman"/>
                <w:sz w:val="20"/>
                <w:szCs w:val="20"/>
                <w:lang w:eastAsia="en-AU"/>
              </w:rPr>
              <w:t xml:space="preserve">if the requirements relating to epidermal growth factor receptor (EGFR) gene status for access to </w:t>
            </w:r>
            <w:r w:rsidRPr="00EE72A6">
              <w:rPr>
                <w:rFonts w:ascii="Arial Narrow" w:eastAsia="Times New Roman" w:hAnsi="Arial Narrow" w:cs="Times New Roman"/>
                <w:b/>
                <w:bCs/>
                <w:sz w:val="20"/>
                <w:szCs w:val="20"/>
                <w:lang w:eastAsia="en-AU"/>
              </w:rPr>
              <w:t>an EGFR tyrosine kinase inhibitor</w:t>
            </w:r>
            <w:r w:rsidRPr="00EE72A6">
              <w:rPr>
                <w:rFonts w:ascii="Arial Narrow" w:eastAsia="Times New Roman" w:hAnsi="Arial Narrow" w:cs="Times New Roman"/>
                <w:sz w:val="20"/>
                <w:szCs w:val="20"/>
                <w:lang w:eastAsia="en-AU"/>
              </w:rPr>
              <w:t xml:space="preserve"> under the Pharmaceutical Benefits Scheme are fulfilled; or</w:t>
            </w:r>
          </w:p>
          <w:p w14:paraId="14C65416" w14:textId="4E1E8AA0" w:rsidR="00DE6CC6" w:rsidRPr="00EE72A6" w:rsidRDefault="00DE6CC6" w:rsidP="00B71EC3">
            <w:pPr>
              <w:keepNext/>
              <w:keepLines/>
              <w:numPr>
                <w:ilvl w:val="0"/>
                <w:numId w:val="21"/>
              </w:numPr>
              <w:spacing w:before="40" w:after="40"/>
              <w:jc w:val="left"/>
              <w:rPr>
                <w:rFonts w:ascii="Arial Narrow" w:eastAsia="Times New Roman" w:hAnsi="Arial Narrow" w:cs="Times New Roman"/>
                <w:sz w:val="20"/>
                <w:szCs w:val="20"/>
                <w:lang w:eastAsia="en-AU"/>
              </w:rPr>
            </w:pPr>
            <w:r w:rsidRPr="00EE72A6">
              <w:rPr>
                <w:rFonts w:ascii="Arial Narrow" w:eastAsia="Times New Roman" w:hAnsi="Arial Narrow" w:cs="Times New Roman"/>
                <w:b/>
                <w:bCs/>
                <w:sz w:val="20"/>
                <w:szCs w:val="20"/>
                <w:lang w:eastAsia="en-AU"/>
              </w:rPr>
              <w:t xml:space="preserve">if the requirements relating to EGFR status for access to </w:t>
            </w:r>
            <w:r w:rsidR="00007D99" w:rsidRPr="00EE72A6">
              <w:rPr>
                <w:rFonts w:ascii="Arial Narrow" w:eastAsia="Times New Roman" w:hAnsi="Arial Narrow" w:cs="Times New Roman"/>
                <w:b/>
                <w:bCs/>
                <w:sz w:val="20"/>
                <w:szCs w:val="20"/>
                <w:lang w:eastAsia="en-AU"/>
              </w:rPr>
              <w:t>immunotherapies listed</w:t>
            </w:r>
            <w:r w:rsidRPr="00EE72A6">
              <w:rPr>
                <w:rFonts w:ascii="Arial Narrow" w:eastAsia="Times New Roman" w:hAnsi="Arial Narrow" w:cs="Times New Roman"/>
                <w:b/>
                <w:bCs/>
                <w:sz w:val="20"/>
                <w:szCs w:val="20"/>
                <w:lang w:eastAsia="en-AU"/>
              </w:rPr>
              <w:t xml:space="preserve"> under the Pharmaceutical Benefits Scheme are fulfilled; or</w:t>
            </w:r>
          </w:p>
          <w:p w14:paraId="365F3175" w14:textId="39DC663C" w:rsidR="00DE6CC6" w:rsidRPr="00EE72A6" w:rsidRDefault="00DE6CC6" w:rsidP="00B71EC3">
            <w:pPr>
              <w:keepNext/>
              <w:keepLines/>
              <w:numPr>
                <w:ilvl w:val="0"/>
                <w:numId w:val="21"/>
              </w:numPr>
              <w:spacing w:before="40" w:after="240"/>
              <w:ind w:left="669" w:hanging="357"/>
              <w:jc w:val="left"/>
              <w:rPr>
                <w:rFonts w:ascii="Arial Narrow" w:eastAsia="Times New Roman" w:hAnsi="Arial Narrow" w:cs="Times New Roman"/>
                <w:sz w:val="20"/>
                <w:szCs w:val="20"/>
                <w:lang w:eastAsia="en-AU"/>
              </w:rPr>
            </w:pPr>
            <w:r w:rsidRPr="00EE72A6">
              <w:rPr>
                <w:rFonts w:ascii="Arial Narrow" w:eastAsia="Times New Roman" w:hAnsi="Arial Narrow" w:cs="Times New Roman"/>
                <w:b/>
                <w:bCs/>
                <w:sz w:val="20"/>
                <w:szCs w:val="20"/>
                <w:lang w:eastAsia="en-AU"/>
              </w:rPr>
              <w:t>if</w:t>
            </w:r>
            <w:r w:rsidRPr="00EE72A6">
              <w:rPr>
                <w:rFonts w:ascii="Arial Narrow" w:eastAsia="Times New Roman" w:hAnsi="Arial Narrow" w:cs="Times New Roman"/>
                <w:sz w:val="20"/>
                <w:szCs w:val="20"/>
                <w:lang w:eastAsia="en-AU"/>
              </w:rPr>
              <w:t xml:space="preserve"> the requirements relating to </w:t>
            </w:r>
            <w:proofErr w:type="gramStart"/>
            <w:r w:rsidRPr="00EE72A6">
              <w:rPr>
                <w:rFonts w:ascii="Arial Narrow" w:eastAsia="Times New Roman" w:hAnsi="Arial Narrow" w:cs="Times New Roman"/>
                <w:b/>
                <w:bCs/>
                <w:sz w:val="20"/>
                <w:szCs w:val="20"/>
                <w:lang w:eastAsia="en-AU"/>
              </w:rPr>
              <w:t>Kirsten</w:t>
            </w:r>
            <w:proofErr w:type="gramEnd"/>
            <w:r w:rsidRPr="00EE72A6">
              <w:rPr>
                <w:rFonts w:ascii="Arial Narrow" w:eastAsia="Times New Roman" w:hAnsi="Arial Narrow" w:cs="Times New Roman"/>
                <w:b/>
                <w:bCs/>
                <w:sz w:val="20"/>
                <w:szCs w:val="20"/>
                <w:lang w:eastAsia="en-AU"/>
              </w:rPr>
              <w:t xml:space="preserve"> rat sarcoma viral oncogene homologue</w:t>
            </w:r>
            <w:r w:rsidRPr="00EE72A6">
              <w:rPr>
                <w:rFonts w:ascii="Arial Narrow" w:eastAsia="Times New Roman" w:hAnsi="Arial Narrow" w:cs="Times New Roman"/>
                <w:sz w:val="20"/>
                <w:szCs w:val="20"/>
                <w:lang w:eastAsia="en-AU"/>
              </w:rPr>
              <w:t xml:space="preserve"> (KRAS) G12C variant status for access to </w:t>
            </w:r>
            <w:proofErr w:type="spellStart"/>
            <w:r w:rsidRPr="00EE72A6">
              <w:rPr>
                <w:rFonts w:ascii="Arial Narrow" w:eastAsia="Times New Roman" w:hAnsi="Arial Narrow" w:cs="Times New Roman"/>
                <w:sz w:val="20"/>
                <w:szCs w:val="20"/>
                <w:lang w:eastAsia="en-AU"/>
              </w:rPr>
              <w:t>sotorasib</w:t>
            </w:r>
            <w:proofErr w:type="spellEnd"/>
            <w:r w:rsidRPr="00EE72A6">
              <w:rPr>
                <w:rFonts w:ascii="Arial Narrow" w:eastAsia="Times New Roman" w:hAnsi="Arial Narrow" w:cs="Times New Roman"/>
                <w:sz w:val="20"/>
                <w:szCs w:val="20"/>
                <w:lang w:eastAsia="en-AU"/>
              </w:rPr>
              <w:t xml:space="preserve"> under the Pharmaceutical Benefits Scheme are fulfilled</w:t>
            </w:r>
          </w:p>
          <w:p w14:paraId="7CF92D3E" w14:textId="77777777" w:rsidR="00DE6CC6" w:rsidRPr="00EE72A6" w:rsidRDefault="00DE6CC6" w:rsidP="00B71EC3">
            <w:pPr>
              <w:keepNext/>
              <w:keepLines/>
              <w:spacing w:before="40" w:after="40"/>
              <w:jc w:val="left"/>
              <w:rPr>
                <w:rFonts w:ascii="Arial Narrow" w:eastAsia="Times New Roman" w:hAnsi="Arial Narrow" w:cs="Times New Roman"/>
                <w:sz w:val="20"/>
                <w:szCs w:val="20"/>
                <w:lang w:eastAsia="en-AU"/>
              </w:rPr>
            </w:pPr>
            <w:r w:rsidRPr="00EE72A6">
              <w:rPr>
                <w:rFonts w:ascii="Arial Narrow" w:eastAsia="Times New Roman" w:hAnsi="Arial Narrow" w:cs="Times New Roman"/>
                <w:sz w:val="20"/>
                <w:szCs w:val="20"/>
                <w:lang w:eastAsia="en-AU"/>
              </w:rPr>
              <w:t>Fee: $397.35 Benefit: 75% = $298.05 85% = $337.75</w:t>
            </w:r>
          </w:p>
        </w:tc>
      </w:tr>
    </w:tbl>
    <w:p w14:paraId="68631C2D" w14:textId="645D64DE" w:rsidR="00DE6CC6" w:rsidRPr="009754D5" w:rsidRDefault="00DE6CC6" w:rsidP="00B71EC3">
      <w:pPr>
        <w:keepNext/>
        <w:keepLines/>
        <w:spacing w:before="40" w:after="240"/>
        <w:rPr>
          <w:rFonts w:ascii="Arial Narrow" w:eastAsia="Calibri" w:hAnsi="Arial Narrow" w:cs="Arial"/>
          <w:snapToGrid w:val="0"/>
          <w:sz w:val="18"/>
          <w:szCs w:val="20"/>
        </w:rPr>
      </w:pPr>
      <w:r w:rsidRPr="009754D5">
        <w:rPr>
          <w:rFonts w:ascii="Arial Narrow" w:eastAsia="Calibri" w:hAnsi="Arial Narrow" w:cs="Arial"/>
          <w:snapToGrid w:val="0"/>
          <w:sz w:val="18"/>
          <w:szCs w:val="20"/>
        </w:rPr>
        <w:t xml:space="preserve">Source: Table of the submission; and Table 5 of the ratified PICO Confirmation; </w:t>
      </w:r>
      <w:r w:rsidR="009754D5" w:rsidRPr="008D1E52">
        <w:rPr>
          <w:rFonts w:ascii="Arial Narrow" w:eastAsia="Calibri" w:hAnsi="Arial Narrow" w:cs="Arial"/>
          <w:b/>
          <w:bCs/>
          <w:i/>
          <w:iCs/>
          <w:snapToGrid w:val="0"/>
          <w:sz w:val="18"/>
          <w:szCs w:val="20"/>
        </w:rPr>
        <w:t xml:space="preserve">with </w:t>
      </w:r>
      <w:r w:rsidRPr="008D1E52">
        <w:rPr>
          <w:rFonts w:ascii="Arial Narrow" w:eastAsia="Calibri" w:hAnsi="Arial Narrow" w:cs="Arial"/>
          <w:b/>
          <w:bCs/>
          <w:i/>
          <w:iCs/>
          <w:snapToGrid w:val="0"/>
          <w:sz w:val="18"/>
          <w:szCs w:val="20"/>
        </w:rPr>
        <w:t>amend</w:t>
      </w:r>
      <w:r w:rsidR="009754D5" w:rsidRPr="008D1E52">
        <w:rPr>
          <w:rFonts w:ascii="Arial Narrow" w:eastAsia="Calibri" w:hAnsi="Arial Narrow" w:cs="Arial"/>
          <w:b/>
          <w:bCs/>
          <w:i/>
          <w:iCs/>
          <w:snapToGrid w:val="0"/>
          <w:sz w:val="18"/>
          <w:szCs w:val="20"/>
        </w:rPr>
        <w:t>ments by the ESCs</w:t>
      </w:r>
      <w:r w:rsidR="00B9331A">
        <w:rPr>
          <w:rFonts w:ascii="Arial Narrow" w:eastAsia="Calibri" w:hAnsi="Arial Narrow" w:cs="Arial"/>
          <w:b/>
          <w:bCs/>
          <w:i/>
          <w:iCs/>
          <w:snapToGrid w:val="0"/>
          <w:sz w:val="18"/>
          <w:szCs w:val="20"/>
        </w:rPr>
        <w:t xml:space="preserve"> in bold</w:t>
      </w:r>
    </w:p>
    <w:p w14:paraId="3D3CE275" w14:textId="6DF34C0F" w:rsidR="00DE6CC6" w:rsidRPr="00DE6CC6" w:rsidRDefault="00DE6CC6" w:rsidP="00DE6CC6">
      <w:pPr>
        <w:spacing w:before="0" w:after="240"/>
        <w:jc w:val="left"/>
        <w:rPr>
          <w:rFonts w:ascii="Times New Roman" w:eastAsia="Calibri" w:hAnsi="Times New Roman" w:cs="Times New Roman"/>
        </w:rPr>
      </w:pPr>
      <w:r w:rsidRPr="009754D5">
        <w:rPr>
          <w:rFonts w:ascii="Times New Roman" w:eastAsia="Calibri" w:hAnsi="Times New Roman" w:cs="Times New Roman"/>
        </w:rPr>
        <w:t xml:space="preserve">As a result of a survey of laboratories to elicit cost information for this application the </w:t>
      </w:r>
      <w:r w:rsidRPr="00DE6CC6">
        <w:rPr>
          <w:rFonts w:ascii="Times New Roman" w:eastAsia="Calibri" w:hAnsi="Times New Roman" w:cs="Times New Roman"/>
        </w:rPr>
        <w:t>applicant has not proposed a change to the MBS fee. This is consistent with the approach adopted in the similar MSAC Application 1617 (inclusion of B-rapidly accelerated fibrosarcoma [</w:t>
      </w:r>
      <w:r w:rsidRPr="00DE6CC6">
        <w:rPr>
          <w:rFonts w:ascii="Times New Roman" w:eastAsia="Calibri" w:hAnsi="Times New Roman" w:cs="Times New Roman"/>
          <w:i/>
          <w:iCs/>
        </w:rPr>
        <w:t>BRAF</w:t>
      </w:r>
      <w:r w:rsidRPr="00DE6CC6">
        <w:rPr>
          <w:rFonts w:ascii="Times New Roman" w:eastAsia="Calibri" w:hAnsi="Times New Roman" w:cs="Times New Roman"/>
        </w:rPr>
        <w:t>] V600 testing in MBS item code for at sarcoma oncogene [</w:t>
      </w:r>
      <w:r w:rsidRPr="00DE6CC6">
        <w:rPr>
          <w:rFonts w:ascii="Times New Roman" w:eastAsia="Calibri" w:hAnsi="Times New Roman" w:cs="Times New Roman"/>
          <w:i/>
          <w:iCs/>
        </w:rPr>
        <w:t>RAS</w:t>
      </w:r>
      <w:r w:rsidRPr="00DE6CC6">
        <w:rPr>
          <w:rFonts w:ascii="Times New Roman" w:eastAsia="Calibri" w:hAnsi="Times New Roman" w:cs="Times New Roman"/>
        </w:rPr>
        <w:t>] testing for colorectal cancer) supported by MSAC at the March 2021 meeting.</w:t>
      </w:r>
    </w:p>
    <w:p w14:paraId="63C882DC"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PASC noted that testing for the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 could easily report on other pathogenic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variants, which would lead to a reduction in the number of patients undergoing </w:t>
      </w:r>
      <w:r w:rsidRPr="00DE6CC6">
        <w:rPr>
          <w:rFonts w:ascii="Times New Roman" w:eastAsia="Calibri" w:hAnsi="Times New Roman" w:cs="Times New Roman"/>
          <w:i/>
        </w:rPr>
        <w:t>ALK</w:t>
      </w:r>
      <w:r w:rsidRPr="00DE6CC6">
        <w:rPr>
          <w:rFonts w:ascii="Times New Roman" w:eastAsia="Calibri" w:hAnsi="Times New Roman" w:cs="Times New Roman"/>
        </w:rPr>
        <w:t xml:space="preserve"> and </w:t>
      </w:r>
      <w:r w:rsidRPr="00DE6CC6">
        <w:rPr>
          <w:rFonts w:ascii="Times New Roman" w:eastAsia="Calibri" w:hAnsi="Times New Roman" w:cs="Times New Roman"/>
          <w:i/>
        </w:rPr>
        <w:t>ROS1</w:t>
      </w:r>
      <w:r w:rsidRPr="00DE6CC6">
        <w:rPr>
          <w:rFonts w:ascii="Times New Roman" w:eastAsia="Calibri" w:hAnsi="Times New Roman" w:cs="Times New Roman"/>
        </w:rPr>
        <w:t xml:space="preserve"> FISH testing due to the mutual exclusivity of pathogenic variants.</w:t>
      </w:r>
    </w:p>
    <w:p w14:paraId="1E512264"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 submission indicated that this should be simple to implement as pathogenic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 detection using NGS already occurs in most Australian diagnostic laboratories. The fact that all pathogenic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variants occur at one of three codons: codon 12, codon 13, and rarely at codon 61 simplifies NGS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 identification. Thus, identifying all pathogenic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variants for the purpose of a reduction of the number of </w:t>
      </w:r>
      <w:r w:rsidRPr="00DE6CC6">
        <w:rPr>
          <w:rFonts w:ascii="Times New Roman" w:eastAsia="Calibri" w:hAnsi="Times New Roman" w:cs="Times New Roman"/>
          <w:i/>
        </w:rPr>
        <w:t>ALK</w:t>
      </w:r>
      <w:r w:rsidRPr="00DE6CC6">
        <w:rPr>
          <w:rFonts w:ascii="Times New Roman" w:eastAsia="Calibri" w:hAnsi="Times New Roman" w:cs="Times New Roman"/>
        </w:rPr>
        <w:t xml:space="preserve"> and </w:t>
      </w:r>
      <w:r w:rsidRPr="00DE6CC6">
        <w:rPr>
          <w:rFonts w:ascii="Times New Roman" w:eastAsia="Calibri" w:hAnsi="Times New Roman" w:cs="Times New Roman"/>
          <w:i/>
        </w:rPr>
        <w:t>ROS1</w:t>
      </w:r>
      <w:r w:rsidRPr="00DE6CC6">
        <w:rPr>
          <w:rFonts w:ascii="Times New Roman" w:eastAsia="Calibri" w:hAnsi="Times New Roman" w:cs="Times New Roman"/>
        </w:rPr>
        <w:t xml:space="preserve"> FISH tests should be achievable under the proposed fee for the modified MBS item 73337.</w:t>
      </w:r>
    </w:p>
    <w:p w14:paraId="29A12275" w14:textId="50498E7E" w:rsidR="00DE6CC6" w:rsidRPr="00DE6CC6" w:rsidRDefault="00DE6CC6" w:rsidP="00DE6CC6">
      <w:pPr>
        <w:spacing w:before="0" w:after="240"/>
        <w:jc w:val="left"/>
        <w:rPr>
          <w:rFonts w:ascii="Times New Roman" w:eastAsia="Calibri" w:hAnsi="Times New Roman" w:cs="Times New Roman"/>
          <w:iCs/>
        </w:rPr>
      </w:pPr>
      <w:r w:rsidRPr="00DE6CC6">
        <w:rPr>
          <w:rFonts w:ascii="Times New Roman" w:eastAsia="Calibri" w:hAnsi="Times New Roman" w:cs="Times New Roman"/>
          <w:iCs/>
        </w:rPr>
        <w:t xml:space="preserve">The commentary noted that approximately 30% of patients with non-squamous NSCLC will have a pathogenic </w:t>
      </w:r>
      <w:r w:rsidRPr="00B9331A">
        <w:rPr>
          <w:rFonts w:ascii="Times New Roman" w:eastAsia="Calibri" w:hAnsi="Times New Roman" w:cs="Times New Roman"/>
          <w:i/>
        </w:rPr>
        <w:t>KRAS</w:t>
      </w:r>
      <w:r w:rsidRPr="00DE6CC6">
        <w:rPr>
          <w:rFonts w:ascii="Times New Roman" w:eastAsia="Calibri" w:hAnsi="Times New Roman" w:cs="Times New Roman"/>
          <w:iCs/>
        </w:rPr>
        <w:t xml:space="preserve"> variant. Thus, if NGS was conducted before IHC testing, the need for triage IHC testing for </w:t>
      </w:r>
      <w:r w:rsidRPr="00DE6CC6">
        <w:rPr>
          <w:rFonts w:ascii="Times New Roman" w:eastAsia="Calibri" w:hAnsi="Times New Roman" w:cs="Times New Roman"/>
          <w:i/>
        </w:rPr>
        <w:t>ALK</w:t>
      </w:r>
      <w:r w:rsidRPr="00DE6CC6">
        <w:rPr>
          <w:rFonts w:ascii="Times New Roman" w:eastAsia="Calibri" w:hAnsi="Times New Roman" w:cs="Times New Roman"/>
          <w:iCs/>
        </w:rPr>
        <w:t xml:space="preserve"> or </w:t>
      </w:r>
      <w:r w:rsidRPr="00DE6CC6">
        <w:rPr>
          <w:rFonts w:ascii="Times New Roman" w:eastAsia="Calibri" w:hAnsi="Times New Roman" w:cs="Times New Roman"/>
          <w:i/>
        </w:rPr>
        <w:t>ROS1</w:t>
      </w:r>
      <w:r w:rsidRPr="00DE6CC6">
        <w:rPr>
          <w:rFonts w:ascii="Times New Roman" w:eastAsia="Calibri" w:hAnsi="Times New Roman" w:cs="Times New Roman"/>
          <w:iCs/>
        </w:rPr>
        <w:t xml:space="preserve"> rearrangements (present in approximately 3% and 1.2% of patients, respectively) would reduce by approximately one third, and fewer patients would consequently require FISH testing. This reduction in the use of </w:t>
      </w:r>
      <w:r w:rsidRPr="00DE6CC6">
        <w:rPr>
          <w:rFonts w:ascii="Times New Roman" w:eastAsia="Calibri" w:hAnsi="Times New Roman" w:cs="Times New Roman"/>
          <w:i/>
        </w:rPr>
        <w:t>ALK</w:t>
      </w:r>
      <w:r w:rsidRPr="00DE6CC6">
        <w:rPr>
          <w:rFonts w:ascii="Times New Roman" w:eastAsia="Calibri" w:hAnsi="Times New Roman" w:cs="Times New Roman"/>
          <w:iCs/>
        </w:rPr>
        <w:t xml:space="preserve"> and </w:t>
      </w:r>
      <w:r w:rsidRPr="00DE6CC6">
        <w:rPr>
          <w:rFonts w:ascii="Times New Roman" w:eastAsia="Calibri" w:hAnsi="Times New Roman" w:cs="Times New Roman"/>
          <w:i/>
        </w:rPr>
        <w:t>ROS1</w:t>
      </w:r>
      <w:r w:rsidRPr="00DE6CC6">
        <w:rPr>
          <w:rFonts w:ascii="Times New Roman" w:eastAsia="Calibri" w:hAnsi="Times New Roman" w:cs="Times New Roman"/>
          <w:iCs/>
        </w:rPr>
        <w:t xml:space="preserve"> testing was not considered in the financial estimates presented in the submission. Very few patients with a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non-G12C variant w</w:t>
      </w:r>
      <w:r w:rsidR="00A15954">
        <w:rPr>
          <w:rFonts w:ascii="Times New Roman" w:eastAsia="Calibri" w:hAnsi="Times New Roman" w:cs="Times New Roman"/>
          <w:iCs/>
        </w:rPr>
        <w:t>ould</w:t>
      </w:r>
      <w:r w:rsidRPr="00DE6CC6">
        <w:rPr>
          <w:rFonts w:ascii="Times New Roman" w:eastAsia="Calibri" w:hAnsi="Times New Roman" w:cs="Times New Roman"/>
          <w:iCs/>
        </w:rPr>
        <w:t xml:space="preserve"> miss out on treatments targeted to </w:t>
      </w:r>
      <w:r w:rsidRPr="00DE6CC6">
        <w:rPr>
          <w:rFonts w:ascii="Times New Roman" w:eastAsia="Calibri" w:hAnsi="Times New Roman" w:cs="Times New Roman"/>
          <w:i/>
        </w:rPr>
        <w:t>ALK</w:t>
      </w:r>
      <w:r w:rsidRPr="00DE6CC6">
        <w:rPr>
          <w:rFonts w:ascii="Times New Roman" w:eastAsia="Calibri" w:hAnsi="Times New Roman" w:cs="Times New Roman"/>
          <w:iCs/>
        </w:rPr>
        <w:t xml:space="preserve"> or </w:t>
      </w:r>
      <w:r w:rsidRPr="00DE6CC6">
        <w:rPr>
          <w:rFonts w:ascii="Times New Roman" w:eastAsia="Calibri" w:hAnsi="Times New Roman" w:cs="Times New Roman"/>
          <w:i/>
        </w:rPr>
        <w:t>ROS1</w:t>
      </w:r>
      <w:r w:rsidRPr="00DE6CC6">
        <w:rPr>
          <w:rFonts w:ascii="Times New Roman" w:eastAsia="Calibri" w:hAnsi="Times New Roman" w:cs="Times New Roman"/>
          <w:iCs/>
        </w:rPr>
        <w:t xml:space="preserve"> rearrangements as the co-occurrence rate with pathogenic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variants ranges from 0–0.2%.</w:t>
      </w:r>
    </w:p>
    <w:p w14:paraId="25B3AAF6" w14:textId="769353BA" w:rsidR="00DE6CC6" w:rsidRPr="00DE6CC6" w:rsidRDefault="00DE6CC6" w:rsidP="00DE6CC6">
      <w:pPr>
        <w:keepNext/>
        <w:keepLines/>
        <w:numPr>
          <w:ilvl w:val="0"/>
          <w:numId w:val="92"/>
        </w:numPr>
        <w:spacing w:before="24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t xml:space="preserve">Summary of public consultation feedback/consumer </w:t>
      </w:r>
      <w:r w:rsidR="00A15954" w:rsidRPr="00DE6CC6">
        <w:rPr>
          <w:rFonts w:ascii="Arial" w:eastAsia="Times New Roman" w:hAnsi="Arial" w:cs="Arial"/>
          <w:b/>
          <w:bCs/>
          <w:szCs w:val="28"/>
          <w:lang w:eastAsia="en-AU"/>
        </w:rPr>
        <w:t>i</w:t>
      </w:r>
      <w:r w:rsidRPr="00DE6CC6">
        <w:rPr>
          <w:rFonts w:ascii="Arial" w:eastAsia="Times New Roman" w:hAnsi="Arial" w:cs="Arial"/>
          <w:b/>
          <w:bCs/>
          <w:szCs w:val="28"/>
          <w:lang w:eastAsia="en-AU"/>
        </w:rPr>
        <w:t>ssues</w:t>
      </w:r>
    </w:p>
    <w:p w14:paraId="78B26BA4" w14:textId="77777777" w:rsidR="00DE6CC6" w:rsidRPr="00DE6CC6" w:rsidRDefault="00DE6CC6" w:rsidP="00DE6CC6">
      <w:pPr>
        <w:spacing w:before="20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The Department received targeted consultation feedback for the PICO confirmation from:</w:t>
      </w:r>
    </w:p>
    <w:p w14:paraId="6FD86F55" w14:textId="77777777" w:rsidR="00DE6CC6" w:rsidRPr="00DE6CC6" w:rsidRDefault="00DE6CC6" w:rsidP="00DE6CC6">
      <w:pPr>
        <w:numPr>
          <w:ilvl w:val="0"/>
          <w:numId w:val="88"/>
        </w:numPr>
        <w:spacing w:before="0" w:after="0" w:line="276" w:lineRule="auto"/>
        <w:contextualSpacing/>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The Lung Foundation Australia (LFA)</w:t>
      </w:r>
    </w:p>
    <w:p w14:paraId="5D33FA5A" w14:textId="77777777" w:rsidR="00DE6CC6" w:rsidRPr="00DE6CC6" w:rsidRDefault="00DE6CC6" w:rsidP="00DE6CC6">
      <w:pPr>
        <w:numPr>
          <w:ilvl w:val="0"/>
          <w:numId w:val="89"/>
        </w:numPr>
        <w:spacing w:before="0" w:after="200" w:line="276" w:lineRule="auto"/>
        <w:contextualSpacing/>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The National Pathology Accreditation Advisory Council (NPAAC).</w:t>
      </w:r>
    </w:p>
    <w:p w14:paraId="2E182CE2" w14:textId="3DD7E30F" w:rsidR="00DE6CC6" w:rsidRPr="00DE6CC6" w:rsidRDefault="00DE6CC6" w:rsidP="00EE72A6">
      <w:pPr>
        <w:spacing w:before="24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The LFA was supportive of the application, stating that early identification of genomic variants would facilitate timely access to targeted therapies, improving quality of life and treatment outcomes to lung cancer patients. The LFA also noted that this application would </w:t>
      </w:r>
      <w:r w:rsidRPr="00DE6CC6">
        <w:rPr>
          <w:rFonts w:ascii="Times New Roman" w:eastAsia="Times New Roman" w:hAnsi="Times New Roman" w:cs="Times New Roman"/>
          <w:szCs w:val="20"/>
          <w:lang w:eastAsia="en-AU"/>
        </w:rPr>
        <w:lastRenderedPageBreak/>
        <w:t xml:space="preserve">allow for equitable access to testing, thus improving access to treatment and improving health outcomes. However, the LFA did observe that tissue samples may not be adequate and may require </w:t>
      </w:r>
      <w:proofErr w:type="spellStart"/>
      <w:r w:rsidRPr="00DE6CC6">
        <w:rPr>
          <w:rFonts w:ascii="Times New Roman" w:eastAsia="Times New Roman" w:hAnsi="Times New Roman" w:cs="Times New Roman"/>
          <w:szCs w:val="20"/>
          <w:lang w:eastAsia="en-AU"/>
        </w:rPr>
        <w:t>rebiopsy</w:t>
      </w:r>
      <w:proofErr w:type="spellEnd"/>
      <w:r w:rsidRPr="00DE6CC6">
        <w:rPr>
          <w:rFonts w:ascii="Times New Roman" w:eastAsia="Times New Roman" w:hAnsi="Times New Roman" w:cs="Times New Roman"/>
          <w:szCs w:val="20"/>
          <w:lang w:eastAsia="en-AU"/>
        </w:rPr>
        <w:t>, that follow -up testing should be available due to disease progression and, that the application is limited to the use of solid tissue.</w:t>
      </w:r>
    </w:p>
    <w:p w14:paraId="43E48319" w14:textId="77777777" w:rsidR="00DE6CC6" w:rsidRPr="00DE6CC6" w:rsidRDefault="00DE6CC6" w:rsidP="00EE72A6">
      <w:pPr>
        <w:spacing w:before="24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NPAAC considered that there were no implementation issues regarding </w:t>
      </w:r>
      <w:r w:rsidRPr="00DE6CC6">
        <w:rPr>
          <w:rFonts w:ascii="Times New Roman" w:eastAsia="Times New Roman" w:hAnsi="Times New Roman" w:cs="Times New Roman"/>
          <w:i/>
          <w:szCs w:val="20"/>
          <w:lang w:eastAsia="en-AU"/>
        </w:rPr>
        <w:t>KRAS</w:t>
      </w:r>
      <w:r w:rsidRPr="00DE6CC6">
        <w:rPr>
          <w:rFonts w:ascii="Times New Roman" w:eastAsia="Times New Roman" w:hAnsi="Times New Roman" w:cs="Times New Roman"/>
          <w:szCs w:val="20"/>
          <w:lang w:eastAsia="en-AU"/>
        </w:rPr>
        <w:t xml:space="preserve"> testing, as it is a highly reproducible test with an existing external quality assurance program (QAP).</w:t>
      </w:r>
    </w:p>
    <w:p w14:paraId="287030D2" w14:textId="32B2B6B3" w:rsidR="00DE6CC6" w:rsidRPr="00DE6CC6" w:rsidRDefault="00DE6CC6" w:rsidP="00EE72A6">
      <w:pPr>
        <w:spacing w:before="24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Prior to ESCs consideration (and </w:t>
      </w:r>
      <w:proofErr w:type="gramStart"/>
      <w:r w:rsidRPr="00DE6CC6">
        <w:rPr>
          <w:rFonts w:ascii="Times New Roman" w:eastAsia="Times New Roman" w:hAnsi="Times New Roman" w:cs="Times New Roman"/>
          <w:szCs w:val="20"/>
          <w:lang w:eastAsia="en-AU"/>
        </w:rPr>
        <w:t>subsequent to</w:t>
      </w:r>
      <w:proofErr w:type="gramEnd"/>
      <w:r w:rsidRPr="00DE6CC6">
        <w:rPr>
          <w:rFonts w:ascii="Times New Roman" w:eastAsia="Times New Roman" w:hAnsi="Times New Roman" w:cs="Times New Roman"/>
          <w:szCs w:val="20"/>
          <w:lang w:eastAsia="en-AU"/>
        </w:rPr>
        <w:t xml:space="preserve"> PASC), targeted </w:t>
      </w:r>
      <w:r w:rsidRPr="00DE6CC6">
        <w:rPr>
          <w:rFonts w:ascii="Times New Roman" w:eastAsia="Times New Roman" w:hAnsi="Times New Roman" w:cs="Times New Roman"/>
          <w:iCs/>
          <w:szCs w:val="20"/>
          <w:lang w:eastAsia="en-AU"/>
        </w:rPr>
        <w:t xml:space="preserve">consultation feedback was received from </w:t>
      </w:r>
      <w:r w:rsidRPr="00DE6CC6">
        <w:rPr>
          <w:rFonts w:ascii="Times New Roman" w:eastAsia="Times New Roman" w:hAnsi="Times New Roman" w:cs="Times New Roman"/>
          <w:szCs w:val="20"/>
          <w:lang w:eastAsia="en-AU"/>
        </w:rPr>
        <w:t>5 health professional organisations and one individual:</w:t>
      </w:r>
    </w:p>
    <w:p w14:paraId="730DAA4C" w14:textId="77777777" w:rsidR="00DE6CC6" w:rsidRPr="00DE6CC6" w:rsidRDefault="00DE6CC6" w:rsidP="00DE6CC6">
      <w:pPr>
        <w:numPr>
          <w:ilvl w:val="0"/>
          <w:numId w:val="90"/>
        </w:numPr>
        <w:spacing w:before="0" w:after="0"/>
        <w:ind w:left="714" w:hanging="357"/>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Australian Pathology (AP)</w:t>
      </w:r>
    </w:p>
    <w:p w14:paraId="6E4B26C9" w14:textId="77777777" w:rsidR="00DE6CC6" w:rsidRPr="00DE6CC6" w:rsidRDefault="00DE6CC6" w:rsidP="00DE6CC6">
      <w:pPr>
        <w:numPr>
          <w:ilvl w:val="0"/>
          <w:numId w:val="90"/>
        </w:numPr>
        <w:spacing w:before="0" w:after="0"/>
        <w:ind w:left="714" w:hanging="357"/>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Public Pathology Australia (PPA)</w:t>
      </w:r>
    </w:p>
    <w:p w14:paraId="541BCC8D" w14:textId="77777777" w:rsidR="00DE6CC6" w:rsidRPr="00DE6CC6" w:rsidRDefault="00DE6CC6" w:rsidP="00DE6CC6">
      <w:pPr>
        <w:numPr>
          <w:ilvl w:val="0"/>
          <w:numId w:val="90"/>
        </w:numPr>
        <w:spacing w:before="0" w:after="0"/>
        <w:ind w:left="714" w:hanging="357"/>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Australian Genomics (AG)</w:t>
      </w:r>
    </w:p>
    <w:p w14:paraId="49832DD7" w14:textId="77777777" w:rsidR="00DE6CC6" w:rsidRPr="00DE6CC6" w:rsidRDefault="00DE6CC6" w:rsidP="00DE6CC6">
      <w:pPr>
        <w:numPr>
          <w:ilvl w:val="0"/>
          <w:numId w:val="90"/>
        </w:numPr>
        <w:spacing w:before="0" w:after="0"/>
        <w:ind w:left="714" w:hanging="357"/>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Royal College of Pathologists of Australasia (RCPA)</w:t>
      </w:r>
    </w:p>
    <w:p w14:paraId="4E563733" w14:textId="0A47386C" w:rsidR="00DE6CC6" w:rsidRPr="00DE6CC6" w:rsidRDefault="00DE6CC6" w:rsidP="00DE6CC6">
      <w:pPr>
        <w:numPr>
          <w:ilvl w:val="0"/>
          <w:numId w:val="90"/>
        </w:numPr>
        <w:spacing w:before="0" w:after="0"/>
        <w:ind w:left="714" w:hanging="357"/>
        <w:jc w:val="left"/>
        <w:rPr>
          <w:rFonts w:ascii="Times New Roman" w:eastAsia="Times New Roman" w:hAnsi="Times New Roman" w:cs="Times New Roman"/>
          <w:szCs w:val="20"/>
          <w:lang w:eastAsia="en-AU"/>
        </w:rPr>
      </w:pPr>
      <w:proofErr w:type="spellStart"/>
      <w:r w:rsidRPr="00DE6CC6">
        <w:rPr>
          <w:rFonts w:ascii="Times New Roman" w:eastAsia="Times New Roman" w:hAnsi="Times New Roman" w:cs="Times New Roman"/>
          <w:szCs w:val="20"/>
          <w:lang w:eastAsia="en-AU"/>
        </w:rPr>
        <w:t>Omico</w:t>
      </w:r>
      <w:proofErr w:type="spellEnd"/>
      <w:r w:rsidRPr="00DE6CC6">
        <w:rPr>
          <w:rFonts w:ascii="Times New Roman" w:eastAsia="Times New Roman" w:hAnsi="Times New Roman" w:cs="Times New Roman"/>
          <w:szCs w:val="20"/>
          <w:lang w:eastAsia="en-AU"/>
        </w:rPr>
        <w:t>: Australian Genomic Cancer Medicine Centre</w:t>
      </w:r>
      <w:r w:rsidR="00157E36">
        <w:rPr>
          <w:rFonts w:ascii="Times New Roman" w:eastAsia="Times New Roman" w:hAnsi="Times New Roman" w:cs="Times New Roman"/>
          <w:szCs w:val="20"/>
          <w:lang w:eastAsia="en-AU"/>
        </w:rPr>
        <w:t>.</w:t>
      </w:r>
    </w:p>
    <w:p w14:paraId="2BA152F0" w14:textId="008B0553" w:rsidR="00DE6CC6" w:rsidRPr="00DE6CC6" w:rsidRDefault="00DE6CC6" w:rsidP="00EE72A6">
      <w:pPr>
        <w:spacing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The consultation feedback collectively supported the MBS funding of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G12C variant testing which would enable patient access to early testing and detection of the disease. This in turn would lead to possible resection or provide targeted therapy to patients suitable for </w:t>
      </w:r>
      <w:r w:rsidR="00166551" w:rsidRPr="00DE6CC6">
        <w:rPr>
          <w:rFonts w:ascii="Times New Roman" w:eastAsia="Times New Roman" w:hAnsi="Times New Roman" w:cs="Times New Roman"/>
          <w:szCs w:val="20"/>
          <w:lang w:eastAsia="en-AU"/>
        </w:rPr>
        <w:t>second line</w:t>
      </w:r>
      <w:r w:rsidRPr="00DE6CC6">
        <w:rPr>
          <w:rFonts w:ascii="Times New Roman" w:eastAsia="Times New Roman" w:hAnsi="Times New Roman" w:cs="Times New Roman"/>
          <w:szCs w:val="20"/>
          <w:lang w:eastAsia="en-AU"/>
        </w:rPr>
        <w:t xml:space="preserve"> </w:t>
      </w:r>
      <w:proofErr w:type="spellStart"/>
      <w:r w:rsidRPr="00DE6CC6">
        <w:rPr>
          <w:rFonts w:ascii="Times New Roman" w:eastAsia="Times New Roman" w:hAnsi="Times New Roman" w:cs="Times New Roman"/>
          <w:szCs w:val="20"/>
          <w:lang w:eastAsia="en-AU"/>
        </w:rPr>
        <w:t>sotorasib</w:t>
      </w:r>
      <w:proofErr w:type="spellEnd"/>
      <w:r w:rsidRPr="00DE6CC6">
        <w:rPr>
          <w:rFonts w:ascii="Times New Roman" w:eastAsia="Times New Roman" w:hAnsi="Times New Roman" w:cs="Times New Roman"/>
          <w:szCs w:val="20"/>
          <w:lang w:eastAsia="en-AU"/>
        </w:rPr>
        <w:t xml:space="preserve"> treatment of NSCLC to extend the life expectancy and improve patient outcomes.</w:t>
      </w:r>
    </w:p>
    <w:p w14:paraId="405177C3" w14:textId="77777777" w:rsidR="00DE6CC6" w:rsidRPr="00DE6CC6" w:rsidRDefault="00DE6CC6" w:rsidP="00EE72A6">
      <w:pPr>
        <w:spacing w:before="24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PPA and AP stated that </w:t>
      </w:r>
      <w:r w:rsidRPr="00E84E0B">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is a known marker of clinical benefit in relation to NSCLC which has been well established as part of the clinical pathway and the addition of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G12C variant testing (and the companion therapeutic) has the potential to improve the outlook for patients who do not have a targetable mutation in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Further, AP highlighted the proposed intervention would enable prompt therapeutic decision-making by allowing the molecular characterisation of a tumour to be performed as a multiplexed investigation (</w:t>
      </w:r>
      <w:proofErr w:type="gramStart"/>
      <w:r w:rsidRPr="00DE6CC6">
        <w:rPr>
          <w:rFonts w:ascii="Times New Roman" w:eastAsia="Times New Roman" w:hAnsi="Times New Roman" w:cs="Times New Roman"/>
          <w:szCs w:val="20"/>
          <w:lang w:eastAsia="en-AU"/>
        </w:rPr>
        <w:t>i.e.</w:t>
      </w:r>
      <w:proofErr w:type="gramEnd"/>
      <w:r w:rsidRPr="00DE6CC6">
        <w:rPr>
          <w:rFonts w:ascii="Times New Roman" w:eastAsia="Times New Roman" w:hAnsi="Times New Roman" w:cs="Times New Roman"/>
          <w:szCs w:val="20"/>
          <w:lang w:eastAsia="en-AU"/>
        </w:rPr>
        <w:t xml:space="preserve"> covering multiple potential mutations) on the primary tissue sample (wherever possible), and which is pathologist determinable.</w:t>
      </w:r>
    </w:p>
    <w:p w14:paraId="27D2A807" w14:textId="52BEA594" w:rsidR="00DE6CC6" w:rsidRPr="00DE6CC6" w:rsidRDefault="004D18EB" w:rsidP="00EE72A6">
      <w:pPr>
        <w:spacing w:before="240" w:after="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T</w:t>
      </w:r>
      <w:r w:rsidR="00DE6CC6" w:rsidRPr="00DE6CC6">
        <w:rPr>
          <w:rFonts w:ascii="Times New Roman" w:eastAsia="Times New Roman" w:hAnsi="Times New Roman" w:cs="Times New Roman"/>
          <w:szCs w:val="20"/>
          <w:lang w:eastAsia="en-AU"/>
        </w:rPr>
        <w:t xml:space="preserve">he individual consultation feedback indicated that some laboratories across Australia rely on single gene testing platforms and </w:t>
      </w:r>
      <w:r w:rsidR="00DE6CC6" w:rsidRPr="00DE6CC6">
        <w:rPr>
          <w:rFonts w:ascii="Times New Roman" w:eastAsia="Times New Roman" w:hAnsi="Times New Roman" w:cs="Times New Roman"/>
          <w:i/>
          <w:iCs/>
          <w:szCs w:val="20"/>
          <w:lang w:eastAsia="en-AU"/>
        </w:rPr>
        <w:t>KRAS</w:t>
      </w:r>
      <w:r w:rsidR="00DE6CC6" w:rsidRPr="00DE6CC6">
        <w:rPr>
          <w:rFonts w:ascii="Times New Roman" w:eastAsia="Times New Roman" w:hAnsi="Times New Roman" w:cs="Times New Roman"/>
          <w:szCs w:val="20"/>
          <w:lang w:eastAsia="en-AU"/>
        </w:rPr>
        <w:t xml:space="preserve"> testing is not routinely done in these settings. The individual feedback highlighted that the proposed intervention would ensure the consistency of </w:t>
      </w:r>
      <w:r w:rsidR="00DE6CC6" w:rsidRPr="00DE6CC6">
        <w:rPr>
          <w:rFonts w:ascii="Times New Roman" w:eastAsia="Times New Roman" w:hAnsi="Times New Roman" w:cs="Times New Roman"/>
          <w:i/>
          <w:iCs/>
          <w:szCs w:val="20"/>
          <w:lang w:eastAsia="en-AU"/>
        </w:rPr>
        <w:t>KRAS</w:t>
      </w:r>
      <w:r w:rsidR="00DE6CC6" w:rsidRPr="00DE6CC6">
        <w:rPr>
          <w:rFonts w:ascii="Times New Roman" w:eastAsia="Times New Roman" w:hAnsi="Times New Roman" w:cs="Times New Roman"/>
          <w:szCs w:val="20"/>
          <w:lang w:eastAsia="en-AU"/>
        </w:rPr>
        <w:t xml:space="preserve"> testing across all or at least most molecular laboratories.</w:t>
      </w:r>
    </w:p>
    <w:p w14:paraId="58EEE91D" w14:textId="7AFC6A7C" w:rsidR="00DE6CC6" w:rsidRPr="00DE6CC6" w:rsidRDefault="00DE6CC6" w:rsidP="00EE72A6">
      <w:pPr>
        <w:spacing w:after="1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The following considerations were raised in the consultation responses:</w:t>
      </w:r>
    </w:p>
    <w:p w14:paraId="099CD858" w14:textId="35A6A74C" w:rsidR="00DE6CC6" w:rsidRPr="00EE72A6" w:rsidRDefault="00DE6CC6" w:rsidP="00EE72A6">
      <w:pPr>
        <w:numPr>
          <w:ilvl w:val="0"/>
          <w:numId w:val="91"/>
        </w:numPr>
        <w:spacing w:before="0" w:after="240"/>
        <w:ind w:left="714" w:hanging="357"/>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i/>
          <w:iCs/>
          <w:szCs w:val="20"/>
          <w:lang w:eastAsia="en-AU"/>
        </w:rPr>
        <w:t>Disadvantages of the proposed medical service</w:t>
      </w:r>
    </w:p>
    <w:p w14:paraId="4901133E" w14:textId="35AA3C8D" w:rsidR="00DE6CC6" w:rsidRPr="00EE72A6" w:rsidRDefault="00DE6CC6" w:rsidP="00EE72A6">
      <w:pPr>
        <w:spacing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PA considered that the testing of a second tissue sample to determine the patient’s eligibility for the companion therapeutic would incur risk and discomfort (</w:t>
      </w:r>
      <w:proofErr w:type="gramStart"/>
      <w:r w:rsidRPr="00DE6CC6">
        <w:rPr>
          <w:rFonts w:ascii="Times New Roman" w:eastAsia="Times New Roman" w:hAnsi="Times New Roman" w:cs="Times New Roman"/>
          <w:szCs w:val="20"/>
          <w:lang w:eastAsia="en-AU"/>
        </w:rPr>
        <w:t>and also</w:t>
      </w:r>
      <w:proofErr w:type="gramEnd"/>
      <w:r w:rsidRPr="00DE6CC6">
        <w:rPr>
          <w:rFonts w:ascii="Times New Roman" w:eastAsia="Times New Roman" w:hAnsi="Times New Roman" w:cs="Times New Roman"/>
          <w:szCs w:val="20"/>
          <w:lang w:eastAsia="en-AU"/>
        </w:rPr>
        <w:t xml:space="preserve"> cost to the healthcare system). This potential disadvantage could be addressed if the test were performed on the initial tissue sample.</w:t>
      </w:r>
    </w:p>
    <w:p w14:paraId="04938984" w14:textId="7C580342" w:rsidR="00DE6CC6" w:rsidRPr="00EE72A6" w:rsidRDefault="00DE6CC6" w:rsidP="00EE72A6">
      <w:pPr>
        <w:numPr>
          <w:ilvl w:val="0"/>
          <w:numId w:val="91"/>
        </w:numPr>
        <w:spacing w:after="240"/>
        <w:ind w:left="714" w:hanging="357"/>
        <w:jc w:val="left"/>
        <w:rPr>
          <w:rFonts w:ascii="Times New Roman" w:eastAsia="Times New Roman" w:hAnsi="Times New Roman" w:cs="Times New Roman"/>
          <w:i/>
          <w:iCs/>
          <w:szCs w:val="20"/>
          <w:lang w:eastAsia="en-AU"/>
        </w:rPr>
      </w:pPr>
      <w:r w:rsidRPr="00DE6CC6">
        <w:rPr>
          <w:rFonts w:ascii="Times New Roman" w:eastAsia="Times New Roman" w:hAnsi="Times New Roman" w:cs="Times New Roman"/>
          <w:i/>
          <w:iCs/>
          <w:szCs w:val="20"/>
          <w:lang w:eastAsia="en-AU"/>
        </w:rPr>
        <w:t>Place in proposed intervention and associated interventions</w:t>
      </w:r>
    </w:p>
    <w:p w14:paraId="00532E3A" w14:textId="2C94D32E" w:rsidR="00DE6CC6" w:rsidRPr="00DE6CC6" w:rsidRDefault="00DE6CC6" w:rsidP="00EE72A6">
      <w:pPr>
        <w:spacing w:before="0" w:after="0"/>
        <w:ind w:left="720"/>
        <w:contextualSpacing/>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AG considered that more clarity is required regarding the type of testing (whether NGS or PCR) offered in this application as there are implications given the often-limited nature of tumour tissue. Further, </w:t>
      </w:r>
      <w:proofErr w:type="spellStart"/>
      <w:r w:rsidRPr="00DE6CC6">
        <w:rPr>
          <w:rFonts w:ascii="Times New Roman" w:eastAsia="Times New Roman" w:hAnsi="Times New Roman" w:cs="Times New Roman"/>
          <w:szCs w:val="20"/>
          <w:lang w:eastAsia="en-AU"/>
        </w:rPr>
        <w:t>Omico</w:t>
      </w:r>
      <w:proofErr w:type="spellEnd"/>
      <w:r w:rsidRPr="00DE6CC6">
        <w:rPr>
          <w:rFonts w:ascii="Times New Roman" w:eastAsia="Times New Roman" w:hAnsi="Times New Roman" w:cs="Times New Roman"/>
          <w:szCs w:val="20"/>
          <w:lang w:eastAsia="en-AU"/>
        </w:rPr>
        <w:t xml:space="preserve">, AP and RCPA raised whether panel-based testing ought to be considered as an alternative to single gene testing given the cumulative costs of single gene testing for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i/>
          <w:iCs/>
          <w:szCs w:val="20"/>
          <w:lang w:eastAsia="en-AU"/>
        </w:rPr>
        <w:t>ALK</w:t>
      </w:r>
      <w:r w:rsidRPr="00DE6CC6">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i/>
          <w:iCs/>
          <w:szCs w:val="20"/>
          <w:lang w:eastAsia="en-AU"/>
        </w:rPr>
        <w:t>ROS</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w:t>
      </w:r>
    </w:p>
    <w:p w14:paraId="1B5A7AA8" w14:textId="64765F54"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lastRenderedPageBreak/>
        <w:t xml:space="preserve">The RCPA noted that the applicant incorrectly stated that </w:t>
      </w:r>
      <w:r w:rsidRPr="00DE6CC6">
        <w:rPr>
          <w:rFonts w:ascii="Times New Roman" w:eastAsia="Times New Roman" w:hAnsi="Times New Roman" w:cs="Times New Roman"/>
          <w:i/>
          <w:iCs/>
          <w:szCs w:val="20"/>
          <w:lang w:eastAsia="en-AU"/>
        </w:rPr>
        <w:t>ALK</w:t>
      </w:r>
      <w:r w:rsidRPr="00DE6CC6">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i/>
          <w:iCs/>
          <w:szCs w:val="20"/>
          <w:lang w:eastAsia="en-AU"/>
        </w:rPr>
        <w:t>ROS1</w:t>
      </w:r>
      <w:r w:rsidRPr="00DE6CC6">
        <w:rPr>
          <w:rFonts w:ascii="Times New Roman" w:eastAsia="Times New Roman" w:hAnsi="Times New Roman" w:cs="Times New Roman"/>
          <w:szCs w:val="20"/>
          <w:lang w:eastAsia="en-AU"/>
        </w:rPr>
        <w:t xml:space="preserve"> and PD-L1 testing is performed sequentially once a negative test result is found for the previously performed biomarker. The RCPA stated that this is not in line with current clinical practice, safe tissue stewardship or best patient care. Pathologists perform all IHC tests up front at the time of diagnosis of non-squamous NSCLC to preserve tissue and to prevent delays in test results (</w:t>
      </w:r>
      <w:r w:rsidRPr="004D18EB">
        <w:rPr>
          <w:rFonts w:ascii="Times New Roman" w:eastAsia="Times New Roman" w:hAnsi="Times New Roman" w:cs="Times New Roman"/>
          <w:szCs w:val="20"/>
          <w:lang w:eastAsia="en-AU"/>
        </w:rPr>
        <w:t xml:space="preserve">ALK, ROS1 </w:t>
      </w:r>
      <w:r w:rsidRPr="00DE6CC6">
        <w:rPr>
          <w:rFonts w:ascii="Times New Roman" w:eastAsia="Times New Roman" w:hAnsi="Times New Roman" w:cs="Times New Roman"/>
          <w:szCs w:val="20"/>
          <w:lang w:eastAsia="en-AU"/>
        </w:rPr>
        <w:t xml:space="preserve">and PD-L1 IHC). These results are available faster than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testing and if a negative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result is found and </w:t>
      </w:r>
      <w:r w:rsidRPr="004D18EB">
        <w:rPr>
          <w:rFonts w:ascii="Times New Roman" w:eastAsia="Times New Roman" w:hAnsi="Times New Roman" w:cs="Times New Roman"/>
          <w:szCs w:val="20"/>
          <w:lang w:eastAsia="en-AU"/>
        </w:rPr>
        <w:t xml:space="preserve">ALK </w:t>
      </w:r>
      <w:r w:rsidR="004D18EB">
        <w:rPr>
          <w:rFonts w:ascii="Times New Roman" w:eastAsia="Times New Roman" w:hAnsi="Times New Roman" w:cs="Times New Roman"/>
          <w:szCs w:val="20"/>
          <w:lang w:eastAsia="en-AU"/>
        </w:rPr>
        <w:t xml:space="preserve">IHC </w:t>
      </w:r>
      <w:r w:rsidRPr="004D18EB">
        <w:rPr>
          <w:rFonts w:ascii="Times New Roman" w:eastAsia="Times New Roman" w:hAnsi="Times New Roman" w:cs="Times New Roman"/>
          <w:szCs w:val="20"/>
          <w:lang w:eastAsia="en-AU"/>
        </w:rPr>
        <w:t xml:space="preserve">or ROS1 </w:t>
      </w:r>
      <w:r w:rsidRPr="00DE6CC6">
        <w:rPr>
          <w:rFonts w:ascii="Times New Roman" w:eastAsia="Times New Roman" w:hAnsi="Times New Roman" w:cs="Times New Roman"/>
          <w:szCs w:val="20"/>
          <w:lang w:eastAsia="en-AU"/>
        </w:rPr>
        <w:t>IHC is positive, then confirmatory FISH testing is performed.</w:t>
      </w:r>
    </w:p>
    <w:p w14:paraId="640CB5A3" w14:textId="3D932BA1" w:rsidR="00DE6CC6" w:rsidRPr="00DE6CC6" w:rsidRDefault="00DE6CC6" w:rsidP="00EE72A6">
      <w:pPr>
        <w:spacing w:before="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The RCPA also noted that the current MBS item numbers for </w:t>
      </w:r>
      <w:r w:rsidRPr="00DE6CC6">
        <w:rPr>
          <w:rFonts w:ascii="Times New Roman" w:eastAsia="Times New Roman" w:hAnsi="Times New Roman" w:cs="Times New Roman"/>
          <w:i/>
          <w:iCs/>
          <w:szCs w:val="20"/>
          <w:lang w:eastAsia="en-AU"/>
        </w:rPr>
        <w:t>ALK</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ROS1</w:t>
      </w:r>
      <w:r w:rsidRPr="00DE6CC6">
        <w:rPr>
          <w:rFonts w:ascii="Times New Roman" w:eastAsia="Times New Roman" w:hAnsi="Times New Roman" w:cs="Times New Roman"/>
          <w:szCs w:val="20"/>
          <w:lang w:eastAsia="en-AU"/>
        </w:rPr>
        <w:t xml:space="preserve"> require a negative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test result prior to performing FISH, recognising these alterations are essentially mutually exclusive.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mutations are more common in NSCLC than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are also mutually exclusive with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i/>
          <w:iCs/>
          <w:szCs w:val="20"/>
          <w:lang w:eastAsia="en-AU"/>
        </w:rPr>
        <w:t>ALK</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ROS1</w:t>
      </w:r>
      <w:r w:rsidRPr="00DE6CC6">
        <w:rPr>
          <w:rFonts w:ascii="Times New Roman" w:eastAsia="Times New Roman" w:hAnsi="Times New Roman" w:cs="Times New Roman"/>
          <w:szCs w:val="20"/>
          <w:lang w:eastAsia="en-AU"/>
        </w:rPr>
        <w:t xml:space="preserve"> alterations. The RCPA indicated that if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testing is introduced, there may be a need to alter the </w:t>
      </w:r>
      <w:r w:rsidRPr="00DE6CC6">
        <w:rPr>
          <w:rFonts w:ascii="Times New Roman" w:eastAsia="Times New Roman" w:hAnsi="Times New Roman" w:cs="Times New Roman"/>
          <w:i/>
          <w:iCs/>
          <w:szCs w:val="20"/>
          <w:lang w:eastAsia="en-AU"/>
        </w:rPr>
        <w:t>ALK</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ROS1</w:t>
      </w:r>
      <w:r w:rsidRPr="00DE6CC6">
        <w:rPr>
          <w:rFonts w:ascii="Times New Roman" w:eastAsia="Times New Roman" w:hAnsi="Times New Roman" w:cs="Times New Roman"/>
          <w:szCs w:val="20"/>
          <w:lang w:eastAsia="en-AU"/>
        </w:rPr>
        <w:t xml:space="preserve"> item</w:t>
      </w:r>
      <w:r w:rsidR="004D18EB">
        <w:rPr>
          <w:rFonts w:ascii="Times New Roman" w:eastAsia="Times New Roman" w:hAnsi="Times New Roman" w:cs="Times New Roman"/>
          <w:szCs w:val="20"/>
          <w:lang w:eastAsia="en-AU"/>
        </w:rPr>
        <w:t xml:space="preserve"> descriptors</w:t>
      </w:r>
      <w:r w:rsidR="003362D2">
        <w:rPr>
          <w:rFonts w:ascii="Times New Roman" w:eastAsia="Times New Roman" w:hAnsi="Times New Roman" w:cs="Times New Roman"/>
          <w:szCs w:val="20"/>
          <w:lang w:eastAsia="en-AU"/>
        </w:rPr>
        <w:t xml:space="preserve"> (73341 and 73344, respectively)</w:t>
      </w:r>
      <w:r w:rsidRPr="00DE6CC6">
        <w:rPr>
          <w:rFonts w:ascii="Times New Roman" w:eastAsia="Times New Roman" w:hAnsi="Times New Roman" w:cs="Times New Roman"/>
          <w:szCs w:val="20"/>
          <w:lang w:eastAsia="en-AU"/>
        </w:rPr>
        <w:t xml:space="preserve"> to state that both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should be negative prior to proceeding with FISH. This would reduce unnecessary FISH testing</w:t>
      </w:r>
    </w:p>
    <w:p w14:paraId="4B410423" w14:textId="3999EBC8" w:rsidR="00DE6CC6" w:rsidRPr="00EE72A6" w:rsidRDefault="00DE6CC6" w:rsidP="00EE72A6">
      <w:pPr>
        <w:numPr>
          <w:ilvl w:val="0"/>
          <w:numId w:val="91"/>
        </w:numPr>
        <w:spacing w:before="0" w:after="240"/>
        <w:ind w:left="714" w:hanging="357"/>
        <w:jc w:val="left"/>
        <w:rPr>
          <w:rFonts w:ascii="Times New Roman" w:eastAsia="Times New Roman" w:hAnsi="Times New Roman" w:cs="Times New Roman"/>
          <w:i/>
          <w:iCs/>
          <w:szCs w:val="20"/>
          <w:lang w:eastAsia="en-AU"/>
        </w:rPr>
      </w:pPr>
      <w:r w:rsidRPr="00DE6CC6">
        <w:rPr>
          <w:rFonts w:ascii="Times New Roman" w:eastAsia="Times New Roman" w:hAnsi="Times New Roman" w:cs="Times New Roman"/>
          <w:i/>
          <w:iCs/>
          <w:szCs w:val="20"/>
          <w:lang w:eastAsia="en-AU"/>
        </w:rPr>
        <w:t xml:space="preserve">Proposed MBS </w:t>
      </w:r>
      <w:r w:rsidR="004D18EB">
        <w:rPr>
          <w:rFonts w:ascii="Times New Roman" w:eastAsia="Times New Roman" w:hAnsi="Times New Roman" w:cs="Times New Roman"/>
          <w:i/>
          <w:iCs/>
          <w:szCs w:val="20"/>
          <w:lang w:eastAsia="en-AU"/>
        </w:rPr>
        <w:t xml:space="preserve">item </w:t>
      </w:r>
      <w:r w:rsidRPr="00DE6CC6">
        <w:rPr>
          <w:rFonts w:ascii="Times New Roman" w:eastAsia="Times New Roman" w:hAnsi="Times New Roman" w:cs="Times New Roman"/>
          <w:i/>
          <w:iCs/>
          <w:szCs w:val="20"/>
          <w:lang w:eastAsia="en-AU"/>
        </w:rPr>
        <w:t>descriptor</w:t>
      </w:r>
    </w:p>
    <w:p w14:paraId="348C7B01" w14:textId="07B412FF"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All organisation feedback received supported the proposed MBS </w:t>
      </w:r>
      <w:r w:rsidR="004D18EB">
        <w:rPr>
          <w:rFonts w:ascii="Times New Roman" w:eastAsia="Times New Roman" w:hAnsi="Times New Roman" w:cs="Times New Roman"/>
          <w:szCs w:val="20"/>
          <w:lang w:eastAsia="en-AU"/>
        </w:rPr>
        <w:t xml:space="preserve">item </w:t>
      </w:r>
      <w:r w:rsidRPr="00DE6CC6">
        <w:rPr>
          <w:rFonts w:ascii="Times New Roman" w:eastAsia="Times New Roman" w:hAnsi="Times New Roman" w:cs="Times New Roman"/>
          <w:szCs w:val="20"/>
          <w:lang w:eastAsia="en-AU"/>
        </w:rPr>
        <w:t xml:space="preserve">descriptor in principle. Further, AG noted that that in application 1660 (MET proto-oncogene, receptor tyrosine kinase [MET]ex14 testing in NSCLC), both pathology and genetic services were named and suggested that genetic services should also be added to the current </w:t>
      </w:r>
      <w:r w:rsidR="004D18EB">
        <w:rPr>
          <w:rFonts w:ascii="Times New Roman" w:eastAsia="Times New Roman" w:hAnsi="Times New Roman" w:cs="Times New Roman"/>
          <w:szCs w:val="20"/>
          <w:lang w:eastAsia="en-AU"/>
        </w:rPr>
        <w:t xml:space="preserve">item </w:t>
      </w:r>
      <w:r w:rsidRPr="00DE6CC6">
        <w:rPr>
          <w:rFonts w:ascii="Times New Roman" w:eastAsia="Times New Roman" w:hAnsi="Times New Roman" w:cs="Times New Roman"/>
          <w:szCs w:val="20"/>
          <w:lang w:eastAsia="en-AU"/>
        </w:rPr>
        <w:t>descriptor. Additionally, AG considered that further details concerning minimum requirements for testing (either NGS or PCR based) would be beneficial.</w:t>
      </w:r>
    </w:p>
    <w:p w14:paraId="1BF4838A" w14:textId="6E55F69E"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The individual consultation feedback did not support the proposed MBS </w:t>
      </w:r>
      <w:r w:rsidR="004D18EB">
        <w:rPr>
          <w:rFonts w:ascii="Times New Roman" w:eastAsia="Times New Roman" w:hAnsi="Times New Roman" w:cs="Times New Roman"/>
          <w:szCs w:val="20"/>
          <w:lang w:eastAsia="en-AU"/>
        </w:rPr>
        <w:t xml:space="preserve">item </w:t>
      </w:r>
      <w:r w:rsidRPr="00DE6CC6">
        <w:rPr>
          <w:rFonts w:ascii="Times New Roman" w:eastAsia="Times New Roman" w:hAnsi="Times New Roman" w:cs="Times New Roman"/>
          <w:szCs w:val="20"/>
          <w:lang w:eastAsia="en-AU"/>
        </w:rPr>
        <w:t xml:space="preserve">descriptor, stating that it is unclear whether a laboratory using multigene assay on NGS would </w:t>
      </w:r>
      <w:r w:rsidR="004D18EB">
        <w:rPr>
          <w:rFonts w:ascii="Times New Roman" w:eastAsia="Times New Roman" w:hAnsi="Times New Roman" w:cs="Times New Roman"/>
          <w:szCs w:val="20"/>
          <w:lang w:eastAsia="en-AU"/>
        </w:rPr>
        <w:t>make a single</w:t>
      </w:r>
      <w:r w:rsidRPr="00DE6CC6">
        <w:rPr>
          <w:rFonts w:ascii="Times New Roman" w:eastAsia="Times New Roman" w:hAnsi="Times New Roman" w:cs="Times New Roman"/>
          <w:szCs w:val="20"/>
          <w:lang w:eastAsia="en-AU"/>
        </w:rPr>
        <w:t xml:space="preserve"> claim for both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or whether laboratories performing single gene tests </w:t>
      </w:r>
      <w:r w:rsidR="004D18EB">
        <w:rPr>
          <w:rFonts w:ascii="Times New Roman" w:eastAsia="Times New Roman" w:hAnsi="Times New Roman" w:cs="Times New Roman"/>
          <w:szCs w:val="20"/>
          <w:lang w:eastAsia="en-AU"/>
        </w:rPr>
        <w:t xml:space="preserve">would </w:t>
      </w:r>
      <w:r w:rsidRPr="00DE6CC6">
        <w:rPr>
          <w:rFonts w:ascii="Times New Roman" w:eastAsia="Times New Roman" w:hAnsi="Times New Roman" w:cs="Times New Roman"/>
          <w:szCs w:val="20"/>
          <w:lang w:eastAsia="en-AU"/>
        </w:rPr>
        <w:t xml:space="preserve">claim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separately.</w:t>
      </w:r>
    </w:p>
    <w:p w14:paraId="1F596A7A" w14:textId="5CC53CB7" w:rsidR="00DE6CC6" w:rsidRPr="00EE72A6" w:rsidRDefault="00DE6CC6" w:rsidP="00EE72A6">
      <w:pPr>
        <w:numPr>
          <w:ilvl w:val="0"/>
          <w:numId w:val="91"/>
        </w:numPr>
        <w:spacing w:before="0" w:after="240"/>
        <w:ind w:left="714" w:hanging="357"/>
        <w:jc w:val="left"/>
        <w:rPr>
          <w:rFonts w:ascii="Times New Roman" w:eastAsia="Times New Roman" w:hAnsi="Times New Roman" w:cs="Times New Roman"/>
          <w:i/>
          <w:iCs/>
          <w:szCs w:val="20"/>
          <w:lang w:eastAsia="en-AU"/>
        </w:rPr>
      </w:pPr>
      <w:r w:rsidRPr="00DE6CC6">
        <w:rPr>
          <w:rFonts w:ascii="Times New Roman" w:eastAsia="Times New Roman" w:hAnsi="Times New Roman" w:cs="Times New Roman"/>
          <w:i/>
          <w:iCs/>
          <w:szCs w:val="20"/>
          <w:lang w:eastAsia="en-AU"/>
        </w:rPr>
        <w:t>Proposed MBS fees</w:t>
      </w:r>
    </w:p>
    <w:p w14:paraId="45B1A672" w14:textId="44F0C51D"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AG agreed with the proposed MBS fees in principle, however, suggested </w:t>
      </w:r>
      <w:r w:rsidR="003362D2">
        <w:rPr>
          <w:rFonts w:ascii="Times New Roman" w:eastAsia="Times New Roman" w:hAnsi="Times New Roman" w:cs="Times New Roman"/>
          <w:szCs w:val="20"/>
          <w:lang w:eastAsia="en-AU"/>
        </w:rPr>
        <w:t>that</w:t>
      </w:r>
      <w:r w:rsidRPr="00DE6CC6">
        <w:rPr>
          <w:rFonts w:ascii="Times New Roman" w:eastAsia="Times New Roman" w:hAnsi="Times New Roman" w:cs="Times New Roman"/>
          <w:szCs w:val="20"/>
          <w:lang w:eastAsia="en-AU"/>
        </w:rPr>
        <w:t xml:space="preserve"> further cost estimates from overseas be obtained to guide the fee of $397.35. AG noted that there is also no reference </w:t>
      </w:r>
      <w:r w:rsidR="003362D2">
        <w:rPr>
          <w:rFonts w:ascii="Times New Roman" w:eastAsia="Times New Roman" w:hAnsi="Times New Roman" w:cs="Times New Roman"/>
          <w:szCs w:val="20"/>
          <w:lang w:eastAsia="en-AU"/>
        </w:rPr>
        <w:t>to</w:t>
      </w:r>
      <w:r w:rsidRPr="00DE6CC6">
        <w:rPr>
          <w:rFonts w:ascii="Times New Roman" w:eastAsia="Times New Roman" w:hAnsi="Times New Roman" w:cs="Times New Roman"/>
          <w:szCs w:val="20"/>
          <w:lang w:eastAsia="en-AU"/>
        </w:rPr>
        <w:t xml:space="preserve"> the difference</w:t>
      </w:r>
      <w:r w:rsidR="003362D2">
        <w:rPr>
          <w:rFonts w:ascii="Times New Roman" w:eastAsia="Times New Roman" w:hAnsi="Times New Roman" w:cs="Times New Roman"/>
          <w:szCs w:val="20"/>
          <w:lang w:eastAsia="en-AU"/>
        </w:rPr>
        <w:t>s</w:t>
      </w:r>
      <w:r w:rsidRPr="00DE6CC6">
        <w:rPr>
          <w:rFonts w:ascii="Times New Roman" w:eastAsia="Times New Roman" w:hAnsi="Times New Roman" w:cs="Times New Roman"/>
          <w:szCs w:val="20"/>
          <w:lang w:eastAsia="en-AU"/>
        </w:rPr>
        <w:t xml:space="preserve"> between PCR and NGS technologies, and possible downstream health economics of each respective method.</w:t>
      </w:r>
    </w:p>
    <w:p w14:paraId="1EE46A86" w14:textId="0C96AC5A"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In contrast, AP, PPA and RCPA did not agree with the applicant’s proposal of using the current MBS item and fee for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testing (73337) to also cover </w:t>
      </w:r>
      <w:r w:rsidRPr="00DE6CC6">
        <w:rPr>
          <w:rFonts w:ascii="Times New Roman" w:eastAsia="Times New Roman" w:hAnsi="Times New Roman" w:cs="Times New Roman"/>
          <w:i/>
          <w:iCs/>
          <w:szCs w:val="20"/>
          <w:lang w:eastAsia="en-AU"/>
        </w:rPr>
        <w:t xml:space="preserve">KRAS </w:t>
      </w:r>
      <w:r w:rsidRPr="00DE6CC6">
        <w:rPr>
          <w:rFonts w:ascii="Times New Roman" w:eastAsia="Times New Roman" w:hAnsi="Times New Roman" w:cs="Times New Roman"/>
          <w:szCs w:val="20"/>
          <w:lang w:eastAsia="en-AU"/>
        </w:rPr>
        <w:t>testing. These organisations collectively expressed that if an NGS panel (or other panel-based approach such as mass spec</w:t>
      </w:r>
      <w:r w:rsidR="003362D2">
        <w:rPr>
          <w:rFonts w:ascii="Times New Roman" w:eastAsia="Times New Roman" w:hAnsi="Times New Roman" w:cs="Times New Roman"/>
          <w:szCs w:val="20"/>
          <w:lang w:eastAsia="en-AU"/>
        </w:rPr>
        <w:t>t</w:t>
      </w:r>
      <w:r w:rsidR="00670931">
        <w:rPr>
          <w:rFonts w:ascii="Times New Roman" w:eastAsia="Times New Roman" w:hAnsi="Times New Roman" w:cs="Times New Roman"/>
          <w:szCs w:val="20"/>
          <w:lang w:eastAsia="en-AU"/>
        </w:rPr>
        <w:t>r</w:t>
      </w:r>
      <w:r w:rsidR="003362D2">
        <w:rPr>
          <w:rFonts w:ascii="Times New Roman" w:eastAsia="Times New Roman" w:hAnsi="Times New Roman" w:cs="Times New Roman"/>
          <w:szCs w:val="20"/>
          <w:lang w:eastAsia="en-AU"/>
        </w:rPr>
        <w:t>o</w:t>
      </w:r>
      <w:r w:rsidR="00670931">
        <w:rPr>
          <w:rFonts w:ascii="Times New Roman" w:eastAsia="Times New Roman" w:hAnsi="Times New Roman" w:cs="Times New Roman"/>
          <w:szCs w:val="20"/>
          <w:lang w:eastAsia="en-AU"/>
        </w:rPr>
        <w:t>scop</w:t>
      </w:r>
      <w:r w:rsidR="003362D2">
        <w:rPr>
          <w:rFonts w:ascii="Times New Roman" w:eastAsia="Times New Roman" w:hAnsi="Times New Roman" w:cs="Times New Roman"/>
          <w:szCs w:val="20"/>
          <w:lang w:eastAsia="en-AU"/>
        </w:rPr>
        <w:t>y</w:t>
      </w:r>
      <w:r w:rsidRPr="00DE6CC6">
        <w:rPr>
          <w:rFonts w:ascii="Times New Roman" w:eastAsia="Times New Roman" w:hAnsi="Times New Roman" w:cs="Times New Roman"/>
          <w:szCs w:val="20"/>
          <w:lang w:eastAsia="en-AU"/>
        </w:rPr>
        <w:t xml:space="preserve">) that includes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is used, there is no increased cost in consumables. However, the extra costs associated with reporting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results, validating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testing in NSCLC specimens and ongoing participation in additional QAPs is not covered by simply using the current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item and fee. The fee would need to be increased if the current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item were to be used in a modified format.</w:t>
      </w:r>
    </w:p>
    <w:p w14:paraId="4E0B0947" w14:textId="1F9AED92"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AP considered that there should be an MBS </w:t>
      </w:r>
      <w:r w:rsidR="003362D2">
        <w:rPr>
          <w:rFonts w:ascii="Times New Roman" w:eastAsia="Times New Roman" w:hAnsi="Times New Roman" w:cs="Times New Roman"/>
          <w:szCs w:val="20"/>
          <w:lang w:eastAsia="en-AU"/>
        </w:rPr>
        <w:t>fee</w:t>
      </w:r>
      <w:r w:rsidRPr="00DE6CC6">
        <w:rPr>
          <w:rFonts w:ascii="Times New Roman" w:eastAsia="Times New Roman" w:hAnsi="Times New Roman" w:cs="Times New Roman"/>
          <w:szCs w:val="20"/>
          <w:lang w:eastAsia="en-AU"/>
        </w:rPr>
        <w:t xml:space="preserve"> of $700 (85% equals ~$600</w:t>
      </w:r>
      <w:r w:rsidR="003362D2">
        <w:rPr>
          <w:rFonts w:ascii="Times New Roman" w:eastAsia="Times New Roman" w:hAnsi="Times New Roman" w:cs="Times New Roman"/>
          <w:szCs w:val="20"/>
          <w:lang w:eastAsia="en-AU"/>
        </w:rPr>
        <w:t xml:space="preserve"> rebate</w:t>
      </w:r>
      <w:r w:rsidRPr="00DE6CC6">
        <w:rPr>
          <w:rFonts w:ascii="Times New Roman" w:eastAsia="Times New Roman" w:hAnsi="Times New Roman" w:cs="Times New Roman"/>
          <w:szCs w:val="20"/>
          <w:lang w:eastAsia="en-AU"/>
        </w:rPr>
        <w:t xml:space="preserve">) for a panel of at least five hotspot mutations in any of a variety of cancers. The </w:t>
      </w:r>
      <w:r w:rsidRPr="00DE6CC6">
        <w:rPr>
          <w:rFonts w:ascii="Times New Roman" w:eastAsia="Times New Roman" w:hAnsi="Times New Roman" w:cs="Times New Roman"/>
          <w:szCs w:val="20"/>
          <w:lang w:eastAsia="en-AU"/>
        </w:rPr>
        <w:lastRenderedPageBreak/>
        <w:t xml:space="preserve">mutations would need to be specified (and updated) for each tumour type. The laboratory could then run a single test that encompasses </w:t>
      </w:r>
      <w:proofErr w:type="gramStart"/>
      <w:r w:rsidRPr="00DE6CC6">
        <w:rPr>
          <w:rFonts w:ascii="Times New Roman" w:eastAsia="Times New Roman" w:hAnsi="Times New Roman" w:cs="Times New Roman"/>
          <w:szCs w:val="20"/>
          <w:lang w:eastAsia="en-AU"/>
        </w:rPr>
        <w:t>all of</w:t>
      </w:r>
      <w:proofErr w:type="gramEnd"/>
      <w:r w:rsidRPr="00DE6CC6">
        <w:rPr>
          <w:rFonts w:ascii="Times New Roman" w:eastAsia="Times New Roman" w:hAnsi="Times New Roman" w:cs="Times New Roman"/>
          <w:szCs w:val="20"/>
          <w:lang w:eastAsia="en-AU"/>
        </w:rPr>
        <w:t xml:space="preserve"> the mutations across all tumour types for this </w:t>
      </w:r>
      <w:r w:rsidR="003362D2">
        <w:rPr>
          <w:rFonts w:ascii="Times New Roman" w:eastAsia="Times New Roman" w:hAnsi="Times New Roman" w:cs="Times New Roman"/>
          <w:szCs w:val="20"/>
          <w:lang w:eastAsia="en-AU"/>
        </w:rPr>
        <w:t>amount</w:t>
      </w:r>
      <w:r w:rsidRPr="00DE6CC6">
        <w:rPr>
          <w:rFonts w:ascii="Times New Roman" w:eastAsia="Times New Roman" w:hAnsi="Times New Roman" w:cs="Times New Roman"/>
          <w:szCs w:val="20"/>
          <w:lang w:eastAsia="en-AU"/>
        </w:rPr>
        <w:t xml:space="preserve"> – and in this way there would be explicit recognition of the cost of multiplexing, cost-efficient testing from Medicare’s perspective, and simpler management of the primary systemic therapy.</w:t>
      </w:r>
    </w:p>
    <w:p w14:paraId="15DA8C60" w14:textId="2453681E"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The RCPA noted that there are also laboratories performing single gene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testing and they would be unable to perform a separate single gene </w:t>
      </w:r>
      <w:r w:rsidRPr="00DE6CC6">
        <w:rPr>
          <w:rFonts w:ascii="Times New Roman" w:eastAsia="Times New Roman" w:hAnsi="Times New Roman" w:cs="Times New Roman"/>
          <w:i/>
          <w:iCs/>
          <w:szCs w:val="20"/>
          <w:lang w:eastAsia="en-AU"/>
        </w:rPr>
        <w:t xml:space="preserve">KRAS </w:t>
      </w:r>
      <w:r w:rsidRPr="00DE6CC6">
        <w:rPr>
          <w:rFonts w:ascii="Times New Roman" w:eastAsia="Times New Roman" w:hAnsi="Times New Roman" w:cs="Times New Roman"/>
          <w:szCs w:val="20"/>
          <w:lang w:eastAsia="en-AU"/>
        </w:rPr>
        <w:t xml:space="preserve">assay with no additional fee being provided to cover the test, leading to inequity in patient access to results and subsequent treatment. The RCPA noted that the costs of single gene tests are more expensive than panel testing mainly due to the inability to batch samples thereby not benefitting from a “shared assay” approach. The RCPA stated that a logical approach (that also takes into account multiple other emerging </w:t>
      </w:r>
      <w:proofErr w:type="spellStart"/>
      <w:r w:rsidRPr="00DE6CC6">
        <w:rPr>
          <w:rFonts w:ascii="Times New Roman" w:eastAsia="Times New Roman" w:hAnsi="Times New Roman" w:cs="Times New Roman"/>
          <w:szCs w:val="20"/>
          <w:lang w:eastAsia="en-AU"/>
        </w:rPr>
        <w:t>markers</w:t>
      </w:r>
      <w:proofErr w:type="spellEnd"/>
      <w:r w:rsidRPr="00DE6CC6">
        <w:rPr>
          <w:rFonts w:ascii="Times New Roman" w:eastAsia="Times New Roman" w:hAnsi="Times New Roman" w:cs="Times New Roman"/>
          <w:szCs w:val="20"/>
          <w:lang w:eastAsia="en-AU"/>
        </w:rPr>
        <w:t xml:space="preserve"> in NSCLC) is to introduce a new NGS multigene panel fee for non-squamous NSCLC covering up to 4 oncogene targets that can harbour mutations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i/>
          <w:iCs/>
          <w:szCs w:val="20"/>
          <w:lang w:eastAsia="en-AU"/>
        </w:rPr>
        <w:t xml:space="preserve">BRAF </w:t>
      </w:r>
      <w:r w:rsidRPr="00DE6CC6">
        <w:rPr>
          <w:rFonts w:ascii="Times New Roman" w:eastAsia="Times New Roman" w:hAnsi="Times New Roman" w:cs="Times New Roman"/>
          <w:szCs w:val="20"/>
          <w:lang w:eastAsia="en-AU"/>
        </w:rPr>
        <w:t xml:space="preserve">and </w:t>
      </w:r>
      <w:r w:rsidRPr="00DE6CC6">
        <w:rPr>
          <w:rFonts w:ascii="Times New Roman" w:eastAsia="Times New Roman" w:hAnsi="Times New Roman" w:cs="Times New Roman"/>
          <w:i/>
          <w:iCs/>
          <w:szCs w:val="20"/>
          <w:lang w:eastAsia="en-AU"/>
        </w:rPr>
        <w:t>MET</w:t>
      </w:r>
      <w:r w:rsidRPr="00DE6CC6">
        <w:rPr>
          <w:rFonts w:ascii="Times New Roman" w:eastAsia="Times New Roman" w:hAnsi="Times New Roman" w:cs="Times New Roman"/>
          <w:szCs w:val="20"/>
          <w:lang w:eastAsia="en-AU"/>
        </w:rPr>
        <w:t>) and a separate NGS fusion panel fee for non-squamous NSCLC covering up to 4 oncogenic fusion targets (</w:t>
      </w:r>
      <w:r w:rsidRPr="00DE6CC6">
        <w:rPr>
          <w:rFonts w:ascii="Times New Roman" w:eastAsia="Times New Roman" w:hAnsi="Times New Roman" w:cs="Times New Roman"/>
          <w:i/>
          <w:iCs/>
          <w:szCs w:val="20"/>
          <w:lang w:eastAsia="en-AU"/>
        </w:rPr>
        <w:t>ALK</w:t>
      </w:r>
      <w:r w:rsidRPr="00DE6CC6">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i/>
          <w:iCs/>
          <w:szCs w:val="20"/>
          <w:lang w:eastAsia="en-AU"/>
        </w:rPr>
        <w:t>ROS1</w:t>
      </w:r>
      <w:r w:rsidRPr="00DE6CC6">
        <w:rPr>
          <w:rFonts w:ascii="Times New Roman" w:eastAsia="Times New Roman" w:hAnsi="Times New Roman" w:cs="Times New Roman"/>
          <w:szCs w:val="20"/>
          <w:lang w:eastAsia="en-AU"/>
        </w:rPr>
        <w:t>, rearranged during transfection [</w:t>
      </w:r>
      <w:r w:rsidRPr="00DE6CC6">
        <w:rPr>
          <w:rFonts w:ascii="Times New Roman" w:eastAsia="Times New Roman" w:hAnsi="Times New Roman" w:cs="Times New Roman"/>
          <w:i/>
          <w:iCs/>
          <w:szCs w:val="20"/>
          <w:lang w:eastAsia="en-AU"/>
        </w:rPr>
        <w:t>RET</w:t>
      </w:r>
      <w:r w:rsidRPr="00DE6CC6">
        <w:rPr>
          <w:rFonts w:ascii="Times New Roman" w:eastAsia="Times New Roman" w:hAnsi="Times New Roman" w:cs="Times New Roman"/>
          <w:szCs w:val="20"/>
          <w:lang w:eastAsia="en-AU"/>
        </w:rPr>
        <w:t>], neurotrophic tyrosine receptor kinase [</w:t>
      </w:r>
      <w:r w:rsidRPr="00DE6CC6">
        <w:rPr>
          <w:rFonts w:ascii="Times New Roman" w:eastAsia="Times New Roman" w:hAnsi="Times New Roman" w:cs="Times New Roman"/>
          <w:i/>
          <w:iCs/>
          <w:szCs w:val="20"/>
          <w:lang w:eastAsia="en-AU"/>
        </w:rPr>
        <w:t>NTRK</w:t>
      </w:r>
      <w:r w:rsidRPr="00DE6CC6">
        <w:rPr>
          <w:rFonts w:ascii="Times New Roman" w:eastAsia="Times New Roman" w:hAnsi="Times New Roman" w:cs="Times New Roman"/>
          <w:szCs w:val="20"/>
          <w:lang w:eastAsia="en-AU"/>
        </w:rPr>
        <w:t>]) if no mutations were found with the first panel.</w:t>
      </w:r>
    </w:p>
    <w:p w14:paraId="70E10494" w14:textId="309E6E6C" w:rsidR="00DE6CC6" w:rsidRPr="00EE72A6" w:rsidRDefault="00DE6CC6" w:rsidP="00EE72A6">
      <w:pPr>
        <w:numPr>
          <w:ilvl w:val="0"/>
          <w:numId w:val="91"/>
        </w:numPr>
        <w:spacing w:before="0" w:after="240"/>
        <w:ind w:left="714" w:hanging="357"/>
        <w:jc w:val="left"/>
        <w:rPr>
          <w:rFonts w:ascii="Times New Roman" w:eastAsia="Times New Roman" w:hAnsi="Times New Roman" w:cs="Times New Roman"/>
          <w:bCs/>
          <w:i/>
          <w:iCs/>
          <w:szCs w:val="20"/>
          <w:lang w:eastAsia="en-AU"/>
        </w:rPr>
      </w:pPr>
      <w:r w:rsidRPr="00DE6CC6">
        <w:rPr>
          <w:rFonts w:ascii="Times New Roman" w:eastAsia="Times New Roman" w:hAnsi="Times New Roman" w:cs="Times New Roman"/>
          <w:bCs/>
          <w:i/>
          <w:iCs/>
          <w:szCs w:val="20"/>
          <w:lang w:eastAsia="en-AU"/>
        </w:rPr>
        <w:t xml:space="preserve">The potential additional utilisation of 73337 for patients doing catch-up testing (previously tested </w:t>
      </w:r>
      <w:r w:rsidR="00670931">
        <w:rPr>
          <w:rFonts w:ascii="Times New Roman" w:eastAsia="Times New Roman" w:hAnsi="Times New Roman" w:cs="Times New Roman"/>
          <w:bCs/>
          <w:i/>
          <w:iCs/>
          <w:szCs w:val="20"/>
          <w:lang w:eastAsia="en-AU"/>
        </w:rPr>
        <w:t xml:space="preserve">for </w:t>
      </w:r>
      <w:r w:rsidR="00670931" w:rsidRPr="00670931">
        <w:rPr>
          <w:rFonts w:ascii="Times New Roman" w:eastAsia="Times New Roman" w:hAnsi="Times New Roman" w:cs="Times New Roman"/>
          <w:bCs/>
          <w:szCs w:val="20"/>
          <w:lang w:eastAsia="en-AU"/>
        </w:rPr>
        <w:t>EGFR</w:t>
      </w:r>
      <w:r w:rsidR="00670931">
        <w:rPr>
          <w:rFonts w:ascii="Times New Roman" w:eastAsia="Times New Roman" w:hAnsi="Times New Roman" w:cs="Times New Roman"/>
          <w:bCs/>
          <w:i/>
          <w:iCs/>
          <w:szCs w:val="20"/>
          <w:lang w:eastAsia="en-AU"/>
        </w:rPr>
        <w:t xml:space="preserve"> activating mutations </w:t>
      </w:r>
      <w:r w:rsidRPr="00DE6CC6">
        <w:rPr>
          <w:rFonts w:ascii="Times New Roman" w:eastAsia="Times New Roman" w:hAnsi="Times New Roman" w:cs="Times New Roman"/>
          <w:bCs/>
          <w:i/>
          <w:iCs/>
          <w:szCs w:val="20"/>
          <w:lang w:eastAsia="en-AU"/>
        </w:rPr>
        <w:t>using MBS item 73337, requir</w:t>
      </w:r>
      <w:r w:rsidR="00670931">
        <w:rPr>
          <w:rFonts w:ascii="Times New Roman" w:eastAsia="Times New Roman" w:hAnsi="Times New Roman" w:cs="Times New Roman"/>
          <w:bCs/>
          <w:i/>
          <w:iCs/>
          <w:szCs w:val="20"/>
          <w:lang w:eastAsia="en-AU"/>
        </w:rPr>
        <w:t>ing</w:t>
      </w:r>
      <w:r w:rsidRPr="00DE6CC6">
        <w:rPr>
          <w:rFonts w:ascii="Times New Roman" w:eastAsia="Times New Roman" w:hAnsi="Times New Roman" w:cs="Times New Roman"/>
          <w:bCs/>
          <w:i/>
          <w:iCs/>
          <w:szCs w:val="20"/>
          <w:lang w:eastAsia="en-AU"/>
        </w:rPr>
        <w:t xml:space="preserve"> retesting for </w:t>
      </w:r>
      <w:r w:rsidRPr="00DE6CC6">
        <w:rPr>
          <w:rFonts w:ascii="Times New Roman" w:eastAsia="Times New Roman" w:hAnsi="Times New Roman" w:cs="Times New Roman"/>
          <w:bCs/>
          <w:szCs w:val="20"/>
          <w:lang w:eastAsia="en-AU"/>
        </w:rPr>
        <w:t>KRAS</w:t>
      </w:r>
      <w:r w:rsidRPr="00DE6CC6">
        <w:rPr>
          <w:rFonts w:ascii="Times New Roman" w:eastAsia="Times New Roman" w:hAnsi="Times New Roman" w:cs="Times New Roman"/>
          <w:bCs/>
          <w:i/>
          <w:iCs/>
          <w:szCs w:val="20"/>
          <w:lang w:eastAsia="en-AU"/>
        </w:rPr>
        <w:t xml:space="preserve"> G12C variants)</w:t>
      </w:r>
    </w:p>
    <w:p w14:paraId="69B81653" w14:textId="589E39D5"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bCs/>
          <w:szCs w:val="20"/>
          <w:lang w:eastAsia="en-AU"/>
        </w:rPr>
        <w:t xml:space="preserve">Although AP and PPA indicated that there is potential additional utilisation of 73337, PPA added that it is not anticipated that a large volume of catch-up testing would be required as it is currently part of the standard of care. AP stated that </w:t>
      </w:r>
      <w:r w:rsidRPr="00DE6CC6">
        <w:rPr>
          <w:rFonts w:ascii="Times New Roman" w:eastAsia="Times New Roman" w:hAnsi="Times New Roman" w:cs="Times New Roman"/>
          <w:szCs w:val="20"/>
          <w:lang w:eastAsia="en-AU"/>
        </w:rPr>
        <w:t xml:space="preserve">the “legacy” caseload would be limited to patients who are still alive once the test is </w:t>
      </w:r>
      <w:r w:rsidR="00670931">
        <w:rPr>
          <w:rFonts w:ascii="Times New Roman" w:eastAsia="Times New Roman" w:hAnsi="Times New Roman" w:cs="Times New Roman"/>
          <w:szCs w:val="20"/>
          <w:lang w:eastAsia="en-AU"/>
        </w:rPr>
        <w:t>listed</w:t>
      </w:r>
      <w:r w:rsidRPr="00DE6CC6">
        <w:rPr>
          <w:rFonts w:ascii="Times New Roman" w:eastAsia="Times New Roman" w:hAnsi="Times New Roman" w:cs="Times New Roman"/>
          <w:szCs w:val="20"/>
          <w:lang w:eastAsia="en-AU"/>
        </w:rPr>
        <w:t xml:space="preserve"> </w:t>
      </w:r>
      <w:proofErr w:type="gramStart"/>
      <w:r w:rsidRPr="00DE6CC6">
        <w:rPr>
          <w:rFonts w:ascii="Times New Roman" w:eastAsia="Times New Roman" w:hAnsi="Times New Roman" w:cs="Times New Roman"/>
          <w:szCs w:val="20"/>
          <w:lang w:eastAsia="en-AU"/>
        </w:rPr>
        <w:t>e.g.</w:t>
      </w:r>
      <w:proofErr w:type="gramEnd"/>
      <w:r w:rsidRPr="00DE6CC6">
        <w:rPr>
          <w:rFonts w:ascii="Times New Roman" w:eastAsia="Times New Roman" w:hAnsi="Times New Roman" w:cs="Times New Roman"/>
          <w:szCs w:val="20"/>
          <w:lang w:eastAsia="en-AU"/>
        </w:rPr>
        <w:t xml:space="preserve"> all patients who had had uninformative testing using 73337 within the preceding 12 months. This would amount to 75-85% of patients (depending on ethnic background). Within that group, some laboratories will have tested with a panel that includes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G12C, even if that result had not been reported; these patients would not require retesting. Both AP and PPA indicated that patients tested by laboratories that are not already doing the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test for NSCLC would need to be tested.</w:t>
      </w:r>
    </w:p>
    <w:p w14:paraId="0BCE211B" w14:textId="3BB05D28" w:rsidR="00DE6CC6" w:rsidRPr="00EE72A6" w:rsidRDefault="00DE6CC6" w:rsidP="00EE72A6">
      <w:pPr>
        <w:numPr>
          <w:ilvl w:val="0"/>
          <w:numId w:val="91"/>
        </w:numPr>
        <w:spacing w:before="0" w:after="240"/>
        <w:jc w:val="left"/>
        <w:rPr>
          <w:rFonts w:ascii="Times New Roman" w:eastAsia="Times New Roman" w:hAnsi="Times New Roman" w:cs="Times New Roman"/>
          <w:bCs/>
          <w:i/>
          <w:iCs/>
          <w:szCs w:val="20"/>
          <w:lang w:eastAsia="en-AU"/>
        </w:rPr>
      </w:pPr>
      <w:r w:rsidRPr="00DE6CC6">
        <w:rPr>
          <w:rFonts w:ascii="Times New Roman" w:eastAsia="Times New Roman" w:hAnsi="Times New Roman" w:cs="Times New Roman"/>
          <w:bCs/>
          <w:i/>
          <w:iCs/>
          <w:szCs w:val="20"/>
          <w:lang w:eastAsia="en-AU"/>
        </w:rPr>
        <w:t>Proportion of services performed using NGS or PCR for MBS item 73337, and whether the NGS panels are standard or customised (small gene panel or comprehensive genomic profiling)</w:t>
      </w:r>
    </w:p>
    <w:p w14:paraId="0206484E" w14:textId="77F297A0"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bCs/>
          <w:szCs w:val="20"/>
          <w:lang w:eastAsia="en-AU"/>
        </w:rPr>
        <w:t xml:space="preserve">AP </w:t>
      </w:r>
      <w:r w:rsidRPr="00DE6CC6">
        <w:rPr>
          <w:rFonts w:ascii="Times New Roman" w:eastAsia="Times New Roman" w:hAnsi="Times New Roman" w:cs="Times New Roman"/>
          <w:szCs w:val="20"/>
          <w:lang w:eastAsia="en-AU"/>
        </w:rPr>
        <w:t>indicated that most laboratories would use multiplexed assays by NGS or tandem mass</w:t>
      </w:r>
      <w:r w:rsidR="00670931">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szCs w:val="20"/>
          <w:lang w:eastAsia="en-AU"/>
        </w:rPr>
        <w:t xml:space="preserve">spectroscopy and that there would be little comprehensive cancer genome profiling. Similarly, AG stated that although PCR based </w:t>
      </w:r>
      <w:proofErr w:type="spellStart"/>
      <w:r w:rsidRPr="00DE6CC6">
        <w:rPr>
          <w:rFonts w:ascii="Times New Roman" w:eastAsia="Times New Roman" w:hAnsi="Times New Roman" w:cs="Times New Roman"/>
          <w:i/>
          <w:iCs/>
          <w:szCs w:val="20"/>
          <w:lang w:eastAsia="en-AU"/>
        </w:rPr>
        <w:t>therascreen</w:t>
      </w:r>
      <w:proofErr w:type="spellEnd"/>
      <w:r w:rsidRPr="00DE6CC6">
        <w:rPr>
          <w:rFonts w:ascii="Times New Roman" w:eastAsia="Times New Roman" w:hAnsi="Times New Roman" w:cs="Times New Roman"/>
          <w:i/>
          <w:iCs/>
          <w:szCs w:val="20"/>
          <w:lang w:eastAsia="en-AU"/>
        </w:rPr>
        <w:t xml:space="preserve"> KRAS</w:t>
      </w:r>
      <w:r w:rsidRPr="00DE6CC6">
        <w:rPr>
          <w:rFonts w:ascii="Times New Roman" w:eastAsia="Times New Roman" w:hAnsi="Times New Roman" w:cs="Times New Roman"/>
          <w:szCs w:val="20"/>
          <w:lang w:eastAsia="en-AU"/>
        </w:rPr>
        <w:t xml:space="preserve"> RGQ PCR kit (Qiagen) is offered as an option for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testing, most Australian laboratories utilise NGS technologies (</w:t>
      </w:r>
      <w:proofErr w:type="gramStart"/>
      <w:r w:rsidRPr="00DE6CC6">
        <w:rPr>
          <w:rFonts w:ascii="Times New Roman" w:eastAsia="Times New Roman" w:hAnsi="Times New Roman" w:cs="Times New Roman"/>
          <w:szCs w:val="20"/>
          <w:lang w:eastAsia="en-AU"/>
        </w:rPr>
        <w:t>e.g.</w:t>
      </w:r>
      <w:proofErr w:type="gramEnd"/>
      <w:r w:rsidRPr="00DE6CC6">
        <w:rPr>
          <w:rFonts w:ascii="Times New Roman" w:eastAsia="Times New Roman" w:hAnsi="Times New Roman" w:cs="Times New Roman"/>
          <w:szCs w:val="20"/>
          <w:lang w:eastAsia="en-AU"/>
        </w:rPr>
        <w:t xml:space="preserve"> a multigene capture panel) for MBS item 73337 which provides a degree of flexibility for future analysis.</w:t>
      </w:r>
    </w:p>
    <w:p w14:paraId="4610793B" w14:textId="77777777"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PPA indicated that most services utilise NGS and PCR as both technologies have their place. However, PPA emphasised the advantage of PCR as it delivers more rapid focussed results and that NGS may not provide a result if the sample has low DNA yield which would require the sample to be rerun on a RT-PCR assaying, incurring additional costs.</w:t>
      </w:r>
    </w:p>
    <w:p w14:paraId="1C04654F" w14:textId="3C787497" w:rsidR="00DE6CC6" w:rsidRPr="00DE6CC6" w:rsidRDefault="00DE6CC6" w:rsidP="00EE72A6">
      <w:pPr>
        <w:numPr>
          <w:ilvl w:val="0"/>
          <w:numId w:val="91"/>
        </w:numPr>
        <w:spacing w:before="0" w:after="240"/>
        <w:jc w:val="left"/>
        <w:rPr>
          <w:rFonts w:ascii="Times New Roman" w:eastAsia="Times New Roman" w:hAnsi="Times New Roman" w:cs="Times New Roman"/>
          <w:bCs/>
          <w:i/>
          <w:iCs/>
          <w:szCs w:val="20"/>
          <w:lang w:eastAsia="en-AU"/>
        </w:rPr>
      </w:pPr>
      <w:r w:rsidRPr="00DE6CC6">
        <w:rPr>
          <w:rFonts w:ascii="Times New Roman" w:eastAsia="Times New Roman" w:hAnsi="Times New Roman" w:cs="Times New Roman"/>
          <w:bCs/>
          <w:i/>
          <w:iCs/>
          <w:szCs w:val="20"/>
          <w:lang w:eastAsia="en-AU"/>
        </w:rPr>
        <w:lastRenderedPageBreak/>
        <w:t xml:space="preserve">Numbers for services provided by MBS item 73337 that require retesting </w:t>
      </w:r>
      <w:proofErr w:type="gramStart"/>
      <w:r w:rsidRPr="00DE6CC6">
        <w:rPr>
          <w:rFonts w:ascii="Times New Roman" w:eastAsia="Times New Roman" w:hAnsi="Times New Roman" w:cs="Times New Roman"/>
          <w:bCs/>
          <w:i/>
          <w:iCs/>
          <w:szCs w:val="20"/>
          <w:lang w:eastAsia="en-AU"/>
        </w:rPr>
        <w:t>e.g.</w:t>
      </w:r>
      <w:proofErr w:type="gramEnd"/>
      <w:r w:rsidRPr="00DE6CC6">
        <w:rPr>
          <w:rFonts w:ascii="Times New Roman" w:eastAsia="Times New Roman" w:hAnsi="Times New Roman" w:cs="Times New Roman"/>
          <w:bCs/>
          <w:i/>
          <w:iCs/>
          <w:szCs w:val="20"/>
          <w:lang w:eastAsia="en-AU"/>
        </w:rPr>
        <w:t xml:space="preserve"> if insufficient tumour tissue is left in the FFPE tissue blocks or if insufficient DNA is extracted from the tumour tissue in the biopsy, or if DNA testing is inconclusive</w:t>
      </w:r>
    </w:p>
    <w:p w14:paraId="30B787F0" w14:textId="21853FA7" w:rsidR="00DE6CC6" w:rsidRPr="00DE6CC6" w:rsidRDefault="00DE6CC6" w:rsidP="00EE72A6">
      <w:pPr>
        <w:spacing w:before="0" w:after="240"/>
        <w:ind w:left="72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bCs/>
          <w:szCs w:val="20"/>
          <w:lang w:eastAsia="en-AU"/>
        </w:rPr>
        <w:t xml:space="preserve">AP indicated that </w:t>
      </w:r>
      <w:r w:rsidR="00670931">
        <w:rPr>
          <w:rFonts w:ascii="Times New Roman" w:eastAsia="Times New Roman" w:hAnsi="Times New Roman" w:cs="Times New Roman"/>
          <w:bCs/>
          <w:szCs w:val="20"/>
          <w:lang w:eastAsia="en-AU"/>
        </w:rPr>
        <w:t>its</w:t>
      </w:r>
      <w:r w:rsidRPr="00DE6CC6">
        <w:rPr>
          <w:rFonts w:ascii="Times New Roman" w:eastAsia="Times New Roman" w:hAnsi="Times New Roman" w:cs="Times New Roman"/>
          <w:bCs/>
          <w:szCs w:val="20"/>
          <w:lang w:eastAsia="en-AU"/>
        </w:rPr>
        <w:t xml:space="preserve"> members have </w:t>
      </w:r>
      <w:r w:rsidRPr="00DE6CC6">
        <w:rPr>
          <w:rFonts w:ascii="Times New Roman" w:eastAsia="Times New Roman" w:hAnsi="Times New Roman" w:cs="Times New Roman"/>
          <w:szCs w:val="20"/>
          <w:lang w:eastAsia="en-AU"/>
        </w:rPr>
        <w:t xml:space="preserve">reported that less than 1% assays fail because of inadequate DNA (quantitatively or qualitatively) leading to actual assay failure. Approximately 3-5% of samples do not have sufficient tumour in the sections provided and would </w:t>
      </w:r>
      <w:r w:rsidR="00670931">
        <w:rPr>
          <w:rFonts w:ascii="Times New Roman" w:eastAsia="Times New Roman" w:hAnsi="Times New Roman" w:cs="Times New Roman"/>
          <w:szCs w:val="20"/>
          <w:lang w:eastAsia="en-AU"/>
        </w:rPr>
        <w:t xml:space="preserve">not </w:t>
      </w:r>
      <w:r w:rsidRPr="00DE6CC6">
        <w:rPr>
          <w:rFonts w:ascii="Times New Roman" w:eastAsia="Times New Roman" w:hAnsi="Times New Roman" w:cs="Times New Roman"/>
          <w:szCs w:val="20"/>
          <w:lang w:eastAsia="en-AU"/>
        </w:rPr>
        <w:t xml:space="preserve">proceed to testing. In some cases, there may be tumour in other blocks from the </w:t>
      </w:r>
      <w:r w:rsidR="00670931">
        <w:rPr>
          <w:rFonts w:ascii="Times New Roman" w:eastAsia="Times New Roman" w:hAnsi="Times New Roman" w:cs="Times New Roman"/>
          <w:szCs w:val="20"/>
          <w:lang w:eastAsia="en-AU"/>
        </w:rPr>
        <w:t>biopsy</w:t>
      </w:r>
      <w:r w:rsidRPr="00DE6CC6">
        <w:rPr>
          <w:rFonts w:ascii="Times New Roman" w:eastAsia="Times New Roman" w:hAnsi="Times New Roman" w:cs="Times New Roman"/>
          <w:szCs w:val="20"/>
          <w:lang w:eastAsia="en-AU"/>
        </w:rPr>
        <w:t>. Hence, approximately 2-3% of cases would be repeated on another DNA extraction (same or new block), depending on the assay used; and most of these would produce a result. In contrast, the PPA reported a higher proportion of retesting rates of 5-15%.</w:t>
      </w:r>
    </w:p>
    <w:p w14:paraId="2E1BBDB0" w14:textId="3A59A1F3" w:rsidR="00DE6CC6" w:rsidRPr="00DE6CC6" w:rsidRDefault="00DE6CC6" w:rsidP="00EE72A6">
      <w:pPr>
        <w:numPr>
          <w:ilvl w:val="0"/>
          <w:numId w:val="91"/>
        </w:numPr>
        <w:spacing w:before="0" w:after="240"/>
        <w:jc w:val="left"/>
        <w:rPr>
          <w:rFonts w:ascii="Times New Roman" w:eastAsia="Times New Roman" w:hAnsi="Times New Roman" w:cs="Times New Roman"/>
          <w:bCs/>
          <w:i/>
          <w:iCs/>
          <w:szCs w:val="20"/>
          <w:lang w:eastAsia="en-AU"/>
        </w:rPr>
      </w:pPr>
      <w:r w:rsidRPr="00DE6CC6">
        <w:rPr>
          <w:rFonts w:ascii="Times New Roman" w:eastAsia="Times New Roman" w:hAnsi="Times New Roman" w:cs="Times New Roman"/>
          <w:bCs/>
          <w:i/>
          <w:iCs/>
          <w:szCs w:val="20"/>
          <w:lang w:eastAsia="en-AU"/>
        </w:rPr>
        <w:t xml:space="preserve">Numbers for </w:t>
      </w:r>
      <w:bookmarkStart w:id="3" w:name="_Hlk90366822"/>
      <w:r w:rsidRPr="00DE6CC6">
        <w:rPr>
          <w:rFonts w:ascii="Times New Roman" w:eastAsia="Times New Roman" w:hAnsi="Times New Roman" w:cs="Times New Roman"/>
          <w:bCs/>
          <w:i/>
          <w:iCs/>
          <w:szCs w:val="20"/>
          <w:lang w:eastAsia="en-AU"/>
        </w:rPr>
        <w:t xml:space="preserve">services provided by MBS item 73337 that require </w:t>
      </w:r>
      <w:proofErr w:type="spellStart"/>
      <w:r w:rsidRPr="00DE6CC6">
        <w:rPr>
          <w:rFonts w:ascii="Times New Roman" w:eastAsia="Times New Roman" w:hAnsi="Times New Roman" w:cs="Times New Roman"/>
          <w:bCs/>
          <w:i/>
          <w:iCs/>
          <w:szCs w:val="20"/>
          <w:lang w:eastAsia="en-AU"/>
        </w:rPr>
        <w:t>rebiops</w:t>
      </w:r>
      <w:bookmarkEnd w:id="3"/>
      <w:r w:rsidRPr="00DE6CC6">
        <w:rPr>
          <w:rFonts w:ascii="Times New Roman" w:eastAsia="Times New Roman" w:hAnsi="Times New Roman" w:cs="Times New Roman"/>
          <w:bCs/>
          <w:i/>
          <w:iCs/>
          <w:szCs w:val="20"/>
          <w:lang w:eastAsia="en-AU"/>
        </w:rPr>
        <w:t>y</w:t>
      </w:r>
      <w:proofErr w:type="spellEnd"/>
      <w:r w:rsidRPr="00DE6CC6">
        <w:rPr>
          <w:rFonts w:ascii="Times New Roman" w:eastAsia="Times New Roman" w:hAnsi="Times New Roman" w:cs="Times New Roman"/>
          <w:bCs/>
          <w:i/>
          <w:iCs/>
          <w:szCs w:val="20"/>
          <w:lang w:eastAsia="en-AU"/>
        </w:rPr>
        <w:t xml:space="preserve"> </w:t>
      </w:r>
      <w:proofErr w:type="gramStart"/>
      <w:r w:rsidR="00F4424D" w:rsidRPr="00DE6CC6">
        <w:rPr>
          <w:rFonts w:ascii="Times New Roman" w:eastAsia="Times New Roman" w:hAnsi="Times New Roman" w:cs="Times New Roman"/>
          <w:bCs/>
          <w:i/>
          <w:iCs/>
          <w:szCs w:val="20"/>
          <w:lang w:eastAsia="en-AU"/>
        </w:rPr>
        <w:t>e.g.</w:t>
      </w:r>
      <w:proofErr w:type="gramEnd"/>
      <w:r w:rsidRPr="00DE6CC6">
        <w:rPr>
          <w:rFonts w:ascii="Times New Roman" w:eastAsia="Times New Roman" w:hAnsi="Times New Roman" w:cs="Times New Roman"/>
          <w:bCs/>
          <w:i/>
          <w:iCs/>
          <w:szCs w:val="20"/>
          <w:lang w:eastAsia="en-AU"/>
        </w:rPr>
        <w:t xml:space="preserve"> test failure </w:t>
      </w:r>
      <w:r w:rsidR="0044103A">
        <w:rPr>
          <w:rFonts w:ascii="Times New Roman" w:eastAsia="Times New Roman" w:hAnsi="Times New Roman" w:cs="Times New Roman"/>
          <w:bCs/>
          <w:i/>
          <w:iCs/>
          <w:szCs w:val="20"/>
          <w:lang w:eastAsia="en-AU"/>
        </w:rPr>
        <w:t xml:space="preserve">due to </w:t>
      </w:r>
      <w:r w:rsidRPr="00DE6CC6">
        <w:rPr>
          <w:rFonts w:ascii="Times New Roman" w:eastAsia="Times New Roman" w:hAnsi="Times New Roman" w:cs="Times New Roman"/>
          <w:bCs/>
          <w:i/>
          <w:iCs/>
          <w:szCs w:val="20"/>
          <w:lang w:eastAsia="en-AU"/>
        </w:rPr>
        <w:t xml:space="preserve">inadequate </w:t>
      </w:r>
      <w:r w:rsidR="0044103A">
        <w:rPr>
          <w:rFonts w:ascii="Times New Roman" w:eastAsia="Times New Roman" w:hAnsi="Times New Roman" w:cs="Times New Roman"/>
          <w:bCs/>
          <w:i/>
          <w:iCs/>
          <w:szCs w:val="20"/>
          <w:lang w:eastAsia="en-AU"/>
        </w:rPr>
        <w:t xml:space="preserve">biopsy </w:t>
      </w:r>
      <w:r w:rsidRPr="00DE6CC6">
        <w:rPr>
          <w:rFonts w:ascii="Times New Roman" w:eastAsia="Times New Roman" w:hAnsi="Times New Roman" w:cs="Times New Roman"/>
          <w:bCs/>
          <w:i/>
          <w:iCs/>
          <w:szCs w:val="20"/>
          <w:lang w:eastAsia="en-AU"/>
        </w:rPr>
        <w:t>sample</w:t>
      </w:r>
    </w:p>
    <w:p w14:paraId="7AB54F08" w14:textId="699A25EB" w:rsidR="00DE6CC6" w:rsidRPr="00DE6CC6" w:rsidRDefault="00DE6CC6" w:rsidP="00EE72A6">
      <w:pPr>
        <w:spacing w:before="0" w:after="240"/>
        <w:ind w:left="720"/>
        <w:jc w:val="left"/>
        <w:rPr>
          <w:rFonts w:ascii="Times New Roman" w:eastAsia="Times New Roman" w:hAnsi="Times New Roman" w:cs="Times New Roman"/>
          <w:b/>
          <w:szCs w:val="20"/>
          <w:lang w:eastAsia="en-AU"/>
        </w:rPr>
      </w:pPr>
      <w:r w:rsidRPr="00DE6CC6">
        <w:rPr>
          <w:rFonts w:ascii="Times New Roman" w:eastAsia="Times New Roman" w:hAnsi="Times New Roman" w:cs="Times New Roman"/>
          <w:iCs/>
          <w:szCs w:val="20"/>
          <w:lang w:eastAsia="en-AU"/>
        </w:rPr>
        <w:t xml:space="preserve">AP indicated that 2-3% of services provided by MBS item 73337 require </w:t>
      </w:r>
      <w:proofErr w:type="spellStart"/>
      <w:r w:rsidRPr="00DE6CC6">
        <w:rPr>
          <w:rFonts w:ascii="Times New Roman" w:eastAsia="Times New Roman" w:hAnsi="Times New Roman" w:cs="Times New Roman"/>
          <w:iCs/>
          <w:szCs w:val="20"/>
          <w:lang w:eastAsia="en-AU"/>
        </w:rPr>
        <w:t>rebiopsy</w:t>
      </w:r>
      <w:proofErr w:type="spellEnd"/>
      <w:r w:rsidRPr="00DE6CC6">
        <w:rPr>
          <w:rFonts w:ascii="Times New Roman" w:eastAsia="Times New Roman" w:hAnsi="Times New Roman" w:cs="Times New Roman"/>
          <w:iCs/>
          <w:szCs w:val="20"/>
          <w:lang w:eastAsia="en-AU"/>
        </w:rPr>
        <w:t xml:space="preserve">. PPA indicated that small volumes of </w:t>
      </w:r>
      <w:proofErr w:type="spellStart"/>
      <w:r w:rsidRPr="00DE6CC6">
        <w:rPr>
          <w:rFonts w:ascii="Times New Roman" w:eastAsia="Times New Roman" w:hAnsi="Times New Roman" w:cs="Times New Roman"/>
          <w:iCs/>
          <w:szCs w:val="20"/>
          <w:lang w:eastAsia="en-AU"/>
        </w:rPr>
        <w:t>rebiopsies</w:t>
      </w:r>
      <w:proofErr w:type="spellEnd"/>
      <w:r w:rsidRPr="00DE6CC6">
        <w:rPr>
          <w:rFonts w:ascii="Times New Roman" w:eastAsia="Times New Roman" w:hAnsi="Times New Roman" w:cs="Times New Roman"/>
          <w:iCs/>
          <w:szCs w:val="20"/>
          <w:lang w:eastAsia="en-AU"/>
        </w:rPr>
        <w:t xml:space="preserve"> may be required for various reasons, however, a numeric value of such incidences were not provided.</w:t>
      </w:r>
    </w:p>
    <w:p w14:paraId="18A5ECB4" w14:textId="77777777" w:rsidR="00DE6CC6" w:rsidRPr="00DE6CC6" w:rsidRDefault="00DE6CC6" w:rsidP="00EE72A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t>Proposed intervention’s place in clinical management</w:t>
      </w:r>
    </w:p>
    <w:p w14:paraId="3076868A" w14:textId="3A0EBE7E" w:rsidR="00DE6CC6" w:rsidRPr="00DE6CC6" w:rsidRDefault="00DE6CC6" w:rsidP="00EE72A6">
      <w:pPr>
        <w:spacing w:after="240"/>
        <w:jc w:val="left"/>
        <w:rPr>
          <w:rFonts w:ascii="Times New Roman" w:eastAsia="Calibri" w:hAnsi="Times New Roman" w:cs="Times New Roman"/>
        </w:rPr>
      </w:pPr>
      <w:r w:rsidRPr="00DE6CC6">
        <w:rPr>
          <w:rFonts w:ascii="Times New Roman" w:eastAsia="Calibri" w:hAnsi="Times New Roman" w:cs="Times New Roman"/>
        </w:rPr>
        <w:t xml:space="preserve">The target population who would be eligible for testing are patients with a diagnosis of NSCLC that is of either non-squamous (adenocarcinoma, </w:t>
      </w:r>
      <w:proofErr w:type="spellStart"/>
      <w:r w:rsidRPr="00DE6CC6">
        <w:rPr>
          <w:rFonts w:ascii="Times New Roman" w:eastAsia="Calibri" w:hAnsi="Times New Roman" w:cs="Times New Roman"/>
        </w:rPr>
        <w:t>adenosquamous</w:t>
      </w:r>
      <w:proofErr w:type="spellEnd"/>
      <w:r w:rsidRPr="00DE6CC6">
        <w:rPr>
          <w:rFonts w:ascii="Times New Roman" w:eastAsia="Calibri" w:hAnsi="Times New Roman" w:cs="Times New Roman"/>
        </w:rPr>
        <w:t xml:space="preserve"> carcinoma, and large cell carcinoma) or NOS histology, which will be collectively referred to as non-squamous NSCLC.</w:t>
      </w:r>
    </w:p>
    <w:p w14:paraId="4E142B1B" w14:textId="6D1822D2"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Pathogenic variants in the </w:t>
      </w:r>
      <w:r w:rsidRPr="00DE6CC6">
        <w:rPr>
          <w:rFonts w:ascii="Times New Roman" w:eastAsia="Calibri" w:hAnsi="Times New Roman" w:cs="Times New Roman"/>
          <w:i/>
        </w:rPr>
        <w:t>KRAS</w:t>
      </w:r>
      <w:r w:rsidRPr="00DE6CC6">
        <w:rPr>
          <w:rFonts w:ascii="Times New Roman" w:eastAsia="Calibri" w:hAnsi="Times New Roman" w:cs="Times New Roman"/>
        </w:rPr>
        <w:t xml:space="preserve"> gene </w:t>
      </w:r>
      <w:r w:rsidR="00166551">
        <w:rPr>
          <w:rFonts w:ascii="Times New Roman" w:eastAsia="Calibri" w:hAnsi="Times New Roman" w:cs="Times New Roman"/>
        </w:rPr>
        <w:t>are</w:t>
      </w:r>
      <w:r w:rsidRPr="00DE6CC6">
        <w:rPr>
          <w:rFonts w:ascii="Times New Roman" w:eastAsia="Calibri" w:hAnsi="Times New Roman" w:cs="Times New Roman"/>
        </w:rPr>
        <w:t xml:space="preserve"> the most common activating alteration in western </w:t>
      </w:r>
      <w:proofErr w:type="gramStart"/>
      <w:r w:rsidRPr="00DE6CC6">
        <w:rPr>
          <w:rFonts w:ascii="Times New Roman" w:eastAsia="Calibri" w:hAnsi="Times New Roman" w:cs="Times New Roman"/>
        </w:rPr>
        <w:t>countries, and</w:t>
      </w:r>
      <w:proofErr w:type="gramEnd"/>
      <w:r w:rsidRPr="00DE6CC6">
        <w:rPr>
          <w:rFonts w:ascii="Times New Roman" w:eastAsia="Calibri" w:hAnsi="Times New Roman" w:cs="Times New Roman"/>
        </w:rPr>
        <w:t xml:space="preserve"> </w:t>
      </w:r>
      <w:r w:rsidR="00166551">
        <w:rPr>
          <w:rFonts w:ascii="Times New Roman" w:eastAsia="Calibri" w:hAnsi="Times New Roman" w:cs="Times New Roman"/>
        </w:rPr>
        <w:t>are</w:t>
      </w:r>
      <w:r w:rsidRPr="00DE6CC6">
        <w:rPr>
          <w:rFonts w:ascii="Times New Roman" w:eastAsia="Calibri" w:hAnsi="Times New Roman" w:cs="Times New Roman"/>
        </w:rPr>
        <w:t xml:space="preserve"> present in approximately 30% of lung adenocarcinomas and 4% of squamous cell carcinomas. In the </w:t>
      </w:r>
      <w:proofErr w:type="spellStart"/>
      <w:r w:rsidRPr="00DE6CC6">
        <w:rPr>
          <w:rFonts w:ascii="Times New Roman" w:eastAsia="Calibri" w:hAnsi="Times New Roman" w:cs="Times New Roman"/>
        </w:rPr>
        <w:t>CodeBreak</w:t>
      </w:r>
      <w:proofErr w:type="spellEnd"/>
      <w:r w:rsidRPr="00DE6CC6">
        <w:rPr>
          <w:rFonts w:ascii="Times New Roman" w:eastAsia="Calibri" w:hAnsi="Times New Roman" w:cs="Times New Roman"/>
        </w:rPr>
        <w:t xml:space="preserve"> 100 study, only 1 patient (0.8%) with squamous NSCLC was enrolled compared with 6% in the docetaxel arm of the SELECT-1 trial.</w:t>
      </w:r>
    </w:p>
    <w:p w14:paraId="76C695E1" w14:textId="1BBF9DD8"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i/>
        </w:rPr>
        <w:t>KRAS</w:t>
      </w:r>
      <w:r w:rsidRPr="00DE6CC6">
        <w:rPr>
          <w:rFonts w:ascii="Times New Roman" w:eastAsia="Calibri" w:hAnsi="Times New Roman" w:cs="Times New Roman"/>
        </w:rPr>
        <w:t xml:space="preserve"> G12C is the most common of the pathogenic variants and is present in 12.5</w:t>
      </w:r>
      <w:r w:rsidR="00A15954">
        <w:rPr>
          <w:rFonts w:ascii="Times New Roman" w:eastAsia="Calibri" w:hAnsi="Times New Roman" w:cs="Times New Roman"/>
        </w:rPr>
        <w:t>%</w:t>
      </w:r>
      <w:r w:rsidRPr="00DE6CC6">
        <w:rPr>
          <w:rFonts w:ascii="Times New Roman" w:eastAsia="Calibri" w:hAnsi="Times New Roman" w:cs="Times New Roman"/>
        </w:rPr>
        <w:t>–14.5% of non-squamous NSCLC and 1.7</w:t>
      </w:r>
      <w:r w:rsidR="00A15954">
        <w:rPr>
          <w:rFonts w:ascii="Times New Roman" w:eastAsia="Calibri" w:hAnsi="Times New Roman" w:cs="Times New Roman"/>
        </w:rPr>
        <w:t>%</w:t>
      </w:r>
      <w:r w:rsidRPr="00DE6CC6">
        <w:rPr>
          <w:rFonts w:ascii="Times New Roman" w:eastAsia="Calibri" w:hAnsi="Times New Roman" w:cs="Times New Roman"/>
        </w:rPr>
        <w:t>–1.9% of squamous NSCLC.</w:t>
      </w:r>
    </w:p>
    <w:p w14:paraId="3B70C83B"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 testing is proposed to occur concurrently with pathogenic </w:t>
      </w:r>
      <w:r w:rsidRPr="00DE6CC6">
        <w:rPr>
          <w:rFonts w:ascii="Times New Roman" w:eastAsia="Calibri" w:hAnsi="Times New Roman" w:cs="Times New Roman"/>
          <w:i/>
        </w:rPr>
        <w:t>EGFR</w:t>
      </w:r>
      <w:r w:rsidRPr="00DE6CC6">
        <w:rPr>
          <w:rFonts w:ascii="Times New Roman" w:eastAsia="Calibri" w:hAnsi="Times New Roman" w:cs="Times New Roman"/>
        </w:rPr>
        <w:t xml:space="preserve"> variant testing at initial diagnosis of non-squamous NSCLC. In </w:t>
      </w:r>
      <w:proofErr w:type="gramStart"/>
      <w:r w:rsidRPr="00DE6CC6">
        <w:rPr>
          <w:rFonts w:ascii="Times New Roman" w:eastAsia="Calibri" w:hAnsi="Times New Roman" w:cs="Times New Roman"/>
        </w:rPr>
        <w:t>the majority of</w:t>
      </w:r>
      <w:proofErr w:type="gramEnd"/>
      <w:r w:rsidRPr="00DE6CC6">
        <w:rPr>
          <w:rFonts w:ascii="Times New Roman" w:eastAsia="Calibri" w:hAnsi="Times New Roman" w:cs="Times New Roman"/>
        </w:rPr>
        <w:t xml:space="preserve"> diagnostic laboratories in Australia an NGS test would be used to analyse the presence of pathogenic variants in both </w:t>
      </w:r>
      <w:r w:rsidRPr="00DE6CC6">
        <w:rPr>
          <w:rFonts w:ascii="Times New Roman" w:eastAsia="Calibri" w:hAnsi="Times New Roman" w:cs="Times New Roman"/>
          <w:i/>
        </w:rPr>
        <w:t>EGFR</w:t>
      </w:r>
      <w:r w:rsidRPr="00DE6CC6">
        <w:rPr>
          <w:rFonts w:ascii="Times New Roman" w:eastAsia="Calibri" w:hAnsi="Times New Roman" w:cs="Times New Roman"/>
        </w:rPr>
        <w:t xml:space="preserve"> and </w:t>
      </w:r>
      <w:r w:rsidRPr="00DE6CC6">
        <w:rPr>
          <w:rFonts w:ascii="Times New Roman" w:eastAsia="Calibri" w:hAnsi="Times New Roman" w:cs="Times New Roman"/>
          <w:i/>
        </w:rPr>
        <w:t>KRAS</w:t>
      </w:r>
      <w:r w:rsidRPr="00DE6CC6">
        <w:rPr>
          <w:rFonts w:ascii="Times New Roman" w:eastAsia="Calibri" w:hAnsi="Times New Roman" w:cs="Times New Roman"/>
        </w:rPr>
        <w:t>.</w:t>
      </w:r>
    </w:p>
    <w:p w14:paraId="70BE640F"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There would be no requirement for additional </w:t>
      </w:r>
      <w:proofErr w:type="spellStart"/>
      <w:r w:rsidRPr="00DE6CC6">
        <w:rPr>
          <w:rFonts w:ascii="Times New Roman" w:eastAsia="Calibri" w:hAnsi="Times New Roman" w:cs="Times New Roman"/>
        </w:rPr>
        <w:t>biosampling</w:t>
      </w:r>
      <w:proofErr w:type="spellEnd"/>
      <w:r w:rsidRPr="00DE6CC6">
        <w:rPr>
          <w:rFonts w:ascii="Times New Roman" w:eastAsia="Calibri" w:hAnsi="Times New Roman" w:cs="Times New Roman"/>
        </w:rPr>
        <w:t xml:space="preserve"> if adequate tissue is available for the original NGS </w:t>
      </w:r>
      <w:r w:rsidRPr="00DE6CC6">
        <w:rPr>
          <w:rFonts w:ascii="Times New Roman" w:eastAsia="Calibri" w:hAnsi="Times New Roman" w:cs="Times New Roman"/>
          <w:i/>
        </w:rPr>
        <w:t>EGFR</w:t>
      </w:r>
      <w:r w:rsidRPr="00DE6CC6">
        <w:rPr>
          <w:rFonts w:ascii="Times New Roman" w:eastAsia="Calibri" w:hAnsi="Times New Roman" w:cs="Times New Roman"/>
        </w:rPr>
        <w:t xml:space="preserve"> variant test. Treatment with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if the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 is present, would not commence until failure of first-line therapy for advanced (stage IIIB/IV) disease. Treatment with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would displace other potential treatments such as docetaxel until a later-line.</w:t>
      </w:r>
    </w:p>
    <w:p w14:paraId="774886E7" w14:textId="21172B81" w:rsidR="00DE6CC6" w:rsidRPr="00DE6CC6" w:rsidRDefault="00DE6CC6" w:rsidP="00EE72A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t>Comparator</w:t>
      </w:r>
    </w:p>
    <w:p w14:paraId="346C53C4" w14:textId="17DFD408"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As the proposed test is used in addition to currently available tests, the comparator is no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 testing.</w:t>
      </w:r>
    </w:p>
    <w:p w14:paraId="3AD645D1" w14:textId="77777777" w:rsidR="00DE6CC6" w:rsidRPr="00DE6CC6" w:rsidRDefault="00DE6CC6" w:rsidP="00EE72A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lastRenderedPageBreak/>
        <w:t>Comparative safety</w:t>
      </w:r>
    </w:p>
    <w:p w14:paraId="494144EF" w14:textId="77777777" w:rsidR="00DE6CC6" w:rsidRPr="00DE6CC6" w:rsidRDefault="00DE6CC6" w:rsidP="00DE6CC6">
      <w:pPr>
        <w:keepNext/>
        <w:keepLines/>
        <w:spacing w:before="0" w:after="0"/>
        <w:jc w:val="left"/>
        <w:outlineLvl w:val="1"/>
        <w:rPr>
          <w:rFonts w:ascii="Times New Roman" w:eastAsia="Times New Roman" w:hAnsi="Times New Roman" w:cs="Times New Roman"/>
          <w:bCs/>
          <w:i/>
          <w:szCs w:val="26"/>
          <w:lang w:eastAsia="en-AU"/>
        </w:rPr>
      </w:pPr>
      <w:r w:rsidRPr="00DE6CC6">
        <w:rPr>
          <w:rFonts w:ascii="Times New Roman" w:eastAsia="Times New Roman" w:hAnsi="Times New Roman" w:cs="Times New Roman"/>
          <w:bCs/>
          <w:i/>
          <w:szCs w:val="26"/>
          <w:lang w:eastAsia="en-AU"/>
        </w:rPr>
        <w:t>Adverse events from testing</w:t>
      </w:r>
    </w:p>
    <w:p w14:paraId="67FE4EC7" w14:textId="77777777" w:rsidR="00DE6CC6" w:rsidRPr="00DE6CC6" w:rsidRDefault="00DE6CC6" w:rsidP="00DE6CC6">
      <w:pPr>
        <w:spacing w:before="0" w:after="240"/>
        <w:jc w:val="left"/>
        <w:rPr>
          <w:rFonts w:ascii="Times New Roman" w:eastAsia="Calibri" w:hAnsi="Times New Roman" w:cs="Times New Roman"/>
          <w:i/>
        </w:rPr>
      </w:pPr>
      <w:r w:rsidRPr="00DE6CC6">
        <w:rPr>
          <w:rFonts w:ascii="Times New Roman" w:eastAsia="Calibri" w:hAnsi="Times New Roman" w:cs="Times New Roman"/>
        </w:rPr>
        <w:t xml:space="preserve">NGS testing for a pathogenic </w:t>
      </w:r>
      <w:r w:rsidRPr="00DE6CC6">
        <w:rPr>
          <w:rFonts w:ascii="Times New Roman" w:eastAsia="Calibri" w:hAnsi="Times New Roman" w:cs="Times New Roman"/>
          <w:i/>
        </w:rPr>
        <w:t>EGFR</w:t>
      </w:r>
      <w:r w:rsidRPr="00DE6CC6">
        <w:rPr>
          <w:rFonts w:ascii="Times New Roman" w:eastAsia="Calibri" w:hAnsi="Times New Roman" w:cs="Times New Roman"/>
        </w:rPr>
        <w:t xml:space="preserve"> variant is common practice at diagnosis of non-squamous NSCLC in many Australian laboratories, and in many instances would also include pathogenic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 testing. The commentary noted that </w:t>
      </w:r>
      <w:r w:rsidRPr="00DE6CC6">
        <w:rPr>
          <w:rFonts w:ascii="Times New Roman" w:eastAsia="Calibri" w:hAnsi="Times New Roman" w:cs="Times New Roman"/>
          <w:iCs/>
        </w:rPr>
        <w:t>patients with insufficient material for the initial NGS analysis would already require an additional biopsy. Thus, the safety of NGS pathogenic</w:t>
      </w:r>
      <w:r w:rsidRPr="00DE6CC6">
        <w:rPr>
          <w:rFonts w:ascii="Times New Roman" w:eastAsia="Calibri" w:hAnsi="Times New Roman" w:cs="Times New Roman"/>
          <w:i/>
        </w:rPr>
        <w:t xml:space="preserve"> EGFR</w:t>
      </w:r>
      <w:r w:rsidRPr="00DE6CC6">
        <w:rPr>
          <w:rFonts w:ascii="Times New Roman" w:eastAsia="Calibri" w:hAnsi="Times New Roman" w:cs="Times New Roman"/>
          <w:iCs/>
        </w:rPr>
        <w:t xml:space="preserve"> variant testing would not change with the addition of </w:t>
      </w:r>
      <w:r w:rsidRPr="00DE6CC6">
        <w:rPr>
          <w:rFonts w:ascii="Times New Roman" w:eastAsia="Calibri" w:hAnsi="Times New Roman" w:cs="Times New Roman"/>
          <w:i/>
        </w:rPr>
        <w:t>KRAS</w:t>
      </w:r>
      <w:r w:rsidRPr="00DE6CC6">
        <w:rPr>
          <w:rFonts w:ascii="Times New Roman" w:eastAsia="Calibri" w:hAnsi="Times New Roman" w:cs="Times New Roman"/>
          <w:iCs/>
        </w:rPr>
        <w:t> G12C variant identification.</w:t>
      </w:r>
    </w:p>
    <w:p w14:paraId="22210CD9" w14:textId="18EB9998"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In the interim, in the uncommon instance where a tumour sample does not receive NGS panel testing for pathogenic </w:t>
      </w:r>
      <w:r w:rsidRPr="00DE6CC6">
        <w:rPr>
          <w:rFonts w:ascii="Times New Roman" w:eastAsia="Calibri" w:hAnsi="Times New Roman" w:cs="Times New Roman"/>
          <w:i/>
        </w:rPr>
        <w:t>EGFR</w:t>
      </w:r>
      <w:r w:rsidRPr="00DE6CC6">
        <w:rPr>
          <w:rFonts w:ascii="Times New Roman" w:eastAsia="Calibri" w:hAnsi="Times New Roman" w:cs="Times New Roman"/>
        </w:rPr>
        <w:t xml:space="preserve"> ±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variants at diagnosis, and there is insufficient archival FFPE tumour sample available for retesting, a </w:t>
      </w:r>
      <w:proofErr w:type="spellStart"/>
      <w:r w:rsidRPr="00DE6CC6">
        <w:rPr>
          <w:rFonts w:ascii="Times New Roman" w:eastAsia="Calibri" w:hAnsi="Times New Roman" w:cs="Times New Roman"/>
        </w:rPr>
        <w:t>rebiopsy</w:t>
      </w:r>
      <w:proofErr w:type="spellEnd"/>
      <w:r w:rsidRPr="00DE6CC6">
        <w:rPr>
          <w:rFonts w:ascii="Times New Roman" w:eastAsia="Calibri" w:hAnsi="Times New Roman" w:cs="Times New Roman"/>
        </w:rPr>
        <w:t xml:space="preserve"> may be required.</w:t>
      </w:r>
    </w:p>
    <w:p w14:paraId="68F6B187" w14:textId="77777777" w:rsidR="00DE6CC6" w:rsidRPr="00DE6CC6" w:rsidRDefault="00DE6CC6" w:rsidP="00DE6CC6">
      <w:pPr>
        <w:keepNext/>
        <w:keepLines/>
        <w:spacing w:before="0" w:after="0"/>
        <w:jc w:val="left"/>
        <w:outlineLvl w:val="1"/>
        <w:rPr>
          <w:rFonts w:ascii="Times New Roman" w:eastAsia="Times New Roman" w:hAnsi="Times New Roman" w:cs="Times New Roman"/>
          <w:bCs/>
          <w:i/>
          <w:szCs w:val="26"/>
          <w:lang w:eastAsia="en-AU"/>
        </w:rPr>
      </w:pPr>
      <w:r w:rsidRPr="00DE6CC6">
        <w:rPr>
          <w:rFonts w:ascii="Times New Roman" w:eastAsia="Times New Roman" w:hAnsi="Times New Roman" w:cs="Times New Roman"/>
          <w:bCs/>
          <w:i/>
          <w:szCs w:val="26"/>
          <w:lang w:eastAsia="en-AU"/>
        </w:rPr>
        <w:t>Adverse events from changes in management</w:t>
      </w:r>
    </w:p>
    <w:p w14:paraId="5B0579EF"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No formal indirect comparisons were conducted in the submission to determine the relative safety of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and docetaxel. A meaningful interpretation of the naïve comparison is problematic given its indirect nature and cross trial differences in study design, patient populations, and prior and concomitant treatments received.</w:t>
      </w:r>
    </w:p>
    <w:p w14:paraId="7C23A342"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SELECT-1 did not report the total number of adverse events (AEs) associated with docetaxel, or AEs that were grade 3 or greater. In the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single arm study (</w:t>
      </w:r>
      <w:proofErr w:type="spellStart"/>
      <w:r w:rsidRPr="00DE6CC6">
        <w:rPr>
          <w:rFonts w:ascii="Times New Roman" w:eastAsia="Calibri" w:hAnsi="Times New Roman" w:cs="Times New Roman"/>
        </w:rPr>
        <w:t>CodeBreak</w:t>
      </w:r>
      <w:proofErr w:type="spellEnd"/>
      <w:r w:rsidRPr="00DE6CC6">
        <w:rPr>
          <w:rFonts w:ascii="Times New Roman" w:eastAsia="Calibri" w:hAnsi="Times New Roman" w:cs="Times New Roman"/>
        </w:rPr>
        <w:t xml:space="preserve"> 100) 70% of patients had an AE and 21% of patients had an AE that was grade 3 or greater.</w:t>
      </w:r>
    </w:p>
    <w:p w14:paraId="7E3B0838"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There were higher AE frequencies in the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study versus the docetaxel arm (any grade) for diarrhoea (31.7% versus 25.0%) and nausea (19.0% versus 11.0%). The frequencies were lower in the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arm for fatigue (11.1% versus 17.0%), decreased appetite (4.0% versus 11.0%), asthenia (2.4% versus 9.0%), and rash (0.8% versus 9.0%).</w:t>
      </w:r>
    </w:p>
    <w:p w14:paraId="39B74641" w14:textId="77777777" w:rsidR="00DE6CC6" w:rsidRPr="00DE6CC6" w:rsidRDefault="00DE6CC6" w:rsidP="00EE72A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t>Comparative effectiveness</w:t>
      </w:r>
    </w:p>
    <w:p w14:paraId="470EF378" w14:textId="77777777" w:rsidR="00DE6CC6" w:rsidRPr="00DE6CC6" w:rsidRDefault="00DE6CC6" w:rsidP="00DE6CC6">
      <w:pPr>
        <w:keepNext/>
        <w:keepLines/>
        <w:spacing w:before="0" w:after="0"/>
        <w:jc w:val="left"/>
        <w:outlineLvl w:val="1"/>
        <w:rPr>
          <w:rFonts w:ascii="Times New Roman" w:eastAsia="Times New Roman" w:hAnsi="Times New Roman" w:cs="Times New Roman"/>
          <w:bCs/>
          <w:i/>
          <w:szCs w:val="26"/>
          <w:lang w:eastAsia="en-AU"/>
        </w:rPr>
      </w:pPr>
      <w:r w:rsidRPr="00DE6CC6">
        <w:rPr>
          <w:rFonts w:ascii="Times New Roman" w:eastAsia="Times New Roman" w:hAnsi="Times New Roman" w:cs="Times New Roman"/>
          <w:bCs/>
          <w:i/>
          <w:szCs w:val="26"/>
          <w:lang w:eastAsia="en-AU"/>
        </w:rPr>
        <w:t>Overview of the evidence base</w:t>
      </w:r>
    </w:p>
    <w:p w14:paraId="239F23DA" w14:textId="315DDF95"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 approach taken in the submission was to present evidence that has been linked to support the contention that targeting of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with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produced superior clinical outcomes to no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 testing plus docetaxel.</w:t>
      </w:r>
    </w:p>
    <w:p w14:paraId="2B2F3332" w14:textId="3A08A0BC" w:rsidR="00DE6CC6" w:rsidRPr="00DE6CC6" w:rsidRDefault="00DE6CC6" w:rsidP="00A15954">
      <w:pPr>
        <w:keepNext/>
        <w:spacing w:before="0" w:after="40"/>
        <w:outlineLvl w:val="4"/>
        <w:rPr>
          <w:rFonts w:ascii="Arial Narrow" w:eastAsia="Times New Roman" w:hAnsi="Arial Narrow" w:cs="Arial"/>
          <w:b/>
          <w:bCs/>
          <w:iCs/>
          <w:sz w:val="20"/>
          <w:szCs w:val="20"/>
        </w:rPr>
      </w:pPr>
      <w:r w:rsidRPr="00DE6CC6">
        <w:rPr>
          <w:rFonts w:ascii="Arial Narrow" w:eastAsia="Times New Roman" w:hAnsi="Arial Narrow" w:cs="Arial"/>
          <w:b/>
          <w:bCs/>
          <w:iCs/>
          <w:sz w:val="20"/>
          <w:szCs w:val="20"/>
        </w:rPr>
        <w:lastRenderedPageBreak/>
        <w:t>Table 3</w:t>
      </w:r>
      <w:r w:rsidRPr="00DE6CC6">
        <w:rPr>
          <w:rFonts w:ascii="Arial Narrow" w:eastAsia="Times New Roman" w:hAnsi="Arial Narrow" w:cs="Arial"/>
          <w:b/>
          <w:bCs/>
          <w:iCs/>
          <w:sz w:val="20"/>
          <w:szCs w:val="20"/>
        </w:rPr>
        <w:tab/>
        <w:t>Summary of the linked evidence approach</w:t>
      </w:r>
    </w:p>
    <w:tbl>
      <w:tblPr>
        <w:tblStyle w:val="HTATableshaded"/>
        <w:tblW w:w="5000" w:type="pct"/>
        <w:tblLook w:val="04A0" w:firstRow="1" w:lastRow="0" w:firstColumn="1" w:lastColumn="0" w:noHBand="0" w:noVBand="1"/>
      </w:tblPr>
      <w:tblGrid>
        <w:gridCol w:w="1554"/>
        <w:gridCol w:w="3468"/>
        <w:gridCol w:w="2057"/>
        <w:gridCol w:w="1937"/>
      </w:tblGrid>
      <w:tr w:rsidR="00DE6CC6" w:rsidRPr="00DE6CC6" w14:paraId="40284E74" w14:textId="77777777" w:rsidTr="007E2C67">
        <w:trPr>
          <w:cnfStyle w:val="100000000000" w:firstRow="1" w:lastRow="0" w:firstColumn="0" w:lastColumn="0" w:oddVBand="0" w:evenVBand="0" w:oddHBand="0" w:evenHBand="0" w:firstRowFirstColumn="0" w:firstRowLastColumn="0" w:lastRowFirstColumn="0" w:lastRowLastColumn="0"/>
          <w:tblHeader/>
        </w:trPr>
        <w:tc>
          <w:tcPr>
            <w:tcW w:w="862" w:type="pct"/>
            <w:vAlign w:val="bottom"/>
          </w:tcPr>
          <w:p w14:paraId="4CCBC634" w14:textId="77777777" w:rsidR="00DE6CC6" w:rsidRPr="00DE6CC6" w:rsidRDefault="00DE6CC6" w:rsidP="00A15954">
            <w:pPr>
              <w:keepNext/>
              <w:widowControl w:val="0"/>
              <w:spacing w:before="40" w:after="40" w:line="256" w:lineRule="auto"/>
              <w:jc w:val="center"/>
              <w:rPr>
                <w:rFonts w:ascii="Arial Narrow" w:eastAsia="Calibri" w:hAnsi="Arial Narrow"/>
                <w:b/>
                <w:sz w:val="20"/>
              </w:rPr>
            </w:pPr>
          </w:p>
        </w:tc>
        <w:tc>
          <w:tcPr>
            <w:tcW w:w="1923" w:type="pct"/>
            <w:vAlign w:val="bottom"/>
            <w:hideMark/>
          </w:tcPr>
          <w:p w14:paraId="407F85D8" w14:textId="77777777" w:rsidR="00DE6CC6" w:rsidRPr="00DE6CC6" w:rsidRDefault="00DE6CC6" w:rsidP="00A15954">
            <w:pPr>
              <w:keepNext/>
              <w:widowControl w:val="0"/>
              <w:spacing w:before="40" w:after="40" w:line="256" w:lineRule="auto"/>
              <w:jc w:val="left"/>
              <w:rPr>
                <w:rFonts w:ascii="Arial Narrow" w:eastAsia="Calibri" w:hAnsi="Arial Narrow"/>
                <w:b/>
                <w:sz w:val="20"/>
              </w:rPr>
            </w:pPr>
            <w:r w:rsidRPr="00DE6CC6">
              <w:rPr>
                <w:rFonts w:ascii="Arial Narrow" w:eastAsia="Calibri" w:hAnsi="Arial Narrow"/>
                <w:b/>
                <w:sz w:val="20"/>
              </w:rPr>
              <w:t>Type of evidence supplied</w:t>
            </w:r>
          </w:p>
        </w:tc>
        <w:tc>
          <w:tcPr>
            <w:tcW w:w="1141" w:type="pct"/>
            <w:vAlign w:val="bottom"/>
            <w:hideMark/>
          </w:tcPr>
          <w:p w14:paraId="773E77D9" w14:textId="77777777" w:rsidR="00DE6CC6" w:rsidRPr="00DE6CC6" w:rsidRDefault="00DE6CC6" w:rsidP="00A15954">
            <w:pPr>
              <w:keepNext/>
              <w:widowControl w:val="0"/>
              <w:spacing w:before="40" w:after="40" w:line="256" w:lineRule="auto"/>
              <w:jc w:val="left"/>
              <w:rPr>
                <w:rFonts w:ascii="Arial Narrow" w:eastAsia="Calibri" w:hAnsi="Arial Narrow"/>
                <w:b/>
                <w:sz w:val="20"/>
              </w:rPr>
            </w:pPr>
            <w:r w:rsidRPr="00DE6CC6">
              <w:rPr>
                <w:rFonts w:ascii="Arial Narrow" w:eastAsia="Calibri" w:hAnsi="Arial Narrow"/>
                <w:b/>
                <w:sz w:val="20"/>
              </w:rPr>
              <w:t>Extent of evidence supplied</w:t>
            </w:r>
          </w:p>
        </w:tc>
        <w:tc>
          <w:tcPr>
            <w:tcW w:w="1074" w:type="pct"/>
            <w:vAlign w:val="bottom"/>
            <w:hideMark/>
          </w:tcPr>
          <w:p w14:paraId="3288AB81" w14:textId="77777777" w:rsidR="00DE6CC6" w:rsidRPr="00DE6CC6" w:rsidRDefault="00DE6CC6" w:rsidP="00A15954">
            <w:pPr>
              <w:keepNext/>
              <w:widowControl w:val="0"/>
              <w:spacing w:before="40" w:after="40" w:line="256" w:lineRule="auto"/>
              <w:jc w:val="left"/>
              <w:rPr>
                <w:rFonts w:ascii="Arial Narrow" w:eastAsia="Calibri" w:hAnsi="Arial Narrow"/>
                <w:b/>
                <w:sz w:val="20"/>
              </w:rPr>
            </w:pPr>
            <w:r w:rsidRPr="00DE6CC6">
              <w:rPr>
                <w:rFonts w:ascii="Arial Narrow" w:eastAsia="Calibri" w:hAnsi="Arial Narrow"/>
                <w:b/>
                <w:sz w:val="20"/>
              </w:rPr>
              <w:t>Overall risk of bias in clinical trials</w:t>
            </w:r>
          </w:p>
        </w:tc>
      </w:tr>
      <w:tr w:rsidR="00DE6CC6" w:rsidRPr="00DE6CC6" w14:paraId="0787A23A" w14:textId="77777777" w:rsidTr="007E2C67">
        <w:tc>
          <w:tcPr>
            <w:tcW w:w="862" w:type="pct"/>
            <w:tcBorders>
              <w:top w:val="single" w:sz="4" w:space="0" w:color="auto"/>
              <w:left w:val="single" w:sz="4" w:space="0" w:color="auto"/>
              <w:bottom w:val="single" w:sz="4" w:space="0" w:color="auto"/>
              <w:right w:val="single" w:sz="4" w:space="0" w:color="auto"/>
            </w:tcBorders>
            <w:hideMark/>
          </w:tcPr>
          <w:p w14:paraId="655682C4"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Accuracy and performance of the test (analytical validity)</w:t>
            </w:r>
          </w:p>
        </w:tc>
        <w:tc>
          <w:tcPr>
            <w:tcW w:w="1923" w:type="pct"/>
            <w:tcBorders>
              <w:top w:val="single" w:sz="4" w:space="0" w:color="auto"/>
              <w:left w:val="single" w:sz="4" w:space="0" w:color="auto"/>
              <w:bottom w:val="single" w:sz="4" w:space="0" w:color="auto"/>
              <w:right w:val="single" w:sz="4" w:space="0" w:color="auto"/>
            </w:tcBorders>
            <w:hideMark/>
          </w:tcPr>
          <w:p w14:paraId="42E3961C" w14:textId="77777777" w:rsidR="00DE6CC6" w:rsidRPr="00DE6CC6" w:rsidRDefault="00DE6CC6" w:rsidP="00A15954">
            <w:pPr>
              <w:keepNext/>
              <w:widowControl w:val="0"/>
              <w:spacing w:before="40" w:after="80" w:line="257" w:lineRule="auto"/>
              <w:jc w:val="left"/>
              <w:rPr>
                <w:rFonts w:ascii="Arial Narrow" w:eastAsia="Calibri" w:hAnsi="Arial Narrow"/>
                <w:sz w:val="20"/>
              </w:rPr>
            </w:pPr>
            <w:r w:rsidRPr="00DE6CC6">
              <w:rPr>
                <w:rFonts w:ascii="Arial Narrow" w:eastAsia="Calibri" w:hAnsi="Arial Narrow"/>
                <w:sz w:val="20"/>
              </w:rPr>
              <w:t>Concordance with clinical utility standard</w:t>
            </w:r>
          </w:p>
          <w:p w14:paraId="30028225" w14:textId="77777777" w:rsidR="00DE6CC6" w:rsidRPr="00DE6CC6" w:rsidRDefault="00DE6CC6" w:rsidP="00A15954">
            <w:pPr>
              <w:keepNext/>
              <w:widowControl w:val="0"/>
              <w:spacing w:before="40" w:after="80" w:line="257" w:lineRule="auto"/>
              <w:jc w:val="left"/>
              <w:rPr>
                <w:rFonts w:ascii="Arial Narrow" w:eastAsia="Calibri" w:hAnsi="Arial Narrow"/>
                <w:sz w:val="20"/>
              </w:rPr>
            </w:pPr>
            <w:r w:rsidRPr="00DE6CC6">
              <w:rPr>
                <w:rFonts w:ascii="Arial Narrow" w:eastAsia="Calibri" w:hAnsi="Arial Narrow"/>
                <w:sz w:val="20"/>
              </w:rPr>
              <w:t>Concordance between two NGS programs</w:t>
            </w:r>
          </w:p>
          <w:p w14:paraId="6B479457" w14:textId="77777777" w:rsidR="00DE6CC6" w:rsidRPr="00DE6CC6" w:rsidRDefault="00DE6CC6" w:rsidP="00A15954">
            <w:pPr>
              <w:keepNext/>
              <w:widowControl w:val="0"/>
              <w:spacing w:before="40" w:after="80" w:line="257" w:lineRule="auto"/>
              <w:jc w:val="left"/>
              <w:rPr>
                <w:rFonts w:ascii="Arial Narrow" w:eastAsia="Calibri" w:hAnsi="Arial Narrow"/>
                <w:sz w:val="20"/>
              </w:rPr>
            </w:pPr>
            <w:r w:rsidRPr="00DE6CC6">
              <w:rPr>
                <w:rFonts w:ascii="Arial Narrow" w:eastAsia="Calibri" w:hAnsi="Arial Narrow"/>
                <w:sz w:val="20"/>
              </w:rPr>
              <w:t>Diagnostic yield studies</w:t>
            </w:r>
          </w:p>
        </w:tc>
        <w:tc>
          <w:tcPr>
            <w:tcW w:w="1141" w:type="pct"/>
            <w:tcBorders>
              <w:top w:val="single" w:sz="4" w:space="0" w:color="auto"/>
              <w:left w:val="single" w:sz="4" w:space="0" w:color="auto"/>
              <w:bottom w:val="single" w:sz="4" w:space="0" w:color="auto"/>
              <w:right w:val="single" w:sz="4" w:space="0" w:color="auto"/>
            </w:tcBorders>
            <w:hideMark/>
          </w:tcPr>
          <w:p w14:paraId="3412B1B6" w14:textId="2D61275F"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sz w:val="20"/>
              </w:rPr>
            </w:pPr>
            <w:r w:rsidRPr="00DE6CC6">
              <w:rPr>
                <w:rFonts w:ascii="Segoe UI Symbol" w:eastAsia="Calibri" w:hAnsi="Segoe UI Symbol" w:cs="Segoe UI Symbol"/>
                <w:b/>
                <w:sz w:val="20"/>
              </w:rPr>
              <w:t>☒</w:t>
            </w:r>
            <w:r w:rsidRPr="00DE6CC6">
              <w:rPr>
                <w:rFonts w:ascii="Arial Narrow" w:eastAsia="Calibri" w:hAnsi="Arial Narrow"/>
                <w:sz w:val="20"/>
              </w:rPr>
              <w:tab/>
              <w:t>k=1</w:t>
            </w:r>
            <w:r w:rsidRPr="00DE6CC6">
              <w:rPr>
                <w:rFonts w:ascii="Arial Narrow" w:eastAsia="Calibri" w:hAnsi="Arial Narrow"/>
                <w:sz w:val="20"/>
              </w:rPr>
              <w:tab/>
              <w:t>n=81</w:t>
            </w:r>
          </w:p>
          <w:p w14:paraId="4C38605E" w14:textId="4392EBE6"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sz w:val="20"/>
              </w:rPr>
            </w:pPr>
            <w:r w:rsidRPr="00DE6CC6">
              <w:rPr>
                <w:rFonts w:ascii="Segoe UI Symbol" w:eastAsia="Calibri" w:hAnsi="Segoe UI Symbol" w:cs="Segoe UI Symbol"/>
                <w:b/>
                <w:sz w:val="20"/>
              </w:rPr>
              <w:t>☒</w:t>
            </w:r>
            <w:r w:rsidRPr="00DE6CC6">
              <w:rPr>
                <w:rFonts w:ascii="Arial Narrow" w:eastAsia="Calibri" w:hAnsi="Arial Narrow"/>
                <w:sz w:val="20"/>
              </w:rPr>
              <w:tab/>
              <w:t>k=1</w:t>
            </w:r>
            <w:r w:rsidRPr="00DE6CC6">
              <w:rPr>
                <w:rFonts w:ascii="Arial Narrow" w:eastAsia="Calibri" w:hAnsi="Arial Narrow"/>
                <w:sz w:val="20"/>
              </w:rPr>
              <w:tab/>
              <w:t>n=230</w:t>
            </w:r>
          </w:p>
          <w:p w14:paraId="29D5DA67" w14:textId="38F3C973"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sz w:val="20"/>
              </w:rPr>
            </w:pPr>
            <w:r w:rsidRPr="00DE6CC6">
              <w:rPr>
                <w:rFonts w:ascii="Segoe UI Symbol" w:eastAsia="Calibri" w:hAnsi="Segoe UI Symbol" w:cs="Segoe UI Symbol"/>
                <w:b/>
                <w:sz w:val="20"/>
              </w:rPr>
              <w:t>☒</w:t>
            </w:r>
            <w:r w:rsidRPr="00DE6CC6">
              <w:rPr>
                <w:rFonts w:ascii="Arial Narrow" w:eastAsia="Calibri" w:hAnsi="Arial Narrow"/>
                <w:sz w:val="20"/>
              </w:rPr>
              <w:tab/>
              <w:t>k=8</w:t>
            </w:r>
            <w:r w:rsidRPr="00DE6CC6">
              <w:rPr>
                <w:rFonts w:ascii="Arial Narrow" w:eastAsia="Calibri" w:hAnsi="Arial Narrow"/>
                <w:sz w:val="20"/>
              </w:rPr>
              <w:tab/>
              <w:t>n=2,247</w:t>
            </w:r>
          </w:p>
        </w:tc>
        <w:tc>
          <w:tcPr>
            <w:tcW w:w="1074" w:type="pct"/>
            <w:tcBorders>
              <w:top w:val="single" w:sz="4" w:space="0" w:color="auto"/>
              <w:left w:val="single" w:sz="4" w:space="0" w:color="auto"/>
              <w:bottom w:val="single" w:sz="4" w:space="0" w:color="auto"/>
              <w:right w:val="single" w:sz="4" w:space="0" w:color="auto"/>
            </w:tcBorders>
            <w:hideMark/>
          </w:tcPr>
          <w:p w14:paraId="0C287C9C" w14:textId="77777777" w:rsidR="00DE6CC6" w:rsidRPr="00DE6CC6" w:rsidRDefault="00DE6CC6" w:rsidP="00A15954">
            <w:pPr>
              <w:keepNext/>
              <w:widowControl w:val="0"/>
              <w:spacing w:before="40" w:after="80" w:line="257" w:lineRule="auto"/>
              <w:jc w:val="left"/>
              <w:rPr>
                <w:rFonts w:ascii="Arial Narrow" w:eastAsia="Calibri" w:hAnsi="Arial Narrow"/>
                <w:sz w:val="20"/>
              </w:rPr>
            </w:pPr>
            <w:r w:rsidRPr="00DE6CC6">
              <w:rPr>
                <w:rFonts w:ascii="Arial Narrow" w:eastAsia="Calibri" w:hAnsi="Arial Narrow"/>
                <w:sz w:val="20"/>
              </w:rPr>
              <w:t>High risk of bias</w:t>
            </w:r>
          </w:p>
          <w:p w14:paraId="08412253" w14:textId="77777777" w:rsidR="00DE6CC6" w:rsidRPr="00DE6CC6" w:rsidRDefault="00DE6CC6" w:rsidP="00A15954">
            <w:pPr>
              <w:keepNext/>
              <w:widowControl w:val="0"/>
              <w:spacing w:before="40" w:after="80" w:line="257" w:lineRule="auto"/>
              <w:jc w:val="left"/>
              <w:rPr>
                <w:rFonts w:ascii="Arial Narrow" w:eastAsia="Calibri" w:hAnsi="Arial Narrow"/>
                <w:sz w:val="20"/>
              </w:rPr>
            </w:pPr>
            <w:r w:rsidRPr="00DE6CC6">
              <w:rPr>
                <w:rFonts w:ascii="Arial Narrow" w:eastAsia="Calibri" w:hAnsi="Arial Narrow"/>
                <w:sz w:val="20"/>
              </w:rPr>
              <w:t>High risk of bias</w:t>
            </w:r>
          </w:p>
          <w:p w14:paraId="45CE7FBA"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High risk of bias for patient selection</w:t>
            </w:r>
          </w:p>
          <w:p w14:paraId="1E06D78B"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Low risk of bias for the NGS test</w:t>
            </w:r>
          </w:p>
        </w:tc>
      </w:tr>
      <w:tr w:rsidR="00DE6CC6" w:rsidRPr="00DE6CC6" w14:paraId="0A227E5B" w14:textId="77777777" w:rsidTr="007E2C67">
        <w:tc>
          <w:tcPr>
            <w:tcW w:w="862" w:type="pct"/>
            <w:tcBorders>
              <w:top w:val="single" w:sz="4" w:space="0" w:color="auto"/>
              <w:left w:val="single" w:sz="4" w:space="0" w:color="auto"/>
              <w:bottom w:val="single" w:sz="4" w:space="0" w:color="auto"/>
              <w:right w:val="single" w:sz="4" w:space="0" w:color="auto"/>
            </w:tcBorders>
            <w:hideMark/>
          </w:tcPr>
          <w:p w14:paraId="79673D6B"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Prognostic evidence</w:t>
            </w:r>
          </w:p>
        </w:tc>
        <w:tc>
          <w:tcPr>
            <w:tcW w:w="1923" w:type="pct"/>
            <w:tcBorders>
              <w:top w:val="single" w:sz="4" w:space="0" w:color="auto"/>
              <w:left w:val="single" w:sz="4" w:space="0" w:color="auto"/>
              <w:bottom w:val="single" w:sz="4" w:space="0" w:color="auto"/>
              <w:right w:val="single" w:sz="4" w:space="0" w:color="auto"/>
            </w:tcBorders>
            <w:hideMark/>
          </w:tcPr>
          <w:p w14:paraId="08AC347A"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Comparison of outcomes in patients receiving usual care conditioned on the presence or absence of biomarker positive status</w:t>
            </w:r>
          </w:p>
        </w:tc>
        <w:tc>
          <w:tcPr>
            <w:tcW w:w="1141" w:type="pct"/>
            <w:tcBorders>
              <w:top w:val="single" w:sz="4" w:space="0" w:color="auto"/>
              <w:left w:val="single" w:sz="4" w:space="0" w:color="auto"/>
              <w:bottom w:val="single" w:sz="4" w:space="0" w:color="auto"/>
              <w:right w:val="single" w:sz="4" w:space="0" w:color="auto"/>
            </w:tcBorders>
            <w:hideMark/>
          </w:tcPr>
          <w:p w14:paraId="5165D083" w14:textId="4CF3DA35"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sz w:val="20"/>
              </w:rPr>
            </w:pPr>
            <w:r w:rsidRPr="00DE6CC6">
              <w:rPr>
                <w:rFonts w:ascii="Segoe UI Symbol" w:eastAsia="Calibri" w:hAnsi="Segoe UI Symbol" w:cs="Segoe UI Symbol"/>
                <w:sz w:val="20"/>
              </w:rPr>
              <w:t>☒</w:t>
            </w:r>
            <w:r w:rsidRPr="00DE6CC6">
              <w:rPr>
                <w:rFonts w:ascii="Arial Narrow" w:eastAsia="Calibri" w:hAnsi="Arial Narrow"/>
                <w:sz w:val="20"/>
              </w:rPr>
              <w:tab/>
              <w:t>k=13</w:t>
            </w:r>
            <w:r w:rsidRPr="00DE6CC6">
              <w:rPr>
                <w:rFonts w:ascii="Arial Narrow" w:eastAsia="Calibri" w:hAnsi="Arial Narrow"/>
                <w:sz w:val="20"/>
              </w:rPr>
              <w:tab/>
              <w:t>n=9,419</w:t>
            </w:r>
          </w:p>
        </w:tc>
        <w:tc>
          <w:tcPr>
            <w:tcW w:w="1074" w:type="pct"/>
            <w:tcBorders>
              <w:top w:val="single" w:sz="4" w:space="0" w:color="auto"/>
              <w:left w:val="single" w:sz="4" w:space="0" w:color="auto"/>
              <w:bottom w:val="single" w:sz="4" w:space="0" w:color="auto"/>
              <w:right w:val="single" w:sz="4" w:space="0" w:color="auto"/>
            </w:tcBorders>
            <w:hideMark/>
          </w:tcPr>
          <w:p w14:paraId="49FD012A"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Overall low-moderate risk of bias</w:t>
            </w:r>
          </w:p>
        </w:tc>
      </w:tr>
      <w:tr w:rsidR="00DE6CC6" w:rsidRPr="00DE6CC6" w14:paraId="38DDB0D4" w14:textId="77777777" w:rsidTr="007E2C67">
        <w:tc>
          <w:tcPr>
            <w:tcW w:w="862" w:type="pct"/>
            <w:tcBorders>
              <w:top w:val="single" w:sz="4" w:space="0" w:color="auto"/>
              <w:left w:val="single" w:sz="4" w:space="0" w:color="auto"/>
              <w:bottom w:val="single" w:sz="4" w:space="0" w:color="auto"/>
              <w:right w:val="single" w:sz="4" w:space="0" w:color="auto"/>
            </w:tcBorders>
            <w:hideMark/>
          </w:tcPr>
          <w:p w14:paraId="68561138"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 xml:space="preserve">Change in patient management </w:t>
            </w:r>
          </w:p>
        </w:tc>
        <w:tc>
          <w:tcPr>
            <w:tcW w:w="1923" w:type="pct"/>
            <w:tcBorders>
              <w:top w:val="single" w:sz="4" w:space="0" w:color="auto"/>
              <w:left w:val="single" w:sz="4" w:space="0" w:color="auto"/>
              <w:bottom w:val="single" w:sz="4" w:space="0" w:color="auto"/>
              <w:right w:val="single" w:sz="4" w:space="0" w:color="auto"/>
            </w:tcBorders>
            <w:hideMark/>
          </w:tcPr>
          <w:p w14:paraId="48DF78F8"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Evidence to show that biomarker determination guides decisions about treatment with the medicine</w:t>
            </w:r>
          </w:p>
        </w:tc>
        <w:tc>
          <w:tcPr>
            <w:tcW w:w="1141" w:type="pct"/>
            <w:tcBorders>
              <w:top w:val="single" w:sz="4" w:space="0" w:color="auto"/>
              <w:left w:val="single" w:sz="4" w:space="0" w:color="auto"/>
              <w:bottom w:val="single" w:sz="4" w:space="0" w:color="auto"/>
              <w:right w:val="single" w:sz="4" w:space="0" w:color="auto"/>
            </w:tcBorders>
            <w:hideMark/>
          </w:tcPr>
          <w:p w14:paraId="4030A3F3" w14:textId="673E61DE"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sz w:val="20"/>
              </w:rPr>
            </w:pPr>
            <w:r w:rsidRPr="00DE6CC6">
              <w:rPr>
                <w:rFonts w:ascii="Segoe UI Symbol" w:eastAsia="Calibri" w:hAnsi="Segoe UI Symbol" w:cs="Segoe UI Symbol"/>
                <w:sz w:val="20"/>
              </w:rPr>
              <w:t>☐</w:t>
            </w:r>
            <w:r w:rsidRPr="00DE6CC6">
              <w:rPr>
                <w:rFonts w:ascii="Arial Narrow" w:eastAsia="Calibri" w:hAnsi="Arial Narrow"/>
                <w:sz w:val="20"/>
              </w:rPr>
              <w:tab/>
              <w:t>k=0</w:t>
            </w:r>
            <w:r w:rsidRPr="00DE6CC6">
              <w:rPr>
                <w:rFonts w:ascii="Arial Narrow" w:eastAsia="Calibri" w:hAnsi="Arial Narrow"/>
                <w:sz w:val="20"/>
              </w:rPr>
              <w:tab/>
              <w:t>n=0</w:t>
            </w:r>
          </w:p>
        </w:tc>
        <w:tc>
          <w:tcPr>
            <w:tcW w:w="1074" w:type="pct"/>
            <w:tcBorders>
              <w:top w:val="single" w:sz="4" w:space="0" w:color="auto"/>
              <w:left w:val="single" w:sz="4" w:space="0" w:color="auto"/>
              <w:bottom w:val="single" w:sz="4" w:space="0" w:color="auto"/>
              <w:right w:val="single" w:sz="4" w:space="0" w:color="auto"/>
            </w:tcBorders>
            <w:hideMark/>
          </w:tcPr>
          <w:p w14:paraId="250E83A9" w14:textId="77777777" w:rsidR="00DE6CC6" w:rsidRPr="00DE6CC6" w:rsidRDefault="00DE6CC6" w:rsidP="00A15954">
            <w:pPr>
              <w:keepNext/>
              <w:widowControl w:val="0"/>
              <w:spacing w:before="40" w:after="40" w:line="256" w:lineRule="auto"/>
              <w:jc w:val="left"/>
              <w:rPr>
                <w:rFonts w:ascii="Arial Narrow" w:eastAsia="Calibri" w:hAnsi="Arial Narrow"/>
                <w:sz w:val="20"/>
              </w:rPr>
            </w:pPr>
          </w:p>
        </w:tc>
      </w:tr>
      <w:tr w:rsidR="00DE6CC6" w:rsidRPr="00DE6CC6" w14:paraId="3C18FFC9" w14:textId="77777777" w:rsidTr="007E2C67">
        <w:tc>
          <w:tcPr>
            <w:tcW w:w="862" w:type="pct"/>
            <w:tcBorders>
              <w:top w:val="single" w:sz="4" w:space="0" w:color="auto"/>
              <w:left w:val="single" w:sz="4" w:space="0" w:color="auto"/>
              <w:bottom w:val="nil"/>
              <w:right w:val="single" w:sz="4" w:space="0" w:color="auto"/>
            </w:tcBorders>
          </w:tcPr>
          <w:p w14:paraId="2BD584F7" w14:textId="77777777" w:rsidR="00DE6CC6" w:rsidRPr="00DE6CC6" w:rsidRDefault="00DE6CC6" w:rsidP="00A15954">
            <w:pPr>
              <w:keepNext/>
              <w:widowControl w:val="0"/>
              <w:spacing w:before="40" w:after="40" w:line="257" w:lineRule="auto"/>
              <w:jc w:val="left"/>
              <w:rPr>
                <w:rFonts w:ascii="Arial Narrow" w:eastAsia="Calibri" w:hAnsi="Arial Narrow"/>
                <w:sz w:val="20"/>
              </w:rPr>
            </w:pPr>
            <w:r w:rsidRPr="00DE6CC6">
              <w:rPr>
                <w:rFonts w:ascii="Arial Narrow" w:eastAsia="Calibri" w:hAnsi="Arial Narrow"/>
                <w:sz w:val="20"/>
              </w:rPr>
              <w:t xml:space="preserve">Treatment effectiveness </w:t>
            </w:r>
          </w:p>
        </w:tc>
        <w:tc>
          <w:tcPr>
            <w:tcW w:w="1923" w:type="pct"/>
            <w:tcBorders>
              <w:top w:val="single" w:sz="4" w:space="0" w:color="auto"/>
              <w:left w:val="single" w:sz="4" w:space="0" w:color="auto"/>
              <w:bottom w:val="nil"/>
              <w:right w:val="single" w:sz="4" w:space="0" w:color="auto"/>
            </w:tcBorders>
          </w:tcPr>
          <w:p w14:paraId="395ACA4D" w14:textId="77777777" w:rsidR="00DE6CC6" w:rsidRPr="00DE6CC6" w:rsidRDefault="00DE6CC6" w:rsidP="00A15954">
            <w:pPr>
              <w:keepNext/>
              <w:widowControl w:val="0"/>
              <w:spacing w:before="40" w:after="40" w:line="257" w:lineRule="auto"/>
              <w:jc w:val="left"/>
              <w:rPr>
                <w:rFonts w:ascii="Arial Narrow" w:eastAsia="Calibri" w:hAnsi="Arial Narrow"/>
                <w:sz w:val="20"/>
              </w:rPr>
            </w:pPr>
          </w:p>
        </w:tc>
        <w:tc>
          <w:tcPr>
            <w:tcW w:w="1141" w:type="pct"/>
            <w:tcBorders>
              <w:top w:val="single" w:sz="4" w:space="0" w:color="auto"/>
              <w:left w:val="single" w:sz="4" w:space="0" w:color="auto"/>
              <w:bottom w:val="nil"/>
              <w:right w:val="single" w:sz="4" w:space="0" w:color="auto"/>
            </w:tcBorders>
          </w:tcPr>
          <w:p w14:paraId="6B0FCC41" w14:textId="77777777" w:rsidR="00DE6CC6" w:rsidRPr="00DE6CC6" w:rsidRDefault="00DE6CC6" w:rsidP="00A15954">
            <w:pPr>
              <w:keepNext/>
              <w:widowControl w:val="0"/>
              <w:tabs>
                <w:tab w:val="left" w:pos="532"/>
                <w:tab w:val="left" w:pos="1147"/>
              </w:tabs>
              <w:spacing w:before="40" w:after="40" w:line="257" w:lineRule="auto"/>
              <w:jc w:val="left"/>
              <w:rPr>
                <w:rFonts w:ascii="Arial Narrow" w:eastAsia="Calibri" w:hAnsi="Arial Narrow"/>
                <w:sz w:val="20"/>
              </w:rPr>
            </w:pPr>
          </w:p>
        </w:tc>
        <w:tc>
          <w:tcPr>
            <w:tcW w:w="1074" w:type="pct"/>
            <w:tcBorders>
              <w:top w:val="single" w:sz="4" w:space="0" w:color="auto"/>
              <w:left w:val="single" w:sz="4" w:space="0" w:color="auto"/>
              <w:bottom w:val="nil"/>
              <w:right w:val="single" w:sz="4" w:space="0" w:color="auto"/>
            </w:tcBorders>
            <w:hideMark/>
          </w:tcPr>
          <w:p w14:paraId="581BC31C" w14:textId="77777777" w:rsidR="00DE6CC6" w:rsidRPr="00DE6CC6" w:rsidRDefault="00DE6CC6" w:rsidP="00A15954">
            <w:pPr>
              <w:keepNext/>
              <w:widowControl w:val="0"/>
              <w:spacing w:before="40" w:after="40" w:line="257" w:lineRule="auto"/>
              <w:jc w:val="left"/>
              <w:rPr>
                <w:rFonts w:ascii="Arial Narrow" w:eastAsia="Calibri" w:hAnsi="Arial Narrow"/>
                <w:sz w:val="20"/>
              </w:rPr>
            </w:pPr>
          </w:p>
        </w:tc>
      </w:tr>
      <w:tr w:rsidR="00DE6CC6" w:rsidRPr="00DE6CC6" w14:paraId="3662DEDA" w14:textId="77777777" w:rsidTr="007E2C67">
        <w:tc>
          <w:tcPr>
            <w:tcW w:w="862" w:type="pct"/>
            <w:tcBorders>
              <w:top w:val="nil"/>
              <w:left w:val="single" w:sz="4" w:space="0" w:color="auto"/>
              <w:bottom w:val="nil"/>
              <w:right w:val="single" w:sz="4" w:space="0" w:color="auto"/>
            </w:tcBorders>
          </w:tcPr>
          <w:p w14:paraId="26198A1A" w14:textId="77777777" w:rsidR="00DE6CC6" w:rsidRPr="00DE6CC6" w:rsidRDefault="00DE6CC6" w:rsidP="00A15954">
            <w:pPr>
              <w:keepNext/>
              <w:widowControl w:val="0"/>
              <w:spacing w:before="40" w:after="40" w:line="257" w:lineRule="auto"/>
              <w:jc w:val="left"/>
              <w:rPr>
                <w:rFonts w:ascii="Arial Narrow" w:eastAsia="Calibri" w:hAnsi="Arial Narrow"/>
                <w:sz w:val="20"/>
              </w:rPr>
            </w:pPr>
            <w:r w:rsidRPr="00DE6CC6">
              <w:rPr>
                <w:rFonts w:ascii="Arial Narrow" w:eastAsia="Calibri" w:hAnsi="Arial Narrow"/>
                <w:sz w:val="20"/>
              </w:rPr>
              <w:t>Predictive effect</w:t>
            </w:r>
          </w:p>
          <w:p w14:paraId="3CD3D73F" w14:textId="77777777" w:rsidR="00DE6CC6" w:rsidRPr="00DE6CC6" w:rsidRDefault="00DE6CC6" w:rsidP="00A15954">
            <w:pPr>
              <w:keepNext/>
              <w:widowControl w:val="0"/>
              <w:spacing w:before="40" w:after="40" w:line="257" w:lineRule="auto"/>
              <w:jc w:val="left"/>
              <w:rPr>
                <w:rFonts w:ascii="Arial Narrow" w:eastAsia="Calibri" w:hAnsi="Arial Narrow"/>
                <w:sz w:val="20"/>
              </w:rPr>
            </w:pPr>
            <w:r w:rsidRPr="00DE6CC6">
              <w:rPr>
                <w:rFonts w:ascii="Arial Narrow" w:eastAsia="Calibri" w:hAnsi="Arial Narrow"/>
                <w:sz w:val="20"/>
              </w:rPr>
              <w:t>(treatment effect variation)</w:t>
            </w:r>
          </w:p>
        </w:tc>
        <w:tc>
          <w:tcPr>
            <w:tcW w:w="1923" w:type="pct"/>
            <w:tcBorders>
              <w:top w:val="nil"/>
              <w:left w:val="single" w:sz="4" w:space="0" w:color="auto"/>
              <w:bottom w:val="nil"/>
              <w:right w:val="single" w:sz="4" w:space="0" w:color="auto"/>
            </w:tcBorders>
          </w:tcPr>
          <w:p w14:paraId="25F55086" w14:textId="77777777" w:rsidR="00DE6CC6" w:rsidRPr="00DE6CC6" w:rsidRDefault="00DE6CC6" w:rsidP="00A15954">
            <w:pPr>
              <w:keepNext/>
              <w:widowControl w:val="0"/>
              <w:spacing w:before="40" w:after="40" w:line="257" w:lineRule="auto"/>
              <w:jc w:val="left"/>
              <w:rPr>
                <w:rFonts w:ascii="Arial Narrow" w:eastAsia="Calibri" w:hAnsi="Arial Narrow"/>
                <w:sz w:val="20"/>
              </w:rPr>
            </w:pPr>
            <w:r w:rsidRPr="00DE6CC6">
              <w:rPr>
                <w:rFonts w:ascii="Arial Narrow" w:eastAsia="Calibri" w:hAnsi="Arial Narrow"/>
                <w:sz w:val="20"/>
              </w:rPr>
              <w:t>[Comparison of outcomes in patients with and without the biomarker who receive the medicine or its comparator]</w:t>
            </w:r>
          </w:p>
        </w:tc>
        <w:tc>
          <w:tcPr>
            <w:tcW w:w="1141" w:type="pct"/>
            <w:tcBorders>
              <w:top w:val="nil"/>
              <w:left w:val="single" w:sz="4" w:space="0" w:color="auto"/>
              <w:bottom w:val="nil"/>
              <w:right w:val="single" w:sz="4" w:space="0" w:color="auto"/>
            </w:tcBorders>
          </w:tcPr>
          <w:p w14:paraId="4F1EE6D7" w14:textId="40D423A7" w:rsidR="00DE6CC6" w:rsidRPr="00DE6CC6" w:rsidRDefault="00DE6CC6" w:rsidP="00A15954">
            <w:pPr>
              <w:keepNext/>
              <w:widowControl w:val="0"/>
              <w:tabs>
                <w:tab w:val="left" w:pos="532"/>
                <w:tab w:val="left" w:pos="1147"/>
              </w:tabs>
              <w:spacing w:before="40" w:after="40" w:line="257" w:lineRule="auto"/>
              <w:jc w:val="left"/>
              <w:rPr>
                <w:rFonts w:ascii="Arial Narrow" w:eastAsia="Calibri" w:hAnsi="Arial Narrow"/>
                <w:sz w:val="20"/>
              </w:rPr>
            </w:pPr>
            <w:r w:rsidRPr="00DE6CC6">
              <w:rPr>
                <w:rFonts w:ascii="Segoe UI Symbol" w:eastAsia="Calibri" w:hAnsi="Segoe UI Symbol" w:cs="Segoe UI Symbol"/>
                <w:sz w:val="20"/>
              </w:rPr>
              <w:t>☐</w:t>
            </w:r>
            <w:r w:rsidRPr="00DE6CC6">
              <w:rPr>
                <w:rFonts w:ascii="Arial Narrow" w:eastAsia="Calibri" w:hAnsi="Arial Narrow"/>
                <w:sz w:val="20"/>
              </w:rPr>
              <w:tab/>
              <w:t>k=0</w:t>
            </w:r>
            <w:r w:rsidRPr="00DE6CC6">
              <w:rPr>
                <w:rFonts w:ascii="Arial Narrow" w:eastAsia="Calibri" w:hAnsi="Arial Narrow"/>
                <w:sz w:val="20"/>
              </w:rPr>
              <w:tab/>
              <w:t>n=0</w:t>
            </w:r>
          </w:p>
        </w:tc>
        <w:tc>
          <w:tcPr>
            <w:tcW w:w="1074" w:type="pct"/>
            <w:tcBorders>
              <w:top w:val="nil"/>
              <w:left w:val="single" w:sz="4" w:space="0" w:color="auto"/>
              <w:bottom w:val="nil"/>
              <w:right w:val="single" w:sz="4" w:space="0" w:color="auto"/>
            </w:tcBorders>
          </w:tcPr>
          <w:p w14:paraId="6F8AAEDA" w14:textId="77777777" w:rsidR="00DE6CC6" w:rsidRPr="00DE6CC6" w:rsidRDefault="00DE6CC6" w:rsidP="00A15954">
            <w:pPr>
              <w:keepNext/>
              <w:widowControl w:val="0"/>
              <w:spacing w:before="40" w:after="40" w:line="257" w:lineRule="auto"/>
              <w:jc w:val="left"/>
              <w:rPr>
                <w:rFonts w:ascii="Arial Narrow" w:eastAsia="Calibri" w:hAnsi="Arial Narrow"/>
                <w:sz w:val="20"/>
              </w:rPr>
            </w:pPr>
          </w:p>
        </w:tc>
      </w:tr>
      <w:tr w:rsidR="00DE6CC6" w:rsidRPr="00DE6CC6" w14:paraId="56CD7CFC" w14:textId="77777777" w:rsidTr="007E2C67">
        <w:tc>
          <w:tcPr>
            <w:tcW w:w="862" w:type="pct"/>
            <w:tcBorders>
              <w:top w:val="nil"/>
              <w:left w:val="single" w:sz="4" w:space="0" w:color="auto"/>
              <w:bottom w:val="nil"/>
              <w:right w:val="single" w:sz="4" w:space="0" w:color="auto"/>
            </w:tcBorders>
          </w:tcPr>
          <w:p w14:paraId="0A0C1C34"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Treatment effect (enriched)</w:t>
            </w:r>
          </w:p>
        </w:tc>
        <w:tc>
          <w:tcPr>
            <w:tcW w:w="1923" w:type="pct"/>
            <w:tcBorders>
              <w:top w:val="nil"/>
              <w:left w:val="single" w:sz="4" w:space="0" w:color="auto"/>
              <w:bottom w:val="nil"/>
              <w:right w:val="single" w:sz="4" w:space="0" w:color="auto"/>
            </w:tcBorders>
          </w:tcPr>
          <w:p w14:paraId="0DA2A38D"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[Single randomised controlled trial of medicine vs usual care in patients that are test positive in both arms]</w:t>
            </w:r>
          </w:p>
        </w:tc>
        <w:tc>
          <w:tcPr>
            <w:tcW w:w="1141" w:type="pct"/>
            <w:tcBorders>
              <w:top w:val="nil"/>
              <w:left w:val="single" w:sz="4" w:space="0" w:color="auto"/>
              <w:bottom w:val="nil"/>
              <w:right w:val="single" w:sz="4" w:space="0" w:color="auto"/>
            </w:tcBorders>
          </w:tcPr>
          <w:p w14:paraId="33691597" w14:textId="59DEA74F"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sz w:val="20"/>
              </w:rPr>
            </w:pPr>
            <w:r w:rsidRPr="00DE6CC6">
              <w:rPr>
                <w:rFonts w:ascii="Segoe UI Symbol" w:eastAsia="Calibri" w:hAnsi="Segoe UI Symbol" w:cs="Segoe UI Symbol"/>
                <w:sz w:val="20"/>
              </w:rPr>
              <w:t>☐</w:t>
            </w:r>
            <w:r w:rsidRPr="00DE6CC6">
              <w:rPr>
                <w:rFonts w:ascii="Arial Narrow" w:eastAsia="Calibri" w:hAnsi="Arial Narrow"/>
                <w:sz w:val="20"/>
              </w:rPr>
              <w:tab/>
              <w:t>k=0</w:t>
            </w:r>
            <w:r w:rsidRPr="00DE6CC6">
              <w:rPr>
                <w:rFonts w:ascii="Arial Narrow" w:eastAsia="Calibri" w:hAnsi="Arial Narrow"/>
                <w:sz w:val="20"/>
              </w:rPr>
              <w:tab/>
              <w:t>n=0</w:t>
            </w:r>
          </w:p>
        </w:tc>
        <w:tc>
          <w:tcPr>
            <w:tcW w:w="1074" w:type="pct"/>
            <w:tcBorders>
              <w:top w:val="nil"/>
              <w:left w:val="single" w:sz="4" w:space="0" w:color="auto"/>
              <w:bottom w:val="nil"/>
              <w:right w:val="single" w:sz="4" w:space="0" w:color="auto"/>
            </w:tcBorders>
          </w:tcPr>
          <w:p w14:paraId="616E12A0" w14:textId="77777777" w:rsidR="00DE6CC6" w:rsidRPr="00DE6CC6" w:rsidRDefault="00DE6CC6" w:rsidP="00A15954">
            <w:pPr>
              <w:keepNext/>
              <w:widowControl w:val="0"/>
              <w:spacing w:before="40" w:after="40" w:line="256" w:lineRule="auto"/>
              <w:jc w:val="left"/>
              <w:rPr>
                <w:rFonts w:ascii="Arial Narrow" w:eastAsia="Calibri" w:hAnsi="Arial Narrow"/>
                <w:sz w:val="20"/>
              </w:rPr>
            </w:pPr>
          </w:p>
        </w:tc>
      </w:tr>
      <w:tr w:rsidR="00DE6CC6" w:rsidRPr="00DE6CC6" w14:paraId="7F818B19" w14:textId="77777777" w:rsidTr="007E2C67">
        <w:tc>
          <w:tcPr>
            <w:tcW w:w="862" w:type="pct"/>
            <w:tcBorders>
              <w:top w:val="nil"/>
              <w:left w:val="single" w:sz="4" w:space="0" w:color="auto"/>
              <w:bottom w:val="single" w:sz="4" w:space="0" w:color="auto"/>
              <w:right w:val="single" w:sz="4" w:space="0" w:color="auto"/>
            </w:tcBorders>
            <w:hideMark/>
          </w:tcPr>
          <w:p w14:paraId="2440A8DD"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Naïve indirect comparison</w:t>
            </w:r>
          </w:p>
          <w:p w14:paraId="5F9AED8A"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(unanchored MAIC)</w:t>
            </w:r>
          </w:p>
        </w:tc>
        <w:tc>
          <w:tcPr>
            <w:tcW w:w="1923" w:type="pct"/>
            <w:tcBorders>
              <w:top w:val="nil"/>
              <w:left w:val="single" w:sz="4" w:space="0" w:color="auto"/>
              <w:bottom w:val="single" w:sz="4" w:space="0" w:color="auto"/>
              <w:right w:val="single" w:sz="4" w:space="0" w:color="auto"/>
            </w:tcBorders>
          </w:tcPr>
          <w:p w14:paraId="5597BD5E"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i/>
                <w:sz w:val="20"/>
              </w:rPr>
              <w:t>KRAS</w:t>
            </w:r>
            <w:r w:rsidRPr="00DE6CC6">
              <w:rPr>
                <w:rFonts w:ascii="Arial Narrow" w:eastAsia="Calibri" w:hAnsi="Arial Narrow"/>
                <w:sz w:val="20"/>
              </w:rPr>
              <w:t xml:space="preserve"> G12C positive patients from a single arm </w:t>
            </w:r>
            <w:proofErr w:type="spellStart"/>
            <w:r w:rsidRPr="00DE6CC6">
              <w:rPr>
                <w:rFonts w:ascii="Arial Narrow" w:eastAsia="Calibri" w:hAnsi="Arial Narrow"/>
                <w:sz w:val="20"/>
              </w:rPr>
              <w:t>sotorasib</w:t>
            </w:r>
            <w:proofErr w:type="spellEnd"/>
            <w:r w:rsidRPr="00DE6CC6">
              <w:rPr>
                <w:rFonts w:ascii="Arial Narrow" w:eastAsia="Calibri" w:hAnsi="Arial Narrow"/>
                <w:sz w:val="20"/>
              </w:rPr>
              <w:t xml:space="preserve"> study (</w:t>
            </w:r>
            <w:proofErr w:type="spellStart"/>
            <w:r w:rsidRPr="00DE6CC6">
              <w:rPr>
                <w:rFonts w:ascii="Arial Narrow" w:eastAsia="Calibri" w:hAnsi="Arial Narrow"/>
                <w:sz w:val="20"/>
              </w:rPr>
              <w:t>CodeBreak</w:t>
            </w:r>
            <w:proofErr w:type="spellEnd"/>
            <w:r w:rsidRPr="00DE6CC6">
              <w:rPr>
                <w:rFonts w:ascii="Arial Narrow" w:eastAsia="Calibri" w:hAnsi="Arial Narrow"/>
                <w:sz w:val="20"/>
              </w:rPr>
              <w:t xml:space="preserve"> 100) and SoC patients from a single arm of a randomised trial in patients with advanced NSCLC who had a pathogenic KRAS variant in the second line setting (SELECT-1)</w:t>
            </w:r>
          </w:p>
        </w:tc>
        <w:tc>
          <w:tcPr>
            <w:tcW w:w="1141" w:type="pct"/>
            <w:tcBorders>
              <w:top w:val="nil"/>
              <w:left w:val="single" w:sz="4" w:space="0" w:color="auto"/>
              <w:bottom w:val="single" w:sz="4" w:space="0" w:color="auto"/>
              <w:right w:val="single" w:sz="4" w:space="0" w:color="auto"/>
            </w:tcBorders>
            <w:hideMark/>
          </w:tcPr>
          <w:p w14:paraId="3948B11D" w14:textId="77777777"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cs="Segoe UI Symbol"/>
                <w:sz w:val="20"/>
              </w:rPr>
            </w:pPr>
            <w:proofErr w:type="spellStart"/>
            <w:r w:rsidRPr="00DE6CC6">
              <w:rPr>
                <w:rFonts w:ascii="Arial Narrow" w:eastAsia="Calibri" w:hAnsi="Arial Narrow" w:cs="Segoe UI Symbol"/>
                <w:sz w:val="20"/>
              </w:rPr>
              <w:t>Sotorasib</w:t>
            </w:r>
            <w:proofErr w:type="spellEnd"/>
          </w:p>
          <w:p w14:paraId="34BF89F1" w14:textId="77777777"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sz w:val="20"/>
              </w:rPr>
            </w:pPr>
            <w:r w:rsidRPr="00DE6CC6">
              <w:rPr>
                <w:rFonts w:ascii="Segoe UI Symbol" w:eastAsia="Calibri" w:hAnsi="Segoe UI Symbol" w:cs="Segoe UI Symbol"/>
                <w:sz w:val="20"/>
              </w:rPr>
              <w:t>☒</w:t>
            </w:r>
            <w:r w:rsidRPr="00DE6CC6">
              <w:rPr>
                <w:rFonts w:ascii="Arial Narrow" w:eastAsia="Calibri" w:hAnsi="Arial Narrow"/>
                <w:sz w:val="20"/>
              </w:rPr>
              <w:tab/>
              <w:t>k=1</w:t>
            </w:r>
            <w:r w:rsidRPr="00DE6CC6">
              <w:rPr>
                <w:rFonts w:ascii="Arial Narrow" w:eastAsia="Calibri" w:hAnsi="Arial Narrow"/>
                <w:sz w:val="20"/>
              </w:rPr>
              <w:tab/>
              <w:t>n=126</w:t>
            </w:r>
          </w:p>
          <w:p w14:paraId="331BA550" w14:textId="77777777"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sz w:val="20"/>
              </w:rPr>
            </w:pPr>
            <w:r w:rsidRPr="00DE6CC6">
              <w:rPr>
                <w:rFonts w:ascii="Arial Narrow" w:eastAsia="Calibri" w:hAnsi="Arial Narrow"/>
                <w:sz w:val="20"/>
              </w:rPr>
              <w:t xml:space="preserve">Docetaxel </w:t>
            </w:r>
          </w:p>
          <w:p w14:paraId="46A1C1D5" w14:textId="77777777" w:rsidR="00DE6CC6" w:rsidRPr="00DE6CC6" w:rsidRDefault="00DE6CC6" w:rsidP="00A15954">
            <w:pPr>
              <w:keepNext/>
              <w:widowControl w:val="0"/>
              <w:tabs>
                <w:tab w:val="left" w:pos="532"/>
                <w:tab w:val="left" w:pos="1147"/>
              </w:tabs>
              <w:spacing w:before="40" w:after="40" w:line="256" w:lineRule="auto"/>
              <w:jc w:val="left"/>
              <w:rPr>
                <w:rFonts w:ascii="Arial Narrow" w:eastAsia="Calibri" w:hAnsi="Arial Narrow"/>
                <w:sz w:val="20"/>
              </w:rPr>
            </w:pPr>
            <w:r w:rsidRPr="00DE6CC6">
              <w:rPr>
                <w:rFonts w:ascii="Segoe UI Symbol" w:eastAsia="Calibri" w:hAnsi="Segoe UI Symbol" w:cs="Segoe UI Symbol"/>
                <w:sz w:val="20"/>
              </w:rPr>
              <w:t>☒</w:t>
            </w:r>
            <w:r w:rsidRPr="00DE6CC6">
              <w:rPr>
                <w:rFonts w:ascii="Arial Narrow" w:eastAsia="Calibri" w:hAnsi="Arial Narrow"/>
                <w:sz w:val="20"/>
              </w:rPr>
              <w:tab/>
              <w:t>k=1</w:t>
            </w:r>
            <w:r w:rsidRPr="00DE6CC6">
              <w:rPr>
                <w:rFonts w:ascii="Arial Narrow" w:eastAsia="Calibri" w:hAnsi="Arial Narrow"/>
                <w:sz w:val="20"/>
              </w:rPr>
              <w:tab/>
              <w:t>n=256</w:t>
            </w:r>
          </w:p>
        </w:tc>
        <w:tc>
          <w:tcPr>
            <w:tcW w:w="1074" w:type="pct"/>
            <w:tcBorders>
              <w:top w:val="nil"/>
              <w:left w:val="single" w:sz="4" w:space="0" w:color="auto"/>
              <w:bottom w:val="single" w:sz="4" w:space="0" w:color="auto"/>
              <w:right w:val="single" w:sz="4" w:space="0" w:color="auto"/>
            </w:tcBorders>
          </w:tcPr>
          <w:p w14:paraId="4695E511"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Unanchored MAIC associated with a high risk of bias</w:t>
            </w:r>
          </w:p>
        </w:tc>
      </w:tr>
    </w:tbl>
    <w:p w14:paraId="27C23AB1" w14:textId="77777777" w:rsidR="00DE6CC6" w:rsidRPr="00DE6CC6" w:rsidRDefault="00DE6CC6" w:rsidP="00A15954">
      <w:pPr>
        <w:keepNext/>
        <w:widowControl w:val="0"/>
        <w:spacing w:before="40" w:after="240"/>
        <w:contextualSpacing/>
        <w:rPr>
          <w:rFonts w:ascii="Arial Narrow" w:eastAsia="Times New Roman" w:hAnsi="Arial Narrow" w:cs="Arial"/>
          <w:snapToGrid w:val="0"/>
          <w:sz w:val="18"/>
          <w:szCs w:val="20"/>
        </w:rPr>
      </w:pPr>
      <w:r w:rsidRPr="00DE6CC6">
        <w:rPr>
          <w:rFonts w:ascii="Arial Narrow" w:eastAsia="Times New Roman" w:hAnsi="Arial Narrow" w:cs="Arial"/>
          <w:snapToGrid w:val="0"/>
          <w:sz w:val="18"/>
          <w:szCs w:val="20"/>
        </w:rPr>
        <w:t xml:space="preserve">k = number of studies, </w:t>
      </w:r>
      <w:r w:rsidRPr="00DE6CC6">
        <w:rPr>
          <w:rFonts w:ascii="Arial Narrow" w:eastAsia="Times New Roman" w:hAnsi="Arial Narrow" w:cs="Arial"/>
          <w:i/>
          <w:snapToGrid w:val="0"/>
          <w:sz w:val="18"/>
          <w:szCs w:val="20"/>
        </w:rPr>
        <w:t>KRAS</w:t>
      </w:r>
      <w:r w:rsidRPr="00DE6CC6">
        <w:rPr>
          <w:rFonts w:ascii="Arial Narrow" w:eastAsia="Times New Roman" w:hAnsi="Arial Narrow" w:cs="Arial"/>
          <w:snapToGrid w:val="0"/>
          <w:sz w:val="18"/>
          <w:szCs w:val="20"/>
        </w:rPr>
        <w:t xml:space="preserve"> = Kirsten rat sarcoma viral oncogene homologue; n = number of patients; NGS = next generation sequencing; NSCLC = non-small cell lung cancer; MAIC = matching adjusted indirect comparison; SoC = standard of care</w:t>
      </w:r>
    </w:p>
    <w:p w14:paraId="61524E79" w14:textId="77777777" w:rsidR="00DE6CC6" w:rsidRPr="00DE6CC6" w:rsidRDefault="00DE6CC6" w:rsidP="00A15954">
      <w:pPr>
        <w:widowControl w:val="0"/>
        <w:spacing w:before="40" w:after="240"/>
        <w:rPr>
          <w:rFonts w:ascii="Arial Narrow" w:eastAsia="Times New Roman" w:hAnsi="Arial Narrow" w:cs="Arial"/>
          <w:snapToGrid w:val="0"/>
          <w:sz w:val="18"/>
          <w:szCs w:val="20"/>
        </w:rPr>
      </w:pPr>
      <w:r w:rsidRPr="00DE6CC6">
        <w:rPr>
          <w:rFonts w:ascii="Arial Narrow" w:eastAsia="Times New Roman" w:hAnsi="Arial Narrow" w:cs="Arial"/>
          <w:snapToGrid w:val="0"/>
          <w:sz w:val="18"/>
          <w:szCs w:val="20"/>
        </w:rPr>
        <w:t>Source: Constructed during the evaluation</w:t>
      </w:r>
    </w:p>
    <w:p w14:paraId="2D995E4F" w14:textId="6FFD826F"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There was evidence presented to address most parts of the analytic framework (as outlined in Table</w:t>
      </w:r>
      <w:r w:rsidR="00166551">
        <w:rPr>
          <w:rFonts w:ascii="Times New Roman" w:eastAsia="Calibri" w:hAnsi="Times New Roman" w:cs="Times New Roman"/>
        </w:rPr>
        <w:t xml:space="preserve"> </w:t>
      </w:r>
      <w:r w:rsidRPr="00DE6CC6">
        <w:rPr>
          <w:rFonts w:ascii="Times New Roman" w:eastAsia="Calibri" w:hAnsi="Times New Roman" w:cs="Times New Roman"/>
        </w:rPr>
        <w:t xml:space="preserve">4). However, the evidence presented to show concordance between the clinical utility standard and NGS, the </w:t>
      </w:r>
      <w:proofErr w:type="gramStart"/>
      <w:r w:rsidRPr="00DE6CC6">
        <w:rPr>
          <w:rFonts w:ascii="Times New Roman" w:eastAsia="Calibri" w:hAnsi="Times New Roman" w:cs="Times New Roman"/>
        </w:rPr>
        <w:t>most commonly used</w:t>
      </w:r>
      <w:proofErr w:type="gramEnd"/>
      <w:r w:rsidRPr="00DE6CC6">
        <w:rPr>
          <w:rFonts w:ascii="Times New Roman" w:eastAsia="Calibri" w:hAnsi="Times New Roman" w:cs="Times New Roman"/>
        </w:rPr>
        <w:t xml:space="preserve"> method in Australia, was limited to one small study. Similarly, the evidence presented for clinical effectiveness of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was limited to a naïve comparison between one single arm study using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and a single arm treated with the comparator, docetaxel, from a randomised trial.</w:t>
      </w:r>
    </w:p>
    <w:p w14:paraId="6FC3DB2E" w14:textId="006B40F3" w:rsidR="00DE6CC6" w:rsidRPr="00DE6CC6" w:rsidRDefault="00DE6CC6" w:rsidP="00DE6CC6">
      <w:pPr>
        <w:keepNext/>
        <w:spacing w:before="0" w:after="40"/>
        <w:outlineLvl w:val="4"/>
        <w:rPr>
          <w:rFonts w:ascii="Arial Narrow" w:eastAsia="Times New Roman" w:hAnsi="Arial Narrow" w:cs="Arial"/>
          <w:b/>
          <w:bCs/>
          <w:iCs/>
          <w:sz w:val="20"/>
          <w:szCs w:val="20"/>
        </w:rPr>
      </w:pPr>
      <w:bookmarkStart w:id="4" w:name="_Ref496876353"/>
      <w:r w:rsidRPr="00DE6CC6">
        <w:rPr>
          <w:rFonts w:ascii="Arial Narrow" w:eastAsia="Times New Roman" w:hAnsi="Arial Narrow" w:cs="Arial"/>
          <w:b/>
          <w:bCs/>
          <w:iCs/>
          <w:sz w:val="20"/>
          <w:szCs w:val="20"/>
        </w:rPr>
        <w:lastRenderedPageBreak/>
        <w:t xml:space="preserve">Table </w:t>
      </w:r>
      <w:bookmarkEnd w:id="4"/>
      <w:r w:rsidRPr="00DE6CC6">
        <w:rPr>
          <w:rFonts w:ascii="Arial Narrow" w:eastAsia="Times New Roman" w:hAnsi="Arial Narrow" w:cs="Arial"/>
          <w:b/>
          <w:bCs/>
          <w:iCs/>
          <w:sz w:val="20"/>
          <w:szCs w:val="20"/>
        </w:rPr>
        <w:t>4</w:t>
      </w:r>
      <w:r w:rsidRPr="00DE6CC6">
        <w:rPr>
          <w:rFonts w:ascii="Arial Narrow" w:eastAsia="Times New Roman" w:hAnsi="Arial Narrow" w:cs="Arial"/>
          <w:b/>
          <w:bCs/>
          <w:iCs/>
          <w:sz w:val="20"/>
          <w:szCs w:val="20"/>
        </w:rPr>
        <w:tab/>
        <w:t>Data availability to inform comparisons</w:t>
      </w:r>
    </w:p>
    <w:tbl>
      <w:tblPr>
        <w:tblStyle w:val="HTATableshade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3134"/>
        <w:gridCol w:w="3689"/>
      </w:tblGrid>
      <w:tr w:rsidR="00DE6CC6" w:rsidRPr="00DE6CC6" w14:paraId="1CD5A8DF" w14:textId="77777777" w:rsidTr="007E2C67">
        <w:trPr>
          <w:cnfStyle w:val="100000000000" w:firstRow="1" w:lastRow="0" w:firstColumn="0" w:lastColumn="0" w:oddVBand="0" w:evenVBand="0" w:oddHBand="0" w:evenHBand="0" w:firstRowFirstColumn="0" w:firstRowLastColumn="0" w:lastRowFirstColumn="0" w:lastRowLastColumn="0"/>
        </w:trPr>
        <w:tc>
          <w:tcPr>
            <w:tcW w:w="1216" w:type="pct"/>
            <w:tcBorders>
              <w:top w:val="single" w:sz="4" w:space="0" w:color="000000"/>
              <w:left w:val="single" w:sz="4" w:space="0" w:color="000000"/>
              <w:bottom w:val="single" w:sz="4" w:space="0" w:color="000000"/>
              <w:right w:val="single" w:sz="4" w:space="0" w:color="000000"/>
            </w:tcBorders>
            <w:hideMark/>
          </w:tcPr>
          <w:p w14:paraId="47BC75C9"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Proposed test vs no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23FF8673" w14:textId="77777777" w:rsidR="00DE6CC6" w:rsidRPr="00DE6CC6" w:rsidRDefault="00DE6CC6" w:rsidP="00A15954">
            <w:pPr>
              <w:keepNext/>
              <w:widowControl w:val="0"/>
              <w:spacing w:before="40" w:after="40" w:line="256" w:lineRule="auto"/>
              <w:jc w:val="left"/>
              <w:rPr>
                <w:rFonts w:ascii="Arial Narrow" w:eastAsia="Calibri" w:hAnsi="Arial Narrow"/>
                <w:b/>
                <w:sz w:val="20"/>
              </w:rPr>
            </w:pPr>
            <w:r w:rsidRPr="00DE6CC6">
              <w:rPr>
                <w:rFonts w:ascii="Arial Narrow" w:eastAsia="Calibri" w:hAnsi="Arial Narrow"/>
                <w:sz w:val="20"/>
              </w:rPr>
              <w:t>NGS diagnostic yield: 1 comparative (NGS vs NGS) study and 7 non-comparative studies</w:t>
            </w:r>
          </w:p>
        </w:tc>
      </w:tr>
      <w:tr w:rsidR="00DE6CC6" w:rsidRPr="00DE6CC6" w14:paraId="70FBA54C" w14:textId="77777777" w:rsidTr="007E2C67">
        <w:tc>
          <w:tcPr>
            <w:tcW w:w="1216" w:type="pct"/>
            <w:tcBorders>
              <w:top w:val="single" w:sz="4" w:space="0" w:color="000000"/>
              <w:left w:val="single" w:sz="4" w:space="0" w:color="000000"/>
              <w:bottom w:val="single" w:sz="4" w:space="0" w:color="000000"/>
              <w:right w:val="single" w:sz="4" w:space="0" w:color="000000"/>
            </w:tcBorders>
            <w:hideMark/>
          </w:tcPr>
          <w:p w14:paraId="4BBC243D"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Proposed test vs alternative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0BC71EF7"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 xml:space="preserve">NGS vs </w:t>
            </w:r>
            <w:proofErr w:type="spellStart"/>
            <w:r w:rsidRPr="00DE6CC6">
              <w:rPr>
                <w:rFonts w:ascii="Arial Narrow" w:eastAsia="Calibri" w:hAnsi="Arial Narrow"/>
                <w:i/>
                <w:sz w:val="20"/>
              </w:rPr>
              <w:t>therascreen</w:t>
            </w:r>
            <w:proofErr w:type="spellEnd"/>
            <w:r w:rsidRPr="00DE6CC6">
              <w:rPr>
                <w:rFonts w:ascii="Arial Narrow" w:eastAsia="Calibri" w:hAnsi="Arial Narrow"/>
                <w:i/>
                <w:sz w:val="20"/>
              </w:rPr>
              <w:t xml:space="preserve"> KRAS</w:t>
            </w:r>
            <w:r w:rsidRPr="00DE6CC6">
              <w:rPr>
                <w:rFonts w:ascii="Arial Narrow" w:eastAsia="Calibri" w:hAnsi="Arial Narrow"/>
                <w:sz w:val="20"/>
              </w:rPr>
              <w:t xml:space="preserve"> PCR test (clinical utility standard): 1 comparative study</w:t>
            </w:r>
          </w:p>
        </w:tc>
      </w:tr>
      <w:tr w:rsidR="00DE6CC6" w:rsidRPr="00DE6CC6" w14:paraId="7B87B519" w14:textId="77777777" w:rsidTr="007E2C67">
        <w:tc>
          <w:tcPr>
            <w:tcW w:w="1216" w:type="pct"/>
            <w:tcBorders>
              <w:top w:val="single" w:sz="4" w:space="0" w:color="000000"/>
              <w:left w:val="single" w:sz="4" w:space="0" w:color="000000"/>
              <w:bottom w:val="single" w:sz="4" w:space="0" w:color="000000"/>
              <w:right w:val="single" w:sz="4" w:space="0" w:color="000000"/>
            </w:tcBorders>
          </w:tcPr>
          <w:p w14:paraId="01013DF6" w14:textId="77777777" w:rsidR="00DE6CC6" w:rsidRPr="00DE6CC6" w:rsidRDefault="00DE6CC6" w:rsidP="00A15954">
            <w:pPr>
              <w:keepNext/>
              <w:widowControl w:val="0"/>
              <w:spacing w:before="40" w:after="40" w:line="256" w:lineRule="auto"/>
              <w:jc w:val="left"/>
              <w:rPr>
                <w:rFonts w:ascii="Arial Narrow" w:eastAsia="Calibri" w:hAnsi="Arial Narrow"/>
                <w:sz w:val="20"/>
              </w:rPr>
            </w:pPr>
          </w:p>
        </w:tc>
        <w:tc>
          <w:tcPr>
            <w:tcW w:w="1738" w:type="pct"/>
            <w:tcBorders>
              <w:top w:val="single" w:sz="4" w:space="0" w:color="000000"/>
              <w:left w:val="single" w:sz="4" w:space="0" w:color="000000"/>
              <w:bottom w:val="single" w:sz="4" w:space="0" w:color="000000"/>
              <w:right w:val="single" w:sz="4" w:space="0" w:color="000000"/>
            </w:tcBorders>
            <w:hideMark/>
          </w:tcPr>
          <w:p w14:paraId="27B2C8D5" w14:textId="77777777" w:rsidR="00DE6CC6" w:rsidRPr="00DE6CC6" w:rsidRDefault="00DE6CC6" w:rsidP="00A15954">
            <w:pPr>
              <w:keepNext/>
              <w:widowControl w:val="0"/>
              <w:spacing w:before="40" w:after="40" w:line="256" w:lineRule="auto"/>
              <w:jc w:val="left"/>
              <w:rPr>
                <w:rFonts w:ascii="Arial Narrow" w:eastAsia="Calibri" w:hAnsi="Arial Narrow"/>
                <w:b/>
                <w:sz w:val="20"/>
              </w:rPr>
            </w:pPr>
            <w:r w:rsidRPr="00DE6CC6">
              <w:rPr>
                <w:rFonts w:ascii="Arial Narrow" w:eastAsia="Calibri" w:hAnsi="Arial Narrow"/>
                <w:b/>
                <w:sz w:val="20"/>
              </w:rPr>
              <w:t>Proposed medicine (</w:t>
            </w:r>
            <w:proofErr w:type="spellStart"/>
            <w:r w:rsidRPr="00DE6CC6">
              <w:rPr>
                <w:rFonts w:ascii="Arial Narrow" w:eastAsia="Calibri" w:hAnsi="Arial Narrow"/>
                <w:b/>
                <w:sz w:val="20"/>
              </w:rPr>
              <w:t>sotorasib</w:t>
            </w:r>
            <w:proofErr w:type="spellEnd"/>
            <w:r w:rsidRPr="00DE6CC6">
              <w:rPr>
                <w:rFonts w:ascii="Arial Narrow" w:eastAsia="Calibri" w:hAnsi="Arial Narrow"/>
                <w:b/>
                <w:sz w:val="20"/>
              </w:rPr>
              <w:t>)</w:t>
            </w:r>
          </w:p>
        </w:tc>
        <w:tc>
          <w:tcPr>
            <w:tcW w:w="2046" w:type="pct"/>
            <w:tcBorders>
              <w:top w:val="single" w:sz="4" w:space="0" w:color="000000"/>
              <w:left w:val="single" w:sz="4" w:space="0" w:color="000000"/>
              <w:bottom w:val="single" w:sz="4" w:space="0" w:color="000000"/>
              <w:right w:val="single" w:sz="4" w:space="0" w:color="000000"/>
            </w:tcBorders>
            <w:hideMark/>
          </w:tcPr>
          <w:p w14:paraId="10CF4B48" w14:textId="77777777" w:rsidR="00DE6CC6" w:rsidRPr="00DE6CC6" w:rsidRDefault="00DE6CC6" w:rsidP="00A15954">
            <w:pPr>
              <w:keepNext/>
              <w:widowControl w:val="0"/>
              <w:spacing w:before="40" w:after="40" w:line="256" w:lineRule="auto"/>
              <w:jc w:val="left"/>
              <w:rPr>
                <w:rFonts w:ascii="Arial Narrow" w:eastAsia="Calibri" w:hAnsi="Arial Narrow"/>
                <w:b/>
                <w:sz w:val="20"/>
              </w:rPr>
            </w:pPr>
            <w:r w:rsidRPr="00DE6CC6">
              <w:rPr>
                <w:rFonts w:ascii="Arial Narrow" w:eastAsia="Calibri" w:hAnsi="Arial Narrow"/>
                <w:b/>
                <w:sz w:val="20"/>
              </w:rPr>
              <w:t>Comparator medicine (docetaxel)</w:t>
            </w:r>
          </w:p>
        </w:tc>
      </w:tr>
      <w:tr w:rsidR="00DE6CC6" w:rsidRPr="00DE6CC6" w14:paraId="162972FD" w14:textId="77777777" w:rsidTr="007E2C67">
        <w:tc>
          <w:tcPr>
            <w:tcW w:w="1216" w:type="pct"/>
            <w:tcBorders>
              <w:top w:val="single" w:sz="4" w:space="0" w:color="000000"/>
              <w:left w:val="single" w:sz="4" w:space="0" w:color="000000"/>
              <w:bottom w:val="single" w:sz="4" w:space="0" w:color="000000"/>
              <w:right w:val="single" w:sz="4" w:space="0" w:color="000000"/>
            </w:tcBorders>
            <w:hideMark/>
          </w:tcPr>
          <w:p w14:paraId="203B8186"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Biomarker test positive</w:t>
            </w:r>
          </w:p>
          <w:p w14:paraId="25E4B019"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w:t>
            </w:r>
            <w:r w:rsidRPr="00DE6CC6">
              <w:rPr>
                <w:rFonts w:ascii="Arial Narrow" w:eastAsia="Calibri" w:hAnsi="Arial Narrow"/>
                <w:i/>
                <w:sz w:val="20"/>
              </w:rPr>
              <w:t>KRAS</w:t>
            </w:r>
            <w:r w:rsidRPr="00DE6CC6">
              <w:rPr>
                <w:rFonts w:ascii="Arial Narrow" w:eastAsia="Calibri" w:hAnsi="Arial Narrow"/>
                <w:sz w:val="20"/>
              </w:rPr>
              <w:t xml:space="preserve"> G12C variant)</w:t>
            </w:r>
          </w:p>
        </w:tc>
        <w:tc>
          <w:tcPr>
            <w:tcW w:w="1738" w:type="pct"/>
            <w:tcBorders>
              <w:top w:val="single" w:sz="4" w:space="0" w:color="000000"/>
              <w:left w:val="single" w:sz="4" w:space="0" w:color="000000"/>
              <w:bottom w:val="single" w:sz="4" w:space="0" w:color="000000"/>
              <w:right w:val="single" w:sz="4" w:space="0" w:color="000000"/>
            </w:tcBorders>
            <w:hideMark/>
          </w:tcPr>
          <w:p w14:paraId="51446E52" w14:textId="77777777" w:rsidR="00DE6CC6" w:rsidRPr="00DE6CC6" w:rsidRDefault="00DE6CC6" w:rsidP="00A15954">
            <w:pPr>
              <w:keepNext/>
              <w:widowControl w:val="0"/>
              <w:spacing w:before="40" w:after="40" w:line="256" w:lineRule="auto"/>
              <w:jc w:val="left"/>
              <w:rPr>
                <w:rFonts w:ascii="Arial Narrow" w:eastAsia="Calibri" w:hAnsi="Arial Narrow"/>
                <w:sz w:val="20"/>
              </w:rPr>
            </w:pPr>
            <w:proofErr w:type="spellStart"/>
            <w:r w:rsidRPr="00DE6CC6">
              <w:rPr>
                <w:rFonts w:ascii="Arial Narrow" w:eastAsia="Calibri" w:hAnsi="Arial Narrow"/>
                <w:sz w:val="20"/>
              </w:rPr>
              <w:t>CodeBreak</w:t>
            </w:r>
            <w:proofErr w:type="spellEnd"/>
            <w:r w:rsidRPr="00DE6CC6">
              <w:rPr>
                <w:rFonts w:ascii="Arial Narrow" w:eastAsia="Calibri" w:hAnsi="Arial Narrow"/>
                <w:sz w:val="20"/>
              </w:rPr>
              <w:t xml:space="preserve"> 100 single-arm study</w:t>
            </w:r>
          </w:p>
        </w:tc>
        <w:tc>
          <w:tcPr>
            <w:tcW w:w="2046" w:type="pct"/>
            <w:tcBorders>
              <w:top w:val="single" w:sz="4" w:space="0" w:color="000000"/>
              <w:left w:val="single" w:sz="4" w:space="0" w:color="000000"/>
              <w:bottom w:val="single" w:sz="4" w:space="0" w:color="000000"/>
              <w:right w:val="single" w:sz="4" w:space="0" w:color="000000"/>
            </w:tcBorders>
            <w:hideMark/>
          </w:tcPr>
          <w:p w14:paraId="49492551"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Docetaxel arm from the SELECT-1 study</w:t>
            </w:r>
          </w:p>
        </w:tc>
      </w:tr>
      <w:tr w:rsidR="00DE6CC6" w:rsidRPr="00DE6CC6" w14:paraId="42E5569E" w14:textId="77777777" w:rsidTr="007E2C67">
        <w:tc>
          <w:tcPr>
            <w:tcW w:w="1216" w:type="pct"/>
            <w:tcBorders>
              <w:top w:val="single" w:sz="4" w:space="0" w:color="000000"/>
              <w:left w:val="single" w:sz="4" w:space="0" w:color="000000"/>
              <w:bottom w:val="single" w:sz="4" w:space="0" w:color="000000"/>
              <w:right w:val="single" w:sz="4" w:space="0" w:color="000000"/>
            </w:tcBorders>
            <w:hideMark/>
          </w:tcPr>
          <w:p w14:paraId="4F2D103A" w14:textId="77777777" w:rsidR="00DE6CC6" w:rsidRPr="00DE6CC6" w:rsidRDefault="00DE6CC6" w:rsidP="00A15954">
            <w:pPr>
              <w:keepNext/>
              <w:widowControl w:val="0"/>
              <w:spacing w:before="40" w:after="40" w:line="256" w:lineRule="auto"/>
              <w:jc w:val="left"/>
              <w:rPr>
                <w:rFonts w:ascii="Arial Narrow" w:eastAsia="Calibri" w:hAnsi="Arial Narrow"/>
                <w:b/>
                <w:sz w:val="20"/>
              </w:rPr>
            </w:pPr>
            <w:r w:rsidRPr="00DE6CC6">
              <w:rPr>
                <w:rFonts w:ascii="Arial Narrow" w:eastAsia="Calibri" w:hAnsi="Arial Narrow"/>
                <w:sz w:val="20"/>
              </w:rPr>
              <w:t>Biomarker test negative</w:t>
            </w:r>
          </w:p>
          <w:p w14:paraId="0ED46361"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w:t>
            </w:r>
            <w:r w:rsidRPr="00DE6CC6">
              <w:rPr>
                <w:rFonts w:ascii="Arial Narrow" w:eastAsia="Calibri" w:hAnsi="Arial Narrow"/>
                <w:i/>
                <w:sz w:val="20"/>
              </w:rPr>
              <w:t>KRAS</w:t>
            </w:r>
            <w:r w:rsidRPr="00DE6CC6">
              <w:rPr>
                <w:rFonts w:ascii="Arial Narrow" w:eastAsia="Calibri" w:hAnsi="Arial Narrow"/>
                <w:sz w:val="20"/>
              </w:rPr>
              <w:t xml:space="preserve"> non-G12C and </w:t>
            </w:r>
            <w:r w:rsidRPr="00DE6CC6">
              <w:rPr>
                <w:rFonts w:ascii="Arial Narrow" w:eastAsia="Calibri" w:hAnsi="Arial Narrow"/>
                <w:i/>
                <w:sz w:val="20"/>
              </w:rPr>
              <w:t>KRAS</w:t>
            </w:r>
            <w:r w:rsidRPr="00DE6CC6">
              <w:rPr>
                <w:rFonts w:ascii="Arial Narrow" w:eastAsia="Calibri" w:hAnsi="Arial Narrow"/>
                <w:sz w:val="20"/>
              </w:rPr>
              <w:t xml:space="preserve"> wild type)</w:t>
            </w:r>
          </w:p>
        </w:tc>
        <w:tc>
          <w:tcPr>
            <w:tcW w:w="1738" w:type="pct"/>
            <w:tcBorders>
              <w:top w:val="single" w:sz="4" w:space="0" w:color="000000"/>
              <w:left w:val="single" w:sz="4" w:space="0" w:color="000000"/>
              <w:bottom w:val="single" w:sz="4" w:space="0" w:color="000000"/>
              <w:right w:val="single" w:sz="4" w:space="0" w:color="000000"/>
            </w:tcBorders>
            <w:hideMark/>
          </w:tcPr>
          <w:p w14:paraId="04F53FB5"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No evidence presented</w:t>
            </w:r>
          </w:p>
        </w:tc>
        <w:tc>
          <w:tcPr>
            <w:tcW w:w="2046" w:type="pct"/>
            <w:tcBorders>
              <w:top w:val="single" w:sz="4" w:space="0" w:color="000000"/>
              <w:left w:val="single" w:sz="4" w:space="0" w:color="000000"/>
              <w:bottom w:val="single" w:sz="4" w:space="0" w:color="000000"/>
              <w:right w:val="single" w:sz="4" w:space="0" w:color="000000"/>
            </w:tcBorders>
            <w:hideMark/>
          </w:tcPr>
          <w:p w14:paraId="4F99B076"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Docetaxel arm from the SELECT-1 study</w:t>
            </w:r>
          </w:p>
          <w:p w14:paraId="56137110" w14:textId="77777777" w:rsidR="00DE6CC6" w:rsidRPr="00DE6CC6" w:rsidRDefault="00DE6CC6" w:rsidP="00A15954">
            <w:pPr>
              <w:keepNext/>
              <w:widowControl w:val="0"/>
              <w:spacing w:before="40" w:after="40" w:line="256" w:lineRule="auto"/>
              <w:jc w:val="left"/>
              <w:rPr>
                <w:rFonts w:ascii="Arial Narrow" w:eastAsia="Calibri" w:hAnsi="Arial Narrow"/>
                <w:sz w:val="20"/>
              </w:rPr>
            </w:pPr>
            <w:r w:rsidRPr="00DE6CC6">
              <w:rPr>
                <w:rFonts w:ascii="Arial Narrow" w:eastAsia="Calibri" w:hAnsi="Arial Narrow"/>
                <w:sz w:val="20"/>
              </w:rPr>
              <w:t xml:space="preserve">(included patients with </w:t>
            </w:r>
            <w:r w:rsidRPr="00DE6CC6">
              <w:rPr>
                <w:rFonts w:ascii="Arial Narrow" w:eastAsia="Calibri" w:hAnsi="Arial Narrow"/>
                <w:i/>
                <w:sz w:val="20"/>
              </w:rPr>
              <w:t>KRAS</w:t>
            </w:r>
            <w:r w:rsidRPr="00DE6CC6">
              <w:rPr>
                <w:rFonts w:ascii="Arial Narrow" w:eastAsia="Calibri" w:hAnsi="Arial Narrow"/>
                <w:sz w:val="20"/>
              </w:rPr>
              <w:t xml:space="preserve"> non-G12C variants)</w:t>
            </w:r>
          </w:p>
        </w:tc>
      </w:tr>
    </w:tbl>
    <w:p w14:paraId="7338C323" w14:textId="77777777" w:rsidR="00DE6CC6" w:rsidRPr="00DE6CC6" w:rsidRDefault="00DE6CC6" w:rsidP="00A15954">
      <w:pPr>
        <w:keepNext/>
        <w:widowControl w:val="0"/>
        <w:spacing w:before="40" w:after="240"/>
        <w:contextualSpacing/>
        <w:rPr>
          <w:rFonts w:ascii="Arial Narrow" w:eastAsia="Times New Roman" w:hAnsi="Arial Narrow" w:cs="Arial"/>
          <w:snapToGrid w:val="0"/>
          <w:sz w:val="18"/>
          <w:szCs w:val="20"/>
        </w:rPr>
      </w:pPr>
      <w:r w:rsidRPr="00DE6CC6">
        <w:rPr>
          <w:rFonts w:ascii="Arial Narrow" w:eastAsia="Times New Roman" w:hAnsi="Arial Narrow" w:cs="Arial"/>
          <w:i/>
          <w:snapToGrid w:val="0"/>
          <w:sz w:val="18"/>
          <w:szCs w:val="20"/>
        </w:rPr>
        <w:t>KRAS</w:t>
      </w:r>
      <w:r w:rsidRPr="00DE6CC6">
        <w:rPr>
          <w:rFonts w:ascii="Arial Narrow" w:eastAsia="Times New Roman" w:hAnsi="Arial Narrow" w:cs="Arial"/>
          <w:snapToGrid w:val="0"/>
          <w:sz w:val="18"/>
          <w:szCs w:val="20"/>
        </w:rPr>
        <w:t xml:space="preserve"> = Kirsten rat sarcoma viral oncogene homologue; NGS = next generation sequencing; PCR = polymerase chain reaction</w:t>
      </w:r>
    </w:p>
    <w:p w14:paraId="63A30A74" w14:textId="77777777" w:rsidR="00DE6CC6" w:rsidRPr="00DE6CC6" w:rsidRDefault="00DE6CC6" w:rsidP="00A15954">
      <w:pPr>
        <w:widowControl w:val="0"/>
        <w:spacing w:before="40" w:after="240"/>
        <w:rPr>
          <w:rFonts w:ascii="Arial Narrow" w:eastAsia="Times New Roman" w:hAnsi="Arial Narrow" w:cs="Arial"/>
          <w:snapToGrid w:val="0"/>
          <w:sz w:val="18"/>
          <w:szCs w:val="20"/>
        </w:rPr>
      </w:pPr>
      <w:r w:rsidRPr="00DE6CC6">
        <w:rPr>
          <w:rFonts w:ascii="Arial Narrow" w:eastAsia="Times New Roman" w:hAnsi="Arial Narrow" w:cs="Arial"/>
          <w:snapToGrid w:val="0"/>
          <w:sz w:val="18"/>
          <w:szCs w:val="20"/>
        </w:rPr>
        <w:t>Source: Sections 2B and 2D of the submission, as well as additional data identified during the evaluation</w:t>
      </w:r>
    </w:p>
    <w:p w14:paraId="00D4DDFC" w14:textId="1895038C" w:rsidR="00DE6CC6" w:rsidRPr="00DE6CC6" w:rsidRDefault="00DE6CC6" w:rsidP="007E2C67">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 study reporting concordance between NGS and the clinical utility standard, only enrolled NSCLC patients with a clinical indication for pathogenic </w:t>
      </w:r>
      <w:r w:rsidRPr="00DE6CC6">
        <w:rPr>
          <w:rFonts w:ascii="Times New Roman" w:eastAsia="Calibri" w:hAnsi="Times New Roman" w:cs="Times New Roman"/>
          <w:i/>
        </w:rPr>
        <w:t>EGFR</w:t>
      </w:r>
      <w:r w:rsidRPr="00DE6CC6">
        <w:rPr>
          <w:rFonts w:ascii="Times New Roman" w:eastAsia="Calibri" w:hAnsi="Times New Roman" w:cs="Times New Roman"/>
        </w:rPr>
        <w:t xml:space="preserve"> variant testing. This clinical indication was not described and may have a different spectrum of patients who were tested compared to those tested in the Australian clinical setting. This may have increased the uncertainty as to whether the results are applicable for the target population in Australia.</w:t>
      </w:r>
    </w:p>
    <w:p w14:paraId="0154B7DC" w14:textId="77777777" w:rsidR="00DE6CC6" w:rsidRPr="00DE6CC6" w:rsidRDefault="00DE6CC6" w:rsidP="007E2C67">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 evidence to support the comparative clinical benefit of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was based on an unanchored </w:t>
      </w:r>
      <w:r w:rsidRPr="00DE6CC6">
        <w:rPr>
          <w:rFonts w:ascii="Times New Roman" w:eastAsia="Calibri" w:hAnsi="Times New Roman" w:cs="Times New Roman"/>
          <w:vertAlign w:val="superscript"/>
        </w:rPr>
        <w:footnoteReference w:id="1"/>
      </w:r>
      <w:r w:rsidRPr="00DE6CC6">
        <w:rPr>
          <w:rFonts w:ascii="Times New Roman" w:eastAsia="Calibri" w:hAnsi="Times New Roman" w:cs="Times New Roman"/>
        </w:rPr>
        <w:t xml:space="preserve">matching adjusted indirect comparison (MAIC) between data from the single arm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study enrolling advanced NSCLC patients with a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 and the single arm SoC (docetaxel) from a randomised trial enrolling advanced NSCLC </w:t>
      </w:r>
      <w:proofErr w:type="gramStart"/>
      <w:r w:rsidRPr="00DE6CC6">
        <w:rPr>
          <w:rFonts w:ascii="Times New Roman" w:eastAsia="Calibri" w:hAnsi="Times New Roman" w:cs="Times New Roman"/>
        </w:rPr>
        <w:t>patients</w:t>
      </w:r>
      <w:proofErr w:type="gramEnd"/>
      <w:r w:rsidRPr="00DE6CC6">
        <w:rPr>
          <w:rFonts w:ascii="Times New Roman" w:eastAsia="Calibri" w:hAnsi="Times New Roman" w:cs="Times New Roman"/>
        </w:rPr>
        <w:t xml:space="preserve"> with a pathogenic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 (41%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Unanchored MAICs are associated with a high risk of bias.</w:t>
      </w:r>
    </w:p>
    <w:p w14:paraId="2A1E25F3" w14:textId="77777777" w:rsidR="00DE6CC6" w:rsidRPr="00DE6CC6" w:rsidRDefault="00DE6CC6" w:rsidP="007E2C67">
      <w:pPr>
        <w:keepNext/>
        <w:keepLines/>
        <w:spacing w:before="0" w:after="0"/>
        <w:jc w:val="left"/>
        <w:outlineLvl w:val="1"/>
        <w:rPr>
          <w:rFonts w:ascii="Times New Roman" w:eastAsia="Times New Roman" w:hAnsi="Times New Roman" w:cs="Times New Roman"/>
          <w:bCs/>
          <w:i/>
          <w:szCs w:val="26"/>
          <w:lang w:eastAsia="en-AU"/>
        </w:rPr>
      </w:pPr>
      <w:r w:rsidRPr="00DE6CC6">
        <w:rPr>
          <w:rFonts w:ascii="Times New Roman" w:eastAsia="Times New Roman" w:hAnsi="Times New Roman" w:cs="Times New Roman"/>
          <w:bCs/>
          <w:i/>
          <w:szCs w:val="26"/>
          <w:lang w:eastAsia="en-AU"/>
        </w:rPr>
        <w:t>Effectiveness (based on linked evidence)</w:t>
      </w:r>
    </w:p>
    <w:p w14:paraId="61A2B500" w14:textId="77777777" w:rsidR="00DE6CC6" w:rsidRPr="00DE6CC6" w:rsidRDefault="00DE6CC6" w:rsidP="007E2C67">
      <w:pPr>
        <w:keepNext/>
        <w:keepLines/>
        <w:spacing w:before="40" w:after="0"/>
        <w:jc w:val="left"/>
        <w:outlineLvl w:val="2"/>
        <w:rPr>
          <w:rFonts w:ascii="Times New Roman" w:eastAsia="Times New Roman" w:hAnsi="Times New Roman" w:cs="Times New Roman"/>
          <w:szCs w:val="24"/>
          <w:u w:val="single"/>
          <w:lang w:eastAsia="en-AU"/>
        </w:rPr>
      </w:pPr>
      <w:r w:rsidRPr="00DE6CC6">
        <w:rPr>
          <w:rFonts w:ascii="Times New Roman" w:eastAsia="Times New Roman" w:hAnsi="Times New Roman" w:cs="Times New Roman"/>
          <w:szCs w:val="24"/>
          <w:u w:val="single"/>
          <w:lang w:eastAsia="en-AU"/>
        </w:rPr>
        <w:t>Prognostic evidence</w:t>
      </w:r>
    </w:p>
    <w:p w14:paraId="3A06AAC3" w14:textId="77777777" w:rsidR="00DE6CC6" w:rsidRPr="00DE6CC6" w:rsidRDefault="00DE6CC6" w:rsidP="007E2C67">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Thirteen studies reported the median progression-free survival (PFS) and/or overall survival (OS) for patients with advanced NSCLC with a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alteration and/or the hazard ratio (HR) when compared to patients with either </w:t>
      </w:r>
      <w:r w:rsidRPr="00DE6CC6">
        <w:rPr>
          <w:rFonts w:ascii="Times New Roman" w:eastAsia="Calibri" w:hAnsi="Times New Roman" w:cs="Times New Roman"/>
          <w:i/>
        </w:rPr>
        <w:t>KRAS</w:t>
      </w:r>
      <w:r w:rsidRPr="00DE6CC6">
        <w:rPr>
          <w:rFonts w:ascii="Times New Roman" w:eastAsia="Calibri" w:hAnsi="Times New Roman" w:cs="Times New Roman"/>
        </w:rPr>
        <w:t xml:space="preserve"> wild type (WT) or other </w:t>
      </w:r>
      <w:r w:rsidRPr="00DE6CC6">
        <w:rPr>
          <w:rFonts w:ascii="Times New Roman" w:eastAsia="Calibri" w:hAnsi="Times New Roman" w:cs="Times New Roman"/>
          <w:i/>
        </w:rPr>
        <w:t>KRAS</w:t>
      </w:r>
      <w:r w:rsidRPr="00DE6CC6">
        <w:rPr>
          <w:rFonts w:ascii="Times New Roman" w:eastAsia="Calibri" w:hAnsi="Times New Roman" w:cs="Times New Roman"/>
        </w:rPr>
        <w:t xml:space="preserve"> pathogenic variants. All except two studies were of good quality with a low risk of bias.</w:t>
      </w:r>
    </w:p>
    <w:p w14:paraId="2CD1D042" w14:textId="77777777" w:rsidR="00DE6CC6" w:rsidRPr="00DE6CC6" w:rsidRDefault="00DE6CC6" w:rsidP="007E2C67">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Whereas some studies (k=6) reported that non-squamous NSCLC patients with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variants had better or worse PFS and/or OS than those with either other KRAS variants or </w:t>
      </w:r>
      <w:r w:rsidRPr="00DE6CC6">
        <w:rPr>
          <w:rFonts w:ascii="Times New Roman" w:eastAsia="Calibri" w:hAnsi="Times New Roman" w:cs="Times New Roman"/>
          <w:i/>
        </w:rPr>
        <w:t>KRAS</w:t>
      </w:r>
      <w:r w:rsidRPr="00DE6CC6">
        <w:rPr>
          <w:rFonts w:ascii="Times New Roman" w:eastAsia="Calibri" w:hAnsi="Times New Roman" w:cs="Times New Roman"/>
        </w:rPr>
        <w:t xml:space="preserve"> WT, seven studies showed no significant differences.</w:t>
      </w:r>
    </w:p>
    <w:p w14:paraId="082F5084" w14:textId="77777777" w:rsidR="00DE6CC6" w:rsidRPr="00DE6CC6" w:rsidRDefault="00DE6CC6" w:rsidP="007E2C67">
      <w:pPr>
        <w:spacing w:before="0" w:after="240"/>
        <w:jc w:val="left"/>
        <w:rPr>
          <w:rFonts w:ascii="Times New Roman" w:eastAsia="Calibri" w:hAnsi="Times New Roman" w:cs="Times New Roman"/>
        </w:rPr>
      </w:pPr>
      <w:r w:rsidRPr="00DE6CC6">
        <w:rPr>
          <w:rFonts w:ascii="Times New Roman" w:eastAsia="Calibri" w:hAnsi="Times New Roman" w:cs="Times New Roman"/>
        </w:rPr>
        <w:t>Thus, the commentary considered the results presented in the submission and the findings in the evaluation report were inconclusive.</w:t>
      </w:r>
    </w:p>
    <w:p w14:paraId="1A3097F2" w14:textId="77777777" w:rsidR="00DE6CC6" w:rsidRPr="00DE6CC6" w:rsidRDefault="00DE6CC6" w:rsidP="007E2C67">
      <w:pPr>
        <w:keepNext/>
        <w:keepLines/>
        <w:spacing w:before="40" w:after="0"/>
        <w:jc w:val="left"/>
        <w:outlineLvl w:val="2"/>
        <w:rPr>
          <w:rFonts w:ascii="Times New Roman" w:eastAsia="Times New Roman" w:hAnsi="Times New Roman" w:cs="Times New Roman"/>
          <w:szCs w:val="24"/>
          <w:u w:val="single"/>
          <w:lang w:eastAsia="en-AU"/>
        </w:rPr>
      </w:pPr>
      <w:r w:rsidRPr="00DE6CC6">
        <w:rPr>
          <w:rFonts w:ascii="Times New Roman" w:eastAsia="Times New Roman" w:hAnsi="Times New Roman" w:cs="Times New Roman"/>
          <w:szCs w:val="24"/>
          <w:u w:val="single"/>
          <w:lang w:eastAsia="en-AU"/>
        </w:rPr>
        <w:t>Comparative analytical performance</w:t>
      </w:r>
    </w:p>
    <w:p w14:paraId="5541D709" w14:textId="77777777" w:rsidR="00DE6CC6" w:rsidRPr="00DE6CC6" w:rsidRDefault="00DE6CC6" w:rsidP="007E2C67">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One study screened </w:t>
      </w:r>
      <w:r w:rsidRPr="00DE6CC6">
        <w:rPr>
          <w:rFonts w:ascii="Times New Roman" w:eastAsia="Calibri" w:hAnsi="Times New Roman" w:cs="Times New Roman"/>
          <w:i/>
        </w:rPr>
        <w:t>EGFR</w:t>
      </w:r>
      <w:r w:rsidRPr="00DE6CC6">
        <w:rPr>
          <w:rFonts w:ascii="Times New Roman" w:eastAsia="Calibri" w:hAnsi="Times New Roman" w:cs="Times New Roman"/>
        </w:rPr>
        <w:t xml:space="preserve"> and </w:t>
      </w:r>
      <w:r w:rsidRPr="00DE6CC6">
        <w:rPr>
          <w:rFonts w:ascii="Times New Roman" w:eastAsia="Calibri" w:hAnsi="Times New Roman" w:cs="Times New Roman"/>
          <w:i/>
        </w:rPr>
        <w:t>KRAS</w:t>
      </w:r>
      <w:r w:rsidRPr="00DE6CC6">
        <w:rPr>
          <w:rFonts w:ascii="Times New Roman" w:eastAsia="Calibri" w:hAnsi="Times New Roman" w:cs="Times New Roman"/>
        </w:rPr>
        <w:t xml:space="preserve"> pathogenic variants by targeted NGS and commonly used real-time PCR methods (including the clinical utility standard, </w:t>
      </w:r>
      <w:proofErr w:type="spellStart"/>
      <w:r w:rsidRPr="00DE6CC6">
        <w:rPr>
          <w:rFonts w:ascii="Times New Roman" w:eastAsia="Calibri" w:hAnsi="Times New Roman" w:cs="Times New Roman"/>
          <w:i/>
          <w:iCs/>
        </w:rPr>
        <w:t>t</w:t>
      </w:r>
      <w:r w:rsidRPr="00DE6CC6">
        <w:rPr>
          <w:rFonts w:ascii="Times New Roman" w:eastAsia="Calibri" w:hAnsi="Times New Roman" w:cs="Times New Roman"/>
          <w:i/>
        </w:rPr>
        <w:t>herascreen</w:t>
      </w:r>
      <w:proofErr w:type="spellEnd"/>
      <w:r w:rsidRPr="00DE6CC6">
        <w:rPr>
          <w:rFonts w:ascii="Times New Roman" w:eastAsia="Calibri" w:hAnsi="Times New Roman" w:cs="Times New Roman"/>
        </w:rPr>
        <w:t xml:space="preserve"> </w:t>
      </w:r>
      <w:r w:rsidRPr="00DE6CC6">
        <w:rPr>
          <w:rFonts w:ascii="Times New Roman" w:eastAsia="Calibri" w:hAnsi="Times New Roman" w:cs="Times New Roman"/>
          <w:i/>
        </w:rPr>
        <w:t>KRAS</w:t>
      </w:r>
      <w:r w:rsidRPr="00DE6CC6">
        <w:rPr>
          <w:rFonts w:ascii="Times New Roman" w:eastAsia="Calibri" w:hAnsi="Times New Roman" w:cs="Times New Roman"/>
        </w:rPr>
        <w:t xml:space="preserve"> PCR kit and the </w:t>
      </w:r>
      <w:proofErr w:type="spellStart"/>
      <w:r w:rsidRPr="00DE6CC6">
        <w:rPr>
          <w:rFonts w:ascii="Times New Roman" w:eastAsia="Calibri" w:hAnsi="Times New Roman" w:cs="Times New Roman"/>
        </w:rPr>
        <w:t>cobas</w:t>
      </w:r>
      <w:proofErr w:type="spellEnd"/>
      <w:r w:rsidRPr="00DE6CC6">
        <w:rPr>
          <w:rFonts w:ascii="Times New Roman" w:eastAsia="Calibri" w:hAnsi="Times New Roman" w:cs="Times New Roman"/>
        </w:rPr>
        <w:t xml:space="preserve"> </w:t>
      </w:r>
      <w:r w:rsidRPr="00DE6CC6">
        <w:rPr>
          <w:rFonts w:ascii="Times New Roman" w:eastAsia="Calibri" w:hAnsi="Times New Roman" w:cs="Times New Roman"/>
          <w:i/>
        </w:rPr>
        <w:t>KRAS</w:t>
      </w:r>
      <w:r w:rsidRPr="00DE6CC6">
        <w:rPr>
          <w:rFonts w:ascii="Times New Roman" w:eastAsia="Calibri" w:hAnsi="Times New Roman" w:cs="Times New Roman"/>
        </w:rPr>
        <w:t xml:space="preserve"> Mutation Test used in the comparator SELECT-1 trial) to evaluate the feasibility of using targeted NGS for the detection of the variants.</w:t>
      </w:r>
    </w:p>
    <w:p w14:paraId="59E34FFB" w14:textId="7B838B85" w:rsidR="00DE6CC6" w:rsidRPr="00DE6CC6" w:rsidRDefault="00DE6CC6" w:rsidP="007E2C67">
      <w:pPr>
        <w:spacing w:before="0" w:after="240"/>
        <w:jc w:val="left"/>
        <w:rPr>
          <w:rFonts w:ascii="Times New Roman" w:eastAsia="Calibri" w:hAnsi="Times New Roman" w:cs="Times New Roman"/>
        </w:rPr>
      </w:pPr>
      <w:r w:rsidRPr="00DE6CC6">
        <w:rPr>
          <w:rFonts w:ascii="Times New Roman" w:eastAsia="Calibri" w:hAnsi="Times New Roman" w:cs="Times New Roman"/>
        </w:rPr>
        <w:lastRenderedPageBreak/>
        <w:t xml:space="preserve">The positive percent agreement (PPA) between NGS and the </w:t>
      </w:r>
      <w:proofErr w:type="spellStart"/>
      <w:r w:rsidRPr="00DE6CC6">
        <w:rPr>
          <w:rFonts w:ascii="Times New Roman" w:eastAsia="Calibri" w:hAnsi="Times New Roman" w:cs="Times New Roman"/>
          <w:i/>
        </w:rPr>
        <w:t>therascreen</w:t>
      </w:r>
      <w:proofErr w:type="spellEnd"/>
      <w:r w:rsidRPr="00DE6CC6">
        <w:rPr>
          <w:rFonts w:ascii="Times New Roman" w:eastAsia="Calibri" w:hAnsi="Times New Roman" w:cs="Times New Roman"/>
        </w:rPr>
        <w:t xml:space="preserve"> </w:t>
      </w:r>
      <w:r w:rsidRPr="00DE6CC6">
        <w:rPr>
          <w:rFonts w:ascii="Times New Roman" w:eastAsia="Calibri" w:hAnsi="Times New Roman" w:cs="Times New Roman"/>
          <w:i/>
        </w:rPr>
        <w:t>KRAS</w:t>
      </w:r>
      <w:r w:rsidRPr="00DE6CC6">
        <w:rPr>
          <w:rFonts w:ascii="Times New Roman" w:eastAsia="Calibri" w:hAnsi="Times New Roman" w:cs="Times New Roman"/>
        </w:rPr>
        <w:t xml:space="preserve"> PCR kit was higher for identifying </w:t>
      </w:r>
      <w:r w:rsidRPr="00DE6CC6">
        <w:rPr>
          <w:rFonts w:ascii="Times New Roman" w:eastAsia="Calibri" w:hAnsi="Times New Roman" w:cs="Times New Roman"/>
          <w:i/>
        </w:rPr>
        <w:t>KRAS</w:t>
      </w:r>
      <w:r w:rsidRPr="00DE6CC6">
        <w:rPr>
          <w:rFonts w:ascii="Times New Roman" w:eastAsia="Calibri" w:hAnsi="Times New Roman" w:cs="Times New Roman"/>
        </w:rPr>
        <w:t xml:space="preserve"> pathogenic variants (96%) than for </w:t>
      </w:r>
      <w:r w:rsidRPr="00DE6CC6">
        <w:rPr>
          <w:rFonts w:ascii="Times New Roman" w:eastAsia="Calibri" w:hAnsi="Times New Roman" w:cs="Times New Roman"/>
          <w:i/>
        </w:rPr>
        <w:t>EGFR</w:t>
      </w:r>
      <w:r w:rsidRPr="00DE6CC6">
        <w:rPr>
          <w:rFonts w:ascii="Times New Roman" w:eastAsia="Calibri" w:hAnsi="Times New Roman" w:cs="Times New Roman"/>
        </w:rPr>
        <w:t xml:space="preserve"> (83%), and the PPA was 100% for identifying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variants (Table 5).</w:t>
      </w:r>
    </w:p>
    <w:p w14:paraId="0080369D" w14:textId="477A5648" w:rsidR="00DE6CC6" w:rsidRPr="00DE6CC6" w:rsidRDefault="00DE6CC6" w:rsidP="00DE6CC6">
      <w:pPr>
        <w:keepNext/>
        <w:spacing w:before="0" w:after="40"/>
        <w:outlineLvl w:val="4"/>
        <w:rPr>
          <w:rFonts w:ascii="Arial Narrow" w:eastAsia="Times New Roman" w:hAnsi="Arial Narrow" w:cs="Arial"/>
          <w:b/>
          <w:bCs/>
          <w:iCs/>
          <w:sz w:val="20"/>
          <w:szCs w:val="20"/>
        </w:rPr>
      </w:pPr>
      <w:bookmarkStart w:id="5" w:name="_Ref490129729"/>
      <w:bookmarkStart w:id="6" w:name="_Ref490129726"/>
      <w:r w:rsidRPr="00DE6CC6">
        <w:rPr>
          <w:rFonts w:ascii="Arial Narrow" w:eastAsia="Times New Roman" w:hAnsi="Arial Narrow" w:cs="Arial"/>
          <w:b/>
          <w:bCs/>
          <w:iCs/>
          <w:sz w:val="20"/>
          <w:szCs w:val="20"/>
        </w:rPr>
        <w:t xml:space="preserve">Table </w:t>
      </w:r>
      <w:bookmarkEnd w:id="5"/>
      <w:r w:rsidRPr="00DE6CC6">
        <w:rPr>
          <w:rFonts w:ascii="Arial Narrow" w:eastAsia="Times New Roman" w:hAnsi="Arial Narrow" w:cs="Arial"/>
          <w:b/>
          <w:bCs/>
          <w:iCs/>
          <w:sz w:val="20"/>
          <w:szCs w:val="20"/>
        </w:rPr>
        <w:t>5</w:t>
      </w:r>
      <w:r w:rsidRPr="00DE6CC6">
        <w:rPr>
          <w:rFonts w:ascii="Arial Narrow" w:eastAsia="Times New Roman" w:hAnsi="Arial Narrow" w:cs="Arial"/>
          <w:b/>
          <w:bCs/>
          <w:iCs/>
          <w:sz w:val="20"/>
          <w:szCs w:val="20"/>
        </w:rPr>
        <w:tab/>
      </w:r>
      <w:bookmarkEnd w:id="6"/>
      <w:r w:rsidRPr="00DE6CC6">
        <w:rPr>
          <w:rFonts w:ascii="Arial Narrow" w:eastAsia="Times New Roman" w:hAnsi="Arial Narrow" w:cs="Arial"/>
          <w:b/>
          <w:bCs/>
          <w:iCs/>
          <w:sz w:val="20"/>
          <w:szCs w:val="20"/>
        </w:rPr>
        <w:t xml:space="preserve">Concordance between </w:t>
      </w:r>
      <w:proofErr w:type="spellStart"/>
      <w:r w:rsidRPr="00DE6CC6">
        <w:rPr>
          <w:rFonts w:ascii="Arial Narrow" w:eastAsia="Times New Roman" w:hAnsi="Arial Narrow" w:cs="Arial"/>
          <w:b/>
          <w:bCs/>
          <w:i/>
          <w:iCs/>
          <w:sz w:val="20"/>
          <w:szCs w:val="20"/>
        </w:rPr>
        <w:t>therascreen</w:t>
      </w:r>
      <w:proofErr w:type="spellEnd"/>
      <w:r w:rsidRPr="00DE6CC6">
        <w:rPr>
          <w:rFonts w:ascii="Arial Narrow" w:eastAsia="Times New Roman" w:hAnsi="Arial Narrow" w:cs="Arial"/>
          <w:b/>
          <w:bCs/>
          <w:iCs/>
          <w:sz w:val="20"/>
          <w:szCs w:val="20"/>
        </w:rPr>
        <w:t xml:space="preserve"> PCR kits and NGS for detection of pathogenic KRAS and EGFR variants</w:t>
      </w:r>
    </w:p>
    <w:tbl>
      <w:tblPr>
        <w:tblStyle w:val="PBACtable1"/>
        <w:tblW w:w="9067" w:type="dxa"/>
        <w:tblLayout w:type="fixed"/>
        <w:tblLook w:val="04A0" w:firstRow="1" w:lastRow="0" w:firstColumn="1" w:lastColumn="0" w:noHBand="0" w:noVBand="1"/>
      </w:tblPr>
      <w:tblGrid>
        <w:gridCol w:w="988"/>
        <w:gridCol w:w="1417"/>
        <w:gridCol w:w="1559"/>
        <w:gridCol w:w="1701"/>
        <w:gridCol w:w="1701"/>
        <w:gridCol w:w="1701"/>
      </w:tblGrid>
      <w:tr w:rsidR="00DE6CC6" w:rsidRPr="00DE6CC6" w14:paraId="35D40BCE" w14:textId="77777777" w:rsidTr="007E2C67">
        <w:trPr>
          <w:tblHeader/>
        </w:trPr>
        <w:tc>
          <w:tcPr>
            <w:tcW w:w="988" w:type="dxa"/>
            <w:vMerge w:val="restart"/>
            <w:shd w:val="clear" w:color="auto" w:fill="auto"/>
          </w:tcPr>
          <w:p w14:paraId="51BBE420" w14:textId="77777777" w:rsidR="00DE6CC6" w:rsidRPr="00085CC6" w:rsidRDefault="00DE6CC6" w:rsidP="00A15954">
            <w:pPr>
              <w:keepNext/>
              <w:spacing w:before="40" w:after="40"/>
              <w:jc w:val="left"/>
              <w:rPr>
                <w:rFonts w:ascii="Arial Narrow" w:eastAsia="Times New Roman" w:hAnsi="Arial Narrow" w:cs="Times New Roman"/>
                <w:b/>
                <w:bCs/>
                <w:sz w:val="20"/>
                <w:szCs w:val="20"/>
                <w:lang w:eastAsia="en-AU"/>
              </w:rPr>
            </w:pPr>
            <w:r w:rsidRPr="00085CC6">
              <w:rPr>
                <w:rFonts w:ascii="Arial Narrow" w:eastAsia="Times New Roman" w:hAnsi="Arial Narrow" w:cs="Times New Roman"/>
                <w:b/>
                <w:bCs/>
                <w:sz w:val="20"/>
                <w:szCs w:val="20"/>
                <w:lang w:eastAsia="en-AU"/>
              </w:rPr>
              <w:t>Study</w:t>
            </w:r>
          </w:p>
        </w:tc>
        <w:tc>
          <w:tcPr>
            <w:tcW w:w="1417" w:type="dxa"/>
            <w:vMerge w:val="restart"/>
            <w:shd w:val="clear" w:color="auto" w:fill="auto"/>
          </w:tcPr>
          <w:p w14:paraId="302B7738" w14:textId="77777777" w:rsidR="00DE6CC6" w:rsidRPr="00085CC6" w:rsidRDefault="00DE6CC6" w:rsidP="00A15954">
            <w:pPr>
              <w:keepNext/>
              <w:spacing w:before="40" w:after="40"/>
              <w:jc w:val="center"/>
              <w:rPr>
                <w:rFonts w:ascii="Arial Narrow" w:eastAsia="Times New Roman" w:hAnsi="Arial Narrow" w:cs="Times New Roman"/>
                <w:b/>
                <w:bCs/>
                <w:sz w:val="20"/>
                <w:szCs w:val="20"/>
                <w:lang w:eastAsia="en-AU"/>
              </w:rPr>
            </w:pPr>
            <w:r w:rsidRPr="00085CC6">
              <w:rPr>
                <w:rFonts w:ascii="Arial Narrow" w:eastAsia="Times New Roman" w:hAnsi="Arial Narrow" w:cs="Times New Roman"/>
                <w:b/>
                <w:bCs/>
                <w:sz w:val="20"/>
                <w:szCs w:val="20"/>
                <w:lang w:eastAsia="en-AU"/>
              </w:rPr>
              <w:t>Patients</w:t>
            </w:r>
          </w:p>
        </w:tc>
        <w:tc>
          <w:tcPr>
            <w:tcW w:w="1559" w:type="dxa"/>
            <w:vMerge w:val="restart"/>
            <w:shd w:val="clear" w:color="auto" w:fill="auto"/>
          </w:tcPr>
          <w:p w14:paraId="0E896B40" w14:textId="77777777" w:rsidR="00DE6CC6" w:rsidRPr="00085CC6" w:rsidRDefault="00DE6CC6" w:rsidP="00A15954">
            <w:pPr>
              <w:keepNext/>
              <w:spacing w:before="40" w:after="40"/>
              <w:jc w:val="center"/>
              <w:rPr>
                <w:rFonts w:ascii="Arial Narrow" w:eastAsia="Times New Roman" w:hAnsi="Arial Narrow" w:cs="Times New Roman"/>
                <w:b/>
                <w:bCs/>
                <w:sz w:val="20"/>
                <w:szCs w:val="20"/>
                <w:lang w:eastAsia="en-AU"/>
              </w:rPr>
            </w:pPr>
            <w:r w:rsidRPr="00085CC6">
              <w:rPr>
                <w:rFonts w:ascii="Arial Narrow" w:eastAsia="Times New Roman" w:hAnsi="Arial Narrow" w:cs="Times New Roman"/>
                <w:b/>
                <w:bCs/>
                <w:sz w:val="20"/>
                <w:szCs w:val="20"/>
                <w:lang w:eastAsia="en-AU"/>
              </w:rPr>
              <w:t>NGS test</w:t>
            </w:r>
          </w:p>
        </w:tc>
        <w:tc>
          <w:tcPr>
            <w:tcW w:w="1701" w:type="dxa"/>
            <w:vMerge w:val="restart"/>
            <w:shd w:val="clear" w:color="auto" w:fill="auto"/>
          </w:tcPr>
          <w:p w14:paraId="48E429CD" w14:textId="77777777" w:rsidR="00DE6CC6" w:rsidRPr="00085CC6" w:rsidRDefault="00DE6CC6" w:rsidP="00A15954">
            <w:pPr>
              <w:keepNext/>
              <w:spacing w:before="40" w:after="40"/>
              <w:jc w:val="center"/>
              <w:rPr>
                <w:rFonts w:ascii="Arial Narrow" w:eastAsia="Times New Roman" w:hAnsi="Arial Narrow" w:cs="Times New Roman"/>
                <w:b/>
                <w:bCs/>
                <w:sz w:val="20"/>
                <w:szCs w:val="20"/>
                <w:lang w:eastAsia="en-AU"/>
              </w:rPr>
            </w:pPr>
            <w:proofErr w:type="spellStart"/>
            <w:r w:rsidRPr="00085CC6">
              <w:rPr>
                <w:rFonts w:ascii="Arial Narrow" w:eastAsia="Times New Roman" w:hAnsi="Arial Narrow" w:cs="Times New Roman"/>
                <w:b/>
                <w:bCs/>
                <w:i/>
                <w:sz w:val="20"/>
                <w:szCs w:val="20"/>
                <w:lang w:eastAsia="en-AU"/>
              </w:rPr>
              <w:t>therascreen</w:t>
            </w:r>
            <w:proofErr w:type="spellEnd"/>
            <w:r w:rsidRPr="00085CC6">
              <w:rPr>
                <w:rFonts w:ascii="Arial Narrow" w:eastAsia="Times New Roman" w:hAnsi="Arial Narrow" w:cs="Times New Roman"/>
                <w:b/>
                <w:bCs/>
                <w:i/>
                <w:sz w:val="20"/>
                <w:szCs w:val="20"/>
                <w:lang w:eastAsia="en-AU"/>
              </w:rPr>
              <w:t xml:space="preserve"> </w:t>
            </w:r>
            <w:r w:rsidRPr="00085CC6">
              <w:rPr>
                <w:rFonts w:ascii="Arial Narrow" w:eastAsia="Times New Roman" w:hAnsi="Arial Narrow" w:cs="Times New Roman"/>
                <w:b/>
                <w:bCs/>
                <w:sz w:val="20"/>
                <w:szCs w:val="20"/>
                <w:lang w:eastAsia="en-AU"/>
              </w:rPr>
              <w:t>PCR kits</w:t>
            </w:r>
          </w:p>
        </w:tc>
        <w:tc>
          <w:tcPr>
            <w:tcW w:w="3402" w:type="dxa"/>
            <w:gridSpan w:val="2"/>
            <w:shd w:val="clear" w:color="auto" w:fill="auto"/>
          </w:tcPr>
          <w:p w14:paraId="7424761C" w14:textId="77777777" w:rsidR="00DE6CC6" w:rsidRPr="00085CC6" w:rsidRDefault="00DE6CC6" w:rsidP="00A15954">
            <w:pPr>
              <w:keepNext/>
              <w:spacing w:before="40" w:after="40"/>
              <w:jc w:val="center"/>
              <w:rPr>
                <w:rFonts w:ascii="Arial Narrow" w:eastAsia="Times New Roman" w:hAnsi="Arial Narrow" w:cs="Times New Roman"/>
                <w:b/>
                <w:bCs/>
                <w:sz w:val="20"/>
                <w:szCs w:val="20"/>
                <w:lang w:eastAsia="en-AU"/>
              </w:rPr>
            </w:pPr>
            <w:r w:rsidRPr="00085CC6">
              <w:rPr>
                <w:rFonts w:ascii="Arial Narrow" w:eastAsia="Times New Roman" w:hAnsi="Arial Narrow" w:cs="Times New Roman"/>
                <w:b/>
                <w:bCs/>
                <w:sz w:val="20"/>
                <w:szCs w:val="20"/>
                <w:lang w:eastAsia="en-AU"/>
              </w:rPr>
              <w:t>Concordance</w:t>
            </w:r>
          </w:p>
        </w:tc>
      </w:tr>
      <w:tr w:rsidR="00DE6CC6" w:rsidRPr="00DE6CC6" w14:paraId="5C1CC17B" w14:textId="77777777" w:rsidTr="007E2C67">
        <w:trPr>
          <w:tblHeader/>
        </w:trPr>
        <w:tc>
          <w:tcPr>
            <w:tcW w:w="988" w:type="dxa"/>
            <w:vMerge/>
          </w:tcPr>
          <w:p w14:paraId="22D5AC96" w14:textId="77777777" w:rsidR="00DE6CC6" w:rsidRPr="004C5586" w:rsidRDefault="00DE6CC6" w:rsidP="00A15954">
            <w:pPr>
              <w:keepNext/>
              <w:spacing w:before="40" w:after="40"/>
              <w:jc w:val="left"/>
              <w:rPr>
                <w:rFonts w:ascii="Arial Narrow" w:eastAsia="Times New Roman" w:hAnsi="Arial Narrow" w:cs="Times New Roman"/>
                <w:b/>
                <w:bCs/>
                <w:sz w:val="20"/>
                <w:szCs w:val="20"/>
                <w:lang w:eastAsia="en-AU"/>
              </w:rPr>
            </w:pPr>
          </w:p>
        </w:tc>
        <w:tc>
          <w:tcPr>
            <w:tcW w:w="1417" w:type="dxa"/>
            <w:vMerge/>
          </w:tcPr>
          <w:p w14:paraId="7A4ACCA8" w14:textId="77777777" w:rsidR="00DE6CC6" w:rsidRPr="004C5586" w:rsidRDefault="00DE6CC6" w:rsidP="00A15954">
            <w:pPr>
              <w:keepNext/>
              <w:spacing w:before="40" w:after="40"/>
              <w:jc w:val="center"/>
              <w:rPr>
                <w:rFonts w:ascii="Arial Narrow" w:eastAsia="Times New Roman" w:hAnsi="Arial Narrow" w:cs="Times New Roman"/>
                <w:b/>
                <w:bCs/>
                <w:sz w:val="20"/>
                <w:szCs w:val="20"/>
                <w:lang w:eastAsia="en-AU"/>
              </w:rPr>
            </w:pPr>
          </w:p>
        </w:tc>
        <w:tc>
          <w:tcPr>
            <w:tcW w:w="1559" w:type="dxa"/>
            <w:vMerge/>
          </w:tcPr>
          <w:p w14:paraId="229A44E4" w14:textId="77777777" w:rsidR="00DE6CC6" w:rsidRPr="004C5586" w:rsidRDefault="00DE6CC6" w:rsidP="00A15954">
            <w:pPr>
              <w:keepNext/>
              <w:spacing w:before="40" w:after="40"/>
              <w:jc w:val="center"/>
              <w:rPr>
                <w:rFonts w:ascii="Arial Narrow" w:eastAsia="Times New Roman" w:hAnsi="Arial Narrow" w:cs="Times New Roman"/>
                <w:b/>
                <w:bCs/>
                <w:sz w:val="20"/>
                <w:szCs w:val="20"/>
                <w:lang w:eastAsia="en-AU"/>
              </w:rPr>
            </w:pPr>
          </w:p>
        </w:tc>
        <w:tc>
          <w:tcPr>
            <w:tcW w:w="1701" w:type="dxa"/>
            <w:vMerge/>
          </w:tcPr>
          <w:p w14:paraId="13519C0C" w14:textId="77777777" w:rsidR="00DE6CC6" w:rsidRPr="004C5586" w:rsidRDefault="00DE6CC6" w:rsidP="00A15954">
            <w:pPr>
              <w:keepNext/>
              <w:spacing w:before="40" w:after="40"/>
              <w:jc w:val="center"/>
              <w:rPr>
                <w:rFonts w:ascii="Arial Narrow" w:eastAsia="Times New Roman" w:hAnsi="Arial Narrow" w:cs="Times New Roman"/>
                <w:b/>
                <w:bCs/>
                <w:sz w:val="20"/>
                <w:szCs w:val="20"/>
                <w:lang w:eastAsia="en-AU"/>
              </w:rPr>
            </w:pPr>
          </w:p>
        </w:tc>
        <w:tc>
          <w:tcPr>
            <w:tcW w:w="1701" w:type="dxa"/>
            <w:shd w:val="clear" w:color="auto" w:fill="auto"/>
          </w:tcPr>
          <w:p w14:paraId="3CDC3B32" w14:textId="77777777" w:rsidR="00DE6CC6" w:rsidRPr="004C5586" w:rsidRDefault="00DE6CC6" w:rsidP="00A15954">
            <w:pPr>
              <w:keepNext/>
              <w:spacing w:before="40" w:after="40"/>
              <w:jc w:val="center"/>
              <w:rPr>
                <w:rFonts w:ascii="Arial Narrow" w:eastAsia="Times New Roman" w:hAnsi="Arial Narrow" w:cs="Times New Roman"/>
                <w:b/>
                <w:bCs/>
                <w:i/>
                <w:sz w:val="20"/>
                <w:szCs w:val="20"/>
                <w:lang w:eastAsia="en-AU"/>
              </w:rPr>
            </w:pPr>
            <w:r w:rsidRPr="004C5586">
              <w:rPr>
                <w:rFonts w:ascii="Arial Narrow" w:eastAsia="Times New Roman" w:hAnsi="Arial Narrow" w:cs="Times New Roman"/>
                <w:b/>
                <w:bCs/>
                <w:i/>
                <w:sz w:val="20"/>
                <w:szCs w:val="20"/>
                <w:lang w:eastAsia="en-AU"/>
              </w:rPr>
              <w:t>KRAS</w:t>
            </w:r>
          </w:p>
        </w:tc>
        <w:tc>
          <w:tcPr>
            <w:tcW w:w="1701" w:type="dxa"/>
            <w:shd w:val="clear" w:color="auto" w:fill="auto"/>
          </w:tcPr>
          <w:p w14:paraId="67D7C7E6" w14:textId="77777777" w:rsidR="00DE6CC6" w:rsidRPr="004C5586" w:rsidRDefault="00DE6CC6" w:rsidP="00A15954">
            <w:pPr>
              <w:keepNext/>
              <w:spacing w:before="40" w:after="40"/>
              <w:jc w:val="center"/>
              <w:rPr>
                <w:rFonts w:ascii="Arial Narrow" w:eastAsia="Times New Roman" w:hAnsi="Arial Narrow" w:cs="Times New Roman"/>
                <w:b/>
                <w:bCs/>
                <w:i/>
                <w:sz w:val="20"/>
                <w:szCs w:val="20"/>
                <w:lang w:eastAsia="en-AU"/>
              </w:rPr>
            </w:pPr>
            <w:r w:rsidRPr="004C5586">
              <w:rPr>
                <w:rFonts w:ascii="Arial Narrow" w:eastAsia="Times New Roman" w:hAnsi="Arial Narrow" w:cs="Times New Roman"/>
                <w:b/>
                <w:bCs/>
                <w:i/>
                <w:sz w:val="20"/>
                <w:szCs w:val="20"/>
                <w:lang w:eastAsia="en-AU"/>
              </w:rPr>
              <w:t>EGFR</w:t>
            </w:r>
          </w:p>
        </w:tc>
      </w:tr>
      <w:tr w:rsidR="00DE6CC6" w:rsidRPr="00DE6CC6" w14:paraId="6961AB09" w14:textId="77777777" w:rsidTr="007E2C67">
        <w:trPr>
          <w:cantSplit/>
        </w:trPr>
        <w:tc>
          <w:tcPr>
            <w:tcW w:w="988" w:type="dxa"/>
          </w:tcPr>
          <w:p w14:paraId="56378059"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proofErr w:type="spellStart"/>
            <w:r w:rsidRPr="00085CC6">
              <w:rPr>
                <w:rFonts w:ascii="Arial Narrow" w:eastAsia="Times New Roman" w:hAnsi="Arial Narrow" w:cs="Times New Roman"/>
                <w:sz w:val="20"/>
                <w:szCs w:val="20"/>
                <w:lang w:eastAsia="en-AU"/>
              </w:rPr>
              <w:t>Tuononen</w:t>
            </w:r>
            <w:proofErr w:type="spellEnd"/>
            <w:r w:rsidRPr="00085CC6">
              <w:rPr>
                <w:rFonts w:ascii="Arial Narrow" w:eastAsia="Times New Roman" w:hAnsi="Arial Narrow" w:cs="Times New Roman"/>
                <w:sz w:val="20"/>
                <w:szCs w:val="20"/>
                <w:lang w:eastAsia="en-AU"/>
              </w:rPr>
              <w:t xml:space="preserve"> et al. (2013)</w:t>
            </w:r>
          </w:p>
        </w:tc>
        <w:tc>
          <w:tcPr>
            <w:tcW w:w="1417" w:type="dxa"/>
          </w:tcPr>
          <w:p w14:paraId="2A43A90E"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N=81 FFPE surgical samples from NSCLC. The majority (91.4%) of the patients had adenocarcinoma.</w:t>
            </w:r>
          </w:p>
        </w:tc>
        <w:tc>
          <w:tcPr>
            <w:tcW w:w="1559" w:type="dxa"/>
          </w:tcPr>
          <w:p w14:paraId="00B945F2"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Targeted NGS was performed on samples using Illumina HISeq2000 sequencer</w:t>
            </w:r>
          </w:p>
        </w:tc>
        <w:tc>
          <w:tcPr>
            <w:tcW w:w="1701" w:type="dxa"/>
          </w:tcPr>
          <w:p w14:paraId="5EBD0FCE" w14:textId="77815C6E"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i/>
                <w:sz w:val="20"/>
                <w:szCs w:val="20"/>
                <w:lang w:eastAsia="en-AU"/>
              </w:rPr>
              <w:t>EGFR</w:t>
            </w:r>
            <w:r w:rsidRPr="00085CC6">
              <w:rPr>
                <w:rFonts w:ascii="Arial Narrow" w:eastAsia="Times New Roman" w:hAnsi="Arial Narrow" w:cs="Times New Roman"/>
                <w:sz w:val="20"/>
                <w:szCs w:val="20"/>
                <w:lang w:eastAsia="en-AU"/>
              </w:rPr>
              <w:t xml:space="preserve"> mutation status using the </w:t>
            </w:r>
            <w:proofErr w:type="spellStart"/>
            <w:r w:rsidRPr="00085CC6">
              <w:rPr>
                <w:rFonts w:ascii="Arial Narrow" w:eastAsia="Times New Roman" w:hAnsi="Arial Narrow" w:cs="Times New Roman"/>
                <w:i/>
                <w:sz w:val="20"/>
                <w:szCs w:val="20"/>
                <w:lang w:eastAsia="en-AU"/>
              </w:rPr>
              <w:t>therascreen</w:t>
            </w:r>
            <w:proofErr w:type="spellEnd"/>
            <w:r w:rsidRPr="00085CC6">
              <w:rPr>
                <w:rFonts w:ascii="Arial Narrow" w:eastAsia="Times New Roman" w:hAnsi="Arial Narrow" w:cs="Times New Roman"/>
                <w:sz w:val="20"/>
                <w:szCs w:val="20"/>
                <w:lang w:eastAsia="en-AU"/>
              </w:rPr>
              <w:t xml:space="preserve"> </w:t>
            </w:r>
            <w:r w:rsidRPr="00085CC6">
              <w:rPr>
                <w:rFonts w:ascii="Arial Narrow" w:eastAsia="Times New Roman" w:hAnsi="Arial Narrow" w:cs="Times New Roman"/>
                <w:i/>
                <w:sz w:val="20"/>
                <w:szCs w:val="20"/>
                <w:lang w:eastAsia="en-AU"/>
              </w:rPr>
              <w:t>EGFR</w:t>
            </w:r>
            <w:r w:rsidRPr="00085CC6">
              <w:rPr>
                <w:rFonts w:ascii="Arial Narrow" w:eastAsia="Times New Roman" w:hAnsi="Arial Narrow" w:cs="Times New Roman"/>
                <w:sz w:val="20"/>
                <w:szCs w:val="20"/>
                <w:lang w:eastAsia="en-AU"/>
              </w:rPr>
              <w:t xml:space="preserve"> PCR Kit was determined in NSCLC samples</w:t>
            </w:r>
            <w:r w:rsidR="00A15954">
              <w:rPr>
                <w:rFonts w:ascii="Arial Narrow" w:eastAsia="Times New Roman" w:hAnsi="Arial Narrow" w:cs="Times New Roman"/>
                <w:sz w:val="20"/>
                <w:szCs w:val="20"/>
                <w:lang w:eastAsia="en-AU"/>
              </w:rPr>
              <w:t>.</w:t>
            </w:r>
          </w:p>
          <w:p w14:paraId="16144933" w14:textId="4BF3E45B"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i/>
                <w:sz w:val="20"/>
                <w:szCs w:val="20"/>
                <w:lang w:eastAsia="en-AU"/>
              </w:rPr>
              <w:t>KRAS</w:t>
            </w:r>
            <w:r w:rsidRPr="00085CC6">
              <w:rPr>
                <w:rFonts w:ascii="Arial Narrow" w:eastAsia="Times New Roman" w:hAnsi="Arial Narrow" w:cs="Times New Roman"/>
                <w:sz w:val="20"/>
                <w:szCs w:val="20"/>
                <w:lang w:eastAsia="en-AU"/>
              </w:rPr>
              <w:t xml:space="preserve"> mutation status using the </w:t>
            </w:r>
            <w:proofErr w:type="spellStart"/>
            <w:r w:rsidRPr="00085CC6">
              <w:rPr>
                <w:rFonts w:ascii="Arial Narrow" w:eastAsia="Times New Roman" w:hAnsi="Arial Narrow" w:cs="Times New Roman"/>
                <w:i/>
                <w:sz w:val="20"/>
                <w:szCs w:val="20"/>
                <w:lang w:eastAsia="en-AU"/>
              </w:rPr>
              <w:t>therascreen</w:t>
            </w:r>
            <w:proofErr w:type="spellEnd"/>
            <w:r w:rsidRPr="00085CC6">
              <w:rPr>
                <w:rFonts w:ascii="Arial Narrow" w:eastAsia="Times New Roman" w:hAnsi="Arial Narrow" w:cs="Times New Roman"/>
                <w:sz w:val="20"/>
                <w:szCs w:val="20"/>
                <w:lang w:eastAsia="en-AU"/>
              </w:rPr>
              <w:t xml:space="preserve"> </w:t>
            </w:r>
            <w:r w:rsidRPr="00085CC6">
              <w:rPr>
                <w:rFonts w:ascii="Arial Narrow" w:eastAsia="Times New Roman" w:hAnsi="Arial Narrow" w:cs="Times New Roman"/>
                <w:i/>
                <w:sz w:val="20"/>
                <w:szCs w:val="20"/>
                <w:lang w:eastAsia="en-AU"/>
              </w:rPr>
              <w:t>KRAS</w:t>
            </w:r>
            <w:r w:rsidRPr="00085CC6">
              <w:rPr>
                <w:rFonts w:ascii="Arial Narrow" w:eastAsia="Times New Roman" w:hAnsi="Arial Narrow" w:cs="Times New Roman"/>
                <w:sz w:val="20"/>
                <w:szCs w:val="20"/>
                <w:lang w:eastAsia="en-AU"/>
              </w:rPr>
              <w:t xml:space="preserve"> PCR Kit was determined in 78 of the 81 samples (3 had insufficient DNA)</w:t>
            </w:r>
            <w:r w:rsidR="00A15954">
              <w:rPr>
                <w:rFonts w:ascii="Arial Narrow" w:eastAsia="Times New Roman" w:hAnsi="Arial Narrow" w:cs="Times New Roman"/>
                <w:sz w:val="20"/>
                <w:szCs w:val="20"/>
                <w:lang w:eastAsia="en-AU"/>
              </w:rPr>
              <w:t>.</w:t>
            </w:r>
          </w:p>
        </w:tc>
        <w:tc>
          <w:tcPr>
            <w:tcW w:w="1701" w:type="dxa"/>
          </w:tcPr>
          <w:p w14:paraId="2348F608" w14:textId="77777777" w:rsidR="00DE6CC6" w:rsidRPr="00085CC6" w:rsidRDefault="00DE6CC6" w:rsidP="00A15954">
            <w:pPr>
              <w:keepNext/>
              <w:tabs>
                <w:tab w:val="left" w:pos="408"/>
              </w:tabs>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NGS: 24/78 (30.8%)</w:t>
            </w:r>
          </w:p>
          <w:p w14:paraId="411355D7" w14:textId="77777777" w:rsidR="00DE6CC6" w:rsidRPr="00085CC6" w:rsidRDefault="00DE6CC6" w:rsidP="00A15954">
            <w:pPr>
              <w:keepNext/>
              <w:tabs>
                <w:tab w:val="left" w:pos="403"/>
              </w:tabs>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PCR: 25/78 (32.0%)</w:t>
            </w:r>
          </w:p>
          <w:p w14:paraId="1DD0F725"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p>
          <w:p w14:paraId="74A5F857" w14:textId="77777777" w:rsidR="00DE6CC6" w:rsidRPr="00085CC6" w:rsidRDefault="00DE6CC6" w:rsidP="00A15954">
            <w:pPr>
              <w:keepNext/>
              <w:tabs>
                <w:tab w:val="left" w:pos="431"/>
              </w:tabs>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PPA: 24/25 (96.0%)</w:t>
            </w:r>
          </w:p>
          <w:p w14:paraId="1E3520C3" w14:textId="77777777" w:rsidR="00DE6CC6" w:rsidRPr="00085CC6" w:rsidRDefault="00DE6CC6" w:rsidP="00A15954">
            <w:pPr>
              <w:keepNext/>
              <w:tabs>
                <w:tab w:val="left" w:pos="431"/>
              </w:tabs>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NPA: 53/53 (100%)</w:t>
            </w:r>
          </w:p>
          <w:p w14:paraId="773695C1"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p>
          <w:p w14:paraId="041C00CE" w14:textId="77777777" w:rsidR="00DE6CC6" w:rsidRPr="00085CC6" w:rsidRDefault="00DE6CC6" w:rsidP="00A15954">
            <w:pPr>
              <w:keepNext/>
              <w:tabs>
                <w:tab w:val="left" w:pos="320"/>
              </w:tabs>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Variant</w:t>
            </w:r>
            <w:r w:rsidRPr="00085CC6">
              <w:rPr>
                <w:rFonts w:ascii="Arial Narrow" w:eastAsia="Times New Roman" w:hAnsi="Arial Narrow" w:cs="Times New Roman"/>
                <w:sz w:val="20"/>
                <w:szCs w:val="20"/>
                <w:lang w:eastAsia="en-AU"/>
              </w:rPr>
              <w:tab/>
            </w:r>
            <w:proofErr w:type="gramStart"/>
            <w:r w:rsidRPr="00085CC6">
              <w:rPr>
                <w:rFonts w:ascii="Arial Narrow" w:eastAsia="Times New Roman" w:hAnsi="Arial Narrow" w:cs="Times New Roman"/>
                <w:sz w:val="20"/>
                <w:szCs w:val="20"/>
                <w:lang w:eastAsia="en-AU"/>
              </w:rPr>
              <w:t>NGS:PCR</w:t>
            </w:r>
            <w:proofErr w:type="gramEnd"/>
          </w:p>
          <w:p w14:paraId="4157A3B2"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G12C</w:t>
            </w:r>
            <w:r w:rsidRPr="00085CC6">
              <w:rPr>
                <w:rFonts w:ascii="Arial Narrow" w:eastAsia="Times New Roman" w:hAnsi="Arial Narrow" w:cs="Times New Roman"/>
                <w:sz w:val="20"/>
                <w:szCs w:val="20"/>
                <w:lang w:eastAsia="en-AU"/>
              </w:rPr>
              <w:tab/>
              <w:t>10:10</w:t>
            </w:r>
          </w:p>
          <w:p w14:paraId="5A2FBABB"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G12D</w:t>
            </w:r>
            <w:r w:rsidRPr="00085CC6">
              <w:rPr>
                <w:rFonts w:ascii="Arial Narrow" w:eastAsia="Times New Roman" w:hAnsi="Arial Narrow" w:cs="Times New Roman"/>
                <w:sz w:val="20"/>
                <w:szCs w:val="20"/>
                <w:lang w:eastAsia="en-AU"/>
              </w:rPr>
              <w:tab/>
              <w:t>5:6</w:t>
            </w:r>
          </w:p>
          <w:p w14:paraId="741B7451"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G12V</w:t>
            </w:r>
            <w:r w:rsidRPr="00085CC6">
              <w:rPr>
                <w:rFonts w:ascii="Arial Narrow" w:eastAsia="Times New Roman" w:hAnsi="Arial Narrow" w:cs="Times New Roman"/>
                <w:sz w:val="20"/>
                <w:szCs w:val="20"/>
                <w:lang w:eastAsia="en-AU"/>
              </w:rPr>
              <w:tab/>
              <w:t>7:7</w:t>
            </w:r>
          </w:p>
          <w:p w14:paraId="5C4A4634"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 xml:space="preserve">PPA and NPA for </w:t>
            </w:r>
            <w:r w:rsidRPr="00085CC6">
              <w:rPr>
                <w:rFonts w:ascii="Arial Narrow" w:eastAsia="Times New Roman" w:hAnsi="Arial Narrow" w:cs="Times New Roman"/>
                <w:i/>
                <w:sz w:val="20"/>
                <w:szCs w:val="20"/>
                <w:lang w:eastAsia="en-AU"/>
              </w:rPr>
              <w:t>KRAS</w:t>
            </w:r>
            <w:r w:rsidRPr="00085CC6">
              <w:rPr>
                <w:rFonts w:ascii="Arial Narrow" w:eastAsia="Times New Roman" w:hAnsi="Arial Narrow" w:cs="Times New Roman"/>
                <w:sz w:val="20"/>
                <w:szCs w:val="20"/>
                <w:lang w:eastAsia="en-AU"/>
              </w:rPr>
              <w:t xml:space="preserve"> G12C = 100%</w:t>
            </w:r>
          </w:p>
        </w:tc>
        <w:tc>
          <w:tcPr>
            <w:tcW w:w="1701" w:type="dxa"/>
          </w:tcPr>
          <w:p w14:paraId="28741F9E" w14:textId="77777777" w:rsidR="00DE6CC6" w:rsidRPr="00085CC6" w:rsidRDefault="00DE6CC6" w:rsidP="00A15954">
            <w:pPr>
              <w:keepNext/>
              <w:tabs>
                <w:tab w:val="left" w:pos="390"/>
              </w:tabs>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NGS: 15/81 (18.5%)</w:t>
            </w:r>
          </w:p>
          <w:p w14:paraId="09EDCB5D" w14:textId="77777777" w:rsidR="00DE6CC6" w:rsidRPr="00085CC6" w:rsidRDefault="00DE6CC6" w:rsidP="00A15954">
            <w:pPr>
              <w:keepNext/>
              <w:tabs>
                <w:tab w:val="left" w:pos="413"/>
              </w:tabs>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PCR: 18/81 (22.2%)</w:t>
            </w:r>
          </w:p>
          <w:p w14:paraId="029F75E5" w14:textId="77777777" w:rsidR="00DE6CC6" w:rsidRPr="00085CC6" w:rsidRDefault="00DE6CC6" w:rsidP="00A15954">
            <w:pPr>
              <w:keepNext/>
              <w:spacing w:before="40" w:after="40"/>
              <w:ind w:left="-57" w:right="-57"/>
              <w:jc w:val="left"/>
              <w:rPr>
                <w:rFonts w:ascii="Arial Narrow" w:eastAsia="Times New Roman" w:hAnsi="Arial Narrow" w:cs="Times New Roman"/>
                <w:sz w:val="20"/>
                <w:szCs w:val="20"/>
                <w:lang w:eastAsia="en-AU"/>
              </w:rPr>
            </w:pPr>
          </w:p>
          <w:p w14:paraId="3A7A9421" w14:textId="77777777" w:rsidR="00DE6CC6" w:rsidRPr="00085CC6" w:rsidRDefault="00DE6CC6" w:rsidP="00A15954">
            <w:pPr>
              <w:keepNext/>
              <w:tabs>
                <w:tab w:val="left" w:pos="425"/>
              </w:tabs>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PPA: 15/18 (83.3%)</w:t>
            </w:r>
          </w:p>
          <w:p w14:paraId="0B9189D7" w14:textId="77777777" w:rsidR="00DE6CC6" w:rsidRPr="00085CC6" w:rsidRDefault="00DE6CC6" w:rsidP="00A15954">
            <w:pPr>
              <w:keepNext/>
              <w:tabs>
                <w:tab w:val="left" w:pos="425"/>
              </w:tabs>
              <w:spacing w:before="40" w:after="40"/>
              <w:ind w:left="-57" w:right="-57"/>
              <w:jc w:val="left"/>
              <w:rPr>
                <w:rFonts w:ascii="Arial Narrow" w:eastAsia="Times New Roman" w:hAnsi="Arial Narrow" w:cs="Times New Roman"/>
                <w:sz w:val="20"/>
                <w:szCs w:val="20"/>
                <w:lang w:eastAsia="en-AU"/>
              </w:rPr>
            </w:pPr>
            <w:r w:rsidRPr="00085CC6">
              <w:rPr>
                <w:rFonts w:ascii="Arial Narrow" w:eastAsia="Times New Roman" w:hAnsi="Arial Narrow" w:cs="Times New Roman"/>
                <w:sz w:val="20"/>
                <w:szCs w:val="20"/>
                <w:lang w:eastAsia="en-AU"/>
              </w:rPr>
              <w:t>NPA: 63/63 (100%)</w:t>
            </w:r>
          </w:p>
        </w:tc>
      </w:tr>
    </w:tbl>
    <w:p w14:paraId="62EB5F5E" w14:textId="77777777" w:rsidR="00DE6CC6" w:rsidRPr="00DE6CC6" w:rsidRDefault="00DE6CC6" w:rsidP="00A15954">
      <w:pPr>
        <w:keepNext/>
        <w:widowControl w:val="0"/>
        <w:spacing w:before="40" w:after="240"/>
        <w:contextualSpacing/>
        <w:rPr>
          <w:rFonts w:ascii="Arial Narrow" w:eastAsia="Times New Roman" w:hAnsi="Arial Narrow" w:cs="Arial"/>
          <w:snapToGrid w:val="0"/>
          <w:sz w:val="18"/>
          <w:szCs w:val="20"/>
        </w:rPr>
      </w:pPr>
      <w:r w:rsidRPr="00DE6CC6">
        <w:rPr>
          <w:rFonts w:ascii="Arial Narrow" w:eastAsia="Times New Roman" w:hAnsi="Arial Narrow" w:cs="Arial"/>
          <w:i/>
          <w:snapToGrid w:val="0"/>
          <w:sz w:val="18"/>
          <w:szCs w:val="20"/>
        </w:rPr>
        <w:t>EGFR</w:t>
      </w:r>
      <w:r w:rsidRPr="00DE6CC6">
        <w:rPr>
          <w:rFonts w:ascii="Arial Narrow" w:eastAsia="Times New Roman" w:hAnsi="Arial Narrow" w:cs="Arial"/>
          <w:snapToGrid w:val="0"/>
          <w:sz w:val="18"/>
          <w:szCs w:val="20"/>
        </w:rPr>
        <w:t xml:space="preserve"> = epidermal growth factor receptor; FFPE = formalin-fixed paraffin-embedded; </w:t>
      </w:r>
      <w:r w:rsidRPr="00DE6CC6">
        <w:rPr>
          <w:rFonts w:ascii="Arial Narrow" w:eastAsia="Times New Roman" w:hAnsi="Arial Narrow" w:cs="Arial"/>
          <w:i/>
          <w:snapToGrid w:val="0"/>
          <w:sz w:val="18"/>
          <w:szCs w:val="20"/>
        </w:rPr>
        <w:t>KRAS</w:t>
      </w:r>
      <w:r w:rsidRPr="00DE6CC6">
        <w:rPr>
          <w:rFonts w:ascii="Arial Narrow" w:eastAsia="Times New Roman" w:hAnsi="Arial Narrow" w:cs="Arial"/>
          <w:snapToGrid w:val="0"/>
          <w:sz w:val="18"/>
          <w:szCs w:val="20"/>
        </w:rPr>
        <w:t xml:space="preserve"> = Kirsten rat sarcoma viral oncogene homologue; NGS = next generation sequencing; NPA = negative percent agreement; NSCLC = non-small cell lung cancer; PCR = polymerase chain reaction; PPA = positive percent agreement</w:t>
      </w:r>
    </w:p>
    <w:p w14:paraId="7AB696F3" w14:textId="77777777" w:rsidR="00DE6CC6" w:rsidRPr="00DE6CC6" w:rsidRDefault="00DE6CC6" w:rsidP="00A15954">
      <w:pPr>
        <w:widowControl w:val="0"/>
        <w:spacing w:before="40" w:after="240"/>
        <w:rPr>
          <w:rFonts w:ascii="Arial Narrow" w:eastAsia="Times New Roman" w:hAnsi="Arial Narrow" w:cs="Arial"/>
          <w:snapToGrid w:val="0"/>
          <w:sz w:val="18"/>
          <w:szCs w:val="20"/>
        </w:rPr>
      </w:pPr>
      <w:r w:rsidRPr="00DE6CC6">
        <w:rPr>
          <w:rFonts w:ascii="Arial Narrow" w:eastAsia="Times New Roman" w:hAnsi="Arial Narrow" w:cs="Arial"/>
          <w:snapToGrid w:val="0"/>
          <w:sz w:val="18"/>
          <w:szCs w:val="20"/>
        </w:rPr>
        <w:t>Source: Table 20 of the evaluation report</w:t>
      </w:r>
    </w:p>
    <w:p w14:paraId="49C9E781" w14:textId="665CD47A" w:rsidR="00DE6CC6" w:rsidRPr="00DE6CC6" w:rsidRDefault="00DE6CC6" w:rsidP="00085CC6">
      <w:pPr>
        <w:spacing w:before="0" w:after="240"/>
        <w:jc w:val="left"/>
        <w:rPr>
          <w:rFonts w:ascii="Times New Roman" w:eastAsia="Calibri" w:hAnsi="Times New Roman" w:cs="Times New Roman"/>
          <w:iCs/>
        </w:rPr>
      </w:pPr>
      <w:r w:rsidRPr="00DE6CC6">
        <w:rPr>
          <w:rFonts w:ascii="Times New Roman" w:eastAsia="Calibri" w:hAnsi="Times New Roman" w:cs="Times New Roman"/>
          <w:iCs/>
        </w:rPr>
        <w:t xml:space="preserve">Eight studies identified during the evaluation reported the diagnostic yield for NGS </w:t>
      </w:r>
      <w:r w:rsidRPr="00DE6CC6">
        <w:rPr>
          <w:rFonts w:ascii="Times New Roman" w:eastAsia="Calibri" w:hAnsi="Times New Roman" w:cs="Times New Roman"/>
          <w:i/>
        </w:rPr>
        <w:t>KRAS</w:t>
      </w:r>
      <w:r w:rsidRPr="00DE6CC6">
        <w:rPr>
          <w:rFonts w:ascii="Times New Roman" w:eastAsia="Calibri" w:hAnsi="Times New Roman" w:cs="Times New Roman"/>
          <w:iCs/>
        </w:rPr>
        <w:t> G12C variant testing.</w:t>
      </w:r>
    </w:p>
    <w:p w14:paraId="61C32A2F" w14:textId="0F6F2DD3" w:rsidR="00DE6CC6" w:rsidRPr="00DE6CC6" w:rsidRDefault="00DE6CC6" w:rsidP="00085CC6">
      <w:pPr>
        <w:spacing w:before="0" w:after="240"/>
        <w:jc w:val="left"/>
        <w:rPr>
          <w:rFonts w:ascii="Times New Roman" w:eastAsia="Calibri" w:hAnsi="Times New Roman" w:cs="Times New Roman"/>
          <w:iCs/>
        </w:rPr>
      </w:pPr>
      <w:r w:rsidRPr="00DE6CC6">
        <w:rPr>
          <w:rFonts w:ascii="Times New Roman" w:eastAsia="Calibri" w:hAnsi="Times New Roman" w:cs="Times New Roman"/>
          <w:iCs/>
        </w:rPr>
        <w:t xml:space="preserve">The commentary considered that as only limited concordance data comparing the </w:t>
      </w:r>
      <w:proofErr w:type="spellStart"/>
      <w:r w:rsidRPr="00DE6CC6">
        <w:rPr>
          <w:rFonts w:ascii="Times New Roman" w:eastAsia="Calibri" w:hAnsi="Times New Roman" w:cs="Times New Roman"/>
          <w:i/>
        </w:rPr>
        <w:t>therascreen</w:t>
      </w:r>
      <w:proofErr w:type="spellEnd"/>
      <w:r w:rsidRPr="00DE6CC6">
        <w:rPr>
          <w:rFonts w:ascii="Times New Roman" w:eastAsia="Calibri" w:hAnsi="Times New Roman" w:cs="Times New Roman"/>
          <w:i/>
        </w:rPr>
        <w:t xml:space="preserve"> KRAS</w:t>
      </w:r>
      <w:r w:rsidRPr="00DE6CC6">
        <w:rPr>
          <w:rFonts w:ascii="Times New Roman" w:eastAsia="Calibri" w:hAnsi="Times New Roman" w:cs="Times New Roman"/>
          <w:iCs/>
        </w:rPr>
        <w:t xml:space="preserve"> PCR kit with NGS was available (one study), the clinical validity of the test could not be determined accurately. The PPA and NPA values presented in Table 5 were used as “estimated” sensitivity and specificity values. The positive and negative predictive values (PPV and NPV) were calculated using these values plus the prevalence rates determined in the treatment population (</w:t>
      </w:r>
      <w:bookmarkStart w:id="7" w:name="_Hlk94186161"/>
      <w:r w:rsidRPr="00DE6CC6">
        <w:rPr>
          <w:rFonts w:ascii="Times New Roman" w:eastAsia="Calibri" w:hAnsi="Times New Roman" w:cs="Times New Roman"/>
          <w:iCs/>
        </w:rPr>
        <w:t>non-squamous NSCLC with advanced disease</w:t>
      </w:r>
      <w:bookmarkEnd w:id="7"/>
      <w:r w:rsidRPr="00DE6CC6">
        <w:rPr>
          <w:rFonts w:ascii="Times New Roman" w:eastAsia="Calibri" w:hAnsi="Times New Roman" w:cs="Times New Roman"/>
          <w:iCs/>
        </w:rPr>
        <w:t>) and the proportion of patients with pathogenic variants based on the diagnostic yield determined in the testing population (</w:t>
      </w:r>
      <w:bookmarkStart w:id="8" w:name="_Hlk94186136"/>
      <w:r w:rsidRPr="00DE6CC6">
        <w:rPr>
          <w:rFonts w:ascii="Times New Roman" w:eastAsia="Calibri" w:hAnsi="Times New Roman" w:cs="Times New Roman"/>
          <w:iCs/>
        </w:rPr>
        <w:t>patients diagnosed with non-squamous NSCLC at any stage</w:t>
      </w:r>
      <w:bookmarkEnd w:id="8"/>
      <w:r w:rsidRPr="00DE6CC6">
        <w:rPr>
          <w:rFonts w:ascii="Times New Roman" w:eastAsia="Calibri" w:hAnsi="Times New Roman" w:cs="Times New Roman"/>
          <w:iCs/>
        </w:rPr>
        <w:t>).</w:t>
      </w:r>
    </w:p>
    <w:p w14:paraId="1736439D" w14:textId="77777777" w:rsidR="00DE6CC6" w:rsidRPr="00DE6CC6" w:rsidRDefault="00DE6CC6" w:rsidP="00085CC6">
      <w:pPr>
        <w:spacing w:before="0" w:after="240"/>
        <w:jc w:val="left"/>
        <w:rPr>
          <w:rFonts w:ascii="Times New Roman" w:eastAsia="Calibri" w:hAnsi="Times New Roman" w:cs="Times New Roman"/>
          <w:i/>
        </w:rPr>
      </w:pPr>
      <w:r w:rsidRPr="00DE6CC6">
        <w:rPr>
          <w:rFonts w:ascii="Times New Roman" w:eastAsia="Calibri" w:hAnsi="Times New Roman" w:cs="Times New Roman"/>
          <w:iCs/>
        </w:rPr>
        <w:t>The commentary noted that the results indicated that the PPV from was 100% for detecting all</w:t>
      </w:r>
      <w:r w:rsidRPr="00DE6CC6">
        <w:rPr>
          <w:rFonts w:ascii="Times New Roman" w:eastAsia="Calibri" w:hAnsi="Times New Roman" w:cs="Times New Roman"/>
          <w:i/>
        </w:rPr>
        <w:t xml:space="preserve"> </w:t>
      </w:r>
      <w:r w:rsidRPr="00DE6CC6">
        <w:rPr>
          <w:rFonts w:ascii="Times New Roman" w:eastAsia="Calibri" w:hAnsi="Times New Roman" w:cs="Times New Roman"/>
          <w:i/>
          <w:iCs/>
        </w:rPr>
        <w:t>EGFR</w:t>
      </w:r>
      <w:r w:rsidRPr="00DE6CC6">
        <w:rPr>
          <w:rFonts w:ascii="Times New Roman" w:eastAsia="Calibri" w:hAnsi="Times New Roman" w:cs="Times New Roman"/>
          <w:i/>
        </w:rPr>
        <w:t xml:space="preserve"> </w:t>
      </w:r>
      <w:r w:rsidRPr="00DE6CC6">
        <w:rPr>
          <w:rFonts w:ascii="Times New Roman" w:eastAsia="Calibri" w:hAnsi="Times New Roman" w:cs="Times New Roman"/>
          <w:iCs/>
        </w:rPr>
        <w:t>and</w:t>
      </w:r>
      <w:r w:rsidRPr="00DE6CC6">
        <w:rPr>
          <w:rFonts w:ascii="Times New Roman" w:eastAsia="Calibri" w:hAnsi="Times New Roman" w:cs="Times New Roman"/>
          <w:i/>
        </w:rPr>
        <w:t xml:space="preserve"> </w:t>
      </w:r>
      <w:r w:rsidRPr="00DE6CC6">
        <w:rPr>
          <w:rFonts w:ascii="Times New Roman" w:eastAsia="Calibri" w:hAnsi="Times New Roman" w:cs="Times New Roman"/>
          <w:i/>
          <w:iCs/>
        </w:rPr>
        <w:t>KRAS</w:t>
      </w:r>
      <w:r w:rsidRPr="00DE6CC6">
        <w:rPr>
          <w:rFonts w:ascii="Times New Roman" w:eastAsia="Calibri" w:hAnsi="Times New Roman" w:cs="Times New Roman"/>
          <w:i/>
        </w:rPr>
        <w:t xml:space="preserve"> </w:t>
      </w:r>
      <w:r w:rsidRPr="00DE6CC6">
        <w:rPr>
          <w:rFonts w:ascii="Times New Roman" w:eastAsia="Calibri" w:hAnsi="Times New Roman" w:cs="Times New Roman"/>
          <w:iCs/>
        </w:rPr>
        <w:t xml:space="preserve">variants, suggesting that few patients with non-squamous NSCLC undergoing NGS to detect pathogenic </w:t>
      </w:r>
      <w:r w:rsidRPr="00DE6CC6">
        <w:rPr>
          <w:rFonts w:ascii="Times New Roman" w:eastAsia="Calibri" w:hAnsi="Times New Roman" w:cs="Times New Roman"/>
          <w:i/>
          <w:iCs/>
        </w:rPr>
        <w:t>KRAS</w:t>
      </w:r>
      <w:r w:rsidRPr="00DE6CC6">
        <w:rPr>
          <w:rFonts w:ascii="Times New Roman" w:eastAsia="Calibri" w:hAnsi="Times New Roman" w:cs="Times New Roman"/>
          <w:i/>
        </w:rPr>
        <w:t xml:space="preserve"> </w:t>
      </w:r>
      <w:r w:rsidRPr="00DE6CC6">
        <w:rPr>
          <w:rFonts w:ascii="Times New Roman" w:eastAsia="Calibri" w:hAnsi="Times New Roman" w:cs="Times New Roman"/>
          <w:iCs/>
        </w:rPr>
        <w:t>or</w:t>
      </w:r>
      <w:r w:rsidRPr="00DE6CC6">
        <w:rPr>
          <w:rFonts w:ascii="Times New Roman" w:eastAsia="Calibri" w:hAnsi="Times New Roman" w:cs="Times New Roman"/>
          <w:i/>
        </w:rPr>
        <w:t xml:space="preserve"> </w:t>
      </w:r>
      <w:r w:rsidRPr="00DE6CC6">
        <w:rPr>
          <w:rFonts w:ascii="Times New Roman" w:eastAsia="Calibri" w:hAnsi="Times New Roman" w:cs="Times New Roman"/>
          <w:i/>
          <w:iCs/>
        </w:rPr>
        <w:t>EGFR</w:t>
      </w:r>
      <w:r w:rsidRPr="00DE6CC6">
        <w:rPr>
          <w:rFonts w:ascii="Times New Roman" w:eastAsia="Calibri" w:hAnsi="Times New Roman" w:cs="Times New Roman"/>
          <w:i/>
        </w:rPr>
        <w:t xml:space="preserve"> </w:t>
      </w:r>
      <w:r w:rsidRPr="00DE6CC6">
        <w:rPr>
          <w:rFonts w:ascii="Times New Roman" w:eastAsia="Calibri" w:hAnsi="Times New Roman" w:cs="Times New Roman"/>
          <w:iCs/>
        </w:rPr>
        <w:t xml:space="preserve">variants will be misdiagnosed as false positive. For patients who have a negative test result, only 2–4 out of every 100 will actually have a pathogenic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or </w:t>
      </w:r>
      <w:r w:rsidRPr="00DE6CC6">
        <w:rPr>
          <w:rFonts w:ascii="Times New Roman" w:eastAsia="Calibri" w:hAnsi="Times New Roman" w:cs="Times New Roman"/>
          <w:i/>
        </w:rPr>
        <w:t>EGFR</w:t>
      </w:r>
      <w:r w:rsidRPr="00DE6CC6">
        <w:rPr>
          <w:rFonts w:ascii="Times New Roman" w:eastAsia="Calibri" w:hAnsi="Times New Roman" w:cs="Times New Roman"/>
          <w:iCs/>
        </w:rPr>
        <w:t xml:space="preserve"> variant (</w:t>
      </w:r>
      <w:proofErr w:type="gramStart"/>
      <w:r w:rsidRPr="00DE6CC6">
        <w:rPr>
          <w:rFonts w:ascii="Times New Roman" w:eastAsia="Calibri" w:hAnsi="Times New Roman" w:cs="Times New Roman"/>
          <w:iCs/>
        </w:rPr>
        <w:t>i.e.</w:t>
      </w:r>
      <w:proofErr w:type="gramEnd"/>
      <w:r w:rsidRPr="00DE6CC6">
        <w:rPr>
          <w:rFonts w:ascii="Times New Roman" w:eastAsia="Calibri" w:hAnsi="Times New Roman" w:cs="Times New Roman"/>
          <w:iCs/>
        </w:rPr>
        <w:t xml:space="preserve"> would be falsely negative). These results should be interpreted with caution because failure to report any information about sample selection or blinding of test results between tests leaves a high risk of bias in these results.</w:t>
      </w:r>
    </w:p>
    <w:p w14:paraId="17CC9F27" w14:textId="77777777" w:rsidR="00DE6CC6" w:rsidRPr="00DE6CC6" w:rsidRDefault="00DE6CC6" w:rsidP="00085CC6">
      <w:pPr>
        <w:keepNext/>
        <w:keepLines/>
        <w:spacing w:before="40" w:after="0"/>
        <w:jc w:val="left"/>
        <w:outlineLvl w:val="2"/>
        <w:rPr>
          <w:rFonts w:ascii="Times New Roman" w:eastAsia="Times New Roman" w:hAnsi="Times New Roman" w:cs="Times New Roman"/>
          <w:szCs w:val="24"/>
          <w:u w:val="single"/>
          <w:lang w:eastAsia="en-AU"/>
        </w:rPr>
      </w:pPr>
      <w:r w:rsidRPr="00DE6CC6">
        <w:rPr>
          <w:rFonts w:ascii="Times New Roman" w:eastAsia="Times New Roman" w:hAnsi="Times New Roman" w:cs="Times New Roman"/>
          <w:szCs w:val="24"/>
          <w:u w:val="single"/>
          <w:lang w:eastAsia="en-AU"/>
        </w:rPr>
        <w:t>Prevalence</w:t>
      </w:r>
    </w:p>
    <w:p w14:paraId="200248BA" w14:textId="77777777" w:rsidR="00DE6CC6" w:rsidRPr="00DE6CC6" w:rsidRDefault="00DE6CC6" w:rsidP="00085CC6">
      <w:pPr>
        <w:spacing w:before="0" w:after="240"/>
        <w:jc w:val="left"/>
        <w:rPr>
          <w:rFonts w:ascii="Times New Roman" w:eastAsia="Calibri" w:hAnsi="Times New Roman" w:cs="Times New Roman"/>
          <w:iCs/>
        </w:rPr>
      </w:pPr>
      <w:r w:rsidRPr="00DE6CC6">
        <w:rPr>
          <w:rFonts w:ascii="Times New Roman" w:eastAsia="Calibri" w:hAnsi="Times New Roman" w:cs="Times New Roman"/>
          <w:iCs/>
        </w:rPr>
        <w:t xml:space="preserve">The median prevalence of pathogenic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variants in the NSCLC testing population was determined from eight studies conducted in Europe and the USA. It was calculated to be 37.5% (range 24–49) for any pathogenic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variant and 14.5% (range 10–20) for the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G12C variant.</w:t>
      </w:r>
    </w:p>
    <w:p w14:paraId="12ACCBD5" w14:textId="77777777" w:rsidR="00DE6CC6" w:rsidRPr="00DE6CC6" w:rsidRDefault="00DE6CC6" w:rsidP="00085CC6">
      <w:pPr>
        <w:spacing w:before="0" w:after="240"/>
        <w:jc w:val="left"/>
        <w:rPr>
          <w:rFonts w:ascii="Times New Roman" w:eastAsia="Calibri" w:hAnsi="Times New Roman" w:cs="Times New Roman"/>
          <w:iCs/>
        </w:rPr>
      </w:pPr>
      <w:r w:rsidRPr="00DE6CC6">
        <w:rPr>
          <w:rFonts w:ascii="Times New Roman" w:eastAsia="Calibri" w:hAnsi="Times New Roman" w:cs="Times New Roman"/>
          <w:iCs/>
        </w:rPr>
        <w:t xml:space="preserve">The median prevalence of pathogenic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variants appears to be slightly higher among the testing population when compared to the treatment population (37.5% versus 30%) but the </w:t>
      </w:r>
      <w:r w:rsidRPr="00DE6CC6">
        <w:rPr>
          <w:rFonts w:ascii="Times New Roman" w:eastAsia="Calibri" w:hAnsi="Times New Roman" w:cs="Times New Roman"/>
          <w:iCs/>
        </w:rPr>
        <w:lastRenderedPageBreak/>
        <w:t xml:space="preserve">difference did not quite reach statistical significance (p=0.053). There was also no statistical difference between the median prevalence rates of the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G12C variant in these populations (14.5% versus 12.5%; p = 0.109).</w:t>
      </w:r>
    </w:p>
    <w:p w14:paraId="0A147011" w14:textId="77777777" w:rsidR="00DE6CC6" w:rsidRPr="00DE6CC6" w:rsidRDefault="00DE6CC6" w:rsidP="00085CC6">
      <w:pPr>
        <w:keepNext/>
        <w:keepLines/>
        <w:spacing w:before="40" w:after="0"/>
        <w:jc w:val="left"/>
        <w:outlineLvl w:val="2"/>
        <w:rPr>
          <w:rFonts w:ascii="Times New Roman" w:eastAsia="Times New Roman" w:hAnsi="Times New Roman" w:cs="Times New Roman"/>
          <w:szCs w:val="24"/>
          <w:u w:val="single"/>
          <w:lang w:eastAsia="en-AU"/>
        </w:rPr>
      </w:pPr>
      <w:r w:rsidRPr="00DE6CC6">
        <w:rPr>
          <w:rFonts w:ascii="Times New Roman" w:eastAsia="Times New Roman" w:hAnsi="Times New Roman" w:cs="Times New Roman"/>
          <w:szCs w:val="24"/>
          <w:u w:val="single"/>
          <w:lang w:eastAsia="en-AU"/>
        </w:rPr>
        <w:t>Change in management in practice</w:t>
      </w:r>
    </w:p>
    <w:p w14:paraId="4D1BECCE" w14:textId="77777777" w:rsidR="00DE6CC6" w:rsidRPr="00DE6CC6" w:rsidRDefault="00DE6CC6" w:rsidP="00085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 submission concluded that based on </w:t>
      </w:r>
      <w:r w:rsidRPr="00DE6CC6">
        <w:rPr>
          <w:rFonts w:ascii="Times New Roman" w:eastAsia="Calibri" w:hAnsi="Times New Roman" w:cs="Times New Roman"/>
          <w:iCs/>
        </w:rPr>
        <w:t>biological plausibility</w:t>
      </w:r>
      <w:r w:rsidRPr="00DE6CC6">
        <w:rPr>
          <w:rFonts w:ascii="Times New Roman" w:eastAsia="Calibri" w:hAnsi="Times New Roman" w:cs="Times New Roman"/>
        </w:rPr>
        <w:t xml:space="preserve">, clinical evidence, and guideline recommendations, the presence of the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 is predictive of response to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treatment. Given the current lack of effective, targeted treatment options in the proposed patient population, it is expected that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variant testing would lead to a strong clinician uptake of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w:t>
      </w:r>
    </w:p>
    <w:p w14:paraId="08447A29" w14:textId="77777777" w:rsidR="00DE6CC6" w:rsidRPr="00DE6CC6" w:rsidRDefault="00DE6CC6" w:rsidP="0035041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t>Economic evaluation</w:t>
      </w:r>
    </w:p>
    <w:p w14:paraId="460F2F04" w14:textId="77777777" w:rsidR="00DE6CC6" w:rsidRPr="00DE6CC6" w:rsidRDefault="00DE6CC6" w:rsidP="00085CC6">
      <w:pPr>
        <w:spacing w:before="0" w:after="240"/>
        <w:jc w:val="left"/>
        <w:rPr>
          <w:rFonts w:ascii="Times New Roman" w:eastAsia="Calibri" w:hAnsi="Times New Roman" w:cs="Times New Roman"/>
          <w:i/>
        </w:rPr>
      </w:pPr>
      <w:r w:rsidRPr="00DE6CC6">
        <w:rPr>
          <w:rFonts w:ascii="Times New Roman" w:eastAsia="Calibri" w:hAnsi="Times New Roman" w:cs="Times New Roman"/>
        </w:rPr>
        <w:t xml:space="preserve">The submission presented a modelled cost-utility analysis, based on an unanchored matching-adjusted indirect comparison of single-arm studies that compared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and docetaxel patients with </w:t>
      </w:r>
      <w:r w:rsidRPr="00DE6CC6">
        <w:rPr>
          <w:rFonts w:ascii="Times New Roman" w:eastAsia="Calibri" w:hAnsi="Times New Roman" w:cs="Times New Roman"/>
          <w:i/>
        </w:rPr>
        <w:t>KRAS</w:t>
      </w:r>
      <w:r w:rsidRPr="00DE6CC6">
        <w:rPr>
          <w:rFonts w:ascii="Times New Roman" w:eastAsia="Calibri" w:hAnsi="Times New Roman" w:cs="Times New Roman"/>
        </w:rPr>
        <w:t xml:space="preserve"> G12C NSCLC (</w:t>
      </w:r>
      <w:proofErr w:type="gramStart"/>
      <w:r w:rsidRPr="00DE6CC6">
        <w:rPr>
          <w:rFonts w:ascii="Times New Roman" w:eastAsia="Calibri" w:hAnsi="Times New Roman" w:cs="Times New Roman"/>
        </w:rPr>
        <w:t>i.e.</w:t>
      </w:r>
      <w:proofErr w:type="gramEnd"/>
      <w:r w:rsidRPr="00DE6CC6">
        <w:rPr>
          <w:rFonts w:ascii="Times New Roman" w:eastAsia="Calibri" w:hAnsi="Times New Roman" w:cs="Times New Roman"/>
        </w:rPr>
        <w:t xml:space="preserve"> treatment-only). The submission claimed that due to the high diagnostic performance of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 testing, and with the concurrent conduct of pathogenic </w:t>
      </w:r>
      <w:r w:rsidRPr="00DE6CC6">
        <w:rPr>
          <w:rFonts w:ascii="Times New Roman" w:eastAsia="Calibri" w:hAnsi="Times New Roman" w:cs="Times New Roman"/>
          <w:i/>
        </w:rPr>
        <w:t>EGFR</w:t>
      </w:r>
      <w:r w:rsidRPr="00DE6CC6">
        <w:rPr>
          <w:rFonts w:ascii="Times New Roman" w:eastAsia="Calibri" w:hAnsi="Times New Roman" w:cs="Times New Roman"/>
        </w:rPr>
        <w:t xml:space="preserve"> variant testing in this population, no increase in NGS utilisation is expected with the PBS listing of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Therefore, the testing component of the codependent technologies would not impact the cost-effectiveness of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w:t>
      </w:r>
      <w:r w:rsidRPr="00DE6CC6">
        <w:rPr>
          <w:rFonts w:ascii="Times New Roman" w:eastAsia="Calibri" w:hAnsi="Times New Roman" w:cs="Times New Roman"/>
          <w:iCs/>
        </w:rPr>
        <w:t xml:space="preserve">An assessment of whether this approach is reasonable depends on the acceptance of the claims that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variant testing will occur with all current </w:t>
      </w:r>
      <w:r w:rsidRPr="00DE6CC6">
        <w:rPr>
          <w:rFonts w:ascii="Times New Roman" w:eastAsia="Calibri" w:hAnsi="Times New Roman" w:cs="Times New Roman"/>
          <w:i/>
        </w:rPr>
        <w:t>EGFR</w:t>
      </w:r>
      <w:r w:rsidRPr="00DE6CC6">
        <w:rPr>
          <w:rFonts w:ascii="Times New Roman" w:eastAsia="Calibri" w:hAnsi="Times New Roman" w:cs="Times New Roman"/>
          <w:iCs/>
        </w:rPr>
        <w:t xml:space="preserve"> variant testing, and that the test method(s) used in practice are highly concordant with the tests used in the </w:t>
      </w:r>
      <w:proofErr w:type="spellStart"/>
      <w:r w:rsidRPr="00DE6CC6">
        <w:rPr>
          <w:rFonts w:ascii="Times New Roman" w:eastAsia="Calibri" w:hAnsi="Times New Roman" w:cs="Times New Roman"/>
          <w:iCs/>
        </w:rPr>
        <w:t>CodeBreak</w:t>
      </w:r>
      <w:proofErr w:type="spellEnd"/>
      <w:r w:rsidRPr="00DE6CC6">
        <w:rPr>
          <w:rFonts w:ascii="Times New Roman" w:eastAsia="Calibri" w:hAnsi="Times New Roman" w:cs="Times New Roman"/>
          <w:iCs/>
        </w:rPr>
        <w:t xml:space="preserve"> 100 and SELECT-1 studies:</w:t>
      </w:r>
    </w:p>
    <w:p w14:paraId="4F8B882A" w14:textId="77777777" w:rsidR="00DE6CC6" w:rsidRPr="00DE6CC6" w:rsidRDefault="00DE6CC6" w:rsidP="00DE6CC6">
      <w:pPr>
        <w:numPr>
          <w:ilvl w:val="0"/>
          <w:numId w:val="47"/>
        </w:numPr>
        <w:spacing w:before="0" w:after="240"/>
        <w:jc w:val="left"/>
        <w:rPr>
          <w:rFonts w:ascii="Times New Roman" w:eastAsia="Calibri" w:hAnsi="Times New Roman" w:cs="Times New Roman"/>
          <w:iCs/>
        </w:rPr>
      </w:pPr>
      <w:r w:rsidRPr="00DE6CC6">
        <w:rPr>
          <w:rFonts w:ascii="Times New Roman" w:eastAsia="Calibri" w:hAnsi="Times New Roman" w:cs="Times New Roman"/>
          <w:iCs/>
        </w:rPr>
        <w:t xml:space="preserve">The assumption that testing is associated with no additional cost may not be reasonable. PASC noted that most testing of </w:t>
      </w:r>
      <w:r w:rsidRPr="00DE6CC6">
        <w:rPr>
          <w:rFonts w:ascii="Times New Roman" w:eastAsia="Calibri" w:hAnsi="Times New Roman" w:cs="Times New Roman"/>
          <w:i/>
        </w:rPr>
        <w:t xml:space="preserve">KRAS </w:t>
      </w:r>
      <w:r w:rsidRPr="00DE6CC6">
        <w:rPr>
          <w:rFonts w:ascii="Times New Roman" w:eastAsia="Calibri" w:hAnsi="Times New Roman" w:cs="Times New Roman"/>
          <w:iCs/>
        </w:rPr>
        <w:t xml:space="preserve">in Australia is done using NGS with gene panels that include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though also mentioned that some smaller laboratories may still be using single gene testing (1669 Ratified PICO). A survey included in the submission (Appendix 1) of 25 laboratories that represent approximately 85−87% of testing in NSCLC suggests that current </w:t>
      </w:r>
      <w:r w:rsidRPr="00DE6CC6">
        <w:rPr>
          <w:rFonts w:ascii="Times New Roman" w:eastAsia="Calibri" w:hAnsi="Times New Roman" w:cs="Times New Roman"/>
          <w:i/>
        </w:rPr>
        <w:t xml:space="preserve">EGFR </w:t>
      </w:r>
      <w:r w:rsidRPr="00DE6CC6">
        <w:rPr>
          <w:rFonts w:ascii="Times New Roman" w:eastAsia="Calibri" w:hAnsi="Times New Roman" w:cs="Times New Roman"/>
          <w:iCs/>
        </w:rPr>
        <w:t xml:space="preserve">variant testing is being performed on NGS panels that would also likely include </w:t>
      </w:r>
      <w:r w:rsidRPr="00DE6CC6">
        <w:rPr>
          <w:rFonts w:ascii="Times New Roman" w:eastAsia="Calibri" w:hAnsi="Times New Roman" w:cs="Times New Roman"/>
          <w:i/>
        </w:rPr>
        <w:t xml:space="preserve">KRAS </w:t>
      </w:r>
      <w:r w:rsidRPr="00DE6CC6">
        <w:rPr>
          <w:rFonts w:ascii="Times New Roman" w:eastAsia="Calibri" w:hAnsi="Times New Roman" w:cs="Times New Roman"/>
          <w:iCs/>
        </w:rPr>
        <w:t>G12C. It is unclear how the remaining 13−15% of tests are being conducted. The laboratories not included in the survey are likely to be smaller and may not test EGFR using NGS. However, because they are smaller, the test throughput is likely to be small, and so while there might be a cost it is also likely to be small.</w:t>
      </w:r>
    </w:p>
    <w:p w14:paraId="36F399B0" w14:textId="77777777" w:rsidR="00DE6CC6" w:rsidRPr="00DE6CC6" w:rsidRDefault="00DE6CC6" w:rsidP="00DE6CC6">
      <w:pPr>
        <w:numPr>
          <w:ilvl w:val="0"/>
          <w:numId w:val="47"/>
        </w:numPr>
        <w:spacing w:before="0" w:after="240"/>
        <w:jc w:val="left"/>
        <w:rPr>
          <w:rFonts w:ascii="Times New Roman" w:eastAsia="Calibri" w:hAnsi="Times New Roman" w:cs="Times New Roman"/>
          <w:iCs/>
        </w:rPr>
      </w:pPr>
      <w:r w:rsidRPr="00DE6CC6">
        <w:rPr>
          <w:rFonts w:ascii="Times New Roman" w:eastAsia="Calibri" w:hAnsi="Times New Roman" w:cs="Times New Roman"/>
          <w:iCs/>
        </w:rPr>
        <w:t xml:space="preserve">While the test </w:t>
      </w:r>
      <w:proofErr w:type="gramStart"/>
      <w:r w:rsidRPr="00DE6CC6">
        <w:rPr>
          <w:rFonts w:ascii="Times New Roman" w:eastAsia="Calibri" w:hAnsi="Times New Roman" w:cs="Times New Roman"/>
          <w:iCs/>
        </w:rPr>
        <w:t>most commonly used</w:t>
      </w:r>
      <w:proofErr w:type="gramEnd"/>
      <w:r w:rsidRPr="00DE6CC6">
        <w:rPr>
          <w:rFonts w:ascii="Times New Roman" w:eastAsia="Calibri" w:hAnsi="Times New Roman" w:cs="Times New Roman"/>
          <w:iCs/>
        </w:rPr>
        <w:t xml:space="preserve"> in practice (NGS) was observed to be highly concordant with the PCR-based tests used in the clinical studies, detection of </w:t>
      </w:r>
      <w:r w:rsidRPr="00DE6CC6">
        <w:rPr>
          <w:rFonts w:ascii="Times New Roman" w:eastAsia="Calibri" w:hAnsi="Times New Roman" w:cs="Times New Roman"/>
          <w:i/>
        </w:rPr>
        <w:t>KRAS</w:t>
      </w:r>
      <w:r w:rsidRPr="00DE6CC6">
        <w:rPr>
          <w:rFonts w:ascii="Times New Roman" w:eastAsia="Calibri" w:hAnsi="Times New Roman" w:cs="Times New Roman"/>
          <w:iCs/>
        </w:rPr>
        <w:t> G12C would still be expected to vary according to sample quality. It is well-known that NGS performed with poor quality or inadequate tumour DNA samples have an increased likelihood of having a false negative result. Thus, false negative results (due to poor quality or inadequate DNA) could occur.</w:t>
      </w:r>
    </w:p>
    <w:p w14:paraId="3A5BB407" w14:textId="77777777" w:rsidR="00DE6CC6" w:rsidRPr="00DE6CC6" w:rsidRDefault="00DE6CC6" w:rsidP="00085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 model did however allow the impact of testing to be explored. Under the base case assumptions of no additional cost and perfect performance of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 testing, the incremental cost-effectiveness ratio (ICER) was unchanged from the treatment-only base case. The resulting incremental cost and outcome estimates reflect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use only in the proportion of the tested population that have the </w:t>
      </w:r>
      <w:r w:rsidRPr="00DE6CC6">
        <w:rPr>
          <w:rFonts w:ascii="Times New Roman" w:eastAsia="Calibri" w:hAnsi="Times New Roman" w:cs="Times New Roman"/>
          <w:i/>
        </w:rPr>
        <w:t xml:space="preserve">KRAS </w:t>
      </w:r>
      <w:r w:rsidRPr="00DE6CC6">
        <w:rPr>
          <w:rFonts w:ascii="Times New Roman" w:eastAsia="Calibri" w:hAnsi="Times New Roman" w:cs="Times New Roman"/>
        </w:rPr>
        <w:t>G12C variant (</w:t>
      </w:r>
      <w:proofErr w:type="gramStart"/>
      <w:r w:rsidRPr="00DE6CC6">
        <w:rPr>
          <w:rFonts w:ascii="Times New Roman" w:eastAsia="Calibri" w:hAnsi="Times New Roman" w:cs="Times New Roman"/>
        </w:rPr>
        <w:t>i.e.</w:t>
      </w:r>
      <w:proofErr w:type="gramEnd"/>
      <w:r w:rsidRPr="00DE6CC6">
        <w:rPr>
          <w:rFonts w:ascii="Times New Roman" w:eastAsia="Calibri" w:hAnsi="Times New Roman" w:cs="Times New Roman"/>
        </w:rPr>
        <w:t xml:space="preserve"> 13% of the population that enters the model). The commentary noted, </w:t>
      </w:r>
      <w:r w:rsidRPr="00DE6CC6">
        <w:rPr>
          <w:rFonts w:ascii="Times New Roman" w:eastAsia="Calibri" w:hAnsi="Times New Roman" w:cs="Times New Roman"/>
          <w:iCs/>
        </w:rPr>
        <w:t xml:space="preserve">in this analysis, no attrition was </w:t>
      </w:r>
      <w:r w:rsidRPr="00DE6CC6">
        <w:rPr>
          <w:rFonts w:ascii="Times New Roman" w:eastAsia="Calibri" w:hAnsi="Times New Roman" w:cs="Times New Roman"/>
          <w:iCs/>
        </w:rPr>
        <w:lastRenderedPageBreak/>
        <w:t xml:space="preserve">considered between the population eligible for testing and that eligible for treatment. This is of </w:t>
      </w:r>
      <w:proofErr w:type="gramStart"/>
      <w:r w:rsidRPr="00DE6CC6">
        <w:rPr>
          <w:rFonts w:ascii="Times New Roman" w:eastAsia="Calibri" w:hAnsi="Times New Roman" w:cs="Times New Roman"/>
          <w:iCs/>
        </w:rPr>
        <w:t>particular relevance</w:t>
      </w:r>
      <w:proofErr w:type="gramEnd"/>
      <w:r w:rsidRPr="00DE6CC6">
        <w:rPr>
          <w:rFonts w:ascii="Times New Roman" w:eastAsia="Calibri" w:hAnsi="Times New Roman" w:cs="Times New Roman"/>
          <w:iCs/>
        </w:rPr>
        <w:t xml:space="preserve"> given that current pathogenic </w:t>
      </w:r>
      <w:r w:rsidRPr="00DE6CC6">
        <w:rPr>
          <w:rFonts w:ascii="Times New Roman" w:eastAsia="Calibri" w:hAnsi="Times New Roman" w:cs="Times New Roman"/>
          <w:i/>
        </w:rPr>
        <w:t>EGFR</w:t>
      </w:r>
      <w:r w:rsidRPr="00DE6CC6">
        <w:rPr>
          <w:rFonts w:ascii="Times New Roman" w:eastAsia="Calibri" w:hAnsi="Times New Roman" w:cs="Times New Roman"/>
          <w:iCs/>
        </w:rPr>
        <w:t xml:space="preserve"> variant testing (and so the time when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variant testing is proposed) can occur at diagnosis of NSCLC and, although a large proportion of NSCLC is diagnosed at later stages, it is not all identified at advanced disease. Nor does this approach </w:t>
      </w:r>
      <w:proofErr w:type="gramStart"/>
      <w:r w:rsidRPr="00DE6CC6">
        <w:rPr>
          <w:rFonts w:ascii="Times New Roman" w:eastAsia="Calibri" w:hAnsi="Times New Roman" w:cs="Times New Roman"/>
          <w:iCs/>
        </w:rPr>
        <w:t>take into account</w:t>
      </w:r>
      <w:proofErr w:type="gramEnd"/>
      <w:r w:rsidRPr="00DE6CC6">
        <w:rPr>
          <w:rFonts w:ascii="Times New Roman" w:eastAsia="Calibri" w:hAnsi="Times New Roman" w:cs="Times New Roman"/>
          <w:iCs/>
        </w:rPr>
        <w:t xml:space="preserve"> attrition due to the inability to receive therapies subsequent to first-line treatment. Attrition, however, would only be relevant if </w:t>
      </w:r>
      <w:r w:rsidRPr="0044103A">
        <w:rPr>
          <w:rFonts w:ascii="Times New Roman" w:eastAsia="Calibri" w:hAnsi="Times New Roman" w:cs="Times New Roman"/>
          <w:i/>
        </w:rPr>
        <w:t>KRAS</w:t>
      </w:r>
      <w:r w:rsidRPr="00DE6CC6">
        <w:rPr>
          <w:rFonts w:ascii="Times New Roman" w:eastAsia="Calibri" w:hAnsi="Times New Roman" w:cs="Times New Roman"/>
          <w:iCs/>
        </w:rPr>
        <w:t xml:space="preserve"> variant testing is associated with an additional cost.</w:t>
      </w:r>
    </w:p>
    <w:p w14:paraId="6B164822" w14:textId="19333C3B" w:rsidR="00DE6CC6" w:rsidRPr="00DE6CC6" w:rsidRDefault="00DE6CC6" w:rsidP="00085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The commentary noted that the modelled implication of a false negative was that the cost of testing would be applied, but that the patient would not receive treatment with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and so the costs and outcomes modelled are based on receiving docetaxel </w:t>
      </w:r>
      <w:r w:rsidR="00F4424D" w:rsidRPr="00DE6CC6">
        <w:rPr>
          <w:rFonts w:ascii="Times New Roman" w:eastAsia="Calibri" w:hAnsi="Times New Roman" w:cs="Times New Roman"/>
        </w:rPr>
        <w:t>treatment</w:t>
      </w:r>
      <w:r w:rsidRPr="00DE6CC6">
        <w:rPr>
          <w:rFonts w:ascii="Times New Roman" w:eastAsia="Calibri" w:hAnsi="Times New Roman" w:cs="Times New Roman"/>
        </w:rPr>
        <w:t xml:space="preserve">, which was considered reasonable. False positives were generally modelled as true negative patients, where only the costs of pre-progression treatment (and associated administration and AEs) varied, </w:t>
      </w:r>
      <w:r w:rsidRPr="00DE6CC6">
        <w:rPr>
          <w:rFonts w:ascii="Times New Roman" w:eastAsia="Calibri" w:hAnsi="Times New Roman" w:cs="Times New Roman"/>
          <w:iCs/>
        </w:rPr>
        <w:t>however the utility decrement applied for IV administration of the comparator treatment was not changed for the reduced duration of comparator treatment, which was not reasonable.</w:t>
      </w:r>
      <w:r w:rsidRPr="00DE6CC6">
        <w:rPr>
          <w:rFonts w:ascii="Times New Roman" w:eastAsia="Calibri" w:hAnsi="Times New Roman" w:cs="Times New Roman"/>
        </w:rPr>
        <w:t xml:space="preserve"> These patients were assumed to incur the cost of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for one month before subsequently being treated with docetaxel. </w:t>
      </w:r>
      <w:r w:rsidRPr="00DE6CC6">
        <w:rPr>
          <w:rFonts w:ascii="Times New Roman" w:eastAsia="Calibri" w:hAnsi="Times New Roman" w:cs="Times New Roman"/>
          <w:iCs/>
        </w:rPr>
        <w:t xml:space="preserve">This approach was not justified, noting changes in a treatment plan may be too soon after one month, given that the median time to objective response in </w:t>
      </w:r>
      <w:proofErr w:type="spellStart"/>
      <w:r w:rsidRPr="00DE6CC6">
        <w:rPr>
          <w:rFonts w:ascii="Times New Roman" w:eastAsia="Calibri" w:hAnsi="Times New Roman" w:cs="Times New Roman"/>
          <w:iCs/>
        </w:rPr>
        <w:t>CodeBreak</w:t>
      </w:r>
      <w:proofErr w:type="spellEnd"/>
      <w:r w:rsidRPr="00DE6CC6">
        <w:rPr>
          <w:rFonts w:ascii="Times New Roman" w:eastAsia="Calibri" w:hAnsi="Times New Roman" w:cs="Times New Roman"/>
          <w:iCs/>
        </w:rPr>
        <w:t xml:space="preserve"> 100 was 1.4 months.</w:t>
      </w:r>
    </w:p>
    <w:p w14:paraId="50DA2727" w14:textId="4B73F047" w:rsidR="00DE6CC6" w:rsidRPr="00DE6CC6" w:rsidRDefault="00DE6CC6" w:rsidP="00085CC6">
      <w:pPr>
        <w:spacing w:before="0" w:after="240"/>
        <w:jc w:val="left"/>
        <w:rPr>
          <w:rFonts w:ascii="Times New Roman" w:eastAsia="Calibri" w:hAnsi="Times New Roman" w:cs="Times New Roman"/>
          <w:i/>
        </w:rPr>
      </w:pPr>
      <w:r w:rsidRPr="00DE6CC6">
        <w:rPr>
          <w:rFonts w:ascii="Times New Roman" w:eastAsia="Calibri" w:hAnsi="Times New Roman" w:cs="Times New Roman"/>
        </w:rPr>
        <w:t>Sensitivity analyses using alternate parameters related to testing were explored in the submission. The results of these analyses, in addition to others performed in the commentary, are presented in Table 6.</w:t>
      </w:r>
      <w:r w:rsidRPr="00DE6CC6">
        <w:rPr>
          <w:rFonts w:ascii="Times New Roman" w:eastAsia="Calibri" w:hAnsi="Times New Roman" w:cs="Times New Roman"/>
          <w:i/>
        </w:rPr>
        <w:t xml:space="preserve"> </w:t>
      </w:r>
      <w:r w:rsidRPr="00DE6CC6">
        <w:rPr>
          <w:rFonts w:ascii="Times New Roman" w:eastAsia="Calibri" w:hAnsi="Times New Roman" w:cs="Times New Roman"/>
          <w:iCs/>
        </w:rPr>
        <w:t>The commentary noted that</w:t>
      </w:r>
      <w:r w:rsidRPr="00DE6CC6">
        <w:rPr>
          <w:rFonts w:ascii="Times New Roman" w:eastAsia="Calibri" w:hAnsi="Times New Roman" w:cs="Times New Roman"/>
          <w:i/>
        </w:rPr>
        <w:t xml:space="preserve"> </w:t>
      </w:r>
      <w:r w:rsidRPr="00DE6CC6">
        <w:rPr>
          <w:rFonts w:ascii="Times New Roman" w:eastAsia="Calibri" w:hAnsi="Times New Roman" w:cs="Times New Roman"/>
          <w:iCs/>
        </w:rPr>
        <w:t>given the base case assumptions, the implications of some alternate assumptions related to testing can only be observed through multivariate analyses – such as the effect of the prevalence estimate or the estimate of PPA (which only affect the results when KRAS variant testing is associated with an additional cost).</w:t>
      </w:r>
    </w:p>
    <w:p w14:paraId="5B8DD96E" w14:textId="1EBAD164" w:rsidR="00DE6CC6" w:rsidRPr="00DE6CC6" w:rsidRDefault="00DE6CC6" w:rsidP="00DE6CC6">
      <w:pPr>
        <w:keepNext/>
        <w:spacing w:before="0" w:after="40"/>
        <w:outlineLvl w:val="4"/>
        <w:rPr>
          <w:rFonts w:ascii="Arial Narrow" w:eastAsia="Times New Roman" w:hAnsi="Arial Narrow" w:cs="Arial"/>
          <w:b/>
          <w:bCs/>
          <w:iCs/>
          <w:sz w:val="20"/>
          <w:szCs w:val="20"/>
        </w:rPr>
      </w:pPr>
      <w:bookmarkStart w:id="9" w:name="_Ref89420887"/>
      <w:r w:rsidRPr="00DE6CC6">
        <w:rPr>
          <w:rFonts w:ascii="Arial Narrow" w:eastAsia="Times New Roman" w:hAnsi="Arial Narrow" w:cs="Arial"/>
          <w:b/>
          <w:bCs/>
          <w:iCs/>
          <w:sz w:val="20"/>
          <w:szCs w:val="20"/>
        </w:rPr>
        <w:lastRenderedPageBreak/>
        <w:t xml:space="preserve">Table </w:t>
      </w:r>
      <w:bookmarkEnd w:id="9"/>
      <w:r w:rsidRPr="00DE6CC6">
        <w:rPr>
          <w:rFonts w:ascii="Arial Narrow" w:eastAsia="Times New Roman" w:hAnsi="Arial Narrow" w:cs="Arial"/>
          <w:b/>
          <w:bCs/>
          <w:iCs/>
          <w:sz w:val="20"/>
          <w:szCs w:val="20"/>
        </w:rPr>
        <w:t>6</w:t>
      </w:r>
      <w:r w:rsidRPr="00DE6CC6">
        <w:rPr>
          <w:rFonts w:ascii="Arial Narrow" w:eastAsia="Times New Roman" w:hAnsi="Arial Narrow" w:cs="Arial"/>
          <w:b/>
          <w:bCs/>
          <w:iCs/>
          <w:sz w:val="20"/>
          <w:szCs w:val="20"/>
        </w:rPr>
        <w:tab/>
        <w:t>Testing-related analyses revised to reflect Guidelines recommended annual discount rate</w:t>
      </w:r>
    </w:p>
    <w:tbl>
      <w:tblPr>
        <w:tblStyle w:val="PBACTableStyle2"/>
        <w:tblW w:w="5000" w:type="pct"/>
        <w:tblLayout w:type="fixed"/>
        <w:tblLook w:val="04A0" w:firstRow="1" w:lastRow="0" w:firstColumn="1" w:lastColumn="0" w:noHBand="0" w:noVBand="1"/>
      </w:tblPr>
      <w:tblGrid>
        <w:gridCol w:w="419"/>
        <w:gridCol w:w="4254"/>
        <w:gridCol w:w="1230"/>
        <w:gridCol w:w="1230"/>
        <w:gridCol w:w="1230"/>
        <w:gridCol w:w="653"/>
      </w:tblGrid>
      <w:tr w:rsidR="00DE6CC6" w:rsidRPr="00DE6CC6" w14:paraId="118E64DA" w14:textId="77777777" w:rsidTr="008765E4">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233" w:type="pct"/>
          </w:tcPr>
          <w:p w14:paraId="6BDB39A2" w14:textId="77777777" w:rsidR="00DE6CC6" w:rsidRPr="00DE6CC6" w:rsidRDefault="00DE6CC6" w:rsidP="004E6DB8">
            <w:pPr>
              <w:keepNext/>
              <w:spacing w:before="40" w:after="40" w:line="256" w:lineRule="auto"/>
              <w:ind w:left="-109" w:right="-113"/>
              <w:jc w:val="center"/>
              <w:rPr>
                <w:rFonts w:eastAsia="Calibri" w:cs="Times New Roman"/>
                <w:sz w:val="20"/>
                <w:szCs w:val="22"/>
              </w:rPr>
            </w:pPr>
          </w:p>
        </w:tc>
        <w:tc>
          <w:tcPr>
            <w:tcW w:w="2359" w:type="pct"/>
            <w:noWrap/>
            <w:hideMark/>
          </w:tcPr>
          <w:p w14:paraId="543EF289" w14:textId="77777777" w:rsidR="00DE6CC6" w:rsidRPr="00DE6CC6" w:rsidRDefault="00DE6CC6" w:rsidP="004E6DB8">
            <w:pPr>
              <w:keepNext/>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p>
        </w:tc>
        <w:tc>
          <w:tcPr>
            <w:tcW w:w="682" w:type="pct"/>
            <w:tcBorders>
              <w:bottom w:val="single" w:sz="4" w:space="0" w:color="auto"/>
            </w:tcBorders>
            <w:noWrap/>
            <w:hideMark/>
          </w:tcPr>
          <w:p w14:paraId="0DEB672F" w14:textId="57E56FAC" w:rsidR="00DE6CC6" w:rsidRPr="00DE6CC6" w:rsidRDefault="00DE6CC6" w:rsidP="004E6DB8">
            <w:pPr>
              <w:keepNext/>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Inc. cost</w:t>
            </w:r>
            <w:r w:rsidR="003B503E">
              <w:rPr>
                <w:rFonts w:eastAsia="Calibri" w:cs="Times New Roman"/>
                <w:sz w:val="20"/>
                <w:szCs w:val="22"/>
              </w:rPr>
              <w:t xml:space="preserve"> ($)</w:t>
            </w:r>
          </w:p>
        </w:tc>
        <w:tc>
          <w:tcPr>
            <w:tcW w:w="682" w:type="pct"/>
            <w:noWrap/>
            <w:hideMark/>
          </w:tcPr>
          <w:p w14:paraId="1AE241C1" w14:textId="77777777" w:rsidR="00DE6CC6" w:rsidRPr="00DE6CC6" w:rsidRDefault="00DE6CC6" w:rsidP="004E6DB8">
            <w:pPr>
              <w:keepNext/>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Inc. QALYs</w:t>
            </w:r>
          </w:p>
        </w:tc>
        <w:tc>
          <w:tcPr>
            <w:tcW w:w="682" w:type="pct"/>
            <w:noWrap/>
            <w:hideMark/>
          </w:tcPr>
          <w:p w14:paraId="75014E1F" w14:textId="090D3E9B" w:rsidR="00DE6CC6" w:rsidRPr="00DE6CC6" w:rsidRDefault="00DE6CC6" w:rsidP="004E6DB8">
            <w:pPr>
              <w:keepNext/>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ICER</w:t>
            </w:r>
            <w:r w:rsidR="003B503E">
              <w:rPr>
                <w:rFonts w:eastAsia="Calibri" w:cs="Times New Roman"/>
                <w:sz w:val="20"/>
                <w:szCs w:val="22"/>
              </w:rPr>
              <w:t xml:space="preserve"> ($)</w:t>
            </w:r>
          </w:p>
        </w:tc>
        <w:tc>
          <w:tcPr>
            <w:tcW w:w="363" w:type="pct"/>
            <w:noWrap/>
            <w:hideMark/>
          </w:tcPr>
          <w:p w14:paraId="4E1EE044" w14:textId="77777777" w:rsidR="00DE6CC6" w:rsidRPr="00DE6CC6" w:rsidRDefault="00DE6CC6" w:rsidP="004E6DB8">
            <w:pPr>
              <w:keepNext/>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w:t>
            </w:r>
          </w:p>
        </w:tc>
      </w:tr>
      <w:tr w:rsidR="00DE6CC6" w:rsidRPr="00DE6CC6" w14:paraId="7D5879B9" w14:textId="77777777" w:rsidTr="008765E4">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233" w:type="pct"/>
            <w:tcBorders>
              <w:bottom w:val="single" w:sz="4" w:space="0" w:color="auto"/>
            </w:tcBorders>
          </w:tcPr>
          <w:p w14:paraId="1EBFB200" w14:textId="77777777" w:rsidR="00DE6CC6" w:rsidRPr="00DE6CC6" w:rsidRDefault="00DE6CC6" w:rsidP="004E6DB8">
            <w:pPr>
              <w:keepNext/>
              <w:spacing w:before="40" w:after="40" w:line="256" w:lineRule="auto"/>
              <w:ind w:left="-109" w:right="-113"/>
              <w:jc w:val="center"/>
              <w:rPr>
                <w:rFonts w:eastAsia="Calibri" w:cs="Times New Roman"/>
                <w:bCs/>
                <w:sz w:val="20"/>
                <w:szCs w:val="22"/>
              </w:rPr>
            </w:pPr>
          </w:p>
        </w:tc>
        <w:tc>
          <w:tcPr>
            <w:tcW w:w="2359" w:type="pct"/>
            <w:tcBorders>
              <w:bottom w:val="single" w:sz="4" w:space="0" w:color="auto"/>
            </w:tcBorders>
            <w:noWrap/>
            <w:hideMark/>
          </w:tcPr>
          <w:p w14:paraId="3B1C6352" w14:textId="77777777" w:rsidR="00DE6CC6" w:rsidRPr="00DE6CC6" w:rsidRDefault="00DE6CC6" w:rsidP="004E6DB8">
            <w:pPr>
              <w:keepNext/>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Cs/>
                <w:sz w:val="20"/>
                <w:szCs w:val="22"/>
              </w:rPr>
            </w:pPr>
            <w:r w:rsidRPr="00DE6CC6">
              <w:rPr>
                <w:rFonts w:eastAsia="Calibri" w:cs="Times New Roman"/>
                <w:bCs/>
                <w:sz w:val="20"/>
                <w:szCs w:val="22"/>
              </w:rPr>
              <w:t>Submission base case (treatment only structure)</w:t>
            </w:r>
          </w:p>
        </w:tc>
        <w:tc>
          <w:tcPr>
            <w:tcW w:w="682" w:type="pct"/>
            <w:tcBorders>
              <w:bottom w:val="single" w:sz="4" w:space="0" w:color="auto"/>
            </w:tcBorders>
            <w:shd w:val="solid" w:color="000000" w:fill="000000"/>
            <w:noWrap/>
            <w:vAlign w:val="top"/>
            <w:hideMark/>
          </w:tcPr>
          <w:p w14:paraId="4B1B18E8" w14:textId="1386FAF3" w:rsidR="00DE6CC6" w:rsidRPr="008765E4" w:rsidRDefault="008765E4" w:rsidP="004E6DB8">
            <w:pPr>
              <w:keepNext/>
              <w:spacing w:before="40" w:after="40" w:line="256" w:lineRule="auto"/>
              <w:jc w:val="right"/>
              <w:cnfStyle w:val="100000000000" w:firstRow="1" w:lastRow="0" w:firstColumn="0" w:lastColumn="0" w:oddVBand="0" w:evenVBand="0" w:oddHBand="0" w:evenHBand="0" w:firstRowFirstColumn="0" w:firstRowLastColumn="0" w:lastRowFirstColumn="0" w:lastRowLastColumn="0"/>
              <w:rPr>
                <w:rFonts w:eastAsia="Calibri" w:cs="Times New Roman"/>
                <w:bCs/>
                <w:i/>
                <w:sz w:val="20"/>
                <w:szCs w:val="22"/>
              </w:rPr>
            </w:pPr>
            <w:r w:rsidRPr="008765E4">
              <w:rPr>
                <w:rFonts w:eastAsia="Calibri" w:cs="Times New Roman"/>
                <w:bCs/>
                <w:i/>
                <w:sz w:val="20"/>
                <w:szCs w:val="22"/>
                <w14:textFill>
                  <w14:solidFill>
                    <w14:srgbClr w14:val="000000">
                      <w14:alpha w14:val="100000"/>
                    </w14:srgbClr>
                  </w14:solidFill>
                </w14:textFill>
              </w:rPr>
              <w:t>|</w:t>
            </w:r>
          </w:p>
        </w:tc>
        <w:tc>
          <w:tcPr>
            <w:tcW w:w="682" w:type="pct"/>
            <w:tcBorders>
              <w:bottom w:val="single" w:sz="4" w:space="0" w:color="auto"/>
            </w:tcBorders>
            <w:noWrap/>
            <w:vAlign w:val="top"/>
            <w:hideMark/>
          </w:tcPr>
          <w:p w14:paraId="69974722" w14:textId="77777777" w:rsidR="00DE6CC6" w:rsidRPr="008765E4" w:rsidRDefault="00DE6CC6" w:rsidP="004E6DB8">
            <w:pPr>
              <w:keepNext/>
              <w:spacing w:before="40" w:after="40" w:line="256" w:lineRule="auto"/>
              <w:jc w:val="right"/>
              <w:cnfStyle w:val="100000000000" w:firstRow="1" w:lastRow="0" w:firstColumn="0" w:lastColumn="0" w:oddVBand="0" w:evenVBand="0" w:oddHBand="0" w:evenHBand="0" w:firstRowFirstColumn="0" w:firstRowLastColumn="0" w:lastRowFirstColumn="0" w:lastRowLastColumn="0"/>
              <w:rPr>
                <w:rFonts w:eastAsia="Calibri" w:cs="Times New Roman"/>
                <w:bCs/>
                <w:i/>
                <w:sz w:val="20"/>
                <w:szCs w:val="22"/>
              </w:rPr>
            </w:pPr>
            <w:r w:rsidRPr="008765E4">
              <w:rPr>
                <w:rFonts w:eastAsia="Calibri" w:cs="Times New Roman"/>
                <w:bCs/>
                <w:i/>
                <w:sz w:val="20"/>
                <w:szCs w:val="22"/>
              </w:rPr>
              <w:t>0.572</w:t>
            </w:r>
          </w:p>
        </w:tc>
        <w:tc>
          <w:tcPr>
            <w:tcW w:w="682" w:type="pct"/>
            <w:tcBorders>
              <w:bottom w:val="single" w:sz="4" w:space="0" w:color="auto"/>
            </w:tcBorders>
            <w:noWrap/>
            <w:vAlign w:val="top"/>
            <w:hideMark/>
          </w:tcPr>
          <w:p w14:paraId="6B90CECC" w14:textId="26BD7519" w:rsidR="00DE6CC6" w:rsidRPr="008765E4" w:rsidRDefault="008765E4" w:rsidP="004E6DB8">
            <w:pPr>
              <w:keepNext/>
              <w:spacing w:before="40" w:after="40" w:line="256" w:lineRule="auto"/>
              <w:jc w:val="right"/>
              <w:cnfStyle w:val="100000000000" w:firstRow="1" w:lastRow="0" w:firstColumn="0" w:lastColumn="0" w:oddVBand="0" w:evenVBand="0" w:oddHBand="0" w:evenHBand="0" w:firstRowFirstColumn="0" w:firstRowLastColumn="0" w:lastRowFirstColumn="0" w:lastRowLastColumn="0"/>
              <w:rPr>
                <w:rFonts w:eastAsia="Calibri" w:cs="Times New Roman"/>
                <w:bCs/>
                <w:i/>
                <w:sz w:val="20"/>
                <w:szCs w:val="22"/>
                <w:highlight w:val="cyan"/>
                <w:vertAlign w:val="superscript"/>
              </w:rPr>
            </w:pPr>
            <w:r w:rsidRPr="008765E4">
              <w:rPr>
                <w:rFonts w:eastAsia="Calibri" w:cs="Times New Roman"/>
                <w:bCs/>
                <w:i/>
                <w:sz w:val="20"/>
                <w:szCs w:val="22"/>
                <w:shd w:val="solid" w:color="000000" w:fill="000000"/>
                <w14:textFill>
                  <w14:solidFill>
                    <w14:srgbClr w14:val="000000">
                      <w14:alpha w14:val="100000"/>
                    </w14:srgbClr>
                  </w14:solidFill>
                </w14:textFill>
              </w:rPr>
              <w:t>|</w:t>
            </w:r>
            <w:r w:rsidR="00E719E9" w:rsidRPr="008765E4">
              <w:rPr>
                <w:rFonts w:eastAsia="Calibri" w:cs="Times New Roman"/>
                <w:bCs/>
                <w:i/>
                <w:sz w:val="20"/>
                <w:vertAlign w:val="superscript"/>
              </w:rPr>
              <w:t>1</w:t>
            </w:r>
          </w:p>
        </w:tc>
        <w:tc>
          <w:tcPr>
            <w:tcW w:w="363" w:type="pct"/>
            <w:tcBorders>
              <w:bottom w:val="single" w:sz="4" w:space="0" w:color="auto"/>
            </w:tcBorders>
            <w:noWrap/>
            <w:vAlign w:val="top"/>
            <w:hideMark/>
          </w:tcPr>
          <w:p w14:paraId="2D5A5415" w14:textId="77777777" w:rsidR="00DE6CC6" w:rsidRPr="00DE6CC6" w:rsidRDefault="00DE6CC6" w:rsidP="004E6DB8">
            <w:pPr>
              <w:keepNext/>
              <w:spacing w:before="40" w:after="40" w:line="256" w:lineRule="auto"/>
              <w:jc w:val="right"/>
              <w:cnfStyle w:val="100000000000" w:firstRow="1" w:lastRow="0" w:firstColumn="0" w:lastColumn="0" w:oddVBand="0" w:evenVBand="0" w:oddHBand="0" w:evenHBand="0" w:firstRowFirstColumn="0" w:firstRowLastColumn="0" w:lastRowFirstColumn="0" w:lastRowLastColumn="0"/>
              <w:rPr>
                <w:rFonts w:eastAsia="Calibri" w:cs="Times New Roman"/>
                <w:bCs/>
                <w:i/>
                <w:sz w:val="20"/>
                <w:szCs w:val="22"/>
              </w:rPr>
            </w:pPr>
          </w:p>
        </w:tc>
      </w:tr>
      <w:tr w:rsidR="00DE6CC6" w:rsidRPr="00DE6CC6" w14:paraId="48CF2E52"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bottom w:val="single" w:sz="4" w:space="0" w:color="auto"/>
            </w:tcBorders>
          </w:tcPr>
          <w:p w14:paraId="4642B514" w14:textId="77777777" w:rsidR="00DE6CC6" w:rsidRPr="00DE6CC6" w:rsidRDefault="00DE6CC6" w:rsidP="004E6DB8">
            <w:pPr>
              <w:keepNext/>
              <w:spacing w:before="40" w:after="40" w:line="256" w:lineRule="auto"/>
              <w:ind w:left="-109" w:right="-113"/>
              <w:jc w:val="center"/>
              <w:rPr>
                <w:rFonts w:eastAsia="Calibri" w:cs="Times New Roman"/>
                <w:bCs/>
                <w:sz w:val="20"/>
                <w:szCs w:val="22"/>
              </w:rPr>
            </w:pPr>
          </w:p>
        </w:tc>
        <w:tc>
          <w:tcPr>
            <w:tcW w:w="2359" w:type="pct"/>
            <w:tcBorders>
              <w:bottom w:val="single" w:sz="4" w:space="0" w:color="auto"/>
            </w:tcBorders>
            <w:noWrap/>
            <w:vAlign w:val="top"/>
            <w:hideMark/>
          </w:tcPr>
          <w:p w14:paraId="0829984F" w14:textId="77777777" w:rsidR="00DE6CC6" w:rsidRPr="00DE6CC6" w:rsidRDefault="00DE6CC6" w:rsidP="004E6DB8">
            <w:pPr>
              <w:keepNext/>
              <w:spacing w:before="40" w:after="40" w:line="256" w:lineRule="auto"/>
              <w:ind w:right="57"/>
              <w:jc w:val="center"/>
              <w:cnfStyle w:val="000000000000" w:firstRow="0" w:lastRow="0" w:firstColumn="0" w:lastColumn="0" w:oddVBand="0" w:evenVBand="0" w:oddHBand="0" w:evenHBand="0" w:firstRowFirstColumn="0" w:firstRowLastColumn="0" w:lastRowFirstColumn="0" w:lastRowLastColumn="0"/>
              <w:rPr>
                <w:rFonts w:eastAsia="Calibri" w:cs="Times New Roman"/>
                <w:bCs/>
                <w:i/>
                <w:iCs/>
                <w:sz w:val="20"/>
                <w:szCs w:val="22"/>
              </w:rPr>
            </w:pPr>
            <w:r w:rsidRPr="00DE6CC6">
              <w:rPr>
                <w:rFonts w:eastAsia="Calibri" w:cs="Times New Roman"/>
                <w:bCs/>
                <w:i/>
                <w:iCs/>
                <w:sz w:val="20"/>
                <w:szCs w:val="22"/>
              </w:rPr>
              <w:t>Test-treat structure base case</w:t>
            </w:r>
          </w:p>
        </w:tc>
        <w:tc>
          <w:tcPr>
            <w:tcW w:w="682" w:type="pct"/>
            <w:tcBorders>
              <w:bottom w:val="single" w:sz="4" w:space="0" w:color="auto"/>
            </w:tcBorders>
            <w:shd w:val="solid" w:color="000000" w:fill="000000"/>
            <w:noWrap/>
            <w:vAlign w:val="top"/>
            <w:hideMark/>
          </w:tcPr>
          <w:p w14:paraId="3EC4D296" w14:textId="1A508DCB"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bCs/>
                <w:i/>
                <w:sz w:val="20"/>
                <w:szCs w:val="22"/>
              </w:rPr>
            </w:pPr>
            <w:r w:rsidRPr="008765E4">
              <w:rPr>
                <w:rFonts w:eastAsia="Calibri" w:cs="Times New Roman"/>
                <w:bCs/>
                <w:i/>
                <w:sz w:val="20"/>
                <w:szCs w:val="22"/>
                <w14:textFill>
                  <w14:solidFill>
                    <w14:srgbClr w14:val="000000">
                      <w14:alpha w14:val="100000"/>
                    </w14:srgbClr>
                  </w14:solidFill>
                </w14:textFill>
              </w:rPr>
              <w:t>|</w:t>
            </w:r>
          </w:p>
        </w:tc>
        <w:tc>
          <w:tcPr>
            <w:tcW w:w="682" w:type="pct"/>
            <w:tcBorders>
              <w:bottom w:val="single" w:sz="4" w:space="0" w:color="auto"/>
            </w:tcBorders>
            <w:noWrap/>
            <w:vAlign w:val="top"/>
            <w:hideMark/>
          </w:tcPr>
          <w:p w14:paraId="1FCF8DB3"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bCs/>
                <w:i/>
                <w:sz w:val="20"/>
                <w:szCs w:val="22"/>
              </w:rPr>
            </w:pPr>
            <w:r w:rsidRPr="008765E4">
              <w:rPr>
                <w:rFonts w:eastAsia="Calibri" w:cs="Times New Roman"/>
                <w:bCs/>
                <w:i/>
                <w:sz w:val="20"/>
                <w:szCs w:val="22"/>
              </w:rPr>
              <w:t>0.074</w:t>
            </w:r>
          </w:p>
        </w:tc>
        <w:tc>
          <w:tcPr>
            <w:tcW w:w="682" w:type="pct"/>
            <w:tcBorders>
              <w:bottom w:val="single" w:sz="4" w:space="0" w:color="auto"/>
            </w:tcBorders>
            <w:noWrap/>
            <w:vAlign w:val="top"/>
            <w:hideMark/>
          </w:tcPr>
          <w:p w14:paraId="787BD142" w14:textId="08EC16E3"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bCs/>
                <w:i/>
                <w:sz w:val="20"/>
                <w:szCs w:val="22"/>
                <w:highlight w:val="cyan"/>
              </w:rPr>
            </w:pPr>
            <w:r w:rsidRPr="008765E4">
              <w:rPr>
                <w:rFonts w:eastAsia="Calibri" w:cs="Times New Roman"/>
                <w:bCs/>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bottom w:val="single" w:sz="4" w:space="0" w:color="auto"/>
            </w:tcBorders>
            <w:noWrap/>
            <w:vAlign w:val="top"/>
            <w:hideMark/>
          </w:tcPr>
          <w:p w14:paraId="4117CAE3"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bCs/>
                <w:i/>
                <w:sz w:val="20"/>
                <w:szCs w:val="22"/>
              </w:rPr>
            </w:pPr>
          </w:p>
        </w:tc>
      </w:tr>
      <w:tr w:rsidR="00DE6CC6" w:rsidRPr="00DE6CC6" w14:paraId="0E166843" w14:textId="77777777" w:rsidTr="008765E4">
        <w:trPr>
          <w:trHeight w:val="64"/>
        </w:trPr>
        <w:tc>
          <w:tcPr>
            <w:cnfStyle w:val="001000000000" w:firstRow="0" w:lastRow="0" w:firstColumn="1" w:lastColumn="0" w:oddVBand="0" w:evenVBand="0" w:oddHBand="0" w:evenHBand="0" w:firstRowFirstColumn="0" w:firstRowLastColumn="0" w:lastRowFirstColumn="0" w:lastRowLastColumn="0"/>
            <w:tcW w:w="233" w:type="pct"/>
            <w:tcBorders>
              <w:bottom w:val="single" w:sz="4" w:space="0" w:color="auto"/>
              <w:right w:val="nil"/>
            </w:tcBorders>
          </w:tcPr>
          <w:p w14:paraId="4F30E10C"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p>
        </w:tc>
        <w:tc>
          <w:tcPr>
            <w:tcW w:w="2359" w:type="pct"/>
            <w:tcBorders>
              <w:bottom w:val="single" w:sz="4" w:space="0" w:color="auto"/>
              <w:right w:val="nil"/>
            </w:tcBorders>
            <w:noWrap/>
            <w:vAlign w:val="top"/>
            <w:hideMark/>
          </w:tcPr>
          <w:p w14:paraId="21365A5C"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Test cost (base case: $397.35 in 0% of patients)</w:t>
            </w:r>
          </w:p>
        </w:tc>
        <w:tc>
          <w:tcPr>
            <w:tcW w:w="682" w:type="pct"/>
            <w:tcBorders>
              <w:left w:val="nil"/>
              <w:bottom w:val="single" w:sz="4" w:space="0" w:color="auto"/>
              <w:right w:val="nil"/>
            </w:tcBorders>
            <w:noWrap/>
            <w:vAlign w:val="top"/>
            <w:hideMark/>
          </w:tcPr>
          <w:p w14:paraId="3D353C76"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682" w:type="pct"/>
            <w:tcBorders>
              <w:left w:val="nil"/>
              <w:bottom w:val="single" w:sz="4" w:space="0" w:color="auto"/>
              <w:right w:val="nil"/>
            </w:tcBorders>
            <w:noWrap/>
            <w:vAlign w:val="top"/>
            <w:hideMark/>
          </w:tcPr>
          <w:p w14:paraId="3E5D47D2"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682" w:type="pct"/>
            <w:tcBorders>
              <w:left w:val="nil"/>
              <w:bottom w:val="single" w:sz="4" w:space="0" w:color="auto"/>
              <w:right w:val="nil"/>
            </w:tcBorders>
            <w:noWrap/>
            <w:vAlign w:val="top"/>
            <w:hideMark/>
          </w:tcPr>
          <w:p w14:paraId="1B990BAC"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363" w:type="pct"/>
            <w:tcBorders>
              <w:left w:val="nil"/>
              <w:bottom w:val="single" w:sz="4" w:space="0" w:color="auto"/>
            </w:tcBorders>
            <w:noWrap/>
            <w:vAlign w:val="top"/>
            <w:hideMark/>
          </w:tcPr>
          <w:p w14:paraId="59618ACB"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r>
      <w:tr w:rsidR="00DE6CC6" w:rsidRPr="00DE6CC6" w14:paraId="604B0B04"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bottom w:val="nil"/>
            </w:tcBorders>
          </w:tcPr>
          <w:p w14:paraId="0CAA9601"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#1</w:t>
            </w:r>
          </w:p>
        </w:tc>
        <w:tc>
          <w:tcPr>
            <w:tcW w:w="2359" w:type="pct"/>
            <w:tcBorders>
              <w:bottom w:val="nil"/>
            </w:tcBorders>
            <w:noWrap/>
            <w:vAlign w:val="top"/>
            <w:hideMark/>
          </w:tcPr>
          <w:p w14:paraId="074958AB"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$397.35 in 15% of patients</w:t>
            </w:r>
          </w:p>
        </w:tc>
        <w:tc>
          <w:tcPr>
            <w:tcW w:w="682" w:type="pct"/>
            <w:tcBorders>
              <w:bottom w:val="nil"/>
            </w:tcBorders>
            <w:shd w:val="solid" w:color="000000" w:fill="000000"/>
            <w:noWrap/>
            <w:vAlign w:val="top"/>
            <w:hideMark/>
          </w:tcPr>
          <w:p w14:paraId="23DB435B" w14:textId="4B3246C9"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bottom w:val="nil"/>
            </w:tcBorders>
            <w:noWrap/>
            <w:vAlign w:val="top"/>
            <w:hideMark/>
          </w:tcPr>
          <w:p w14:paraId="2DB3CC7B"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0.074</w:t>
            </w:r>
          </w:p>
        </w:tc>
        <w:tc>
          <w:tcPr>
            <w:tcW w:w="682" w:type="pct"/>
            <w:tcBorders>
              <w:bottom w:val="nil"/>
            </w:tcBorders>
            <w:noWrap/>
            <w:vAlign w:val="top"/>
            <w:hideMark/>
          </w:tcPr>
          <w:p w14:paraId="65B85D07" w14:textId="546F2D23"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bottom w:val="nil"/>
            </w:tcBorders>
            <w:noWrap/>
            <w:vAlign w:val="top"/>
            <w:hideMark/>
          </w:tcPr>
          <w:p w14:paraId="6CD5C748"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0.8%</w:t>
            </w:r>
          </w:p>
        </w:tc>
      </w:tr>
      <w:tr w:rsidR="00DE6CC6" w:rsidRPr="00DE6CC6" w14:paraId="36DEAE80"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single" w:sz="4" w:space="0" w:color="auto"/>
            </w:tcBorders>
          </w:tcPr>
          <w:p w14:paraId="39F28E04"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#2</w:t>
            </w:r>
          </w:p>
        </w:tc>
        <w:tc>
          <w:tcPr>
            <w:tcW w:w="2359" w:type="pct"/>
            <w:tcBorders>
              <w:top w:val="nil"/>
              <w:bottom w:val="single" w:sz="4" w:space="0" w:color="auto"/>
            </w:tcBorders>
            <w:noWrap/>
            <w:vAlign w:val="top"/>
            <w:hideMark/>
          </w:tcPr>
          <w:p w14:paraId="293F0912"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$397.35 in 100% of patients</w:t>
            </w:r>
          </w:p>
        </w:tc>
        <w:tc>
          <w:tcPr>
            <w:tcW w:w="682" w:type="pct"/>
            <w:tcBorders>
              <w:top w:val="nil"/>
              <w:bottom w:val="single" w:sz="4" w:space="0" w:color="auto"/>
            </w:tcBorders>
            <w:shd w:val="solid" w:color="000000" w:fill="000000"/>
            <w:noWrap/>
            <w:vAlign w:val="top"/>
            <w:hideMark/>
          </w:tcPr>
          <w:p w14:paraId="724BB44E" w14:textId="1D35D17E"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single" w:sz="4" w:space="0" w:color="auto"/>
            </w:tcBorders>
            <w:noWrap/>
            <w:vAlign w:val="top"/>
            <w:hideMark/>
          </w:tcPr>
          <w:p w14:paraId="5D50FA16"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0.074</w:t>
            </w:r>
          </w:p>
        </w:tc>
        <w:tc>
          <w:tcPr>
            <w:tcW w:w="682" w:type="pct"/>
            <w:tcBorders>
              <w:top w:val="nil"/>
              <w:bottom w:val="single" w:sz="4" w:space="0" w:color="auto"/>
            </w:tcBorders>
            <w:noWrap/>
            <w:vAlign w:val="top"/>
            <w:hideMark/>
          </w:tcPr>
          <w:p w14:paraId="0697119C" w14:textId="4E738F7C"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single" w:sz="4" w:space="0" w:color="auto"/>
            </w:tcBorders>
            <w:noWrap/>
            <w:vAlign w:val="top"/>
            <w:hideMark/>
          </w:tcPr>
          <w:p w14:paraId="6C8B4B8F"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5.6%</w:t>
            </w:r>
          </w:p>
        </w:tc>
      </w:tr>
      <w:tr w:rsidR="00DE6CC6" w:rsidRPr="00DE6CC6" w14:paraId="26525361"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bottom w:val="single" w:sz="4" w:space="0" w:color="auto"/>
              <w:right w:val="nil"/>
            </w:tcBorders>
          </w:tcPr>
          <w:p w14:paraId="17D94097"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p>
        </w:tc>
        <w:tc>
          <w:tcPr>
            <w:tcW w:w="2359" w:type="pct"/>
            <w:tcBorders>
              <w:bottom w:val="single" w:sz="4" w:space="0" w:color="auto"/>
              <w:right w:val="nil"/>
            </w:tcBorders>
            <w:noWrap/>
            <w:vAlign w:val="top"/>
            <w:hideMark/>
          </w:tcPr>
          <w:p w14:paraId="048F9D67"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Prevalence of G12C (base case: 13%)</w:t>
            </w:r>
          </w:p>
        </w:tc>
        <w:tc>
          <w:tcPr>
            <w:tcW w:w="682" w:type="pct"/>
            <w:tcBorders>
              <w:left w:val="nil"/>
              <w:bottom w:val="single" w:sz="4" w:space="0" w:color="auto"/>
              <w:right w:val="nil"/>
            </w:tcBorders>
            <w:noWrap/>
            <w:vAlign w:val="top"/>
            <w:hideMark/>
          </w:tcPr>
          <w:p w14:paraId="149622E8"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682" w:type="pct"/>
            <w:tcBorders>
              <w:left w:val="nil"/>
              <w:bottom w:val="single" w:sz="4" w:space="0" w:color="auto"/>
              <w:right w:val="nil"/>
            </w:tcBorders>
            <w:noWrap/>
            <w:vAlign w:val="top"/>
            <w:hideMark/>
          </w:tcPr>
          <w:p w14:paraId="5EC5D161"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682" w:type="pct"/>
            <w:tcBorders>
              <w:left w:val="nil"/>
              <w:bottom w:val="single" w:sz="4" w:space="0" w:color="auto"/>
              <w:right w:val="nil"/>
            </w:tcBorders>
            <w:noWrap/>
            <w:vAlign w:val="top"/>
            <w:hideMark/>
          </w:tcPr>
          <w:p w14:paraId="65FE71CB"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363" w:type="pct"/>
            <w:tcBorders>
              <w:left w:val="nil"/>
              <w:bottom w:val="single" w:sz="4" w:space="0" w:color="auto"/>
            </w:tcBorders>
            <w:noWrap/>
            <w:vAlign w:val="top"/>
            <w:hideMark/>
          </w:tcPr>
          <w:p w14:paraId="6D6066BD"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r>
      <w:tr w:rsidR="00DE6CC6" w:rsidRPr="00DE6CC6" w14:paraId="72257C87"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bottom w:val="nil"/>
            </w:tcBorders>
          </w:tcPr>
          <w:p w14:paraId="3F556750"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#3</w:t>
            </w:r>
          </w:p>
        </w:tc>
        <w:tc>
          <w:tcPr>
            <w:tcW w:w="2359" w:type="pct"/>
            <w:tcBorders>
              <w:bottom w:val="nil"/>
            </w:tcBorders>
            <w:noWrap/>
            <w:vAlign w:val="top"/>
            <w:hideMark/>
          </w:tcPr>
          <w:p w14:paraId="4A692EF2"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 xml:space="preserve">#1 + 10% </w:t>
            </w:r>
            <w:r w:rsidRPr="00DE6CC6">
              <w:rPr>
                <w:rFonts w:eastAsia="Calibri" w:cs="Times New Roman"/>
                <w:sz w:val="20"/>
                <w:szCs w:val="22"/>
              </w:rPr>
              <w:t>KRAS</w:t>
            </w:r>
            <w:r w:rsidRPr="00DE6CC6">
              <w:rPr>
                <w:rFonts w:eastAsia="Calibri" w:cs="Times New Roman"/>
                <w:i/>
                <w:sz w:val="20"/>
                <w:szCs w:val="22"/>
              </w:rPr>
              <w:t xml:space="preserve"> G12C prevalence estimate</w:t>
            </w:r>
          </w:p>
        </w:tc>
        <w:tc>
          <w:tcPr>
            <w:tcW w:w="682" w:type="pct"/>
            <w:tcBorders>
              <w:bottom w:val="nil"/>
            </w:tcBorders>
            <w:shd w:val="solid" w:color="000000" w:fill="000000"/>
            <w:noWrap/>
            <w:vAlign w:val="top"/>
            <w:hideMark/>
          </w:tcPr>
          <w:p w14:paraId="403ACD4F" w14:textId="4D726B09"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bottom w:val="nil"/>
            </w:tcBorders>
            <w:noWrap/>
            <w:vAlign w:val="top"/>
            <w:hideMark/>
          </w:tcPr>
          <w:p w14:paraId="2AE32FE9"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0.057</w:t>
            </w:r>
          </w:p>
        </w:tc>
        <w:tc>
          <w:tcPr>
            <w:tcW w:w="682" w:type="pct"/>
            <w:tcBorders>
              <w:bottom w:val="nil"/>
            </w:tcBorders>
            <w:noWrap/>
            <w:vAlign w:val="top"/>
            <w:hideMark/>
          </w:tcPr>
          <w:p w14:paraId="68B1B9CF" w14:textId="39472C3C"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bottom w:val="nil"/>
            </w:tcBorders>
            <w:noWrap/>
            <w:vAlign w:val="top"/>
            <w:hideMark/>
          </w:tcPr>
          <w:p w14:paraId="053234F0"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1.1%</w:t>
            </w:r>
          </w:p>
        </w:tc>
      </w:tr>
      <w:tr w:rsidR="00DE6CC6" w:rsidRPr="00DE6CC6" w14:paraId="6839DFF5"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232740BB"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#4</w:t>
            </w:r>
          </w:p>
        </w:tc>
        <w:tc>
          <w:tcPr>
            <w:tcW w:w="2359" w:type="pct"/>
            <w:tcBorders>
              <w:top w:val="nil"/>
              <w:bottom w:val="nil"/>
            </w:tcBorders>
            <w:noWrap/>
            <w:vAlign w:val="top"/>
            <w:hideMark/>
          </w:tcPr>
          <w:p w14:paraId="33EAF8D0"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 xml:space="preserve">#1 + 15% </w:t>
            </w:r>
            <w:r w:rsidRPr="00DE6CC6">
              <w:rPr>
                <w:rFonts w:eastAsia="Calibri" w:cs="Times New Roman"/>
                <w:sz w:val="20"/>
                <w:szCs w:val="22"/>
              </w:rPr>
              <w:t>KRAS</w:t>
            </w:r>
            <w:r w:rsidRPr="00DE6CC6">
              <w:rPr>
                <w:rFonts w:eastAsia="Calibri" w:cs="Times New Roman"/>
                <w:i/>
                <w:sz w:val="20"/>
                <w:szCs w:val="22"/>
              </w:rPr>
              <w:t xml:space="preserve"> G12C prevalence estimate</w:t>
            </w:r>
          </w:p>
        </w:tc>
        <w:tc>
          <w:tcPr>
            <w:tcW w:w="682" w:type="pct"/>
            <w:tcBorders>
              <w:top w:val="nil"/>
              <w:bottom w:val="nil"/>
            </w:tcBorders>
            <w:shd w:val="solid" w:color="000000" w:fill="000000"/>
            <w:noWrap/>
            <w:vAlign w:val="top"/>
            <w:hideMark/>
          </w:tcPr>
          <w:p w14:paraId="585803DA" w14:textId="38462BEC"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43989631"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0.086</w:t>
            </w:r>
          </w:p>
        </w:tc>
        <w:tc>
          <w:tcPr>
            <w:tcW w:w="682" w:type="pct"/>
            <w:tcBorders>
              <w:top w:val="nil"/>
              <w:bottom w:val="nil"/>
            </w:tcBorders>
            <w:noWrap/>
            <w:vAlign w:val="top"/>
            <w:hideMark/>
          </w:tcPr>
          <w:p w14:paraId="4FC6A107" w14:textId="257812D2"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121C7179"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0.7%</w:t>
            </w:r>
          </w:p>
        </w:tc>
      </w:tr>
      <w:tr w:rsidR="00DE6CC6" w:rsidRPr="00DE6CC6" w14:paraId="16C3F333"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single" w:sz="4" w:space="0" w:color="auto"/>
            </w:tcBorders>
          </w:tcPr>
          <w:p w14:paraId="0F51B244"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#5</w:t>
            </w:r>
          </w:p>
        </w:tc>
        <w:tc>
          <w:tcPr>
            <w:tcW w:w="2359" w:type="pct"/>
            <w:tcBorders>
              <w:top w:val="nil"/>
              <w:bottom w:val="single" w:sz="4" w:space="0" w:color="auto"/>
            </w:tcBorders>
            <w:noWrap/>
            <w:vAlign w:val="top"/>
            <w:hideMark/>
          </w:tcPr>
          <w:p w14:paraId="4C30A2A2"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#1 + 20%</w:t>
            </w:r>
            <w:r w:rsidRPr="00DE6CC6">
              <w:rPr>
                <w:rFonts w:eastAsia="Calibri" w:cs="Times New Roman"/>
                <w:sz w:val="20"/>
                <w:szCs w:val="22"/>
              </w:rPr>
              <w:t xml:space="preserve"> KRAS</w:t>
            </w:r>
            <w:r w:rsidRPr="00DE6CC6">
              <w:rPr>
                <w:rFonts w:eastAsia="Calibri" w:cs="Times New Roman"/>
                <w:i/>
                <w:sz w:val="20"/>
                <w:szCs w:val="22"/>
              </w:rPr>
              <w:t xml:space="preserve"> G12C prevalence estimate</w:t>
            </w:r>
          </w:p>
        </w:tc>
        <w:tc>
          <w:tcPr>
            <w:tcW w:w="682" w:type="pct"/>
            <w:tcBorders>
              <w:top w:val="nil"/>
              <w:bottom w:val="single" w:sz="4" w:space="0" w:color="auto"/>
            </w:tcBorders>
            <w:shd w:val="solid" w:color="000000" w:fill="000000"/>
            <w:noWrap/>
            <w:vAlign w:val="top"/>
            <w:hideMark/>
          </w:tcPr>
          <w:p w14:paraId="00DC0915" w14:textId="2D06FC55"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single" w:sz="4" w:space="0" w:color="auto"/>
            </w:tcBorders>
            <w:noWrap/>
            <w:vAlign w:val="top"/>
            <w:hideMark/>
          </w:tcPr>
          <w:p w14:paraId="14551125"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0.114</w:t>
            </w:r>
          </w:p>
        </w:tc>
        <w:tc>
          <w:tcPr>
            <w:tcW w:w="682" w:type="pct"/>
            <w:tcBorders>
              <w:top w:val="nil"/>
              <w:bottom w:val="single" w:sz="4" w:space="0" w:color="auto"/>
            </w:tcBorders>
            <w:noWrap/>
            <w:vAlign w:val="top"/>
            <w:hideMark/>
          </w:tcPr>
          <w:p w14:paraId="1E7F79DB" w14:textId="38D5339E"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single" w:sz="4" w:space="0" w:color="auto"/>
            </w:tcBorders>
            <w:noWrap/>
            <w:vAlign w:val="top"/>
            <w:hideMark/>
          </w:tcPr>
          <w:p w14:paraId="1B729B7E"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0.5%</w:t>
            </w:r>
          </w:p>
        </w:tc>
      </w:tr>
      <w:tr w:rsidR="00DE6CC6" w:rsidRPr="00DE6CC6" w14:paraId="541A2BDE"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bottom w:val="single" w:sz="4" w:space="0" w:color="auto"/>
              <w:right w:val="nil"/>
            </w:tcBorders>
          </w:tcPr>
          <w:p w14:paraId="7655B31E" w14:textId="77777777" w:rsidR="00DE6CC6" w:rsidRPr="00DE6CC6" w:rsidRDefault="00DE6CC6" w:rsidP="004E6DB8">
            <w:pPr>
              <w:keepNext/>
              <w:spacing w:before="40" w:after="40" w:line="256" w:lineRule="auto"/>
              <w:ind w:left="-109" w:right="-113"/>
              <w:jc w:val="center"/>
              <w:rPr>
                <w:rFonts w:eastAsia="Calibri" w:cs="Times New Roman"/>
                <w:sz w:val="20"/>
                <w:szCs w:val="22"/>
              </w:rPr>
            </w:pPr>
          </w:p>
        </w:tc>
        <w:tc>
          <w:tcPr>
            <w:tcW w:w="2359" w:type="pct"/>
            <w:tcBorders>
              <w:bottom w:val="single" w:sz="4" w:space="0" w:color="auto"/>
              <w:right w:val="nil"/>
            </w:tcBorders>
            <w:noWrap/>
            <w:vAlign w:val="top"/>
            <w:hideMark/>
          </w:tcPr>
          <w:p w14:paraId="50C5884F"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 xml:space="preserve">Test performance </w:t>
            </w:r>
            <w:r w:rsidRPr="00DE6CC6">
              <w:rPr>
                <w:rFonts w:eastAsia="Calibri" w:cs="Times New Roman"/>
                <w:sz w:val="20"/>
                <w:szCs w:val="22"/>
              </w:rPr>
              <w:br/>
              <w:t>(base case: 100% agreement of NGS and PCR)</w:t>
            </w:r>
          </w:p>
        </w:tc>
        <w:tc>
          <w:tcPr>
            <w:tcW w:w="682" w:type="pct"/>
            <w:tcBorders>
              <w:left w:val="nil"/>
              <w:bottom w:val="single" w:sz="4" w:space="0" w:color="auto"/>
              <w:right w:val="nil"/>
            </w:tcBorders>
            <w:noWrap/>
            <w:vAlign w:val="top"/>
            <w:hideMark/>
          </w:tcPr>
          <w:p w14:paraId="450B316A"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682" w:type="pct"/>
            <w:tcBorders>
              <w:left w:val="nil"/>
              <w:bottom w:val="single" w:sz="4" w:space="0" w:color="auto"/>
              <w:right w:val="nil"/>
            </w:tcBorders>
            <w:noWrap/>
            <w:vAlign w:val="top"/>
            <w:hideMark/>
          </w:tcPr>
          <w:p w14:paraId="59738CDE"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682" w:type="pct"/>
            <w:tcBorders>
              <w:left w:val="nil"/>
              <w:bottom w:val="single" w:sz="4" w:space="0" w:color="auto"/>
              <w:right w:val="nil"/>
            </w:tcBorders>
            <w:noWrap/>
            <w:vAlign w:val="top"/>
            <w:hideMark/>
          </w:tcPr>
          <w:p w14:paraId="40F006ED"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363" w:type="pct"/>
            <w:tcBorders>
              <w:left w:val="nil"/>
              <w:bottom w:val="single" w:sz="4" w:space="0" w:color="auto"/>
            </w:tcBorders>
            <w:noWrap/>
            <w:vAlign w:val="top"/>
            <w:hideMark/>
          </w:tcPr>
          <w:p w14:paraId="5346899D"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r>
      <w:tr w:rsidR="00DE6CC6" w:rsidRPr="00DE6CC6" w14:paraId="16AB72A2"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bottom w:val="nil"/>
            </w:tcBorders>
          </w:tcPr>
          <w:p w14:paraId="0B11C9B4"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#6</w:t>
            </w:r>
          </w:p>
        </w:tc>
        <w:tc>
          <w:tcPr>
            <w:tcW w:w="2359" w:type="pct"/>
            <w:tcBorders>
              <w:bottom w:val="nil"/>
            </w:tcBorders>
            <w:noWrap/>
            <w:vAlign w:val="top"/>
            <w:hideMark/>
          </w:tcPr>
          <w:p w14:paraId="4473C100"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 xml:space="preserve">#1 + PPA 95% </w:t>
            </w:r>
          </w:p>
        </w:tc>
        <w:tc>
          <w:tcPr>
            <w:tcW w:w="682" w:type="pct"/>
            <w:tcBorders>
              <w:bottom w:val="nil"/>
            </w:tcBorders>
            <w:shd w:val="solid" w:color="000000" w:fill="000000"/>
            <w:noWrap/>
            <w:vAlign w:val="top"/>
            <w:hideMark/>
          </w:tcPr>
          <w:p w14:paraId="27C00933" w14:textId="53A8ACCE"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bottom w:val="nil"/>
            </w:tcBorders>
            <w:noWrap/>
            <w:vAlign w:val="top"/>
            <w:hideMark/>
          </w:tcPr>
          <w:p w14:paraId="0D2DA819"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0.071</w:t>
            </w:r>
          </w:p>
        </w:tc>
        <w:tc>
          <w:tcPr>
            <w:tcW w:w="682" w:type="pct"/>
            <w:tcBorders>
              <w:bottom w:val="nil"/>
            </w:tcBorders>
            <w:noWrap/>
            <w:vAlign w:val="top"/>
            <w:hideMark/>
          </w:tcPr>
          <w:p w14:paraId="2B966DE5" w14:textId="2ED5501E"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bottom w:val="nil"/>
            </w:tcBorders>
            <w:noWrap/>
            <w:vAlign w:val="top"/>
            <w:hideMark/>
          </w:tcPr>
          <w:p w14:paraId="4502C77A"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0.9%</w:t>
            </w:r>
          </w:p>
        </w:tc>
      </w:tr>
      <w:tr w:rsidR="00DE6CC6" w:rsidRPr="00DE6CC6" w14:paraId="29A8184F"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4A596620"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#7</w:t>
            </w:r>
          </w:p>
        </w:tc>
        <w:tc>
          <w:tcPr>
            <w:tcW w:w="2359" w:type="pct"/>
            <w:tcBorders>
              <w:top w:val="nil"/>
              <w:bottom w:val="nil"/>
            </w:tcBorders>
            <w:noWrap/>
            <w:vAlign w:val="top"/>
            <w:hideMark/>
          </w:tcPr>
          <w:p w14:paraId="62AFB915"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#1 + PPA 98%</w:t>
            </w:r>
          </w:p>
        </w:tc>
        <w:tc>
          <w:tcPr>
            <w:tcW w:w="682" w:type="pct"/>
            <w:tcBorders>
              <w:top w:val="nil"/>
              <w:bottom w:val="nil"/>
            </w:tcBorders>
            <w:shd w:val="solid" w:color="000000" w:fill="000000"/>
            <w:noWrap/>
            <w:vAlign w:val="top"/>
            <w:hideMark/>
          </w:tcPr>
          <w:p w14:paraId="0A5C4435" w14:textId="2C26E9CC"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10B1561C"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0.073</w:t>
            </w:r>
          </w:p>
        </w:tc>
        <w:tc>
          <w:tcPr>
            <w:tcW w:w="682" w:type="pct"/>
            <w:tcBorders>
              <w:top w:val="nil"/>
              <w:bottom w:val="nil"/>
            </w:tcBorders>
            <w:noWrap/>
            <w:vAlign w:val="top"/>
            <w:hideMark/>
          </w:tcPr>
          <w:p w14:paraId="7E413421" w14:textId="37F2B968"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2679CC87"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0.9%</w:t>
            </w:r>
          </w:p>
        </w:tc>
      </w:tr>
      <w:tr w:rsidR="00DE6CC6" w:rsidRPr="00DE6CC6" w14:paraId="22BC5F2B"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30B94A32"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#8</w:t>
            </w:r>
          </w:p>
        </w:tc>
        <w:tc>
          <w:tcPr>
            <w:tcW w:w="2359" w:type="pct"/>
            <w:tcBorders>
              <w:top w:val="nil"/>
              <w:bottom w:val="nil"/>
            </w:tcBorders>
            <w:noWrap/>
            <w:vAlign w:val="top"/>
            <w:hideMark/>
          </w:tcPr>
          <w:p w14:paraId="4F601C2E"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NPA 95%</w:t>
            </w:r>
          </w:p>
        </w:tc>
        <w:tc>
          <w:tcPr>
            <w:tcW w:w="682" w:type="pct"/>
            <w:tcBorders>
              <w:top w:val="nil"/>
              <w:bottom w:val="nil"/>
            </w:tcBorders>
            <w:shd w:val="solid" w:color="000000" w:fill="000000"/>
            <w:noWrap/>
            <w:vAlign w:val="top"/>
            <w:hideMark/>
          </w:tcPr>
          <w:p w14:paraId="3525FD82" w14:textId="14E4872F"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0D7B342E"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0.074</w:t>
            </w:r>
          </w:p>
        </w:tc>
        <w:tc>
          <w:tcPr>
            <w:tcW w:w="682" w:type="pct"/>
            <w:tcBorders>
              <w:top w:val="nil"/>
              <w:bottom w:val="nil"/>
            </w:tcBorders>
            <w:noWrap/>
            <w:vAlign w:val="top"/>
            <w:hideMark/>
          </w:tcPr>
          <w:p w14:paraId="4A8D74EB" w14:textId="5593DE2D"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2FCB3BA8"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3.6%</w:t>
            </w:r>
          </w:p>
        </w:tc>
      </w:tr>
      <w:tr w:rsidR="00DE6CC6" w:rsidRPr="00DE6CC6" w14:paraId="2AB7FE26"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2F9BC4DF" w14:textId="77777777" w:rsidR="00DE6CC6" w:rsidRPr="00DE6CC6" w:rsidRDefault="00DE6CC6" w:rsidP="004E6DB8">
            <w:pPr>
              <w:keepNext/>
              <w:spacing w:before="40" w:after="40" w:line="256" w:lineRule="auto"/>
              <w:ind w:left="-109" w:right="-113"/>
              <w:jc w:val="center"/>
              <w:rPr>
                <w:rFonts w:eastAsia="Calibri" w:cs="Times New Roman"/>
                <w:sz w:val="20"/>
                <w:szCs w:val="22"/>
              </w:rPr>
            </w:pPr>
            <w:r w:rsidRPr="00DE6CC6">
              <w:rPr>
                <w:rFonts w:eastAsia="Calibri" w:cs="Times New Roman"/>
                <w:sz w:val="20"/>
                <w:szCs w:val="22"/>
              </w:rPr>
              <w:t>#9</w:t>
            </w:r>
          </w:p>
        </w:tc>
        <w:tc>
          <w:tcPr>
            <w:tcW w:w="2359" w:type="pct"/>
            <w:tcBorders>
              <w:top w:val="nil"/>
              <w:bottom w:val="nil"/>
            </w:tcBorders>
            <w:noWrap/>
            <w:vAlign w:val="top"/>
            <w:hideMark/>
          </w:tcPr>
          <w:p w14:paraId="05DC6719"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NPA 98%</w:t>
            </w:r>
          </w:p>
        </w:tc>
        <w:tc>
          <w:tcPr>
            <w:tcW w:w="682" w:type="pct"/>
            <w:tcBorders>
              <w:top w:val="nil"/>
              <w:bottom w:val="nil"/>
            </w:tcBorders>
            <w:shd w:val="solid" w:color="000000" w:fill="000000"/>
            <w:noWrap/>
            <w:vAlign w:val="top"/>
            <w:hideMark/>
          </w:tcPr>
          <w:p w14:paraId="736BD384" w14:textId="3FC3354E"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0A9E59F4"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sz w:val="20"/>
                <w:szCs w:val="22"/>
              </w:rPr>
              <w:t>0.074</w:t>
            </w:r>
          </w:p>
        </w:tc>
        <w:tc>
          <w:tcPr>
            <w:tcW w:w="682" w:type="pct"/>
            <w:tcBorders>
              <w:top w:val="nil"/>
              <w:bottom w:val="nil"/>
            </w:tcBorders>
            <w:noWrap/>
            <w:vAlign w:val="top"/>
            <w:hideMark/>
          </w:tcPr>
          <w:p w14:paraId="77EDA7CD" w14:textId="0185D426"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734B4C38"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sz w:val="20"/>
                <w:szCs w:val="22"/>
              </w:rPr>
              <w:t>1.4%</w:t>
            </w:r>
          </w:p>
        </w:tc>
      </w:tr>
      <w:tr w:rsidR="00DE6CC6" w:rsidRPr="00DE6CC6" w14:paraId="58211206"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6F9DD0BE"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#10</w:t>
            </w:r>
          </w:p>
        </w:tc>
        <w:tc>
          <w:tcPr>
            <w:tcW w:w="2359" w:type="pct"/>
            <w:tcBorders>
              <w:top w:val="nil"/>
              <w:bottom w:val="nil"/>
            </w:tcBorders>
            <w:noWrap/>
            <w:vAlign w:val="top"/>
            <w:hideMark/>
          </w:tcPr>
          <w:p w14:paraId="145DFA2B"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PPA 95%, NPA 95%</w:t>
            </w:r>
          </w:p>
        </w:tc>
        <w:tc>
          <w:tcPr>
            <w:tcW w:w="682" w:type="pct"/>
            <w:tcBorders>
              <w:top w:val="nil"/>
              <w:bottom w:val="nil"/>
            </w:tcBorders>
            <w:shd w:val="solid" w:color="000000" w:fill="000000"/>
            <w:noWrap/>
            <w:vAlign w:val="top"/>
            <w:hideMark/>
          </w:tcPr>
          <w:p w14:paraId="745301E2" w14:textId="3F377786"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2F7C3922"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0.071</w:t>
            </w:r>
          </w:p>
        </w:tc>
        <w:tc>
          <w:tcPr>
            <w:tcW w:w="682" w:type="pct"/>
            <w:tcBorders>
              <w:top w:val="nil"/>
              <w:bottom w:val="nil"/>
            </w:tcBorders>
            <w:noWrap/>
            <w:vAlign w:val="top"/>
            <w:hideMark/>
          </w:tcPr>
          <w:p w14:paraId="4BA894E8" w14:textId="27EB6872"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1D657408"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3.8%</w:t>
            </w:r>
          </w:p>
        </w:tc>
      </w:tr>
      <w:tr w:rsidR="00DE6CC6" w:rsidRPr="00DE6CC6" w14:paraId="12192B9B"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07BD5616" w14:textId="77777777" w:rsidR="00DE6CC6" w:rsidRPr="00DE6CC6" w:rsidRDefault="00DE6CC6" w:rsidP="004E6DB8">
            <w:pPr>
              <w:keepNext/>
              <w:spacing w:before="40" w:after="40" w:line="256" w:lineRule="auto"/>
              <w:ind w:left="-109" w:right="-113"/>
              <w:jc w:val="center"/>
              <w:rPr>
                <w:rFonts w:eastAsia="Calibri" w:cs="Times New Roman"/>
                <w:sz w:val="20"/>
                <w:szCs w:val="22"/>
              </w:rPr>
            </w:pPr>
            <w:r w:rsidRPr="00DE6CC6">
              <w:rPr>
                <w:rFonts w:eastAsia="Calibri" w:cs="Times New Roman"/>
                <w:sz w:val="20"/>
                <w:szCs w:val="22"/>
              </w:rPr>
              <w:t>#11</w:t>
            </w:r>
          </w:p>
        </w:tc>
        <w:tc>
          <w:tcPr>
            <w:tcW w:w="2359" w:type="pct"/>
            <w:tcBorders>
              <w:top w:val="nil"/>
              <w:bottom w:val="nil"/>
            </w:tcBorders>
            <w:noWrap/>
            <w:vAlign w:val="top"/>
            <w:hideMark/>
          </w:tcPr>
          <w:p w14:paraId="059C3EAC"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PPA 95%, NPA 98%</w:t>
            </w:r>
          </w:p>
        </w:tc>
        <w:tc>
          <w:tcPr>
            <w:tcW w:w="682" w:type="pct"/>
            <w:tcBorders>
              <w:top w:val="nil"/>
              <w:bottom w:val="nil"/>
            </w:tcBorders>
            <w:shd w:val="solid" w:color="000000" w:fill="000000"/>
            <w:noWrap/>
            <w:vAlign w:val="top"/>
            <w:hideMark/>
          </w:tcPr>
          <w:p w14:paraId="561CF432" w14:textId="5F2E7022"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2FD10658"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sz w:val="20"/>
                <w:szCs w:val="22"/>
              </w:rPr>
              <w:t>0.071</w:t>
            </w:r>
          </w:p>
        </w:tc>
        <w:tc>
          <w:tcPr>
            <w:tcW w:w="682" w:type="pct"/>
            <w:tcBorders>
              <w:top w:val="nil"/>
              <w:bottom w:val="nil"/>
            </w:tcBorders>
            <w:noWrap/>
            <w:vAlign w:val="top"/>
            <w:hideMark/>
          </w:tcPr>
          <w:p w14:paraId="00ED3231" w14:textId="5413BE36"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26AB3B93"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sz w:val="20"/>
                <w:szCs w:val="22"/>
              </w:rPr>
              <w:t>1.5%</w:t>
            </w:r>
          </w:p>
        </w:tc>
      </w:tr>
      <w:tr w:rsidR="00DE6CC6" w:rsidRPr="00DE6CC6" w14:paraId="1B766132"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6AAA96EF" w14:textId="77777777" w:rsidR="00DE6CC6" w:rsidRPr="00DE6CC6" w:rsidRDefault="00DE6CC6" w:rsidP="004E6DB8">
            <w:pPr>
              <w:keepNext/>
              <w:spacing w:before="40" w:after="40" w:line="256" w:lineRule="auto"/>
              <w:ind w:left="-109" w:right="-113"/>
              <w:jc w:val="center"/>
              <w:rPr>
                <w:rFonts w:eastAsia="Calibri" w:cs="Times New Roman"/>
                <w:sz w:val="20"/>
                <w:szCs w:val="22"/>
              </w:rPr>
            </w:pPr>
            <w:r w:rsidRPr="00DE6CC6">
              <w:rPr>
                <w:rFonts w:eastAsia="Calibri" w:cs="Times New Roman"/>
                <w:sz w:val="20"/>
                <w:szCs w:val="22"/>
              </w:rPr>
              <w:t>#12</w:t>
            </w:r>
          </w:p>
        </w:tc>
        <w:tc>
          <w:tcPr>
            <w:tcW w:w="2359" w:type="pct"/>
            <w:tcBorders>
              <w:top w:val="nil"/>
              <w:bottom w:val="nil"/>
            </w:tcBorders>
            <w:noWrap/>
            <w:vAlign w:val="top"/>
            <w:hideMark/>
          </w:tcPr>
          <w:p w14:paraId="2D6D4B2B"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PPA 98%, NPA 95%</w:t>
            </w:r>
          </w:p>
        </w:tc>
        <w:tc>
          <w:tcPr>
            <w:tcW w:w="682" w:type="pct"/>
            <w:tcBorders>
              <w:top w:val="nil"/>
              <w:bottom w:val="nil"/>
            </w:tcBorders>
            <w:shd w:val="solid" w:color="000000" w:fill="000000"/>
            <w:noWrap/>
            <w:vAlign w:val="top"/>
            <w:hideMark/>
          </w:tcPr>
          <w:p w14:paraId="54E987D6" w14:textId="0D90BB95"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1E0D0711"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sz w:val="20"/>
                <w:szCs w:val="22"/>
              </w:rPr>
              <w:t>0.073</w:t>
            </w:r>
          </w:p>
        </w:tc>
        <w:tc>
          <w:tcPr>
            <w:tcW w:w="682" w:type="pct"/>
            <w:tcBorders>
              <w:top w:val="nil"/>
              <w:bottom w:val="nil"/>
            </w:tcBorders>
            <w:noWrap/>
            <w:vAlign w:val="top"/>
            <w:hideMark/>
          </w:tcPr>
          <w:p w14:paraId="74D4E759" w14:textId="7B4199B2"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26BC28CF"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sz w:val="20"/>
                <w:szCs w:val="22"/>
              </w:rPr>
              <w:t>3.7%</w:t>
            </w:r>
          </w:p>
        </w:tc>
      </w:tr>
      <w:tr w:rsidR="00DE6CC6" w:rsidRPr="00DE6CC6" w14:paraId="64AC12B0"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single" w:sz="4" w:space="0" w:color="auto"/>
            </w:tcBorders>
          </w:tcPr>
          <w:p w14:paraId="277B8665" w14:textId="77777777" w:rsidR="00DE6CC6" w:rsidRPr="00DE6CC6" w:rsidRDefault="00DE6CC6" w:rsidP="004E6DB8">
            <w:pPr>
              <w:keepNext/>
              <w:spacing w:before="40" w:after="40" w:line="256" w:lineRule="auto"/>
              <w:ind w:left="-109" w:right="-113"/>
              <w:jc w:val="center"/>
              <w:rPr>
                <w:rFonts w:eastAsia="Calibri" w:cs="Times New Roman"/>
                <w:sz w:val="20"/>
                <w:szCs w:val="22"/>
              </w:rPr>
            </w:pPr>
            <w:r w:rsidRPr="00DE6CC6">
              <w:rPr>
                <w:rFonts w:eastAsia="Calibri" w:cs="Times New Roman"/>
                <w:sz w:val="20"/>
                <w:szCs w:val="22"/>
              </w:rPr>
              <w:t>#13</w:t>
            </w:r>
          </w:p>
        </w:tc>
        <w:tc>
          <w:tcPr>
            <w:tcW w:w="2359" w:type="pct"/>
            <w:tcBorders>
              <w:top w:val="nil"/>
              <w:bottom w:val="single" w:sz="4" w:space="0" w:color="auto"/>
            </w:tcBorders>
            <w:noWrap/>
            <w:vAlign w:val="top"/>
            <w:hideMark/>
          </w:tcPr>
          <w:p w14:paraId="48DF9241"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PPA 98%, NPA 98%</w:t>
            </w:r>
          </w:p>
        </w:tc>
        <w:tc>
          <w:tcPr>
            <w:tcW w:w="682" w:type="pct"/>
            <w:tcBorders>
              <w:top w:val="nil"/>
              <w:bottom w:val="single" w:sz="4" w:space="0" w:color="auto"/>
            </w:tcBorders>
            <w:shd w:val="solid" w:color="000000" w:fill="000000"/>
            <w:noWrap/>
            <w:vAlign w:val="top"/>
            <w:hideMark/>
          </w:tcPr>
          <w:p w14:paraId="43FA9EFB" w14:textId="3F4C491E"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sz w:val="20"/>
                <w:szCs w:val="22"/>
                <w14:textFill>
                  <w14:solidFill>
                    <w14:srgbClr w14:val="000000">
                      <w14:alpha w14:val="100000"/>
                    </w14:srgbClr>
                  </w14:solidFill>
                </w14:textFill>
              </w:rPr>
              <w:t>|</w:t>
            </w:r>
          </w:p>
        </w:tc>
        <w:tc>
          <w:tcPr>
            <w:tcW w:w="682" w:type="pct"/>
            <w:tcBorders>
              <w:top w:val="nil"/>
              <w:bottom w:val="single" w:sz="4" w:space="0" w:color="auto"/>
            </w:tcBorders>
            <w:noWrap/>
            <w:vAlign w:val="top"/>
            <w:hideMark/>
          </w:tcPr>
          <w:p w14:paraId="00B1D516"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sz w:val="20"/>
                <w:szCs w:val="22"/>
              </w:rPr>
              <w:t>0.073</w:t>
            </w:r>
          </w:p>
        </w:tc>
        <w:tc>
          <w:tcPr>
            <w:tcW w:w="682" w:type="pct"/>
            <w:tcBorders>
              <w:top w:val="nil"/>
              <w:bottom w:val="single" w:sz="4" w:space="0" w:color="auto"/>
            </w:tcBorders>
            <w:noWrap/>
            <w:vAlign w:val="top"/>
            <w:hideMark/>
          </w:tcPr>
          <w:p w14:paraId="41484E8F" w14:textId="3CA3CC15"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single" w:sz="4" w:space="0" w:color="auto"/>
            </w:tcBorders>
            <w:noWrap/>
            <w:vAlign w:val="top"/>
            <w:hideMark/>
          </w:tcPr>
          <w:p w14:paraId="0DFAAC2E"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sz w:val="20"/>
                <w:szCs w:val="22"/>
              </w:rPr>
              <w:t>1.5%</w:t>
            </w:r>
          </w:p>
        </w:tc>
      </w:tr>
      <w:tr w:rsidR="00DE6CC6" w:rsidRPr="00DE6CC6" w14:paraId="210F22E2"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bottom w:val="single" w:sz="4" w:space="0" w:color="auto"/>
              <w:right w:val="nil"/>
            </w:tcBorders>
          </w:tcPr>
          <w:p w14:paraId="3855C9B2"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p>
        </w:tc>
        <w:tc>
          <w:tcPr>
            <w:tcW w:w="2359" w:type="pct"/>
            <w:tcBorders>
              <w:bottom w:val="single" w:sz="4" w:space="0" w:color="auto"/>
              <w:right w:val="nil"/>
            </w:tcBorders>
            <w:noWrap/>
            <w:vAlign w:val="top"/>
            <w:hideMark/>
          </w:tcPr>
          <w:p w14:paraId="4E2790BF"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 xml:space="preserve">Treatment duration in false positives </w:t>
            </w:r>
            <w:r w:rsidRPr="00DE6CC6">
              <w:rPr>
                <w:rFonts w:eastAsia="Calibri" w:cs="Times New Roman"/>
                <w:i/>
                <w:sz w:val="20"/>
                <w:szCs w:val="22"/>
              </w:rPr>
              <w:br/>
              <w:t>(base case: 4 weeks)</w:t>
            </w:r>
          </w:p>
        </w:tc>
        <w:tc>
          <w:tcPr>
            <w:tcW w:w="682" w:type="pct"/>
            <w:tcBorders>
              <w:left w:val="nil"/>
              <w:bottom w:val="single" w:sz="4" w:space="0" w:color="auto"/>
              <w:right w:val="nil"/>
            </w:tcBorders>
            <w:noWrap/>
            <w:vAlign w:val="top"/>
            <w:hideMark/>
          </w:tcPr>
          <w:p w14:paraId="5EE8DC7B"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682" w:type="pct"/>
            <w:tcBorders>
              <w:left w:val="nil"/>
              <w:bottom w:val="single" w:sz="4" w:space="0" w:color="auto"/>
              <w:right w:val="nil"/>
            </w:tcBorders>
            <w:noWrap/>
            <w:vAlign w:val="top"/>
            <w:hideMark/>
          </w:tcPr>
          <w:p w14:paraId="265F4682"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682" w:type="pct"/>
            <w:tcBorders>
              <w:left w:val="nil"/>
              <w:bottom w:val="single" w:sz="4" w:space="0" w:color="auto"/>
              <w:right w:val="nil"/>
            </w:tcBorders>
            <w:noWrap/>
            <w:vAlign w:val="top"/>
            <w:hideMark/>
          </w:tcPr>
          <w:p w14:paraId="3020AB51"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c>
          <w:tcPr>
            <w:tcW w:w="363" w:type="pct"/>
            <w:tcBorders>
              <w:left w:val="nil"/>
              <w:bottom w:val="single" w:sz="4" w:space="0" w:color="auto"/>
            </w:tcBorders>
            <w:noWrap/>
            <w:vAlign w:val="top"/>
            <w:hideMark/>
          </w:tcPr>
          <w:p w14:paraId="7058FDD7"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p>
        </w:tc>
      </w:tr>
      <w:tr w:rsidR="00DE6CC6" w:rsidRPr="00DE6CC6" w14:paraId="32415925"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bottom w:val="nil"/>
            </w:tcBorders>
          </w:tcPr>
          <w:p w14:paraId="5CBA02A7"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#14</w:t>
            </w:r>
          </w:p>
        </w:tc>
        <w:tc>
          <w:tcPr>
            <w:tcW w:w="2359" w:type="pct"/>
            <w:tcBorders>
              <w:bottom w:val="nil"/>
            </w:tcBorders>
            <w:noWrap/>
            <w:vAlign w:val="top"/>
            <w:hideMark/>
          </w:tcPr>
          <w:p w14:paraId="6704B69A"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#9 + 6 weeks</w:t>
            </w:r>
          </w:p>
        </w:tc>
        <w:tc>
          <w:tcPr>
            <w:tcW w:w="682" w:type="pct"/>
            <w:tcBorders>
              <w:bottom w:val="nil"/>
            </w:tcBorders>
            <w:shd w:val="solid" w:color="000000" w:fill="000000"/>
            <w:noWrap/>
            <w:vAlign w:val="top"/>
            <w:hideMark/>
          </w:tcPr>
          <w:p w14:paraId="3ADE2E67" w14:textId="763E1BEF"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bottom w:val="nil"/>
            </w:tcBorders>
            <w:noWrap/>
            <w:vAlign w:val="top"/>
            <w:hideMark/>
          </w:tcPr>
          <w:p w14:paraId="78A6F3F1"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0.074</w:t>
            </w:r>
          </w:p>
        </w:tc>
        <w:tc>
          <w:tcPr>
            <w:tcW w:w="682" w:type="pct"/>
            <w:tcBorders>
              <w:bottom w:val="nil"/>
            </w:tcBorders>
            <w:noWrap/>
            <w:vAlign w:val="top"/>
            <w:hideMark/>
          </w:tcPr>
          <w:p w14:paraId="37E94C2D" w14:textId="047FF437"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bottom w:val="nil"/>
            </w:tcBorders>
            <w:noWrap/>
            <w:vAlign w:val="top"/>
            <w:hideMark/>
          </w:tcPr>
          <w:p w14:paraId="0C1C3C48"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2.1%</w:t>
            </w:r>
          </w:p>
        </w:tc>
      </w:tr>
      <w:tr w:rsidR="00DE6CC6" w:rsidRPr="00DE6CC6" w14:paraId="13B3E8A7"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single" w:sz="4" w:space="0" w:color="auto"/>
            </w:tcBorders>
          </w:tcPr>
          <w:p w14:paraId="1005A2C2" w14:textId="77777777" w:rsidR="00DE6CC6" w:rsidRPr="00DE6CC6" w:rsidRDefault="00DE6CC6" w:rsidP="004E6DB8">
            <w:pPr>
              <w:keepNext/>
              <w:spacing w:before="40" w:after="40" w:line="256" w:lineRule="auto"/>
              <w:ind w:left="-109" w:right="-113"/>
              <w:jc w:val="center"/>
              <w:rPr>
                <w:rFonts w:eastAsia="Calibri" w:cs="Times New Roman"/>
                <w:i/>
                <w:sz w:val="20"/>
                <w:szCs w:val="22"/>
              </w:rPr>
            </w:pPr>
            <w:r w:rsidRPr="00DE6CC6">
              <w:rPr>
                <w:rFonts w:eastAsia="Calibri" w:cs="Times New Roman"/>
                <w:i/>
                <w:sz w:val="20"/>
                <w:szCs w:val="22"/>
              </w:rPr>
              <w:t>#15</w:t>
            </w:r>
          </w:p>
        </w:tc>
        <w:tc>
          <w:tcPr>
            <w:tcW w:w="2359" w:type="pct"/>
            <w:tcBorders>
              <w:top w:val="nil"/>
              <w:bottom w:val="single" w:sz="4" w:space="0" w:color="auto"/>
            </w:tcBorders>
            <w:noWrap/>
            <w:vAlign w:val="top"/>
            <w:hideMark/>
          </w:tcPr>
          <w:p w14:paraId="43419670"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#9 + 8 weeks</w:t>
            </w:r>
          </w:p>
        </w:tc>
        <w:tc>
          <w:tcPr>
            <w:tcW w:w="682" w:type="pct"/>
            <w:tcBorders>
              <w:top w:val="nil"/>
              <w:bottom w:val="single" w:sz="4" w:space="0" w:color="auto"/>
            </w:tcBorders>
            <w:shd w:val="solid" w:color="000000" w:fill="000000"/>
            <w:noWrap/>
            <w:vAlign w:val="top"/>
            <w:hideMark/>
          </w:tcPr>
          <w:p w14:paraId="463515BD" w14:textId="16009EA5"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single" w:sz="4" w:space="0" w:color="auto"/>
            </w:tcBorders>
            <w:noWrap/>
            <w:vAlign w:val="top"/>
            <w:hideMark/>
          </w:tcPr>
          <w:p w14:paraId="7D8FBF56"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0.074</w:t>
            </w:r>
          </w:p>
        </w:tc>
        <w:tc>
          <w:tcPr>
            <w:tcW w:w="682" w:type="pct"/>
            <w:tcBorders>
              <w:top w:val="nil"/>
              <w:bottom w:val="single" w:sz="4" w:space="0" w:color="auto"/>
            </w:tcBorders>
            <w:noWrap/>
            <w:vAlign w:val="top"/>
            <w:hideMark/>
          </w:tcPr>
          <w:p w14:paraId="0EAC319E" w14:textId="21D91CE0"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single" w:sz="4" w:space="0" w:color="auto"/>
            </w:tcBorders>
            <w:noWrap/>
            <w:vAlign w:val="top"/>
            <w:hideMark/>
          </w:tcPr>
          <w:p w14:paraId="7EF8391C"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2.7%</w:t>
            </w:r>
          </w:p>
        </w:tc>
      </w:tr>
      <w:tr w:rsidR="00DE6CC6" w:rsidRPr="00DE6CC6" w14:paraId="18B142EB"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bottom w:val="single" w:sz="4" w:space="0" w:color="auto"/>
              <w:right w:val="nil"/>
            </w:tcBorders>
          </w:tcPr>
          <w:p w14:paraId="77F0FD58" w14:textId="77777777" w:rsidR="00DE6CC6" w:rsidRPr="00DE6CC6" w:rsidRDefault="00DE6CC6" w:rsidP="004E6DB8">
            <w:pPr>
              <w:keepNext/>
              <w:spacing w:before="40" w:after="40" w:line="256" w:lineRule="auto"/>
              <w:ind w:left="-109" w:right="-113"/>
              <w:jc w:val="center"/>
              <w:rPr>
                <w:rFonts w:eastAsia="Calibri" w:cs="Times New Roman"/>
                <w:sz w:val="20"/>
                <w:szCs w:val="22"/>
              </w:rPr>
            </w:pPr>
          </w:p>
        </w:tc>
        <w:tc>
          <w:tcPr>
            <w:tcW w:w="2359" w:type="pct"/>
            <w:tcBorders>
              <w:bottom w:val="single" w:sz="4" w:space="0" w:color="auto"/>
              <w:right w:val="nil"/>
            </w:tcBorders>
            <w:noWrap/>
            <w:vAlign w:val="top"/>
            <w:hideMark/>
          </w:tcPr>
          <w:p w14:paraId="73341F63"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Multivariate analyses</w:t>
            </w:r>
          </w:p>
        </w:tc>
        <w:tc>
          <w:tcPr>
            <w:tcW w:w="682" w:type="pct"/>
            <w:tcBorders>
              <w:left w:val="nil"/>
              <w:bottom w:val="single" w:sz="4" w:space="0" w:color="auto"/>
              <w:right w:val="nil"/>
            </w:tcBorders>
            <w:noWrap/>
            <w:vAlign w:val="top"/>
            <w:hideMark/>
          </w:tcPr>
          <w:p w14:paraId="31A51413"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p>
        </w:tc>
        <w:tc>
          <w:tcPr>
            <w:tcW w:w="682" w:type="pct"/>
            <w:tcBorders>
              <w:left w:val="nil"/>
              <w:bottom w:val="single" w:sz="4" w:space="0" w:color="auto"/>
              <w:right w:val="nil"/>
            </w:tcBorders>
            <w:noWrap/>
            <w:vAlign w:val="top"/>
            <w:hideMark/>
          </w:tcPr>
          <w:p w14:paraId="24FFE12A"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p>
        </w:tc>
        <w:tc>
          <w:tcPr>
            <w:tcW w:w="682" w:type="pct"/>
            <w:tcBorders>
              <w:left w:val="nil"/>
              <w:bottom w:val="single" w:sz="4" w:space="0" w:color="auto"/>
              <w:right w:val="nil"/>
            </w:tcBorders>
            <w:noWrap/>
            <w:vAlign w:val="top"/>
            <w:hideMark/>
          </w:tcPr>
          <w:p w14:paraId="076DCDF2"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p>
        </w:tc>
        <w:tc>
          <w:tcPr>
            <w:tcW w:w="363" w:type="pct"/>
            <w:tcBorders>
              <w:left w:val="nil"/>
              <w:bottom w:val="single" w:sz="4" w:space="0" w:color="auto"/>
            </w:tcBorders>
            <w:noWrap/>
            <w:vAlign w:val="top"/>
            <w:hideMark/>
          </w:tcPr>
          <w:p w14:paraId="1A826D8C"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p>
        </w:tc>
      </w:tr>
      <w:tr w:rsidR="00DE6CC6" w:rsidRPr="00DE6CC6" w14:paraId="39E1B700"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6360E78B" w14:textId="77777777" w:rsidR="00DE6CC6" w:rsidRPr="00DE6CC6" w:rsidRDefault="00DE6CC6" w:rsidP="004E6DB8">
            <w:pPr>
              <w:keepNext/>
              <w:spacing w:before="40" w:after="40" w:line="256" w:lineRule="auto"/>
              <w:ind w:left="-109" w:right="-113"/>
              <w:jc w:val="center"/>
              <w:rPr>
                <w:rFonts w:eastAsia="Calibri" w:cs="Times New Roman"/>
                <w:sz w:val="20"/>
                <w:szCs w:val="22"/>
              </w:rPr>
            </w:pPr>
          </w:p>
        </w:tc>
        <w:tc>
          <w:tcPr>
            <w:tcW w:w="2359" w:type="pct"/>
            <w:tcBorders>
              <w:top w:val="nil"/>
              <w:bottom w:val="nil"/>
            </w:tcBorders>
            <w:noWrap/>
            <w:vAlign w:val="top"/>
            <w:hideMark/>
          </w:tcPr>
          <w:p w14:paraId="179FA5DA"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#3 AND #13</w:t>
            </w:r>
          </w:p>
        </w:tc>
        <w:tc>
          <w:tcPr>
            <w:tcW w:w="682" w:type="pct"/>
            <w:tcBorders>
              <w:top w:val="single" w:sz="4" w:space="0" w:color="auto"/>
              <w:bottom w:val="nil"/>
            </w:tcBorders>
            <w:shd w:val="solid" w:color="000000" w:fill="000000"/>
            <w:noWrap/>
            <w:vAlign w:val="top"/>
            <w:hideMark/>
          </w:tcPr>
          <w:p w14:paraId="62AA5451" w14:textId="4EDCACB3"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3B718323"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0.056</w:t>
            </w:r>
          </w:p>
        </w:tc>
        <w:tc>
          <w:tcPr>
            <w:tcW w:w="682" w:type="pct"/>
            <w:tcBorders>
              <w:top w:val="nil"/>
              <w:bottom w:val="nil"/>
            </w:tcBorders>
            <w:noWrap/>
            <w:vAlign w:val="top"/>
            <w:hideMark/>
          </w:tcPr>
          <w:p w14:paraId="0CC0BC25" w14:textId="19362A85"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58FE9688"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3.1%</w:t>
            </w:r>
          </w:p>
        </w:tc>
      </w:tr>
      <w:tr w:rsidR="00DE6CC6" w:rsidRPr="00DE6CC6" w14:paraId="32E12D4A"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23363B71" w14:textId="77777777" w:rsidR="00DE6CC6" w:rsidRPr="00DE6CC6" w:rsidRDefault="00DE6CC6" w:rsidP="004E6DB8">
            <w:pPr>
              <w:keepNext/>
              <w:spacing w:before="40" w:after="40" w:line="256" w:lineRule="auto"/>
              <w:ind w:left="-109" w:right="-113"/>
              <w:jc w:val="center"/>
              <w:rPr>
                <w:rFonts w:eastAsia="Calibri" w:cs="Times New Roman"/>
                <w:sz w:val="20"/>
                <w:szCs w:val="22"/>
              </w:rPr>
            </w:pPr>
          </w:p>
        </w:tc>
        <w:tc>
          <w:tcPr>
            <w:tcW w:w="2359" w:type="pct"/>
            <w:tcBorders>
              <w:top w:val="nil"/>
              <w:bottom w:val="nil"/>
            </w:tcBorders>
            <w:noWrap/>
            <w:vAlign w:val="top"/>
            <w:hideMark/>
          </w:tcPr>
          <w:p w14:paraId="7293199E"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#3, #13 AND #14</w:t>
            </w:r>
          </w:p>
        </w:tc>
        <w:tc>
          <w:tcPr>
            <w:tcW w:w="682" w:type="pct"/>
            <w:tcBorders>
              <w:top w:val="nil"/>
              <w:bottom w:val="nil"/>
            </w:tcBorders>
            <w:shd w:val="solid" w:color="000000" w:fill="000000"/>
            <w:noWrap/>
            <w:vAlign w:val="top"/>
            <w:hideMark/>
          </w:tcPr>
          <w:p w14:paraId="104AABC0" w14:textId="71B73240"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1BABA737"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0.056</w:t>
            </w:r>
          </w:p>
        </w:tc>
        <w:tc>
          <w:tcPr>
            <w:tcW w:w="682" w:type="pct"/>
            <w:tcBorders>
              <w:top w:val="nil"/>
              <w:bottom w:val="nil"/>
            </w:tcBorders>
            <w:noWrap/>
            <w:vAlign w:val="top"/>
            <w:hideMark/>
          </w:tcPr>
          <w:p w14:paraId="233AA0E1" w14:textId="3973C12E"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1B3A9E8C"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4.0%</w:t>
            </w:r>
          </w:p>
        </w:tc>
      </w:tr>
      <w:tr w:rsidR="00DE6CC6" w:rsidRPr="00DE6CC6" w14:paraId="101151DB"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03932DDA" w14:textId="77777777" w:rsidR="00DE6CC6" w:rsidRPr="00DE6CC6" w:rsidRDefault="00DE6CC6" w:rsidP="004E6DB8">
            <w:pPr>
              <w:keepNext/>
              <w:spacing w:before="40" w:after="40" w:line="256" w:lineRule="auto"/>
              <w:ind w:left="-109" w:right="-113"/>
              <w:jc w:val="center"/>
              <w:rPr>
                <w:rFonts w:eastAsia="Calibri" w:cs="Times New Roman"/>
                <w:sz w:val="20"/>
                <w:szCs w:val="22"/>
              </w:rPr>
            </w:pPr>
          </w:p>
        </w:tc>
        <w:tc>
          <w:tcPr>
            <w:tcW w:w="2359" w:type="pct"/>
            <w:tcBorders>
              <w:top w:val="nil"/>
              <w:bottom w:val="nil"/>
            </w:tcBorders>
            <w:noWrap/>
            <w:vAlign w:val="top"/>
            <w:hideMark/>
          </w:tcPr>
          <w:p w14:paraId="4052BFFD"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#3, #13 AND #15</w:t>
            </w:r>
          </w:p>
        </w:tc>
        <w:tc>
          <w:tcPr>
            <w:tcW w:w="682" w:type="pct"/>
            <w:tcBorders>
              <w:top w:val="nil"/>
              <w:bottom w:val="nil"/>
            </w:tcBorders>
            <w:shd w:val="solid" w:color="000000" w:fill="000000"/>
            <w:noWrap/>
            <w:vAlign w:val="top"/>
            <w:hideMark/>
          </w:tcPr>
          <w:p w14:paraId="419C24CD" w14:textId="0BA5F498"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nil"/>
            </w:tcBorders>
            <w:noWrap/>
            <w:vAlign w:val="top"/>
            <w:hideMark/>
          </w:tcPr>
          <w:p w14:paraId="1E3CA8C9"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0.056</w:t>
            </w:r>
          </w:p>
        </w:tc>
        <w:tc>
          <w:tcPr>
            <w:tcW w:w="682" w:type="pct"/>
            <w:tcBorders>
              <w:top w:val="nil"/>
              <w:bottom w:val="nil"/>
            </w:tcBorders>
            <w:noWrap/>
            <w:vAlign w:val="top"/>
            <w:hideMark/>
          </w:tcPr>
          <w:p w14:paraId="1823F878" w14:textId="61AB3770"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hideMark/>
          </w:tcPr>
          <w:p w14:paraId="36FFD814"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4.8%</w:t>
            </w:r>
          </w:p>
        </w:tc>
      </w:tr>
      <w:tr w:rsidR="00DE6CC6" w:rsidRPr="00DE6CC6" w14:paraId="40C654BE"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037E0931" w14:textId="77777777" w:rsidR="00DE6CC6" w:rsidRPr="00DE6CC6" w:rsidRDefault="00DE6CC6" w:rsidP="004E6DB8">
            <w:pPr>
              <w:keepNext/>
              <w:spacing w:before="40" w:after="40" w:line="256" w:lineRule="auto"/>
              <w:ind w:left="-109" w:right="-113"/>
              <w:jc w:val="center"/>
              <w:rPr>
                <w:rFonts w:eastAsia="Calibri" w:cs="Times New Roman"/>
                <w:sz w:val="20"/>
                <w:szCs w:val="22"/>
              </w:rPr>
            </w:pPr>
          </w:p>
        </w:tc>
        <w:tc>
          <w:tcPr>
            <w:tcW w:w="2359" w:type="pct"/>
            <w:tcBorders>
              <w:top w:val="nil"/>
              <w:bottom w:val="nil"/>
            </w:tcBorders>
            <w:noWrap/>
            <w:vAlign w:val="top"/>
          </w:tcPr>
          <w:p w14:paraId="15334CFC"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#5 AND #13</w:t>
            </w:r>
          </w:p>
        </w:tc>
        <w:tc>
          <w:tcPr>
            <w:tcW w:w="682" w:type="pct"/>
            <w:tcBorders>
              <w:top w:val="nil"/>
              <w:bottom w:val="nil"/>
            </w:tcBorders>
            <w:shd w:val="solid" w:color="000000" w:fill="000000"/>
            <w:noWrap/>
            <w:vAlign w:val="top"/>
          </w:tcPr>
          <w:p w14:paraId="6C1D0B27" w14:textId="0F23C05B"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nil"/>
            </w:tcBorders>
            <w:noWrap/>
            <w:vAlign w:val="top"/>
          </w:tcPr>
          <w:p w14:paraId="3141CC6F"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0.112</w:t>
            </w:r>
          </w:p>
        </w:tc>
        <w:tc>
          <w:tcPr>
            <w:tcW w:w="682" w:type="pct"/>
            <w:tcBorders>
              <w:top w:val="nil"/>
              <w:bottom w:val="nil"/>
            </w:tcBorders>
            <w:noWrap/>
            <w:vAlign w:val="top"/>
          </w:tcPr>
          <w:p w14:paraId="444C7C24" w14:textId="6323CA24"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tcPr>
          <w:p w14:paraId="4543454C"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1.4%</w:t>
            </w:r>
          </w:p>
        </w:tc>
      </w:tr>
      <w:tr w:rsidR="00DE6CC6" w:rsidRPr="00DE6CC6" w14:paraId="220ED762"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bottom w:val="nil"/>
            </w:tcBorders>
          </w:tcPr>
          <w:p w14:paraId="13ADD897" w14:textId="77777777" w:rsidR="00DE6CC6" w:rsidRPr="00DE6CC6" w:rsidRDefault="00DE6CC6" w:rsidP="004E6DB8">
            <w:pPr>
              <w:keepNext/>
              <w:spacing w:before="40" w:after="40" w:line="256" w:lineRule="auto"/>
              <w:ind w:left="-109" w:right="-113"/>
              <w:jc w:val="center"/>
              <w:rPr>
                <w:rFonts w:eastAsia="Calibri" w:cs="Times New Roman"/>
                <w:sz w:val="20"/>
                <w:szCs w:val="22"/>
              </w:rPr>
            </w:pPr>
          </w:p>
        </w:tc>
        <w:tc>
          <w:tcPr>
            <w:tcW w:w="2359" w:type="pct"/>
            <w:tcBorders>
              <w:top w:val="nil"/>
              <w:bottom w:val="nil"/>
            </w:tcBorders>
            <w:noWrap/>
            <w:vAlign w:val="top"/>
          </w:tcPr>
          <w:p w14:paraId="0F5ACAFC"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#5, #13 AND #14</w:t>
            </w:r>
          </w:p>
        </w:tc>
        <w:tc>
          <w:tcPr>
            <w:tcW w:w="682" w:type="pct"/>
            <w:tcBorders>
              <w:top w:val="nil"/>
              <w:bottom w:val="nil"/>
            </w:tcBorders>
            <w:shd w:val="solid" w:color="000000" w:fill="000000"/>
            <w:noWrap/>
            <w:vAlign w:val="top"/>
          </w:tcPr>
          <w:p w14:paraId="2929ECE1" w14:textId="2906B611"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bottom w:val="nil"/>
            </w:tcBorders>
            <w:noWrap/>
            <w:vAlign w:val="top"/>
          </w:tcPr>
          <w:p w14:paraId="48714A94"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0.112</w:t>
            </w:r>
          </w:p>
        </w:tc>
        <w:tc>
          <w:tcPr>
            <w:tcW w:w="682" w:type="pct"/>
            <w:tcBorders>
              <w:top w:val="nil"/>
              <w:bottom w:val="nil"/>
            </w:tcBorders>
            <w:noWrap/>
            <w:vAlign w:val="top"/>
          </w:tcPr>
          <w:p w14:paraId="3D46FD9C" w14:textId="1F4061F7"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bottom w:val="nil"/>
            </w:tcBorders>
            <w:noWrap/>
            <w:vAlign w:val="top"/>
          </w:tcPr>
          <w:p w14:paraId="677C2E73"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1.8%</w:t>
            </w:r>
          </w:p>
        </w:tc>
      </w:tr>
      <w:tr w:rsidR="00DE6CC6" w:rsidRPr="00DE6CC6" w14:paraId="5B99B04B" w14:textId="77777777" w:rsidTr="008765E4">
        <w:trPr>
          <w:trHeight w:val="285"/>
        </w:trPr>
        <w:tc>
          <w:tcPr>
            <w:cnfStyle w:val="001000000000" w:firstRow="0" w:lastRow="0" w:firstColumn="1" w:lastColumn="0" w:oddVBand="0" w:evenVBand="0" w:oddHBand="0" w:evenHBand="0" w:firstRowFirstColumn="0" w:firstRowLastColumn="0" w:lastRowFirstColumn="0" w:lastRowLastColumn="0"/>
            <w:tcW w:w="233" w:type="pct"/>
            <w:tcBorders>
              <w:top w:val="nil"/>
            </w:tcBorders>
          </w:tcPr>
          <w:p w14:paraId="2E6989C4" w14:textId="77777777" w:rsidR="00DE6CC6" w:rsidRPr="00DE6CC6" w:rsidRDefault="00DE6CC6" w:rsidP="004E6DB8">
            <w:pPr>
              <w:keepNext/>
              <w:spacing w:before="40" w:after="40" w:line="256" w:lineRule="auto"/>
              <w:ind w:left="-109" w:right="-113"/>
              <w:jc w:val="center"/>
              <w:rPr>
                <w:rFonts w:eastAsia="Calibri" w:cs="Times New Roman"/>
                <w:sz w:val="20"/>
                <w:szCs w:val="22"/>
              </w:rPr>
            </w:pPr>
          </w:p>
        </w:tc>
        <w:tc>
          <w:tcPr>
            <w:tcW w:w="2359" w:type="pct"/>
            <w:tcBorders>
              <w:top w:val="nil"/>
            </w:tcBorders>
            <w:noWrap/>
            <w:vAlign w:val="top"/>
          </w:tcPr>
          <w:p w14:paraId="21D702C4" w14:textId="77777777" w:rsidR="00DE6CC6" w:rsidRPr="00DE6CC6" w:rsidRDefault="00DE6CC6" w:rsidP="004E6DB8">
            <w:pPr>
              <w:keepNext/>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#5, #13 AND #15</w:t>
            </w:r>
          </w:p>
        </w:tc>
        <w:tc>
          <w:tcPr>
            <w:tcW w:w="682" w:type="pct"/>
            <w:tcBorders>
              <w:top w:val="nil"/>
            </w:tcBorders>
            <w:shd w:val="solid" w:color="000000" w:fill="000000"/>
            <w:noWrap/>
            <w:vAlign w:val="top"/>
          </w:tcPr>
          <w:p w14:paraId="5091D585" w14:textId="3E307E80" w:rsidR="00DE6CC6" w:rsidRPr="008765E4"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14:textFill>
                  <w14:solidFill>
                    <w14:srgbClr w14:val="000000">
                      <w14:alpha w14:val="100000"/>
                    </w14:srgbClr>
                  </w14:solidFill>
                </w14:textFill>
              </w:rPr>
              <w:t>|</w:t>
            </w:r>
          </w:p>
        </w:tc>
        <w:tc>
          <w:tcPr>
            <w:tcW w:w="682" w:type="pct"/>
            <w:tcBorders>
              <w:top w:val="nil"/>
            </w:tcBorders>
            <w:noWrap/>
            <w:vAlign w:val="top"/>
          </w:tcPr>
          <w:p w14:paraId="05B931A0" w14:textId="77777777" w:rsidR="00DE6CC6" w:rsidRPr="008765E4"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8765E4">
              <w:rPr>
                <w:rFonts w:eastAsia="Calibri" w:cs="Times New Roman"/>
                <w:i/>
                <w:sz w:val="20"/>
                <w:szCs w:val="22"/>
              </w:rPr>
              <w:t>0.112</w:t>
            </w:r>
          </w:p>
        </w:tc>
        <w:tc>
          <w:tcPr>
            <w:tcW w:w="682" w:type="pct"/>
            <w:tcBorders>
              <w:top w:val="nil"/>
            </w:tcBorders>
            <w:noWrap/>
            <w:vAlign w:val="top"/>
          </w:tcPr>
          <w:p w14:paraId="2CB18697" w14:textId="6C43E2DC" w:rsidR="00DE6CC6" w:rsidRPr="00A71ABC" w:rsidRDefault="008765E4"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highlight w:val="cyan"/>
              </w:rPr>
            </w:pPr>
            <w:r w:rsidRPr="008765E4">
              <w:rPr>
                <w:rFonts w:eastAsia="Calibri" w:cs="Times New Roman"/>
                <w:i/>
                <w:sz w:val="20"/>
                <w:szCs w:val="22"/>
                <w:shd w:val="solid" w:color="000000" w:fill="000000"/>
                <w14:textFill>
                  <w14:solidFill>
                    <w14:srgbClr w14:val="000000">
                      <w14:alpha w14:val="100000"/>
                    </w14:srgbClr>
                  </w14:solidFill>
                </w14:textFill>
              </w:rPr>
              <w:t>|</w:t>
            </w:r>
            <w:r w:rsidR="00637E38" w:rsidRPr="008765E4">
              <w:rPr>
                <w:rFonts w:eastAsia="Calibri" w:cs="Times New Roman"/>
                <w:bCs/>
                <w:i/>
                <w:sz w:val="20"/>
                <w:vertAlign w:val="superscript"/>
              </w:rPr>
              <w:t>1</w:t>
            </w:r>
          </w:p>
        </w:tc>
        <w:tc>
          <w:tcPr>
            <w:tcW w:w="363" w:type="pct"/>
            <w:tcBorders>
              <w:top w:val="nil"/>
            </w:tcBorders>
            <w:noWrap/>
            <w:vAlign w:val="top"/>
          </w:tcPr>
          <w:p w14:paraId="318522ED" w14:textId="77777777" w:rsidR="00DE6CC6" w:rsidRPr="00DE6CC6" w:rsidRDefault="00DE6CC6" w:rsidP="004E6DB8">
            <w:pPr>
              <w:keepNext/>
              <w:spacing w:before="40" w:after="40" w:line="256" w:lineRule="auto"/>
              <w:ind w:right="57"/>
              <w:jc w:val="right"/>
              <w:cnfStyle w:val="000000000000" w:firstRow="0" w:lastRow="0" w:firstColumn="0" w:lastColumn="0" w:oddVBand="0" w:evenVBand="0" w:oddHBand="0" w:evenHBand="0" w:firstRowFirstColumn="0" w:firstRowLastColumn="0" w:lastRowFirstColumn="0" w:lastRowLastColumn="0"/>
              <w:rPr>
                <w:rFonts w:eastAsia="Calibri" w:cs="Times New Roman"/>
                <w:i/>
                <w:sz w:val="20"/>
                <w:szCs w:val="22"/>
              </w:rPr>
            </w:pPr>
            <w:r w:rsidRPr="00DE6CC6">
              <w:rPr>
                <w:rFonts w:eastAsia="Calibri" w:cs="Times New Roman"/>
                <w:i/>
                <w:sz w:val="20"/>
                <w:szCs w:val="22"/>
              </w:rPr>
              <w:t>2.2%</w:t>
            </w:r>
          </w:p>
        </w:tc>
      </w:tr>
    </w:tbl>
    <w:p w14:paraId="320D110D" w14:textId="77777777" w:rsidR="00DE6CC6" w:rsidRPr="00DE6CC6" w:rsidRDefault="00DE6CC6" w:rsidP="004E6DB8">
      <w:pPr>
        <w:keepNext/>
        <w:widowControl w:val="0"/>
        <w:spacing w:before="40" w:after="240"/>
        <w:contextualSpacing/>
        <w:rPr>
          <w:rFonts w:ascii="Arial Narrow" w:eastAsia="Times New Roman" w:hAnsi="Arial Narrow" w:cs="Arial"/>
          <w:snapToGrid w:val="0"/>
          <w:sz w:val="18"/>
          <w:szCs w:val="20"/>
        </w:rPr>
      </w:pPr>
      <w:r w:rsidRPr="00DE6CC6">
        <w:rPr>
          <w:rFonts w:ascii="Arial Narrow" w:eastAsia="Times New Roman" w:hAnsi="Arial Narrow" w:cs="Arial"/>
          <w:snapToGrid w:val="0"/>
          <w:sz w:val="18"/>
          <w:szCs w:val="20"/>
        </w:rPr>
        <w:t xml:space="preserve">Note: Analyses in </w:t>
      </w:r>
      <w:r w:rsidRPr="00DE6CC6">
        <w:rPr>
          <w:rFonts w:ascii="Arial Narrow" w:eastAsia="Times New Roman" w:hAnsi="Arial Narrow" w:cs="Arial"/>
          <w:i/>
          <w:snapToGrid w:val="0"/>
          <w:sz w:val="18"/>
          <w:szCs w:val="20"/>
        </w:rPr>
        <w:t>italics</w:t>
      </w:r>
      <w:r w:rsidRPr="00DE6CC6">
        <w:rPr>
          <w:rFonts w:ascii="Arial Narrow" w:eastAsia="Times New Roman" w:hAnsi="Arial Narrow" w:cs="Arial"/>
          <w:snapToGrid w:val="0"/>
          <w:sz w:val="18"/>
          <w:szCs w:val="20"/>
        </w:rPr>
        <w:t xml:space="preserve"> text were additional analyses conducted during the evaluation. Analyses were also revised to apply the Guidelines-recommended 5% per annum discount rate.</w:t>
      </w:r>
    </w:p>
    <w:p w14:paraId="3A53F777" w14:textId="77777777" w:rsidR="00DE6CC6" w:rsidRPr="00DE6CC6" w:rsidRDefault="00DE6CC6" w:rsidP="004E6DB8">
      <w:pPr>
        <w:keepNext/>
        <w:widowControl w:val="0"/>
        <w:spacing w:before="40" w:after="240"/>
        <w:contextualSpacing/>
        <w:rPr>
          <w:rFonts w:ascii="Arial Narrow" w:eastAsia="Times New Roman" w:hAnsi="Arial Narrow" w:cs="Arial"/>
          <w:snapToGrid w:val="0"/>
          <w:sz w:val="18"/>
          <w:szCs w:val="20"/>
        </w:rPr>
      </w:pPr>
      <w:r w:rsidRPr="00DE6CC6">
        <w:rPr>
          <w:rFonts w:ascii="Arial Narrow" w:eastAsia="Times New Roman" w:hAnsi="Arial Narrow" w:cs="Arial"/>
          <w:snapToGrid w:val="0"/>
          <w:sz w:val="18"/>
          <w:szCs w:val="20"/>
        </w:rPr>
        <w:t>Source: Adapted during the evaluation from analyses presented in Table 3.46, p191 of the submission, with revisions and additional analyses conducted during the evaluation.</w:t>
      </w:r>
    </w:p>
    <w:p w14:paraId="05F35EE7" w14:textId="77777777" w:rsidR="00C44A0C" w:rsidRDefault="00DE6CC6" w:rsidP="00C44A0C">
      <w:pPr>
        <w:widowControl w:val="0"/>
        <w:spacing w:before="40" w:after="240"/>
        <w:rPr>
          <w:rFonts w:ascii="Arial Narrow" w:eastAsia="Times New Roman" w:hAnsi="Arial Narrow" w:cs="Arial"/>
          <w:snapToGrid w:val="0"/>
          <w:sz w:val="18"/>
          <w:szCs w:val="20"/>
        </w:rPr>
      </w:pPr>
      <w:r w:rsidRPr="00DE6CC6">
        <w:rPr>
          <w:rFonts w:ascii="Arial Narrow" w:eastAsia="Times New Roman" w:hAnsi="Arial Narrow" w:cs="Arial"/>
          <w:snapToGrid w:val="0"/>
          <w:sz w:val="18"/>
          <w:szCs w:val="20"/>
        </w:rPr>
        <w:t>ICER = incremental cost-effectiveness ratio; NGS = next generation sequencing; NPA = negative percent agreement; PCR = polymerase chain reaction; PPA = positive percent agreement; QALY = quality-adjusted life year.</w:t>
      </w:r>
    </w:p>
    <w:p w14:paraId="5B35F7D6" w14:textId="07776548" w:rsidR="00C44A0C" w:rsidRPr="008765E4" w:rsidRDefault="00C44A0C" w:rsidP="008765E4">
      <w:pPr>
        <w:widowControl w:val="0"/>
        <w:spacing w:before="0" w:after="0"/>
        <w:rPr>
          <w:rFonts w:ascii="Arial Narrow" w:eastAsia="Times New Roman" w:hAnsi="Arial Narrow" w:cs="Arial"/>
          <w:i/>
          <w:sz w:val="18"/>
          <w:szCs w:val="18"/>
          <w:lang w:eastAsia="en-AU"/>
        </w:rPr>
      </w:pPr>
      <w:r w:rsidRPr="008B4E2F">
        <w:rPr>
          <w:rFonts w:ascii="Arial Narrow" w:eastAsia="Times New Roman" w:hAnsi="Arial Narrow" w:cs="Arial"/>
          <w:i/>
          <w:sz w:val="18"/>
          <w:szCs w:val="18"/>
          <w:lang w:eastAsia="en-AU"/>
        </w:rPr>
        <w:t>The redacted values correspond to the following ranges:</w:t>
      </w:r>
    </w:p>
    <w:p w14:paraId="4E317A84" w14:textId="515A8E29" w:rsidR="00C44A0C" w:rsidRPr="008765E4" w:rsidRDefault="00E719E9" w:rsidP="008765E4">
      <w:pPr>
        <w:widowControl w:val="0"/>
        <w:spacing w:before="0" w:after="240"/>
        <w:rPr>
          <w:rFonts w:ascii="Arial Narrow" w:eastAsia="Times New Roman" w:hAnsi="Arial Narrow" w:cs="Arial"/>
          <w:i/>
          <w:sz w:val="18"/>
          <w:szCs w:val="18"/>
          <w:lang w:eastAsia="en-AU"/>
        </w:rPr>
      </w:pPr>
      <w:r w:rsidRPr="008765E4">
        <w:rPr>
          <w:rFonts w:ascii="Arial Narrow" w:eastAsia="Times New Roman" w:hAnsi="Arial Narrow" w:cs="Arial"/>
          <w:i/>
          <w:sz w:val="18"/>
          <w:szCs w:val="18"/>
          <w:vertAlign w:val="superscript"/>
          <w:lang w:eastAsia="en-AU"/>
        </w:rPr>
        <w:t xml:space="preserve">1 </w:t>
      </w:r>
      <w:r w:rsidR="00637E38" w:rsidRPr="008765E4">
        <w:rPr>
          <w:rFonts w:ascii="Arial Narrow" w:eastAsia="Times New Roman" w:hAnsi="Arial Narrow" w:cs="Arial"/>
          <w:i/>
          <w:sz w:val="18"/>
          <w:szCs w:val="18"/>
          <w:lang w:eastAsia="en-AU"/>
        </w:rPr>
        <w:t>$95,000 to &lt; $115,000</w:t>
      </w:r>
    </w:p>
    <w:p w14:paraId="13BF3A00" w14:textId="799CA03F" w:rsidR="00DE6CC6" w:rsidRPr="00DE6CC6" w:rsidRDefault="00DE6CC6" w:rsidP="00EE1765">
      <w:pPr>
        <w:spacing w:before="0" w:after="240"/>
        <w:jc w:val="left"/>
        <w:rPr>
          <w:rFonts w:ascii="Times New Roman" w:eastAsia="Calibri" w:hAnsi="Times New Roman" w:cs="Times New Roman"/>
          <w:iCs/>
        </w:rPr>
      </w:pPr>
      <w:r w:rsidRPr="00DE6CC6">
        <w:rPr>
          <w:rFonts w:ascii="Times New Roman" w:eastAsia="Calibri" w:hAnsi="Times New Roman" w:cs="Times New Roman"/>
        </w:rPr>
        <w:t xml:space="preserve">The ICER was insensitive to changes in the parameters relating to testing. </w:t>
      </w:r>
      <w:r w:rsidRPr="00DE6CC6">
        <w:rPr>
          <w:rFonts w:ascii="Times New Roman" w:eastAsia="Calibri" w:hAnsi="Times New Roman" w:cs="Times New Roman"/>
          <w:iCs/>
        </w:rPr>
        <w:t xml:space="preserve">The ICER was most sensitive to the application of a test cost in all patients that enter the model (5.6% increase) and cumulative changes in the model around prevalence, test performance, test cost and duration of </w:t>
      </w:r>
      <w:proofErr w:type="spellStart"/>
      <w:r w:rsidRPr="00DE6CC6">
        <w:rPr>
          <w:rFonts w:ascii="Times New Roman" w:eastAsia="Calibri" w:hAnsi="Times New Roman" w:cs="Times New Roman"/>
          <w:iCs/>
        </w:rPr>
        <w:t>sotorasib</w:t>
      </w:r>
      <w:proofErr w:type="spellEnd"/>
      <w:r w:rsidRPr="00DE6CC6">
        <w:rPr>
          <w:rFonts w:ascii="Times New Roman" w:eastAsia="Calibri" w:hAnsi="Times New Roman" w:cs="Times New Roman"/>
          <w:iCs/>
        </w:rPr>
        <w:t xml:space="preserve"> treatment in false positives. The analysis that applies the test cost in all patients that enter the model reflects the wording of the proposed item, which allows for single gene testing of </w:t>
      </w:r>
      <w:r w:rsidRPr="00DE6CC6">
        <w:rPr>
          <w:rFonts w:ascii="Times New Roman" w:eastAsia="Calibri" w:hAnsi="Times New Roman" w:cs="Times New Roman"/>
          <w:i/>
        </w:rPr>
        <w:t>EGFR</w:t>
      </w:r>
      <w:r w:rsidRPr="00DE6CC6">
        <w:rPr>
          <w:rFonts w:ascii="Times New Roman" w:eastAsia="Calibri" w:hAnsi="Times New Roman" w:cs="Times New Roman"/>
          <w:iCs/>
        </w:rPr>
        <w:t xml:space="preserve"> or </w:t>
      </w:r>
      <w:r w:rsidRPr="00DE6CC6">
        <w:rPr>
          <w:rFonts w:ascii="Times New Roman" w:eastAsia="Calibri" w:hAnsi="Times New Roman" w:cs="Times New Roman"/>
          <w:i/>
        </w:rPr>
        <w:t xml:space="preserve">KRAS </w:t>
      </w:r>
      <w:r w:rsidRPr="00DE6CC6">
        <w:rPr>
          <w:rFonts w:ascii="Times New Roman" w:eastAsia="Calibri" w:hAnsi="Times New Roman" w:cs="Times New Roman"/>
          <w:iCs/>
        </w:rPr>
        <w:t xml:space="preserve">over a transition period. PASC however did note that this could create an incentive for laboratories to charge twice when both </w:t>
      </w:r>
      <w:r w:rsidRPr="00DE6CC6">
        <w:rPr>
          <w:rFonts w:ascii="Times New Roman" w:eastAsia="Calibri" w:hAnsi="Times New Roman" w:cs="Times New Roman"/>
          <w:i/>
        </w:rPr>
        <w:t>EGFR</w:t>
      </w:r>
      <w:r w:rsidRPr="00DE6CC6">
        <w:rPr>
          <w:rFonts w:ascii="Times New Roman" w:eastAsia="Calibri" w:hAnsi="Times New Roman" w:cs="Times New Roman"/>
          <w:iCs/>
        </w:rPr>
        <w:t xml:space="preserve"> and </w:t>
      </w:r>
      <w:r w:rsidRPr="00DE6CC6">
        <w:rPr>
          <w:rFonts w:ascii="Times New Roman" w:eastAsia="Calibri" w:hAnsi="Times New Roman" w:cs="Times New Roman"/>
          <w:i/>
        </w:rPr>
        <w:t>KRAS</w:t>
      </w:r>
      <w:r w:rsidRPr="00DE6CC6">
        <w:rPr>
          <w:rFonts w:ascii="Times New Roman" w:eastAsia="Calibri" w:hAnsi="Times New Roman" w:cs="Times New Roman"/>
          <w:iCs/>
        </w:rPr>
        <w:t xml:space="preserve"> were tested (1669 Ratified PICO).</w:t>
      </w:r>
    </w:p>
    <w:p w14:paraId="2A20D5BD" w14:textId="77777777" w:rsidR="00DE6CC6" w:rsidRPr="00DE6CC6" w:rsidRDefault="00DE6CC6" w:rsidP="0035041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DE6CC6">
        <w:rPr>
          <w:rFonts w:ascii="Arial" w:eastAsia="Times New Roman" w:hAnsi="Arial" w:cs="Arial"/>
          <w:b/>
          <w:bCs/>
          <w:szCs w:val="28"/>
          <w:lang w:eastAsia="en-AU"/>
        </w:rPr>
        <w:lastRenderedPageBreak/>
        <w:t>Financial/budgetary impacts</w:t>
      </w:r>
    </w:p>
    <w:p w14:paraId="48B46EEE" w14:textId="77777777" w:rsidR="00DE6CC6" w:rsidRPr="00DE6CC6" w:rsidRDefault="00DE6CC6" w:rsidP="00DE6CC6">
      <w:pPr>
        <w:spacing w:before="0" w:after="240"/>
        <w:jc w:val="left"/>
        <w:rPr>
          <w:rFonts w:ascii="Times New Roman" w:eastAsia="Calibri" w:hAnsi="Times New Roman" w:cs="Times New Roman"/>
          <w:i/>
        </w:rPr>
      </w:pPr>
      <w:r w:rsidRPr="00DE6CC6">
        <w:rPr>
          <w:rFonts w:ascii="Times New Roman" w:eastAsia="Calibri" w:hAnsi="Times New Roman" w:cs="Times New Roman"/>
        </w:rPr>
        <w:t xml:space="preserve">The submission assumed that as </w:t>
      </w:r>
      <w:r w:rsidRPr="00DE6CC6">
        <w:rPr>
          <w:rFonts w:ascii="Times New Roman" w:eastAsia="Calibri" w:hAnsi="Times New Roman" w:cs="Times New Roman"/>
          <w:i/>
        </w:rPr>
        <w:t>KRAS</w:t>
      </w:r>
      <w:r w:rsidRPr="00DE6CC6">
        <w:rPr>
          <w:rFonts w:ascii="Times New Roman" w:eastAsia="Calibri" w:hAnsi="Times New Roman" w:cs="Times New Roman"/>
        </w:rPr>
        <w:t xml:space="preserve"> variant testing will occur with pathogenic </w:t>
      </w:r>
      <w:r w:rsidRPr="00DE6CC6">
        <w:rPr>
          <w:rFonts w:ascii="Times New Roman" w:eastAsia="Calibri" w:hAnsi="Times New Roman" w:cs="Times New Roman"/>
          <w:i/>
        </w:rPr>
        <w:t>EGFR</w:t>
      </w:r>
      <w:r w:rsidRPr="00DE6CC6">
        <w:rPr>
          <w:rFonts w:ascii="Times New Roman" w:eastAsia="Calibri" w:hAnsi="Times New Roman" w:cs="Times New Roman"/>
        </w:rPr>
        <w:t xml:space="preserve"> variant testing, no increase in the utilisation or cost of item 73337 is anticipated with listing of </w:t>
      </w:r>
      <w:proofErr w:type="spellStart"/>
      <w:r w:rsidRPr="00DE6CC6">
        <w:rPr>
          <w:rFonts w:ascii="Times New Roman" w:eastAsia="Calibri" w:hAnsi="Times New Roman" w:cs="Times New Roman"/>
        </w:rPr>
        <w:t>sotorasib</w:t>
      </w:r>
      <w:proofErr w:type="spellEnd"/>
      <w:r w:rsidRPr="00DE6CC6">
        <w:rPr>
          <w:rFonts w:ascii="Times New Roman" w:eastAsia="Calibri" w:hAnsi="Times New Roman" w:cs="Times New Roman"/>
        </w:rPr>
        <w:t xml:space="preserve">. </w:t>
      </w:r>
      <w:r w:rsidRPr="00DE6CC6">
        <w:rPr>
          <w:rFonts w:ascii="Times New Roman" w:eastAsia="Calibri" w:hAnsi="Times New Roman" w:cs="Times New Roman"/>
          <w:i/>
        </w:rPr>
        <w:t>A</w:t>
      </w:r>
      <w:r w:rsidRPr="00DE6CC6">
        <w:rPr>
          <w:rFonts w:ascii="Times New Roman" w:eastAsia="Calibri" w:hAnsi="Times New Roman" w:cs="Times New Roman"/>
          <w:iCs/>
        </w:rPr>
        <w:t xml:space="preserve">s described above, the commentary noted that some smaller laboratories may still be using single gene testing (1669 Ratified PICO) and the proposed item does allow for single gene testing of either </w:t>
      </w:r>
      <w:r w:rsidRPr="00DE6CC6">
        <w:rPr>
          <w:rFonts w:ascii="Times New Roman" w:eastAsia="Calibri" w:hAnsi="Times New Roman" w:cs="Times New Roman"/>
          <w:i/>
        </w:rPr>
        <w:t>EGFR</w:t>
      </w:r>
      <w:r w:rsidRPr="00DE6CC6">
        <w:rPr>
          <w:rFonts w:ascii="Times New Roman" w:eastAsia="Calibri" w:hAnsi="Times New Roman" w:cs="Times New Roman"/>
          <w:iCs/>
        </w:rPr>
        <w:t xml:space="preserve"> or </w:t>
      </w:r>
      <w:r w:rsidRPr="00DE6CC6">
        <w:rPr>
          <w:rFonts w:ascii="Times New Roman" w:eastAsia="Calibri" w:hAnsi="Times New Roman" w:cs="Times New Roman"/>
          <w:i/>
        </w:rPr>
        <w:t>KRAS</w:t>
      </w:r>
      <w:r w:rsidRPr="00DE6CC6">
        <w:rPr>
          <w:rFonts w:ascii="Times New Roman" w:eastAsia="Calibri" w:hAnsi="Times New Roman" w:cs="Times New Roman"/>
          <w:iCs/>
        </w:rPr>
        <w:t>. However, while there might be an additional cost it is likely to be small.</w:t>
      </w:r>
    </w:p>
    <w:p w14:paraId="4D106DF0" w14:textId="77777777"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 xml:space="preserve">A reduction in costs to the MBS was estimated </w:t>
      </w:r>
      <w:proofErr w:type="gramStart"/>
      <w:r w:rsidRPr="00DE6CC6">
        <w:rPr>
          <w:rFonts w:ascii="Times New Roman" w:eastAsia="Calibri" w:hAnsi="Times New Roman" w:cs="Times New Roman"/>
        </w:rPr>
        <w:t>on the basis of</w:t>
      </w:r>
      <w:proofErr w:type="gramEnd"/>
      <w:r w:rsidRPr="00DE6CC6">
        <w:rPr>
          <w:rFonts w:ascii="Times New Roman" w:eastAsia="Calibri" w:hAnsi="Times New Roman" w:cs="Times New Roman"/>
        </w:rPr>
        <w:t xml:space="preserve"> a reduction in docetaxel chemotherapy administration (MBS item 13950). </w:t>
      </w:r>
      <w:r w:rsidRPr="00DE6CC6">
        <w:rPr>
          <w:rFonts w:ascii="Times New Roman" w:eastAsia="Calibri" w:hAnsi="Times New Roman" w:cs="Times New Roman"/>
          <w:iCs/>
        </w:rPr>
        <w:t xml:space="preserve">The commentary considered that the estimated reduction in docetaxel use (and therefore, the use of associated chemotherapy administration) may be an overestimate as </w:t>
      </w:r>
      <w:proofErr w:type="spellStart"/>
      <w:r w:rsidRPr="00DE6CC6">
        <w:rPr>
          <w:rFonts w:ascii="Times New Roman" w:eastAsia="Calibri" w:hAnsi="Times New Roman" w:cs="Times New Roman"/>
          <w:iCs/>
        </w:rPr>
        <w:t>i</w:t>
      </w:r>
      <w:proofErr w:type="spellEnd"/>
      <w:r w:rsidRPr="00DE6CC6">
        <w:rPr>
          <w:rFonts w:ascii="Times New Roman" w:eastAsia="Calibri" w:hAnsi="Times New Roman" w:cs="Times New Roman"/>
          <w:iCs/>
        </w:rPr>
        <w:t xml:space="preserve">) the uptake rate applied for </w:t>
      </w:r>
      <w:proofErr w:type="spellStart"/>
      <w:r w:rsidRPr="00DE6CC6">
        <w:rPr>
          <w:rFonts w:ascii="Times New Roman" w:eastAsia="Calibri" w:hAnsi="Times New Roman" w:cs="Times New Roman"/>
          <w:iCs/>
        </w:rPr>
        <w:t>sotorasib</w:t>
      </w:r>
      <w:proofErr w:type="spellEnd"/>
      <w:r w:rsidRPr="00DE6CC6">
        <w:rPr>
          <w:rFonts w:ascii="Times New Roman" w:eastAsia="Calibri" w:hAnsi="Times New Roman" w:cs="Times New Roman"/>
          <w:iCs/>
        </w:rPr>
        <w:t xml:space="preserve"> may reflect use in patients that would otherwise not have received docetaxel; and ii) the submission has not considered that docetaxel may be displaced rather than replaced in a proportion of patients.</w:t>
      </w:r>
    </w:p>
    <w:p w14:paraId="0A5662FD" w14:textId="7ED19B2E" w:rsidR="00DE6CC6" w:rsidRPr="00DE6CC6" w:rsidRDefault="00DE6CC6" w:rsidP="00DE6CC6">
      <w:pPr>
        <w:spacing w:before="0" w:after="240"/>
        <w:jc w:val="left"/>
        <w:rPr>
          <w:rFonts w:ascii="Times New Roman" w:eastAsia="Calibri" w:hAnsi="Times New Roman" w:cs="Times New Roman"/>
        </w:rPr>
      </w:pPr>
      <w:r w:rsidRPr="00DE6CC6">
        <w:rPr>
          <w:rFonts w:ascii="Times New Roman" w:eastAsia="Calibri" w:hAnsi="Times New Roman" w:cs="Times New Roman"/>
        </w:rPr>
        <w:t>The estimated net financial implications to the MBS are presented in Table 7.</w:t>
      </w:r>
    </w:p>
    <w:p w14:paraId="2F202C5F" w14:textId="4BA67D01" w:rsidR="00DE6CC6" w:rsidRPr="00DE6CC6" w:rsidRDefault="00DE6CC6" w:rsidP="00DE6CC6">
      <w:pPr>
        <w:keepNext/>
        <w:spacing w:before="0" w:after="40"/>
        <w:outlineLvl w:val="4"/>
        <w:rPr>
          <w:rFonts w:ascii="Arial Narrow" w:eastAsia="Times New Roman" w:hAnsi="Arial Narrow" w:cs="Arial"/>
          <w:b/>
          <w:bCs/>
          <w:iCs/>
          <w:sz w:val="20"/>
          <w:szCs w:val="20"/>
        </w:rPr>
      </w:pPr>
      <w:bookmarkStart w:id="10" w:name="_Ref89796120"/>
      <w:r w:rsidRPr="00DE6CC6">
        <w:rPr>
          <w:rFonts w:ascii="Arial Narrow" w:eastAsia="Times New Roman" w:hAnsi="Arial Narrow" w:cs="Arial"/>
          <w:b/>
          <w:bCs/>
          <w:iCs/>
          <w:sz w:val="20"/>
          <w:szCs w:val="20"/>
        </w:rPr>
        <w:t xml:space="preserve">Table </w:t>
      </w:r>
      <w:bookmarkEnd w:id="10"/>
      <w:r w:rsidRPr="00DE6CC6">
        <w:rPr>
          <w:rFonts w:ascii="Arial Narrow" w:eastAsia="Times New Roman" w:hAnsi="Arial Narrow" w:cs="Arial"/>
          <w:b/>
          <w:bCs/>
          <w:iCs/>
          <w:sz w:val="20"/>
          <w:szCs w:val="20"/>
        </w:rPr>
        <w:t>7</w:t>
      </w:r>
      <w:r w:rsidRPr="00DE6CC6">
        <w:rPr>
          <w:rFonts w:ascii="Arial Narrow" w:eastAsia="Times New Roman" w:hAnsi="Arial Narrow" w:cs="Arial"/>
          <w:b/>
          <w:bCs/>
          <w:iCs/>
          <w:sz w:val="20"/>
          <w:szCs w:val="20"/>
        </w:rPr>
        <w:tab/>
        <w:t>Estimated net financial implications to the MBS</w:t>
      </w:r>
    </w:p>
    <w:tbl>
      <w:tblPr>
        <w:tblStyle w:val="PBACTableStyle2"/>
        <w:tblW w:w="5000" w:type="pct"/>
        <w:tblLayout w:type="fixed"/>
        <w:tblLook w:val="04A0" w:firstRow="1" w:lastRow="0" w:firstColumn="1" w:lastColumn="0" w:noHBand="0" w:noVBand="1"/>
      </w:tblPr>
      <w:tblGrid>
        <w:gridCol w:w="3113"/>
        <w:gridCol w:w="982"/>
        <w:gridCol w:w="985"/>
        <w:gridCol w:w="983"/>
        <w:gridCol w:w="985"/>
        <w:gridCol w:w="983"/>
        <w:gridCol w:w="985"/>
      </w:tblGrid>
      <w:tr w:rsidR="00DE6CC6" w:rsidRPr="00DE6CC6" w14:paraId="58E89276" w14:textId="77777777" w:rsidTr="007E2C6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27" w:type="pct"/>
            <w:tcBorders>
              <w:bottom w:val="single" w:sz="4" w:space="0" w:color="auto"/>
            </w:tcBorders>
            <w:noWrap/>
            <w:hideMark/>
          </w:tcPr>
          <w:p w14:paraId="005315A7" w14:textId="77777777" w:rsidR="00DE6CC6" w:rsidRPr="00DE6CC6" w:rsidRDefault="00DE6CC6" w:rsidP="004E6DB8">
            <w:pPr>
              <w:keepNext/>
              <w:spacing w:before="40" w:after="40" w:line="256" w:lineRule="auto"/>
              <w:rPr>
                <w:rFonts w:eastAsia="Calibri" w:cs="Times New Roman"/>
                <w:sz w:val="20"/>
                <w:szCs w:val="22"/>
              </w:rPr>
            </w:pPr>
          </w:p>
        </w:tc>
        <w:tc>
          <w:tcPr>
            <w:tcW w:w="545" w:type="pct"/>
            <w:tcBorders>
              <w:bottom w:val="single" w:sz="4" w:space="0" w:color="auto"/>
            </w:tcBorders>
            <w:noWrap/>
            <w:hideMark/>
          </w:tcPr>
          <w:p w14:paraId="0E7252AE" w14:textId="77777777" w:rsidR="00DE6CC6" w:rsidRPr="00DE6CC6" w:rsidRDefault="00DE6CC6" w:rsidP="004E6DB8">
            <w:pPr>
              <w:keepNext/>
              <w:spacing w:before="40" w:after="40" w:line="256" w:lineRule="auto"/>
              <w:ind w:left="-115"/>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2022</w:t>
            </w:r>
          </w:p>
        </w:tc>
        <w:tc>
          <w:tcPr>
            <w:tcW w:w="546" w:type="pct"/>
            <w:tcBorders>
              <w:bottom w:val="single" w:sz="4" w:space="0" w:color="auto"/>
            </w:tcBorders>
            <w:noWrap/>
            <w:hideMark/>
          </w:tcPr>
          <w:p w14:paraId="52DA9ABA" w14:textId="77777777" w:rsidR="00DE6CC6" w:rsidRPr="00DE6CC6" w:rsidRDefault="00DE6CC6" w:rsidP="004E6DB8">
            <w:pPr>
              <w:keepNext/>
              <w:spacing w:before="40" w:after="40" w:line="256" w:lineRule="auto"/>
              <w:ind w:left="-115"/>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2023</w:t>
            </w:r>
          </w:p>
        </w:tc>
        <w:tc>
          <w:tcPr>
            <w:tcW w:w="545" w:type="pct"/>
            <w:tcBorders>
              <w:bottom w:val="single" w:sz="4" w:space="0" w:color="auto"/>
            </w:tcBorders>
            <w:noWrap/>
            <w:hideMark/>
          </w:tcPr>
          <w:p w14:paraId="276EBEA6" w14:textId="77777777" w:rsidR="00DE6CC6" w:rsidRPr="00DE6CC6" w:rsidRDefault="00DE6CC6" w:rsidP="004E6DB8">
            <w:pPr>
              <w:keepNext/>
              <w:spacing w:before="40" w:after="40" w:line="256" w:lineRule="auto"/>
              <w:ind w:left="-115"/>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2024</w:t>
            </w:r>
          </w:p>
        </w:tc>
        <w:tc>
          <w:tcPr>
            <w:tcW w:w="546" w:type="pct"/>
            <w:tcBorders>
              <w:bottom w:val="single" w:sz="4" w:space="0" w:color="auto"/>
            </w:tcBorders>
            <w:noWrap/>
            <w:hideMark/>
          </w:tcPr>
          <w:p w14:paraId="5E94B3A1" w14:textId="77777777" w:rsidR="00DE6CC6" w:rsidRPr="00DE6CC6" w:rsidRDefault="00DE6CC6" w:rsidP="004E6DB8">
            <w:pPr>
              <w:keepNext/>
              <w:spacing w:before="40" w:after="40" w:line="256" w:lineRule="auto"/>
              <w:ind w:left="-115"/>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2025</w:t>
            </w:r>
          </w:p>
        </w:tc>
        <w:tc>
          <w:tcPr>
            <w:tcW w:w="545" w:type="pct"/>
            <w:tcBorders>
              <w:bottom w:val="single" w:sz="4" w:space="0" w:color="auto"/>
            </w:tcBorders>
            <w:noWrap/>
            <w:hideMark/>
          </w:tcPr>
          <w:p w14:paraId="09BC12B7" w14:textId="77777777" w:rsidR="00DE6CC6" w:rsidRPr="00DE6CC6" w:rsidRDefault="00DE6CC6" w:rsidP="004E6DB8">
            <w:pPr>
              <w:keepNext/>
              <w:spacing w:before="40" w:after="40" w:line="256" w:lineRule="auto"/>
              <w:ind w:left="-115"/>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2026</w:t>
            </w:r>
          </w:p>
        </w:tc>
        <w:tc>
          <w:tcPr>
            <w:tcW w:w="546" w:type="pct"/>
            <w:tcBorders>
              <w:bottom w:val="single" w:sz="4" w:space="0" w:color="auto"/>
            </w:tcBorders>
            <w:noWrap/>
            <w:hideMark/>
          </w:tcPr>
          <w:p w14:paraId="0F26A730" w14:textId="77777777" w:rsidR="00DE6CC6" w:rsidRPr="00DE6CC6" w:rsidRDefault="00DE6CC6" w:rsidP="004E6DB8">
            <w:pPr>
              <w:keepNext/>
              <w:spacing w:before="40" w:after="40" w:line="256" w:lineRule="auto"/>
              <w:ind w:left="-115"/>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2027</w:t>
            </w:r>
          </w:p>
        </w:tc>
      </w:tr>
      <w:tr w:rsidR="00DE6CC6" w:rsidRPr="00DE6CC6" w14:paraId="7B7255FD" w14:textId="77777777" w:rsidTr="007E2C67">
        <w:trPr>
          <w:trHeight w:val="255"/>
        </w:trPr>
        <w:tc>
          <w:tcPr>
            <w:cnfStyle w:val="001000000000" w:firstRow="0" w:lastRow="0" w:firstColumn="1" w:lastColumn="0" w:oddVBand="0" w:evenVBand="0" w:oddHBand="0" w:evenHBand="0" w:firstRowFirstColumn="0" w:firstRowLastColumn="0" w:lastRowFirstColumn="0" w:lastRowLastColumn="0"/>
            <w:tcW w:w="1727" w:type="pct"/>
            <w:noWrap/>
          </w:tcPr>
          <w:p w14:paraId="6D479148" w14:textId="77777777" w:rsidR="00DE6CC6" w:rsidRPr="00DE6CC6" w:rsidRDefault="00DE6CC6" w:rsidP="004E6DB8">
            <w:pPr>
              <w:keepNext/>
              <w:spacing w:before="40" w:after="40" w:line="256" w:lineRule="auto"/>
              <w:jc w:val="left"/>
              <w:rPr>
                <w:rFonts w:eastAsia="Calibri" w:cs="Times New Roman"/>
                <w:sz w:val="20"/>
                <w:szCs w:val="22"/>
              </w:rPr>
            </w:pPr>
            <w:r w:rsidRPr="00DE6CC6">
              <w:rPr>
                <w:rFonts w:eastAsia="Calibri" w:cs="Times New Roman"/>
                <w:sz w:val="20"/>
                <w:szCs w:val="22"/>
              </w:rPr>
              <w:t>Change in use of MBS item 73337</w:t>
            </w:r>
          </w:p>
        </w:tc>
        <w:tc>
          <w:tcPr>
            <w:tcW w:w="545" w:type="pct"/>
            <w:noWrap/>
          </w:tcPr>
          <w:p w14:paraId="6D9D5DE1"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6" w:type="pct"/>
            <w:noWrap/>
          </w:tcPr>
          <w:p w14:paraId="49278224"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5" w:type="pct"/>
            <w:noWrap/>
          </w:tcPr>
          <w:p w14:paraId="0BB86D3B"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6" w:type="pct"/>
            <w:noWrap/>
          </w:tcPr>
          <w:p w14:paraId="3D433538"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5" w:type="pct"/>
            <w:noWrap/>
          </w:tcPr>
          <w:p w14:paraId="565D7571"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6" w:type="pct"/>
            <w:noWrap/>
          </w:tcPr>
          <w:p w14:paraId="5A6F508F"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r>
      <w:tr w:rsidR="00DE6CC6" w:rsidRPr="00DE6CC6" w14:paraId="6A610C6B" w14:textId="77777777" w:rsidTr="007E2C67">
        <w:trPr>
          <w:trHeight w:val="255"/>
        </w:trPr>
        <w:tc>
          <w:tcPr>
            <w:cnfStyle w:val="001000000000" w:firstRow="0" w:lastRow="0" w:firstColumn="1" w:lastColumn="0" w:oddVBand="0" w:evenVBand="0" w:oddHBand="0" w:evenHBand="0" w:firstRowFirstColumn="0" w:firstRowLastColumn="0" w:lastRowFirstColumn="0" w:lastRowLastColumn="0"/>
            <w:tcW w:w="1727" w:type="pct"/>
            <w:noWrap/>
          </w:tcPr>
          <w:p w14:paraId="6C59B528" w14:textId="0C957911" w:rsidR="00DE6CC6" w:rsidRPr="00DE6CC6" w:rsidRDefault="00DE6CC6" w:rsidP="004E6DB8">
            <w:pPr>
              <w:keepNext/>
              <w:spacing w:before="40" w:after="40" w:line="256" w:lineRule="auto"/>
              <w:jc w:val="left"/>
              <w:rPr>
                <w:rFonts w:eastAsia="Calibri" w:cs="Times New Roman"/>
                <w:sz w:val="20"/>
                <w:szCs w:val="22"/>
              </w:rPr>
            </w:pPr>
            <w:r w:rsidRPr="00DE6CC6">
              <w:rPr>
                <w:rFonts w:eastAsia="Calibri" w:cs="Times New Roman"/>
                <w:sz w:val="20"/>
                <w:szCs w:val="22"/>
              </w:rPr>
              <w:t xml:space="preserve">Cost of </w:t>
            </w:r>
            <w:r w:rsidRPr="00DE6CC6">
              <w:rPr>
                <w:rFonts w:eastAsia="Calibri" w:cs="Times New Roman"/>
                <w:i/>
                <w:sz w:val="20"/>
                <w:szCs w:val="22"/>
              </w:rPr>
              <w:t>KRAS</w:t>
            </w:r>
            <w:r w:rsidRPr="00DE6CC6">
              <w:rPr>
                <w:rFonts w:eastAsia="Calibri" w:cs="Times New Roman"/>
                <w:sz w:val="20"/>
                <w:szCs w:val="22"/>
              </w:rPr>
              <w:t xml:space="preserve"> G12C variant testing to the MBS</w:t>
            </w:r>
            <w:r w:rsidR="00A101E6">
              <w:rPr>
                <w:rFonts w:eastAsia="Calibri" w:cs="Times New Roman"/>
                <w:sz w:val="20"/>
                <w:szCs w:val="22"/>
              </w:rPr>
              <w:t xml:space="preserve"> ($)</w:t>
            </w:r>
          </w:p>
        </w:tc>
        <w:tc>
          <w:tcPr>
            <w:tcW w:w="545" w:type="pct"/>
            <w:noWrap/>
          </w:tcPr>
          <w:p w14:paraId="4887AF40"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6" w:type="pct"/>
            <w:noWrap/>
          </w:tcPr>
          <w:p w14:paraId="185AFD80"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5" w:type="pct"/>
            <w:noWrap/>
          </w:tcPr>
          <w:p w14:paraId="75BBC368"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6" w:type="pct"/>
            <w:noWrap/>
          </w:tcPr>
          <w:p w14:paraId="3F44578E"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5" w:type="pct"/>
            <w:noWrap/>
          </w:tcPr>
          <w:p w14:paraId="3BDFB648"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c>
          <w:tcPr>
            <w:tcW w:w="546" w:type="pct"/>
            <w:noWrap/>
          </w:tcPr>
          <w:p w14:paraId="1060BDE1" w14:textId="77777777" w:rsidR="00DE6CC6" w:rsidRPr="00DE6CC6" w:rsidRDefault="00DE6CC6"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rPr>
            </w:pPr>
            <w:r w:rsidRPr="00DE6CC6">
              <w:rPr>
                <w:rFonts w:eastAsia="Calibri" w:cs="Times New Roman"/>
                <w:sz w:val="20"/>
                <w:szCs w:val="22"/>
              </w:rPr>
              <w:t>$0</w:t>
            </w:r>
          </w:p>
        </w:tc>
      </w:tr>
      <w:tr w:rsidR="00DE6CC6" w:rsidRPr="00DE6CC6" w14:paraId="088B67EA" w14:textId="77777777" w:rsidTr="007E2C67">
        <w:trPr>
          <w:trHeight w:val="255"/>
        </w:trPr>
        <w:tc>
          <w:tcPr>
            <w:cnfStyle w:val="001000000000" w:firstRow="0" w:lastRow="0" w:firstColumn="1" w:lastColumn="0" w:oddVBand="0" w:evenVBand="0" w:oddHBand="0" w:evenHBand="0" w:firstRowFirstColumn="0" w:firstRowLastColumn="0" w:lastRowFirstColumn="0" w:lastRowLastColumn="0"/>
            <w:tcW w:w="1727" w:type="pct"/>
            <w:noWrap/>
          </w:tcPr>
          <w:p w14:paraId="2826611B" w14:textId="77777777" w:rsidR="00DE6CC6" w:rsidRPr="00DE6CC6" w:rsidRDefault="00DE6CC6" w:rsidP="004E6DB8">
            <w:pPr>
              <w:keepNext/>
              <w:spacing w:before="40" w:after="40" w:line="256" w:lineRule="auto"/>
              <w:jc w:val="left"/>
              <w:rPr>
                <w:rFonts w:eastAsia="Calibri" w:cs="Times New Roman"/>
                <w:sz w:val="20"/>
                <w:szCs w:val="22"/>
              </w:rPr>
            </w:pPr>
            <w:r w:rsidRPr="00DE6CC6">
              <w:rPr>
                <w:rFonts w:eastAsia="Calibri" w:cs="Times New Roman"/>
                <w:sz w:val="20"/>
                <w:szCs w:val="22"/>
              </w:rPr>
              <w:t>Reduction in services related to docetaxel administration</w:t>
            </w:r>
          </w:p>
        </w:tc>
        <w:tc>
          <w:tcPr>
            <w:tcW w:w="545" w:type="pct"/>
            <w:noWrap/>
            <w:vAlign w:val="top"/>
          </w:tcPr>
          <w:p w14:paraId="6368026D" w14:textId="4CF48E89"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vertAlign w:val="superscript"/>
              </w:rPr>
            </w:pPr>
            <w:r w:rsidRPr="008765E4">
              <w:rPr>
                <w:rFonts w:eastAsia="Calibri" w:cs="Times New Roman" w:hint="eastAsia"/>
                <w:w w:val="15"/>
                <w:sz w:val="20"/>
                <w:shd w:val="solid" w:color="000000" w:fill="000000"/>
                <w:fitText w:val="60" w:id="-1501308416"/>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16"/>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16"/>
                <w14:textFill>
                  <w14:solidFill>
                    <w14:srgbClr w14:val="000000">
                      <w14:alpha w14:val="100000"/>
                    </w14:srgbClr>
                  </w14:solidFill>
                </w14:textFill>
              </w:rPr>
              <w:t xml:space="preserve">　</w:t>
            </w:r>
            <w:r w:rsidR="00637E38" w:rsidRPr="008765E4">
              <w:rPr>
                <w:rFonts w:eastAsia="Calibri" w:cs="Times New Roman"/>
                <w:sz w:val="20"/>
                <w:vertAlign w:val="superscript"/>
              </w:rPr>
              <w:t>1</w:t>
            </w:r>
          </w:p>
        </w:tc>
        <w:tc>
          <w:tcPr>
            <w:tcW w:w="546" w:type="pct"/>
            <w:noWrap/>
            <w:vAlign w:val="top"/>
          </w:tcPr>
          <w:p w14:paraId="28320397" w14:textId="68B0A27C"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15"/>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15"/>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15"/>
                <w14:textFill>
                  <w14:solidFill>
                    <w14:srgbClr w14:val="000000">
                      <w14:alpha w14:val="100000"/>
                    </w14:srgbClr>
                  </w14:solidFill>
                </w14:textFill>
              </w:rPr>
              <w:t xml:space="preserve">　</w:t>
            </w:r>
            <w:r w:rsidR="00637E38" w:rsidRPr="00E1556D">
              <w:rPr>
                <w:rFonts w:eastAsia="Calibri" w:cs="Times New Roman"/>
                <w:sz w:val="20"/>
                <w:vertAlign w:val="superscript"/>
              </w:rPr>
              <w:t>1</w:t>
            </w:r>
          </w:p>
        </w:tc>
        <w:tc>
          <w:tcPr>
            <w:tcW w:w="545" w:type="pct"/>
            <w:noWrap/>
            <w:vAlign w:val="top"/>
          </w:tcPr>
          <w:p w14:paraId="21C0723A" w14:textId="40F81E43"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14"/>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14"/>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14"/>
                <w14:textFill>
                  <w14:solidFill>
                    <w14:srgbClr w14:val="000000">
                      <w14:alpha w14:val="100000"/>
                    </w14:srgbClr>
                  </w14:solidFill>
                </w14:textFill>
              </w:rPr>
              <w:t xml:space="preserve">　</w:t>
            </w:r>
            <w:r w:rsidR="00637E38" w:rsidRPr="00E1556D">
              <w:rPr>
                <w:rFonts w:eastAsia="Calibri" w:cs="Times New Roman"/>
                <w:sz w:val="20"/>
                <w:vertAlign w:val="superscript"/>
              </w:rPr>
              <w:t>1</w:t>
            </w:r>
          </w:p>
        </w:tc>
        <w:tc>
          <w:tcPr>
            <w:tcW w:w="546" w:type="pct"/>
            <w:noWrap/>
            <w:vAlign w:val="top"/>
          </w:tcPr>
          <w:p w14:paraId="6EEAE1A6" w14:textId="6A2B4D0D"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13"/>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13"/>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13"/>
                <w14:textFill>
                  <w14:solidFill>
                    <w14:srgbClr w14:val="000000">
                      <w14:alpha w14:val="100000"/>
                    </w14:srgbClr>
                  </w14:solidFill>
                </w14:textFill>
              </w:rPr>
              <w:t xml:space="preserve">　</w:t>
            </w:r>
            <w:r w:rsidR="00637E38" w:rsidRPr="00E1556D">
              <w:rPr>
                <w:rFonts w:eastAsia="Calibri" w:cs="Times New Roman"/>
                <w:sz w:val="20"/>
                <w:vertAlign w:val="superscript"/>
              </w:rPr>
              <w:t>1</w:t>
            </w:r>
          </w:p>
        </w:tc>
        <w:tc>
          <w:tcPr>
            <w:tcW w:w="545" w:type="pct"/>
            <w:noWrap/>
            <w:vAlign w:val="top"/>
          </w:tcPr>
          <w:p w14:paraId="43DFA18E" w14:textId="659975E6"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12"/>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12"/>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12"/>
                <w14:textFill>
                  <w14:solidFill>
                    <w14:srgbClr w14:val="000000">
                      <w14:alpha w14:val="100000"/>
                    </w14:srgbClr>
                  </w14:solidFill>
                </w14:textFill>
              </w:rPr>
              <w:t xml:space="preserve">　</w:t>
            </w:r>
            <w:r w:rsidR="00637E38" w:rsidRPr="00E1556D">
              <w:rPr>
                <w:rFonts w:eastAsia="Calibri" w:cs="Times New Roman"/>
                <w:sz w:val="20"/>
                <w:vertAlign w:val="superscript"/>
              </w:rPr>
              <w:t>1</w:t>
            </w:r>
          </w:p>
        </w:tc>
        <w:tc>
          <w:tcPr>
            <w:tcW w:w="546" w:type="pct"/>
            <w:noWrap/>
            <w:vAlign w:val="top"/>
          </w:tcPr>
          <w:p w14:paraId="75458EFD" w14:textId="766733ED"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11"/>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11"/>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11"/>
                <w14:textFill>
                  <w14:solidFill>
                    <w14:srgbClr w14:val="000000">
                      <w14:alpha w14:val="100000"/>
                    </w14:srgbClr>
                  </w14:solidFill>
                </w14:textFill>
              </w:rPr>
              <w:t xml:space="preserve">　</w:t>
            </w:r>
            <w:r w:rsidR="00637E38" w:rsidRPr="00E1556D">
              <w:rPr>
                <w:rFonts w:eastAsia="Calibri" w:cs="Times New Roman"/>
                <w:sz w:val="20"/>
                <w:vertAlign w:val="superscript"/>
              </w:rPr>
              <w:t>1</w:t>
            </w:r>
          </w:p>
        </w:tc>
      </w:tr>
      <w:tr w:rsidR="00DE6CC6" w:rsidRPr="00DE6CC6" w14:paraId="51BDDDF7" w14:textId="77777777" w:rsidTr="007E2C67">
        <w:trPr>
          <w:trHeight w:val="255"/>
        </w:trPr>
        <w:tc>
          <w:tcPr>
            <w:cnfStyle w:val="001000000000" w:firstRow="0" w:lastRow="0" w:firstColumn="1" w:lastColumn="0" w:oddVBand="0" w:evenVBand="0" w:oddHBand="0" w:evenHBand="0" w:firstRowFirstColumn="0" w:firstRowLastColumn="0" w:lastRowFirstColumn="0" w:lastRowLastColumn="0"/>
            <w:tcW w:w="1727" w:type="pct"/>
            <w:noWrap/>
          </w:tcPr>
          <w:p w14:paraId="671E33FA" w14:textId="715252DA" w:rsidR="00DE6CC6" w:rsidRPr="00DE6CC6" w:rsidRDefault="00DE6CC6" w:rsidP="004E6DB8">
            <w:pPr>
              <w:keepNext/>
              <w:spacing w:before="40" w:after="40" w:line="256" w:lineRule="auto"/>
              <w:jc w:val="left"/>
              <w:rPr>
                <w:rFonts w:eastAsia="Calibri" w:cs="Times New Roman"/>
                <w:sz w:val="20"/>
                <w:szCs w:val="22"/>
              </w:rPr>
            </w:pPr>
            <w:r w:rsidRPr="00DE6CC6">
              <w:rPr>
                <w:rFonts w:eastAsia="Calibri" w:cs="Times New Roman"/>
                <w:sz w:val="20"/>
                <w:szCs w:val="22"/>
              </w:rPr>
              <w:t>Reduction in cost to the MBS due to affected services</w:t>
            </w:r>
            <w:r w:rsidR="00A101E6">
              <w:rPr>
                <w:rFonts w:eastAsia="Calibri" w:cs="Times New Roman"/>
                <w:sz w:val="20"/>
                <w:szCs w:val="22"/>
              </w:rPr>
              <w:t xml:space="preserve"> ($)</w:t>
            </w:r>
          </w:p>
        </w:tc>
        <w:tc>
          <w:tcPr>
            <w:tcW w:w="545" w:type="pct"/>
            <w:noWrap/>
            <w:vAlign w:val="top"/>
          </w:tcPr>
          <w:p w14:paraId="0CBCF1F6" w14:textId="5055213D"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vertAlign w:val="superscript"/>
              </w:rPr>
            </w:pPr>
            <w:r w:rsidRPr="008765E4">
              <w:rPr>
                <w:rFonts w:eastAsia="Calibri" w:cs="Times New Roman" w:hint="eastAsia"/>
                <w:w w:val="15"/>
                <w:sz w:val="20"/>
                <w:shd w:val="solid" w:color="000000" w:fill="000000"/>
                <w:fitText w:val="60" w:id="-1501308410"/>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10"/>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10"/>
                <w14:textFill>
                  <w14:solidFill>
                    <w14:srgbClr w14:val="000000">
                      <w14:alpha w14:val="100000"/>
                    </w14:srgbClr>
                  </w14:solidFill>
                </w14:textFill>
              </w:rPr>
              <w:t xml:space="preserve">　</w:t>
            </w:r>
            <w:r w:rsidR="00637E38" w:rsidRPr="008765E4">
              <w:rPr>
                <w:rFonts w:eastAsia="Calibri" w:cs="Times New Roman"/>
                <w:sz w:val="20"/>
                <w:vertAlign w:val="superscript"/>
              </w:rPr>
              <w:t>2</w:t>
            </w:r>
          </w:p>
        </w:tc>
        <w:tc>
          <w:tcPr>
            <w:tcW w:w="546" w:type="pct"/>
            <w:noWrap/>
            <w:vAlign w:val="top"/>
          </w:tcPr>
          <w:p w14:paraId="479B32AC" w14:textId="516E74D1"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09"/>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09"/>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09"/>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c>
          <w:tcPr>
            <w:tcW w:w="545" w:type="pct"/>
            <w:noWrap/>
            <w:vAlign w:val="top"/>
          </w:tcPr>
          <w:p w14:paraId="27F3D531" w14:textId="621D2A06"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08"/>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08"/>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08"/>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c>
          <w:tcPr>
            <w:tcW w:w="546" w:type="pct"/>
            <w:noWrap/>
            <w:vAlign w:val="top"/>
          </w:tcPr>
          <w:p w14:paraId="50467112" w14:textId="07CEFDFC"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07"/>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07"/>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07"/>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c>
          <w:tcPr>
            <w:tcW w:w="545" w:type="pct"/>
            <w:noWrap/>
            <w:vAlign w:val="top"/>
          </w:tcPr>
          <w:p w14:paraId="396CA930" w14:textId="54BCB25B"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06"/>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06"/>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06"/>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c>
          <w:tcPr>
            <w:tcW w:w="546" w:type="pct"/>
            <w:noWrap/>
            <w:vAlign w:val="top"/>
          </w:tcPr>
          <w:p w14:paraId="18A374A0" w14:textId="1A2A62BC"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sz w:val="20"/>
                <w:szCs w:val="22"/>
                <w:highlight w:val="yellow"/>
              </w:rPr>
            </w:pPr>
            <w:r w:rsidRPr="008765E4">
              <w:rPr>
                <w:rFonts w:eastAsia="Calibri" w:cs="Times New Roman" w:hint="eastAsia"/>
                <w:w w:val="15"/>
                <w:sz w:val="20"/>
                <w:shd w:val="solid" w:color="000000" w:fill="000000"/>
                <w:fitText w:val="60" w:id="-1501308405"/>
                <w14:textFill>
                  <w14:solidFill>
                    <w14:srgbClr w14:val="000000">
                      <w14:alpha w14:val="100000"/>
                    </w14:srgbClr>
                  </w14:solidFill>
                </w14:textFill>
              </w:rPr>
              <w:t xml:space="preserve">　</w:t>
            </w:r>
            <w:r w:rsidRPr="008765E4">
              <w:rPr>
                <w:rFonts w:eastAsia="Calibri" w:cs="Times New Roman"/>
                <w:w w:val="15"/>
                <w:sz w:val="20"/>
                <w:shd w:val="solid" w:color="000000" w:fill="000000"/>
                <w:fitText w:val="60" w:id="-1501308405"/>
                <w14:textFill>
                  <w14:solidFill>
                    <w14:srgbClr w14:val="000000">
                      <w14:alpha w14:val="100000"/>
                    </w14:srgbClr>
                  </w14:solidFill>
                </w14:textFill>
              </w:rPr>
              <w:t>|</w:t>
            </w:r>
            <w:r w:rsidRPr="008765E4">
              <w:rPr>
                <w:rFonts w:eastAsia="Calibri" w:cs="Times New Roman" w:hint="eastAsia"/>
                <w:spacing w:val="-5"/>
                <w:w w:val="15"/>
                <w:sz w:val="20"/>
                <w:shd w:val="solid" w:color="000000" w:fill="000000"/>
                <w:fitText w:val="60" w:id="-1501308405"/>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r>
      <w:tr w:rsidR="00DE6CC6" w:rsidRPr="00DE6CC6" w14:paraId="36C2929F" w14:textId="77777777" w:rsidTr="007E2C67">
        <w:trPr>
          <w:trHeight w:val="255"/>
        </w:trPr>
        <w:tc>
          <w:tcPr>
            <w:cnfStyle w:val="001000000000" w:firstRow="0" w:lastRow="0" w:firstColumn="1" w:lastColumn="0" w:oddVBand="0" w:evenVBand="0" w:oddHBand="0" w:evenHBand="0" w:firstRowFirstColumn="0" w:firstRowLastColumn="0" w:lastRowFirstColumn="0" w:lastRowLastColumn="0"/>
            <w:tcW w:w="1727" w:type="pct"/>
            <w:noWrap/>
          </w:tcPr>
          <w:p w14:paraId="7BF91D46" w14:textId="507B700F" w:rsidR="00DE6CC6" w:rsidRPr="00EE1765" w:rsidRDefault="00DE6CC6" w:rsidP="004E6DB8">
            <w:pPr>
              <w:keepNext/>
              <w:spacing w:before="40" w:after="40" w:line="256" w:lineRule="auto"/>
              <w:jc w:val="left"/>
              <w:rPr>
                <w:rFonts w:eastAsia="Calibri" w:cs="Times New Roman"/>
                <w:b/>
                <w:sz w:val="20"/>
                <w:szCs w:val="22"/>
              </w:rPr>
            </w:pPr>
            <w:r w:rsidRPr="00EE1765">
              <w:rPr>
                <w:rFonts w:eastAsia="Calibri" w:cs="Times New Roman"/>
                <w:b/>
                <w:sz w:val="20"/>
                <w:szCs w:val="22"/>
              </w:rPr>
              <w:t>Net cost to the MBS</w:t>
            </w:r>
            <w:r w:rsidR="00A101E6">
              <w:rPr>
                <w:rFonts w:eastAsia="Calibri" w:cs="Times New Roman"/>
                <w:b/>
                <w:sz w:val="20"/>
                <w:szCs w:val="22"/>
              </w:rPr>
              <w:t xml:space="preserve"> ($)</w:t>
            </w:r>
          </w:p>
        </w:tc>
        <w:tc>
          <w:tcPr>
            <w:tcW w:w="545" w:type="pct"/>
            <w:noWrap/>
            <w:vAlign w:val="top"/>
          </w:tcPr>
          <w:p w14:paraId="1EE510C0" w14:textId="53815D9A"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2"/>
                <w:highlight w:val="yellow"/>
              </w:rPr>
            </w:pPr>
            <w:r w:rsidRPr="008765E4">
              <w:rPr>
                <w:rFonts w:eastAsia="Calibri" w:cs="Times New Roman" w:hint="eastAsia"/>
                <w:b/>
                <w:w w:val="29"/>
                <w:sz w:val="20"/>
                <w:shd w:val="solid" w:color="000000" w:fill="000000"/>
                <w:fitText w:val="130" w:id="-1501308404"/>
                <w14:textFill>
                  <w14:solidFill>
                    <w14:srgbClr w14:val="000000">
                      <w14:alpha w14:val="100000"/>
                    </w14:srgbClr>
                  </w14:solidFill>
                </w14:textFill>
              </w:rPr>
              <w:t xml:space="preserve">　</w:t>
            </w:r>
            <w:r w:rsidRPr="008765E4">
              <w:rPr>
                <w:rFonts w:eastAsia="Calibri" w:cs="Times New Roman"/>
                <w:b/>
                <w:w w:val="29"/>
                <w:sz w:val="20"/>
                <w:shd w:val="solid" w:color="000000" w:fill="000000"/>
                <w:fitText w:val="130" w:id="-1501308404"/>
                <w14:textFill>
                  <w14:solidFill>
                    <w14:srgbClr w14:val="000000">
                      <w14:alpha w14:val="100000"/>
                    </w14:srgbClr>
                  </w14:solidFill>
                </w14:textFill>
              </w:rPr>
              <w:t>|</w:t>
            </w:r>
            <w:r w:rsidRPr="008765E4">
              <w:rPr>
                <w:rFonts w:eastAsia="Calibri" w:cs="Times New Roman" w:hint="eastAsia"/>
                <w:b/>
                <w:spacing w:val="1"/>
                <w:w w:val="29"/>
                <w:sz w:val="20"/>
                <w:shd w:val="solid" w:color="000000" w:fill="000000"/>
                <w:fitText w:val="130" w:id="-1501308404"/>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c>
          <w:tcPr>
            <w:tcW w:w="546" w:type="pct"/>
            <w:noWrap/>
            <w:vAlign w:val="top"/>
          </w:tcPr>
          <w:p w14:paraId="54C05537" w14:textId="1CA79072"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2"/>
                <w:highlight w:val="yellow"/>
              </w:rPr>
            </w:pPr>
            <w:r w:rsidRPr="008765E4">
              <w:rPr>
                <w:rFonts w:eastAsia="Calibri" w:cs="Times New Roman" w:hint="eastAsia"/>
                <w:b/>
                <w:w w:val="26"/>
                <w:sz w:val="20"/>
                <w:shd w:val="solid" w:color="000000" w:fill="000000"/>
                <w:fitText w:val="120" w:id="-1501308403"/>
                <w14:textFill>
                  <w14:solidFill>
                    <w14:srgbClr w14:val="000000">
                      <w14:alpha w14:val="100000"/>
                    </w14:srgbClr>
                  </w14:solidFill>
                </w14:textFill>
              </w:rPr>
              <w:t xml:space="preserve">　</w:t>
            </w:r>
            <w:r w:rsidRPr="008765E4">
              <w:rPr>
                <w:rFonts w:eastAsia="Calibri" w:cs="Times New Roman"/>
                <w:b/>
                <w:w w:val="26"/>
                <w:sz w:val="20"/>
                <w:shd w:val="solid" w:color="000000" w:fill="000000"/>
                <w:fitText w:val="120" w:id="-1501308403"/>
                <w14:textFill>
                  <w14:solidFill>
                    <w14:srgbClr w14:val="000000">
                      <w14:alpha w14:val="100000"/>
                    </w14:srgbClr>
                  </w14:solidFill>
                </w14:textFill>
              </w:rPr>
              <w:t>|</w:t>
            </w:r>
            <w:r w:rsidRPr="008765E4">
              <w:rPr>
                <w:rFonts w:eastAsia="Calibri" w:cs="Times New Roman" w:hint="eastAsia"/>
                <w:b/>
                <w:spacing w:val="4"/>
                <w:w w:val="26"/>
                <w:sz w:val="20"/>
                <w:shd w:val="solid" w:color="000000" w:fill="000000"/>
                <w:fitText w:val="120" w:id="-1501308403"/>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c>
          <w:tcPr>
            <w:tcW w:w="545" w:type="pct"/>
            <w:noWrap/>
            <w:vAlign w:val="top"/>
          </w:tcPr>
          <w:p w14:paraId="7191F30C" w14:textId="133CF165"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2"/>
                <w:highlight w:val="yellow"/>
              </w:rPr>
            </w:pPr>
            <w:r w:rsidRPr="008765E4">
              <w:rPr>
                <w:rFonts w:eastAsia="Calibri" w:cs="Times New Roman" w:hint="eastAsia"/>
                <w:b/>
                <w:w w:val="29"/>
                <w:sz w:val="20"/>
                <w:shd w:val="solid" w:color="000000" w:fill="000000"/>
                <w:fitText w:val="130" w:id="-1501308402"/>
                <w14:textFill>
                  <w14:solidFill>
                    <w14:srgbClr w14:val="000000">
                      <w14:alpha w14:val="100000"/>
                    </w14:srgbClr>
                  </w14:solidFill>
                </w14:textFill>
              </w:rPr>
              <w:t xml:space="preserve">　</w:t>
            </w:r>
            <w:r w:rsidRPr="008765E4">
              <w:rPr>
                <w:rFonts w:eastAsia="Calibri" w:cs="Times New Roman"/>
                <w:b/>
                <w:w w:val="29"/>
                <w:sz w:val="20"/>
                <w:shd w:val="solid" w:color="000000" w:fill="000000"/>
                <w:fitText w:val="130" w:id="-1501308402"/>
                <w14:textFill>
                  <w14:solidFill>
                    <w14:srgbClr w14:val="000000">
                      <w14:alpha w14:val="100000"/>
                    </w14:srgbClr>
                  </w14:solidFill>
                </w14:textFill>
              </w:rPr>
              <w:t>|</w:t>
            </w:r>
            <w:r w:rsidRPr="008765E4">
              <w:rPr>
                <w:rFonts w:eastAsia="Calibri" w:cs="Times New Roman" w:hint="eastAsia"/>
                <w:b/>
                <w:spacing w:val="1"/>
                <w:w w:val="29"/>
                <w:sz w:val="20"/>
                <w:shd w:val="solid" w:color="000000" w:fill="000000"/>
                <w:fitText w:val="130" w:id="-1501308402"/>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c>
          <w:tcPr>
            <w:tcW w:w="546" w:type="pct"/>
            <w:noWrap/>
            <w:vAlign w:val="top"/>
          </w:tcPr>
          <w:p w14:paraId="07260BEC" w14:textId="2CE7E89C"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2"/>
                <w:highlight w:val="yellow"/>
              </w:rPr>
            </w:pPr>
            <w:r w:rsidRPr="008765E4">
              <w:rPr>
                <w:rFonts w:eastAsia="Calibri" w:cs="Times New Roman" w:hint="eastAsia"/>
                <w:b/>
                <w:w w:val="26"/>
                <w:sz w:val="20"/>
                <w:shd w:val="solid" w:color="000000" w:fill="000000"/>
                <w:fitText w:val="120" w:id="-1501308401"/>
                <w14:textFill>
                  <w14:solidFill>
                    <w14:srgbClr w14:val="000000">
                      <w14:alpha w14:val="100000"/>
                    </w14:srgbClr>
                  </w14:solidFill>
                </w14:textFill>
              </w:rPr>
              <w:t xml:space="preserve">　</w:t>
            </w:r>
            <w:r w:rsidRPr="008765E4">
              <w:rPr>
                <w:rFonts w:eastAsia="Calibri" w:cs="Times New Roman"/>
                <w:b/>
                <w:w w:val="26"/>
                <w:sz w:val="20"/>
                <w:shd w:val="solid" w:color="000000" w:fill="000000"/>
                <w:fitText w:val="120" w:id="-1501308401"/>
                <w14:textFill>
                  <w14:solidFill>
                    <w14:srgbClr w14:val="000000">
                      <w14:alpha w14:val="100000"/>
                    </w14:srgbClr>
                  </w14:solidFill>
                </w14:textFill>
              </w:rPr>
              <w:t>|</w:t>
            </w:r>
            <w:r w:rsidRPr="008765E4">
              <w:rPr>
                <w:rFonts w:eastAsia="Calibri" w:cs="Times New Roman" w:hint="eastAsia"/>
                <w:b/>
                <w:spacing w:val="4"/>
                <w:w w:val="26"/>
                <w:sz w:val="20"/>
                <w:shd w:val="solid" w:color="000000" w:fill="000000"/>
                <w:fitText w:val="120" w:id="-1501308401"/>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c>
          <w:tcPr>
            <w:tcW w:w="545" w:type="pct"/>
            <w:noWrap/>
            <w:vAlign w:val="top"/>
          </w:tcPr>
          <w:p w14:paraId="59A41A40" w14:textId="4797DDA7"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2"/>
                <w:highlight w:val="yellow"/>
              </w:rPr>
            </w:pPr>
            <w:r w:rsidRPr="008765E4">
              <w:rPr>
                <w:rFonts w:eastAsia="Calibri" w:cs="Times New Roman" w:hint="eastAsia"/>
                <w:b/>
                <w:w w:val="29"/>
                <w:sz w:val="20"/>
                <w:shd w:val="solid" w:color="000000" w:fill="000000"/>
                <w:fitText w:val="130" w:id="-1501308400"/>
                <w14:textFill>
                  <w14:solidFill>
                    <w14:srgbClr w14:val="000000">
                      <w14:alpha w14:val="100000"/>
                    </w14:srgbClr>
                  </w14:solidFill>
                </w14:textFill>
              </w:rPr>
              <w:t xml:space="preserve">　</w:t>
            </w:r>
            <w:r w:rsidRPr="008765E4">
              <w:rPr>
                <w:rFonts w:eastAsia="Calibri" w:cs="Times New Roman"/>
                <w:b/>
                <w:w w:val="29"/>
                <w:sz w:val="20"/>
                <w:shd w:val="solid" w:color="000000" w:fill="000000"/>
                <w:fitText w:val="130" w:id="-1501308400"/>
                <w14:textFill>
                  <w14:solidFill>
                    <w14:srgbClr w14:val="000000">
                      <w14:alpha w14:val="100000"/>
                    </w14:srgbClr>
                  </w14:solidFill>
                </w14:textFill>
              </w:rPr>
              <w:t>|</w:t>
            </w:r>
            <w:r w:rsidRPr="008765E4">
              <w:rPr>
                <w:rFonts w:eastAsia="Calibri" w:cs="Times New Roman" w:hint="eastAsia"/>
                <w:b/>
                <w:spacing w:val="1"/>
                <w:w w:val="29"/>
                <w:sz w:val="20"/>
                <w:shd w:val="solid" w:color="000000" w:fill="000000"/>
                <w:fitText w:val="130" w:id="-1501308400"/>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c>
          <w:tcPr>
            <w:tcW w:w="546" w:type="pct"/>
            <w:noWrap/>
            <w:vAlign w:val="top"/>
          </w:tcPr>
          <w:p w14:paraId="078FE7F7" w14:textId="161E9312" w:rsidR="00DE6CC6" w:rsidRPr="008765E4" w:rsidRDefault="008765E4" w:rsidP="004E6DB8">
            <w:pPr>
              <w:keepNext/>
              <w:spacing w:before="40" w:after="40" w:line="256" w:lineRule="auto"/>
              <w:ind w:left="-115"/>
              <w:jc w:val="righ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2"/>
                <w:highlight w:val="yellow"/>
              </w:rPr>
            </w:pPr>
            <w:r w:rsidRPr="008765E4">
              <w:rPr>
                <w:rFonts w:eastAsia="Calibri" w:cs="Times New Roman" w:hint="eastAsia"/>
                <w:b/>
                <w:w w:val="26"/>
                <w:sz w:val="20"/>
                <w:shd w:val="solid" w:color="000000" w:fill="000000"/>
                <w:fitText w:val="120" w:id="-1501308416"/>
                <w14:textFill>
                  <w14:solidFill>
                    <w14:srgbClr w14:val="000000">
                      <w14:alpha w14:val="100000"/>
                    </w14:srgbClr>
                  </w14:solidFill>
                </w14:textFill>
              </w:rPr>
              <w:t xml:space="preserve">　</w:t>
            </w:r>
            <w:r w:rsidRPr="008765E4">
              <w:rPr>
                <w:rFonts w:eastAsia="Calibri" w:cs="Times New Roman"/>
                <w:b/>
                <w:w w:val="26"/>
                <w:sz w:val="20"/>
                <w:shd w:val="solid" w:color="000000" w:fill="000000"/>
                <w:fitText w:val="120" w:id="-1501308416"/>
                <w14:textFill>
                  <w14:solidFill>
                    <w14:srgbClr w14:val="000000">
                      <w14:alpha w14:val="100000"/>
                    </w14:srgbClr>
                  </w14:solidFill>
                </w14:textFill>
              </w:rPr>
              <w:t>|</w:t>
            </w:r>
            <w:r w:rsidRPr="008765E4">
              <w:rPr>
                <w:rFonts w:eastAsia="Calibri" w:cs="Times New Roman" w:hint="eastAsia"/>
                <w:b/>
                <w:spacing w:val="4"/>
                <w:w w:val="26"/>
                <w:sz w:val="20"/>
                <w:shd w:val="solid" w:color="000000" w:fill="000000"/>
                <w:fitText w:val="120" w:id="-1501308416"/>
                <w14:textFill>
                  <w14:solidFill>
                    <w14:srgbClr w14:val="000000">
                      <w14:alpha w14:val="100000"/>
                    </w14:srgbClr>
                  </w14:solidFill>
                </w14:textFill>
              </w:rPr>
              <w:t xml:space="preserve">　</w:t>
            </w:r>
            <w:r w:rsidR="00637E38" w:rsidRPr="00E1556D">
              <w:rPr>
                <w:rFonts w:eastAsia="Calibri" w:cs="Times New Roman"/>
                <w:sz w:val="20"/>
                <w:vertAlign w:val="superscript"/>
              </w:rPr>
              <w:t>2</w:t>
            </w:r>
          </w:p>
        </w:tc>
      </w:tr>
    </w:tbl>
    <w:p w14:paraId="617FB7D3" w14:textId="77777777" w:rsidR="00DE6CC6" w:rsidRPr="00DE6CC6" w:rsidRDefault="00DE6CC6" w:rsidP="004E6DB8">
      <w:pPr>
        <w:keepNext/>
        <w:widowControl w:val="0"/>
        <w:spacing w:before="40" w:after="240"/>
        <w:contextualSpacing/>
        <w:rPr>
          <w:rFonts w:ascii="Arial Narrow" w:eastAsia="Times New Roman" w:hAnsi="Arial Narrow" w:cs="Arial"/>
          <w:snapToGrid w:val="0"/>
          <w:sz w:val="18"/>
          <w:szCs w:val="20"/>
        </w:rPr>
      </w:pPr>
      <w:r w:rsidRPr="00DE6CC6">
        <w:rPr>
          <w:rFonts w:ascii="Arial Narrow" w:eastAsia="Times New Roman" w:hAnsi="Arial Narrow" w:cs="Arial"/>
          <w:snapToGrid w:val="0"/>
          <w:sz w:val="18"/>
          <w:szCs w:val="20"/>
        </w:rPr>
        <w:t>Source: Table 4.12, p204; and Table 4.15, p206 of the submission.</w:t>
      </w:r>
    </w:p>
    <w:p w14:paraId="7BBC003A" w14:textId="4AB07F70" w:rsidR="00DE6CC6" w:rsidRDefault="00DE6CC6" w:rsidP="004E6DB8">
      <w:pPr>
        <w:widowControl w:val="0"/>
        <w:spacing w:before="40" w:after="240"/>
        <w:rPr>
          <w:rFonts w:ascii="Arial Narrow" w:eastAsia="Times New Roman" w:hAnsi="Arial Narrow" w:cs="Arial"/>
          <w:snapToGrid w:val="0"/>
          <w:sz w:val="18"/>
          <w:szCs w:val="20"/>
        </w:rPr>
      </w:pPr>
      <w:r w:rsidRPr="00DE6CC6">
        <w:rPr>
          <w:rFonts w:ascii="Arial Narrow" w:eastAsia="Times New Roman" w:hAnsi="Arial Narrow" w:cs="Arial"/>
          <w:i/>
          <w:snapToGrid w:val="0"/>
          <w:sz w:val="18"/>
          <w:szCs w:val="20"/>
        </w:rPr>
        <w:t>KRAS</w:t>
      </w:r>
      <w:r w:rsidRPr="00DE6CC6">
        <w:rPr>
          <w:rFonts w:ascii="Arial Narrow" w:eastAsia="Times New Roman" w:hAnsi="Arial Narrow" w:cs="Arial"/>
          <w:snapToGrid w:val="0"/>
          <w:sz w:val="18"/>
          <w:szCs w:val="20"/>
        </w:rPr>
        <w:t xml:space="preserve"> G12C = Kirsten rat sarcoma viral oncogene homologue with a glycine-to-cysteine substitution at codon 12.</w:t>
      </w:r>
    </w:p>
    <w:p w14:paraId="3658CF88" w14:textId="77777777" w:rsidR="00637E38" w:rsidRPr="00E1556D" w:rsidRDefault="00637E38" w:rsidP="00637E38">
      <w:pPr>
        <w:widowControl w:val="0"/>
        <w:spacing w:before="0" w:after="0"/>
        <w:rPr>
          <w:rFonts w:ascii="Arial Narrow" w:eastAsia="Times New Roman" w:hAnsi="Arial Narrow" w:cs="Arial"/>
          <w:i/>
          <w:sz w:val="18"/>
          <w:szCs w:val="18"/>
          <w:lang w:eastAsia="en-AU"/>
        </w:rPr>
      </w:pPr>
      <w:r w:rsidRPr="00E1556D">
        <w:rPr>
          <w:rFonts w:ascii="Arial Narrow" w:eastAsia="Times New Roman" w:hAnsi="Arial Narrow" w:cs="Arial"/>
          <w:i/>
          <w:sz w:val="18"/>
          <w:szCs w:val="18"/>
          <w:lang w:eastAsia="en-AU"/>
        </w:rPr>
        <w:t>The redacted values correspond to the following ranges:</w:t>
      </w:r>
    </w:p>
    <w:p w14:paraId="3CC4A168" w14:textId="35E2CDA5" w:rsidR="00637E38" w:rsidRDefault="00637E38" w:rsidP="008B4E2F">
      <w:pPr>
        <w:widowControl w:val="0"/>
        <w:spacing w:before="0" w:after="0"/>
        <w:rPr>
          <w:rFonts w:ascii="Arial Narrow" w:eastAsia="Times New Roman" w:hAnsi="Arial Narrow" w:cs="Arial"/>
          <w:i/>
          <w:sz w:val="18"/>
          <w:szCs w:val="18"/>
          <w:lang w:eastAsia="en-AU"/>
        </w:rPr>
      </w:pPr>
      <w:r>
        <w:rPr>
          <w:rFonts w:ascii="Arial Narrow" w:eastAsia="Times New Roman" w:hAnsi="Arial Narrow" w:cs="Arial"/>
          <w:i/>
          <w:iCs/>
          <w:snapToGrid w:val="0"/>
          <w:sz w:val="18"/>
          <w:szCs w:val="20"/>
          <w:vertAlign w:val="superscript"/>
        </w:rPr>
        <w:t>1</w:t>
      </w:r>
      <w:r w:rsidRPr="008C0B9B">
        <w:rPr>
          <w:rFonts w:ascii="Arial Narrow" w:eastAsia="Times New Roman" w:hAnsi="Arial Narrow" w:cs="Arial"/>
          <w:i/>
          <w:sz w:val="18"/>
          <w:szCs w:val="18"/>
          <w:lang w:eastAsia="en-AU"/>
        </w:rPr>
        <w:t>500 to &lt; 5,000</w:t>
      </w:r>
    </w:p>
    <w:p w14:paraId="58F7F088" w14:textId="758D246C" w:rsidR="00637E38" w:rsidRPr="008765E4" w:rsidRDefault="00637E38" w:rsidP="008765E4">
      <w:pPr>
        <w:widowControl w:val="0"/>
        <w:spacing w:before="0" w:after="24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2</w:t>
      </w:r>
      <w:r w:rsidRPr="008C0B9B">
        <w:rPr>
          <w:rFonts w:ascii="Arial Narrow" w:eastAsia="Times New Roman" w:hAnsi="Arial Narrow" w:cs="Arial"/>
          <w:i/>
          <w:sz w:val="18"/>
          <w:szCs w:val="18"/>
          <w:lang w:eastAsia="en-AU"/>
        </w:rPr>
        <w:t>$0 to &lt; $</w:t>
      </w:r>
      <w:r>
        <w:rPr>
          <w:rFonts w:ascii="Arial Narrow" w:eastAsia="Times New Roman" w:hAnsi="Arial Narrow" w:cs="Arial"/>
          <w:i/>
          <w:sz w:val="18"/>
          <w:szCs w:val="18"/>
          <w:lang w:eastAsia="en-AU"/>
        </w:rPr>
        <w:t>1</w:t>
      </w:r>
      <w:r w:rsidRPr="008C0B9B">
        <w:rPr>
          <w:rFonts w:ascii="Arial Narrow" w:eastAsia="Times New Roman" w:hAnsi="Arial Narrow" w:cs="Arial"/>
          <w:i/>
          <w:sz w:val="18"/>
          <w:szCs w:val="18"/>
          <w:lang w:eastAsia="en-AU"/>
        </w:rPr>
        <w:t>0 million</w:t>
      </w:r>
    </w:p>
    <w:p w14:paraId="3BEE8F34" w14:textId="49F8946F" w:rsidR="00971C39" w:rsidRDefault="00DE6CC6" w:rsidP="00971C39">
      <w:pPr>
        <w:spacing w:before="0" w:after="240"/>
        <w:jc w:val="left"/>
        <w:rPr>
          <w:rFonts w:ascii="Times New Roman" w:eastAsia="Calibri" w:hAnsi="Times New Roman" w:cs="Times New Roman"/>
          <w:iCs/>
        </w:rPr>
      </w:pPr>
      <w:r w:rsidRPr="00DE6CC6">
        <w:rPr>
          <w:rFonts w:ascii="Times New Roman" w:eastAsia="Calibri" w:hAnsi="Times New Roman" w:cs="Times New Roman"/>
          <w:iCs/>
        </w:rPr>
        <w:t xml:space="preserve">The commentary considered that the net cost to the MBS is likely to be an underestimate as the reduction in docetaxel use (and therefore, the use of associated chemotherapy administration) may have been overestimated. Further, </w:t>
      </w:r>
      <w:r w:rsidRPr="00DE6CC6">
        <w:rPr>
          <w:rFonts w:ascii="Times New Roman" w:eastAsia="Calibri" w:hAnsi="Times New Roman" w:cs="Times New Roman"/>
          <w:i/>
        </w:rPr>
        <w:t xml:space="preserve">KRAS </w:t>
      </w:r>
      <w:r w:rsidRPr="00DE6CC6">
        <w:rPr>
          <w:rFonts w:ascii="Times New Roman" w:eastAsia="Calibri" w:hAnsi="Times New Roman" w:cs="Times New Roman"/>
          <w:iCs/>
        </w:rPr>
        <w:t xml:space="preserve">variant testing may be associated with additional utilisation relative to current pathogenic </w:t>
      </w:r>
      <w:r w:rsidRPr="00DE6CC6">
        <w:rPr>
          <w:rFonts w:ascii="Times New Roman" w:eastAsia="Calibri" w:hAnsi="Times New Roman" w:cs="Times New Roman"/>
          <w:i/>
        </w:rPr>
        <w:t>EGFR</w:t>
      </w:r>
      <w:r w:rsidRPr="00DE6CC6">
        <w:rPr>
          <w:rFonts w:ascii="Times New Roman" w:eastAsia="Calibri" w:hAnsi="Times New Roman" w:cs="Times New Roman"/>
          <w:iCs/>
        </w:rPr>
        <w:t xml:space="preserve"> variant testing as some small pathology providers may still be using single-gene testing.</w:t>
      </w:r>
      <w:r w:rsidRPr="00DE6CC6" w:rsidDel="00D874F0">
        <w:rPr>
          <w:rFonts w:ascii="Times New Roman" w:eastAsia="Calibri" w:hAnsi="Times New Roman" w:cs="Times New Roman"/>
          <w:iCs/>
        </w:rPr>
        <w:t xml:space="preserve"> </w:t>
      </w:r>
      <w:r w:rsidRPr="00DE6CC6">
        <w:rPr>
          <w:rFonts w:ascii="Times New Roman" w:eastAsia="Calibri" w:hAnsi="Times New Roman" w:cs="Times New Roman"/>
          <w:iCs/>
        </w:rPr>
        <w:t>However, the conclusion of cost savings was not observed to change in sensitivity analyses.</w:t>
      </w:r>
      <w:r w:rsidR="00971C39">
        <w:rPr>
          <w:rFonts w:ascii="Times New Roman" w:eastAsia="Calibri" w:hAnsi="Times New Roman" w:cs="Times New Roman"/>
          <w:iCs/>
        </w:rPr>
        <w:br w:type="page"/>
      </w:r>
    </w:p>
    <w:p w14:paraId="5473756D" w14:textId="77777777" w:rsidR="00181DB4" w:rsidRPr="00350416" w:rsidRDefault="00181DB4" w:rsidP="00350416">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350416">
        <w:rPr>
          <w:rFonts w:ascii="Arial" w:eastAsia="Times New Roman" w:hAnsi="Arial" w:cs="Arial"/>
          <w:b/>
          <w:bCs/>
          <w:szCs w:val="28"/>
          <w:lang w:eastAsia="en-AU"/>
        </w:rPr>
        <w:lastRenderedPageBreak/>
        <w:t>Key issues from ESCs to MSAC</w:t>
      </w:r>
    </w:p>
    <w:tbl>
      <w:tblPr>
        <w:tblStyle w:val="PBACtable1"/>
        <w:tblW w:w="0" w:type="auto"/>
        <w:tblLook w:val="04A0" w:firstRow="1" w:lastRow="0" w:firstColumn="1" w:lastColumn="0" w:noHBand="0" w:noVBand="1"/>
      </w:tblPr>
      <w:tblGrid>
        <w:gridCol w:w="1844"/>
        <w:gridCol w:w="7172"/>
      </w:tblGrid>
      <w:tr w:rsidR="00181DB4" w:rsidRPr="00DC4181" w14:paraId="4852B112" w14:textId="77777777" w:rsidTr="00350416">
        <w:trPr>
          <w:cantSplit/>
        </w:trPr>
        <w:tc>
          <w:tcPr>
            <w:tcW w:w="1844" w:type="dxa"/>
          </w:tcPr>
          <w:p w14:paraId="22ADB3DC" w14:textId="77777777" w:rsidR="00181DB4" w:rsidRPr="00DC4181" w:rsidRDefault="00181DB4" w:rsidP="00EE72A6">
            <w:pPr>
              <w:spacing w:before="40" w:after="40"/>
              <w:ind w:left="1134" w:hanging="1134"/>
              <w:rPr>
                <w:rFonts w:ascii="Times New Roman" w:eastAsia="Times New Roman" w:hAnsi="Times New Roman" w:cs="Times New Roman"/>
                <w:b/>
                <w:noProof/>
                <w:szCs w:val="24"/>
                <w:lang w:eastAsia="en-AU"/>
              </w:rPr>
            </w:pPr>
            <w:r w:rsidRPr="00DC4181">
              <w:rPr>
                <w:rFonts w:ascii="Times New Roman" w:eastAsia="Times New Roman" w:hAnsi="Times New Roman" w:cs="Times New Roman"/>
                <w:b/>
                <w:noProof/>
                <w:szCs w:val="24"/>
                <w:lang w:eastAsia="en-AU"/>
              </w:rPr>
              <w:t>ESCs key issue</w:t>
            </w:r>
          </w:p>
        </w:tc>
        <w:tc>
          <w:tcPr>
            <w:tcW w:w="7172" w:type="dxa"/>
          </w:tcPr>
          <w:p w14:paraId="7CD9BDC9" w14:textId="77777777" w:rsidR="00181DB4" w:rsidRPr="00DC4181" w:rsidRDefault="00181DB4" w:rsidP="00EE72A6">
            <w:pPr>
              <w:spacing w:before="40" w:after="40"/>
              <w:ind w:left="1134" w:hanging="1134"/>
              <w:rPr>
                <w:rFonts w:ascii="Times New Roman" w:eastAsia="Times New Roman" w:hAnsi="Times New Roman" w:cs="Times New Roman"/>
                <w:b/>
                <w:noProof/>
                <w:szCs w:val="24"/>
                <w:lang w:eastAsia="en-AU"/>
              </w:rPr>
            </w:pPr>
            <w:r w:rsidRPr="00DC4181">
              <w:rPr>
                <w:rFonts w:ascii="Times New Roman" w:eastAsia="Times New Roman" w:hAnsi="Times New Roman" w:cs="Times New Roman"/>
                <w:b/>
                <w:noProof/>
                <w:szCs w:val="24"/>
                <w:lang w:eastAsia="en-AU"/>
              </w:rPr>
              <w:t>ESCs advice to MSAC</w:t>
            </w:r>
          </w:p>
        </w:tc>
      </w:tr>
      <w:tr w:rsidR="00181DB4" w:rsidRPr="00DC4181" w14:paraId="00A2B1D8" w14:textId="77777777" w:rsidTr="00350416">
        <w:trPr>
          <w:cantSplit/>
        </w:trPr>
        <w:tc>
          <w:tcPr>
            <w:tcW w:w="1844" w:type="dxa"/>
          </w:tcPr>
          <w:p w14:paraId="275FCC7E" w14:textId="77777777" w:rsidR="00181DB4" w:rsidRPr="00DC4181" w:rsidRDefault="00181DB4" w:rsidP="00EE72A6">
            <w:pPr>
              <w:spacing w:before="40" w:after="40"/>
              <w:jc w:val="left"/>
              <w:rPr>
                <w:rFonts w:ascii="Times New Roman" w:eastAsia="Times New Roman" w:hAnsi="Times New Roman" w:cs="Times New Roman"/>
                <w:bCs/>
                <w:noProof/>
                <w:szCs w:val="24"/>
                <w:lang w:eastAsia="en-AU"/>
              </w:rPr>
            </w:pPr>
            <w:r w:rsidRPr="00DC4181">
              <w:rPr>
                <w:rFonts w:ascii="Times New Roman" w:eastAsia="Times New Roman" w:hAnsi="Times New Roman" w:cs="Times New Roman"/>
                <w:bCs/>
                <w:noProof/>
                <w:szCs w:val="24"/>
                <w:lang w:eastAsia="en-AU"/>
              </w:rPr>
              <w:t>Concordance with the clinical utility standard</w:t>
            </w:r>
          </w:p>
        </w:tc>
        <w:tc>
          <w:tcPr>
            <w:tcW w:w="7172" w:type="dxa"/>
          </w:tcPr>
          <w:p w14:paraId="2134C628" w14:textId="77777777" w:rsidR="00181DB4" w:rsidRPr="00DC4181" w:rsidRDefault="00181DB4" w:rsidP="00EE72A6">
            <w:pPr>
              <w:spacing w:before="40" w:after="40"/>
              <w:jc w:val="left"/>
              <w:rPr>
                <w:rFonts w:ascii="Times New Roman" w:eastAsia="Times New Roman" w:hAnsi="Times New Roman" w:cs="Times New Roman"/>
                <w:bCs/>
                <w:noProof/>
                <w:szCs w:val="24"/>
                <w:lang w:eastAsia="en-AU"/>
              </w:rPr>
            </w:pPr>
            <w:r w:rsidRPr="00DC4181">
              <w:rPr>
                <w:rFonts w:ascii="Times New Roman" w:eastAsia="Times New Roman" w:hAnsi="Times New Roman" w:cs="Times New Roman"/>
                <w:bCs/>
                <w:noProof/>
                <w:szCs w:val="24"/>
                <w:lang w:eastAsia="en-AU"/>
              </w:rPr>
              <w:t>The ESCs noted there was high concordance of next generation sequencing (the most commonly used technique in Australia) with the test used in the Codebreak 100 study (</w:t>
            </w:r>
            <w:r w:rsidRPr="00DC4181">
              <w:rPr>
                <w:rFonts w:ascii="Times New Roman" w:eastAsia="Times New Roman" w:hAnsi="Times New Roman" w:cs="Times New Roman"/>
                <w:bCs/>
                <w:i/>
                <w:noProof/>
                <w:szCs w:val="24"/>
                <w:lang w:eastAsia="en-AU"/>
              </w:rPr>
              <w:t>therascreen</w:t>
            </w:r>
            <w:r w:rsidRPr="00DC4181">
              <w:rPr>
                <w:rFonts w:ascii="Times New Roman" w:eastAsia="Times New Roman" w:hAnsi="Times New Roman" w:cs="Times New Roman"/>
                <w:bCs/>
                <w:noProof/>
                <w:szCs w:val="24"/>
                <w:lang w:eastAsia="en-AU"/>
              </w:rPr>
              <w:t xml:space="preserve"> </w:t>
            </w:r>
            <w:r w:rsidRPr="00DC4181">
              <w:rPr>
                <w:rFonts w:ascii="Times New Roman" w:eastAsia="Times New Roman" w:hAnsi="Times New Roman" w:cs="Times New Roman"/>
                <w:bCs/>
                <w:i/>
                <w:noProof/>
                <w:szCs w:val="24"/>
                <w:lang w:eastAsia="en-AU"/>
              </w:rPr>
              <w:t>KRAS</w:t>
            </w:r>
            <w:r w:rsidRPr="00DC4181">
              <w:rPr>
                <w:rFonts w:ascii="Times New Roman" w:eastAsia="Times New Roman" w:hAnsi="Times New Roman" w:cs="Times New Roman"/>
                <w:bCs/>
                <w:noProof/>
                <w:szCs w:val="24"/>
                <w:lang w:eastAsia="en-AU"/>
              </w:rPr>
              <w:t xml:space="preserve"> polymerase chain reaction [PCR] kit) for the detection of pathogenic </w:t>
            </w:r>
            <w:r w:rsidRPr="00DC4181">
              <w:rPr>
                <w:rFonts w:ascii="Times New Roman" w:eastAsia="Times New Roman" w:hAnsi="Times New Roman" w:cs="Times New Roman"/>
                <w:bCs/>
                <w:i/>
                <w:noProof/>
                <w:szCs w:val="24"/>
                <w:lang w:eastAsia="en-AU"/>
              </w:rPr>
              <w:t>KRAS</w:t>
            </w:r>
            <w:r w:rsidRPr="00DC4181">
              <w:rPr>
                <w:rFonts w:ascii="Times New Roman" w:eastAsia="Times New Roman" w:hAnsi="Times New Roman" w:cs="Times New Roman"/>
                <w:bCs/>
                <w:noProof/>
                <w:szCs w:val="24"/>
                <w:lang w:eastAsia="en-AU"/>
              </w:rPr>
              <w:t>, but the evidence was limited to a single study with small patient numbers.</w:t>
            </w:r>
          </w:p>
        </w:tc>
      </w:tr>
      <w:tr w:rsidR="00181DB4" w:rsidRPr="00DC4181" w14:paraId="70F48782" w14:textId="77777777" w:rsidTr="00350416">
        <w:trPr>
          <w:cantSplit/>
        </w:trPr>
        <w:tc>
          <w:tcPr>
            <w:tcW w:w="1844" w:type="dxa"/>
          </w:tcPr>
          <w:p w14:paraId="7C8D5F9E" w14:textId="77777777" w:rsidR="00181DB4" w:rsidRPr="00DC4181" w:rsidRDefault="00181DB4" w:rsidP="00EE72A6">
            <w:pPr>
              <w:spacing w:before="40" w:after="40"/>
              <w:jc w:val="left"/>
              <w:rPr>
                <w:rFonts w:ascii="Times New Roman" w:eastAsia="Times New Roman" w:hAnsi="Times New Roman" w:cs="Times New Roman"/>
                <w:bCs/>
                <w:noProof/>
                <w:szCs w:val="24"/>
                <w:lang w:eastAsia="en-AU"/>
              </w:rPr>
            </w:pPr>
            <w:r w:rsidRPr="00DC4181">
              <w:rPr>
                <w:rFonts w:ascii="Times New Roman" w:eastAsia="Times New Roman" w:hAnsi="Times New Roman" w:cs="Times New Roman"/>
                <w:bCs/>
                <w:noProof/>
                <w:szCs w:val="24"/>
                <w:lang w:eastAsia="en-AU"/>
              </w:rPr>
              <w:t>Prognostic value</w:t>
            </w:r>
          </w:p>
        </w:tc>
        <w:tc>
          <w:tcPr>
            <w:tcW w:w="7172" w:type="dxa"/>
          </w:tcPr>
          <w:p w14:paraId="569A1A6C" w14:textId="77777777" w:rsidR="00181DB4" w:rsidRPr="00DC4181" w:rsidRDefault="00181DB4" w:rsidP="00EE72A6">
            <w:pPr>
              <w:spacing w:before="40" w:after="40"/>
              <w:jc w:val="left"/>
              <w:rPr>
                <w:rFonts w:ascii="Times New Roman" w:eastAsia="Times New Roman" w:hAnsi="Times New Roman" w:cs="Times New Roman"/>
                <w:bCs/>
                <w:noProof/>
                <w:szCs w:val="24"/>
                <w:lang w:eastAsia="en-AU"/>
              </w:rPr>
            </w:pPr>
            <w:r w:rsidRPr="00DC4181">
              <w:rPr>
                <w:rFonts w:ascii="Times New Roman" w:eastAsia="Times New Roman" w:hAnsi="Times New Roman" w:cs="Times New Roman"/>
                <w:bCs/>
                <w:noProof/>
                <w:szCs w:val="24"/>
                <w:lang w:eastAsia="en-AU"/>
              </w:rPr>
              <w:t xml:space="preserve">The ESCs considered that most studies assessing the prognostic value of </w:t>
            </w:r>
            <w:r w:rsidRPr="00DC4181">
              <w:rPr>
                <w:rFonts w:ascii="Times New Roman" w:eastAsia="Times New Roman" w:hAnsi="Times New Roman" w:cs="Times New Roman"/>
                <w:bCs/>
                <w:i/>
                <w:noProof/>
                <w:szCs w:val="24"/>
                <w:lang w:eastAsia="en-AU"/>
              </w:rPr>
              <w:t xml:space="preserve">KRAS </w:t>
            </w:r>
            <w:r w:rsidRPr="00DC4181">
              <w:rPr>
                <w:rFonts w:ascii="Times New Roman" w:eastAsia="Times New Roman" w:hAnsi="Times New Roman" w:cs="Times New Roman"/>
                <w:bCs/>
                <w:noProof/>
                <w:szCs w:val="24"/>
                <w:lang w:eastAsia="en-AU"/>
              </w:rPr>
              <w:t xml:space="preserve">G12C compared with </w:t>
            </w:r>
            <w:r w:rsidRPr="00DC4181">
              <w:rPr>
                <w:rFonts w:ascii="Times New Roman" w:eastAsia="Times New Roman" w:hAnsi="Times New Roman" w:cs="Times New Roman"/>
                <w:bCs/>
                <w:i/>
                <w:noProof/>
                <w:szCs w:val="24"/>
                <w:lang w:eastAsia="en-AU"/>
              </w:rPr>
              <w:t>KRAS</w:t>
            </w:r>
            <w:r w:rsidRPr="00DC4181">
              <w:rPr>
                <w:rFonts w:ascii="Times New Roman" w:eastAsia="Times New Roman" w:hAnsi="Times New Roman" w:cs="Times New Roman"/>
                <w:bCs/>
                <w:noProof/>
                <w:szCs w:val="24"/>
                <w:lang w:eastAsia="en-AU"/>
              </w:rPr>
              <w:t xml:space="preserve"> wild type or other </w:t>
            </w:r>
            <w:r w:rsidRPr="00DC4181">
              <w:rPr>
                <w:rFonts w:ascii="Times New Roman" w:eastAsia="Times New Roman" w:hAnsi="Times New Roman" w:cs="Times New Roman"/>
                <w:bCs/>
                <w:i/>
                <w:noProof/>
                <w:szCs w:val="24"/>
                <w:lang w:eastAsia="en-AU"/>
              </w:rPr>
              <w:t xml:space="preserve">KRAS </w:t>
            </w:r>
            <w:r w:rsidRPr="00DC4181">
              <w:rPr>
                <w:rFonts w:ascii="Times New Roman" w:eastAsia="Times New Roman" w:hAnsi="Times New Roman" w:cs="Times New Roman"/>
                <w:bCs/>
                <w:noProof/>
                <w:szCs w:val="24"/>
                <w:lang w:eastAsia="en-AU"/>
              </w:rPr>
              <w:t xml:space="preserve">variants were of low risk of bias and showed no significant differences </w:t>
            </w:r>
            <w:r>
              <w:rPr>
                <w:rFonts w:ascii="Times New Roman" w:eastAsia="Times New Roman" w:hAnsi="Times New Roman" w:cs="Times New Roman"/>
                <w:bCs/>
                <w:noProof/>
                <w:szCs w:val="24"/>
                <w:lang w:eastAsia="en-AU"/>
              </w:rPr>
              <w:t>in</w:t>
            </w:r>
            <w:r w:rsidRPr="00DC4181">
              <w:rPr>
                <w:rFonts w:ascii="Times New Roman" w:eastAsia="Times New Roman" w:hAnsi="Times New Roman" w:cs="Times New Roman"/>
                <w:bCs/>
                <w:noProof/>
                <w:szCs w:val="24"/>
                <w:lang w:eastAsia="en-AU"/>
              </w:rPr>
              <w:t xml:space="preserve"> progression-free or overall survival.</w:t>
            </w:r>
          </w:p>
        </w:tc>
      </w:tr>
      <w:tr w:rsidR="00181DB4" w:rsidRPr="00DC4181" w14:paraId="033F7CB6" w14:textId="77777777" w:rsidTr="00350416">
        <w:trPr>
          <w:cantSplit/>
        </w:trPr>
        <w:tc>
          <w:tcPr>
            <w:tcW w:w="1844" w:type="dxa"/>
          </w:tcPr>
          <w:p w14:paraId="6FFF841A" w14:textId="77777777" w:rsidR="00181DB4" w:rsidRPr="00DC4181" w:rsidRDefault="00181DB4" w:rsidP="00EE72A6">
            <w:pPr>
              <w:spacing w:before="40" w:after="40"/>
              <w:jc w:val="left"/>
              <w:rPr>
                <w:rFonts w:ascii="Times New Roman" w:eastAsia="Times New Roman" w:hAnsi="Times New Roman" w:cs="Times New Roman"/>
                <w:bCs/>
                <w:noProof/>
                <w:szCs w:val="24"/>
                <w:lang w:eastAsia="en-AU"/>
              </w:rPr>
            </w:pPr>
            <w:r w:rsidRPr="00DC4181">
              <w:rPr>
                <w:rFonts w:ascii="Times New Roman" w:eastAsia="Times New Roman" w:hAnsi="Times New Roman" w:cs="Times New Roman"/>
                <w:bCs/>
                <w:noProof/>
                <w:szCs w:val="24"/>
                <w:lang w:eastAsia="en-AU"/>
              </w:rPr>
              <w:t>Codependency</w:t>
            </w:r>
          </w:p>
        </w:tc>
        <w:tc>
          <w:tcPr>
            <w:tcW w:w="7172" w:type="dxa"/>
          </w:tcPr>
          <w:p w14:paraId="387BDFA5" w14:textId="77777777" w:rsidR="00181DB4" w:rsidRPr="00DC4181" w:rsidRDefault="00181DB4" w:rsidP="00EE72A6">
            <w:pPr>
              <w:spacing w:before="40" w:after="40"/>
              <w:jc w:val="left"/>
              <w:rPr>
                <w:rFonts w:ascii="Times New Roman" w:eastAsia="Times New Roman" w:hAnsi="Times New Roman" w:cs="Times New Roman"/>
                <w:bCs/>
                <w:noProof/>
                <w:szCs w:val="24"/>
                <w:lang w:eastAsia="en-AU"/>
              </w:rPr>
            </w:pPr>
            <w:r w:rsidRPr="00DC4181">
              <w:rPr>
                <w:rFonts w:ascii="Times New Roman" w:eastAsia="Times New Roman" w:hAnsi="Times New Roman" w:cs="Times New Roman"/>
                <w:bCs/>
                <w:noProof/>
                <w:szCs w:val="24"/>
                <w:lang w:eastAsia="en-AU"/>
              </w:rPr>
              <w:t>The claim of codependence relies on biological plausibility rather than direct evidence.</w:t>
            </w:r>
          </w:p>
        </w:tc>
      </w:tr>
    </w:tbl>
    <w:p w14:paraId="5493A5F5" w14:textId="77777777" w:rsidR="00181DB4" w:rsidRPr="00DE6CC6" w:rsidRDefault="00181DB4" w:rsidP="0097544E">
      <w:pPr>
        <w:tabs>
          <w:tab w:val="left" w:pos="2265"/>
          <w:tab w:val="left" w:pos="3420"/>
          <w:tab w:val="left" w:pos="4320"/>
        </w:tabs>
        <w:spacing w:before="240" w:after="240"/>
        <w:jc w:val="left"/>
        <w:rPr>
          <w:rFonts w:ascii="Times New Roman" w:eastAsia="Times New Roman" w:hAnsi="Times New Roman" w:cs="Times New Roman"/>
          <w:b/>
          <w:bCs/>
          <w:szCs w:val="20"/>
          <w:lang w:eastAsia="en-AU"/>
        </w:rPr>
      </w:pPr>
      <w:r w:rsidRPr="00DE6CC6">
        <w:rPr>
          <w:rFonts w:ascii="Times New Roman" w:eastAsia="Times New Roman" w:hAnsi="Times New Roman" w:cs="Times New Roman"/>
          <w:b/>
          <w:bCs/>
          <w:szCs w:val="20"/>
          <w:lang w:eastAsia="en-AU"/>
        </w:rPr>
        <w:t>ESCs discussion</w:t>
      </w:r>
    </w:p>
    <w:p w14:paraId="5AB693DD" w14:textId="77777777" w:rsidR="00181DB4" w:rsidRPr="00DE6CC6" w:rsidRDefault="00181DB4" w:rsidP="0097544E">
      <w:pPr>
        <w:tabs>
          <w:tab w:val="left" w:pos="2265"/>
          <w:tab w:val="left" w:pos="3420"/>
          <w:tab w:val="left" w:pos="4320"/>
        </w:tabs>
        <w:spacing w:before="240" w:after="0"/>
        <w:jc w:val="left"/>
        <w:rPr>
          <w:rFonts w:ascii="Times New Roman" w:eastAsia="Times New Roman" w:hAnsi="Times New Roman" w:cs="Times New Roman"/>
          <w:bCs/>
          <w:szCs w:val="20"/>
          <w:lang w:eastAsia="en-AU"/>
        </w:rPr>
      </w:pPr>
      <w:r w:rsidRPr="00DE6CC6">
        <w:rPr>
          <w:rFonts w:ascii="Times New Roman" w:eastAsia="Times New Roman" w:hAnsi="Times New Roman" w:cs="Times New Roman"/>
          <w:bCs/>
          <w:szCs w:val="20"/>
          <w:lang w:eastAsia="en-AU"/>
        </w:rPr>
        <w:t xml:space="preserve">The ESCs noted that the submission sought to include testing for the </w:t>
      </w:r>
      <w:r w:rsidRPr="00DE6CC6">
        <w:rPr>
          <w:rFonts w:ascii="Times New Roman" w:eastAsia="Times New Roman" w:hAnsi="Times New Roman" w:cs="Times New Roman"/>
          <w:szCs w:val="24"/>
          <w:lang w:eastAsia="en-AU"/>
        </w:rPr>
        <w:t>Kirsten rat sarcoma</w:t>
      </w:r>
      <w:r w:rsidRPr="00DE6CC6">
        <w:rPr>
          <w:rFonts w:ascii="Calibri" w:eastAsia="Times New Roman" w:hAnsi="Calibri" w:cs="Times New Roman"/>
          <w:szCs w:val="20"/>
          <w:lang w:eastAsia="en-AU"/>
        </w:rPr>
        <w:t xml:space="preserve"> </w:t>
      </w:r>
      <w:r w:rsidRPr="00DE6CC6">
        <w:rPr>
          <w:rFonts w:ascii="Times New Roman" w:eastAsia="Times New Roman" w:hAnsi="Times New Roman" w:cs="Times New Roman"/>
          <w:szCs w:val="20"/>
          <w:lang w:eastAsia="en-AU"/>
        </w:rPr>
        <w:t>viral oncogene (</w:t>
      </w:r>
      <w:r w:rsidRPr="00DE6CC6">
        <w:rPr>
          <w:rFonts w:ascii="Times New Roman" w:eastAsia="Times New Roman" w:hAnsi="Times New Roman" w:cs="Times New Roman"/>
          <w:i/>
          <w:szCs w:val="20"/>
          <w:lang w:eastAsia="en-AU"/>
        </w:rPr>
        <w:t>KRAS</w:t>
      </w:r>
      <w:r w:rsidRPr="00DE6CC6">
        <w:rPr>
          <w:rFonts w:ascii="Times New Roman" w:eastAsia="Times New Roman" w:hAnsi="Times New Roman" w:cs="Times New Roman"/>
          <w:iCs/>
          <w:szCs w:val="20"/>
          <w:lang w:eastAsia="en-AU"/>
        </w:rPr>
        <w:t>)</w:t>
      </w:r>
      <w:r w:rsidRPr="00DE6CC6">
        <w:rPr>
          <w:rFonts w:ascii="Times New Roman" w:eastAsia="Times New Roman" w:hAnsi="Times New Roman" w:cs="Times New Roman"/>
          <w:szCs w:val="20"/>
          <w:lang w:eastAsia="en-AU"/>
        </w:rPr>
        <w:t xml:space="preserve"> G12C variant into the existing MBS item 73337 (epidermal growth factor receptor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testing in patients with non-squamous or not otherwise specified </w:t>
      </w:r>
      <w:r>
        <w:rPr>
          <w:rFonts w:ascii="Times New Roman" w:eastAsia="Times New Roman" w:hAnsi="Times New Roman" w:cs="Times New Roman"/>
          <w:szCs w:val="20"/>
          <w:lang w:eastAsia="en-AU"/>
        </w:rPr>
        <w:t>[</w:t>
      </w:r>
      <w:r w:rsidRPr="00DE6CC6">
        <w:rPr>
          <w:rFonts w:ascii="Times New Roman" w:eastAsia="Times New Roman" w:hAnsi="Times New Roman" w:cs="Times New Roman"/>
          <w:szCs w:val="20"/>
          <w:lang w:eastAsia="en-AU"/>
        </w:rPr>
        <w:t>NOS</w:t>
      </w:r>
      <w:r>
        <w:rPr>
          <w:rFonts w:ascii="Times New Roman" w:eastAsia="Times New Roman" w:hAnsi="Times New Roman" w:cs="Times New Roman"/>
          <w:szCs w:val="20"/>
          <w:lang w:eastAsia="en-AU"/>
        </w:rPr>
        <w:t>]</w:t>
      </w:r>
      <w:r w:rsidRPr="00DE6CC6">
        <w:rPr>
          <w:rFonts w:ascii="Times New Roman" w:eastAsia="Times New Roman" w:hAnsi="Times New Roman" w:cs="Times New Roman"/>
          <w:szCs w:val="20"/>
          <w:lang w:eastAsia="en-AU"/>
        </w:rPr>
        <w:t xml:space="preserve"> non-small cell lung cancer [NSCLC]), to determine eligibility for treatment with </w:t>
      </w:r>
      <w:proofErr w:type="spellStart"/>
      <w:r w:rsidRPr="00DE6CC6">
        <w:rPr>
          <w:rFonts w:ascii="Times New Roman" w:eastAsia="Times New Roman" w:hAnsi="Times New Roman" w:cs="Times New Roman"/>
          <w:szCs w:val="20"/>
          <w:lang w:eastAsia="en-AU"/>
        </w:rPr>
        <w:t>sotorasib</w:t>
      </w:r>
      <w:proofErr w:type="spellEnd"/>
      <w:r w:rsidRPr="00DE6CC6">
        <w:rPr>
          <w:rFonts w:ascii="Times New Roman" w:eastAsia="Times New Roman" w:hAnsi="Times New Roman" w:cs="Times New Roman"/>
          <w:szCs w:val="20"/>
          <w:lang w:eastAsia="en-AU"/>
        </w:rPr>
        <w:t xml:space="preserve"> for the treatment of advanced (stage IIIB/IV) NSCLC. The ESCs noted that no change in the existing MBS fee was proposed as laboratories surveyed by the applicant indicated the current fee covers the cost of panel testing by next generation sequencing (NGS) </w:t>
      </w:r>
      <w:r>
        <w:rPr>
          <w:rFonts w:ascii="Times New Roman" w:eastAsia="Times New Roman" w:hAnsi="Times New Roman" w:cs="Times New Roman"/>
          <w:szCs w:val="20"/>
          <w:lang w:eastAsia="en-AU"/>
        </w:rPr>
        <w:t xml:space="preserve">as </w:t>
      </w:r>
      <w:r w:rsidRPr="00DE6CC6">
        <w:rPr>
          <w:rFonts w:ascii="Times New Roman" w:eastAsia="Times New Roman" w:hAnsi="Times New Roman" w:cs="Times New Roman"/>
          <w:szCs w:val="20"/>
          <w:lang w:eastAsia="en-AU"/>
        </w:rPr>
        <w:t xml:space="preserve">the </w:t>
      </w:r>
      <w:proofErr w:type="gramStart"/>
      <w:r w:rsidRPr="00DE6CC6">
        <w:rPr>
          <w:rFonts w:ascii="Times New Roman" w:eastAsia="Times New Roman" w:hAnsi="Times New Roman" w:cs="Times New Roman"/>
          <w:szCs w:val="20"/>
          <w:lang w:eastAsia="en-AU"/>
        </w:rPr>
        <w:t>most commonly used</w:t>
      </w:r>
      <w:proofErr w:type="gramEnd"/>
      <w:r w:rsidRPr="00DE6CC6">
        <w:rPr>
          <w:rFonts w:ascii="Times New Roman" w:eastAsia="Times New Roman" w:hAnsi="Times New Roman" w:cs="Times New Roman"/>
          <w:szCs w:val="20"/>
          <w:lang w:eastAsia="en-AU"/>
        </w:rPr>
        <w:t xml:space="preserve"> technique in Australia.</w:t>
      </w:r>
      <w:r>
        <w:rPr>
          <w:rFonts w:ascii="Times New Roman" w:eastAsia="Times New Roman" w:hAnsi="Times New Roman" w:cs="Times New Roman"/>
          <w:szCs w:val="20"/>
          <w:lang w:eastAsia="en-AU"/>
        </w:rPr>
        <w:t xml:space="preserve"> The ESCs considered that the ability for laboratories to absorb the costs of adding </w:t>
      </w:r>
      <w:r w:rsidRPr="006254AE">
        <w:rPr>
          <w:rFonts w:ascii="Times New Roman" w:eastAsia="Times New Roman" w:hAnsi="Times New Roman" w:cs="Times New Roman"/>
          <w:i/>
          <w:iCs/>
          <w:szCs w:val="20"/>
          <w:lang w:eastAsia="en-AU"/>
        </w:rPr>
        <w:t>KRAS</w:t>
      </w:r>
      <w:r>
        <w:rPr>
          <w:rFonts w:ascii="Times New Roman" w:eastAsia="Times New Roman" w:hAnsi="Times New Roman" w:cs="Times New Roman"/>
          <w:szCs w:val="20"/>
          <w:lang w:eastAsia="en-AU"/>
        </w:rPr>
        <w:t xml:space="preserve"> testing within the current fee for the </w:t>
      </w:r>
      <w:r w:rsidRPr="006254AE">
        <w:rPr>
          <w:rFonts w:ascii="Times New Roman" w:eastAsia="Times New Roman" w:hAnsi="Times New Roman" w:cs="Times New Roman"/>
          <w:i/>
          <w:iCs/>
          <w:szCs w:val="20"/>
          <w:lang w:eastAsia="en-AU"/>
        </w:rPr>
        <w:t>EGFR</w:t>
      </w:r>
      <w:r>
        <w:rPr>
          <w:rFonts w:ascii="Times New Roman" w:eastAsia="Times New Roman" w:hAnsi="Times New Roman" w:cs="Times New Roman"/>
          <w:szCs w:val="20"/>
          <w:lang w:eastAsia="en-AU"/>
        </w:rPr>
        <w:t xml:space="preserve"> MBS item may need to be explored further during implementation following any MSAC support for the amendment to the item.</w:t>
      </w:r>
    </w:p>
    <w:p w14:paraId="01C23A47" w14:textId="77777777" w:rsidR="00181DB4" w:rsidRPr="00DE6CC6" w:rsidRDefault="00181DB4" w:rsidP="0097544E">
      <w:pPr>
        <w:spacing w:before="24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bCs/>
          <w:szCs w:val="20"/>
          <w:lang w:eastAsia="en-AU"/>
        </w:rPr>
        <w:t xml:space="preserve">The ESCs noted the consultation feedback from organisations and one individual and discussed issues for consumers such as the patient discomfort associated with the proportion who may require </w:t>
      </w:r>
      <w:proofErr w:type="spellStart"/>
      <w:r w:rsidRPr="00DE6CC6">
        <w:rPr>
          <w:rFonts w:ascii="Times New Roman" w:eastAsia="Times New Roman" w:hAnsi="Times New Roman" w:cs="Times New Roman"/>
          <w:bCs/>
          <w:szCs w:val="20"/>
          <w:lang w:eastAsia="en-AU"/>
        </w:rPr>
        <w:t>re</w:t>
      </w:r>
      <w:r>
        <w:rPr>
          <w:rFonts w:ascii="Times New Roman" w:eastAsia="Times New Roman" w:hAnsi="Times New Roman" w:cs="Times New Roman"/>
          <w:bCs/>
          <w:szCs w:val="20"/>
          <w:lang w:eastAsia="en-AU"/>
        </w:rPr>
        <w:t>biopsy</w:t>
      </w:r>
      <w:proofErr w:type="spellEnd"/>
      <w:r w:rsidRPr="00DE6CC6">
        <w:rPr>
          <w:rFonts w:ascii="Times New Roman" w:eastAsia="Times New Roman" w:hAnsi="Times New Roman" w:cs="Times New Roman"/>
          <w:bCs/>
          <w:szCs w:val="20"/>
          <w:lang w:eastAsia="en-AU"/>
        </w:rPr>
        <w:t xml:space="preserve">. The ESCs also noted the consultation feedback </w:t>
      </w:r>
      <w:r w:rsidRPr="00DE6CC6">
        <w:rPr>
          <w:rFonts w:ascii="Times New Roman" w:eastAsia="Times New Roman" w:hAnsi="Times New Roman" w:cs="Times New Roman"/>
          <w:szCs w:val="20"/>
          <w:lang w:eastAsia="en-AU"/>
        </w:rPr>
        <w:t>stating that it was unclear whether a laboratory using multigene assay</w:t>
      </w:r>
      <w:r>
        <w:rPr>
          <w:rFonts w:ascii="Times New Roman" w:eastAsia="Times New Roman" w:hAnsi="Times New Roman" w:cs="Times New Roman"/>
          <w:szCs w:val="20"/>
          <w:lang w:eastAsia="en-AU"/>
        </w:rPr>
        <w:t>s</w:t>
      </w:r>
      <w:r w:rsidRPr="00DE6CC6">
        <w:rPr>
          <w:rFonts w:ascii="Times New Roman" w:eastAsia="Times New Roman" w:hAnsi="Times New Roman" w:cs="Times New Roman"/>
          <w:szCs w:val="20"/>
          <w:lang w:eastAsia="en-AU"/>
        </w:rPr>
        <w:t xml:space="preserve"> o</w:t>
      </w:r>
      <w:r>
        <w:rPr>
          <w:rFonts w:ascii="Times New Roman" w:eastAsia="Times New Roman" w:hAnsi="Times New Roman" w:cs="Times New Roman"/>
          <w:szCs w:val="20"/>
          <w:lang w:eastAsia="en-AU"/>
        </w:rPr>
        <w:t>r</w:t>
      </w:r>
      <w:r w:rsidRPr="00DE6CC6">
        <w:rPr>
          <w:rFonts w:ascii="Times New Roman" w:eastAsia="Times New Roman" w:hAnsi="Times New Roman" w:cs="Times New Roman"/>
          <w:szCs w:val="20"/>
          <w:lang w:eastAsia="en-AU"/>
        </w:rPr>
        <w:t xml:space="preserve"> NGS would </w:t>
      </w:r>
      <w:r>
        <w:rPr>
          <w:rFonts w:ascii="Times New Roman" w:eastAsia="Times New Roman" w:hAnsi="Times New Roman" w:cs="Times New Roman"/>
          <w:szCs w:val="20"/>
          <w:lang w:eastAsia="en-AU"/>
        </w:rPr>
        <w:t xml:space="preserve">make a single </w:t>
      </w:r>
      <w:r w:rsidRPr="00DE6CC6">
        <w:rPr>
          <w:rFonts w:ascii="Times New Roman" w:eastAsia="Times New Roman" w:hAnsi="Times New Roman" w:cs="Times New Roman"/>
          <w:szCs w:val="20"/>
          <w:lang w:eastAsia="en-AU"/>
        </w:rPr>
        <w:t xml:space="preserve">claim for both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or whether laboratories performing single gene tests </w:t>
      </w:r>
      <w:r>
        <w:rPr>
          <w:rFonts w:ascii="Times New Roman" w:eastAsia="Times New Roman" w:hAnsi="Times New Roman" w:cs="Times New Roman"/>
          <w:szCs w:val="20"/>
          <w:lang w:eastAsia="en-AU"/>
        </w:rPr>
        <w:t>would</w:t>
      </w:r>
      <w:r w:rsidRPr="00DE6CC6">
        <w:rPr>
          <w:rFonts w:ascii="Times New Roman" w:eastAsia="Times New Roman" w:hAnsi="Times New Roman" w:cs="Times New Roman"/>
          <w:szCs w:val="20"/>
          <w:lang w:eastAsia="en-AU"/>
        </w:rPr>
        <w:t xml:space="preserve"> claim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8D1E52">
        <w:rPr>
          <w:rFonts w:ascii="Times New Roman" w:eastAsia="Times New Roman" w:hAnsi="Times New Roman" w:cs="Times New Roman"/>
          <w:i/>
          <w:iCs/>
          <w:szCs w:val="20"/>
          <w:lang w:eastAsia="en-AU"/>
        </w:rPr>
        <w:t>K</w:t>
      </w:r>
      <w:r w:rsidRPr="00DE6CC6">
        <w:rPr>
          <w:rFonts w:ascii="Times New Roman" w:eastAsia="Times New Roman" w:hAnsi="Times New Roman" w:cs="Times New Roman"/>
          <w:i/>
          <w:iCs/>
          <w:szCs w:val="20"/>
          <w:lang w:eastAsia="en-AU"/>
        </w:rPr>
        <w:t>RAS</w:t>
      </w:r>
      <w:r w:rsidRPr="00DE6CC6">
        <w:rPr>
          <w:rFonts w:ascii="Times New Roman" w:eastAsia="Times New Roman" w:hAnsi="Times New Roman" w:cs="Times New Roman"/>
          <w:szCs w:val="20"/>
          <w:lang w:eastAsia="en-AU"/>
        </w:rPr>
        <w:t xml:space="preserve"> separately</w:t>
      </w:r>
      <w:r>
        <w:rPr>
          <w:rFonts w:ascii="Times New Roman" w:eastAsia="Times New Roman" w:hAnsi="Times New Roman" w:cs="Times New Roman"/>
          <w:szCs w:val="20"/>
          <w:lang w:eastAsia="en-AU"/>
        </w:rPr>
        <w:t xml:space="preserve"> and suggesting an </w:t>
      </w:r>
      <w:r w:rsidRPr="00DE6CC6">
        <w:rPr>
          <w:rFonts w:ascii="Times New Roman" w:eastAsia="Times New Roman" w:hAnsi="Times New Roman" w:cs="Times New Roman"/>
          <w:szCs w:val="20"/>
          <w:lang w:eastAsia="en-AU"/>
        </w:rPr>
        <w:t>alter</w:t>
      </w:r>
      <w:r>
        <w:rPr>
          <w:rFonts w:ascii="Times New Roman" w:eastAsia="Times New Roman" w:hAnsi="Times New Roman" w:cs="Times New Roman"/>
          <w:szCs w:val="20"/>
          <w:lang w:eastAsia="en-AU"/>
        </w:rPr>
        <w:t>ation to</w:t>
      </w:r>
      <w:r w:rsidRPr="00DE6CC6">
        <w:rPr>
          <w:rFonts w:ascii="Times New Roman" w:eastAsia="Times New Roman" w:hAnsi="Times New Roman" w:cs="Times New Roman"/>
          <w:szCs w:val="20"/>
          <w:lang w:eastAsia="en-AU"/>
        </w:rPr>
        <w:t xml:space="preserve"> the </w:t>
      </w:r>
      <w:r w:rsidRPr="00DE6CC6">
        <w:rPr>
          <w:rFonts w:ascii="Times New Roman" w:eastAsia="Times New Roman" w:hAnsi="Times New Roman" w:cs="Times New Roman"/>
          <w:i/>
          <w:iCs/>
          <w:szCs w:val="20"/>
          <w:lang w:eastAsia="en-AU"/>
        </w:rPr>
        <w:t>ALK</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ROS1</w:t>
      </w:r>
      <w:r w:rsidRPr="00DE6CC6">
        <w:rPr>
          <w:rFonts w:ascii="Times New Roman" w:eastAsia="Times New Roman" w:hAnsi="Times New Roman" w:cs="Times New Roman"/>
          <w:szCs w:val="20"/>
          <w:lang w:eastAsia="en-AU"/>
        </w:rPr>
        <w:t xml:space="preserve"> item</w:t>
      </w:r>
      <w:r>
        <w:rPr>
          <w:rFonts w:ascii="Times New Roman" w:eastAsia="Times New Roman" w:hAnsi="Times New Roman" w:cs="Times New Roman"/>
          <w:szCs w:val="20"/>
          <w:lang w:eastAsia="en-AU"/>
        </w:rPr>
        <w:t xml:space="preserve"> descriptors</w:t>
      </w:r>
      <w:r w:rsidRPr="00DE6CC6">
        <w:rPr>
          <w:rFonts w:ascii="Times New Roman" w:eastAsia="Times New Roman" w:hAnsi="Times New Roman" w:cs="Times New Roman"/>
          <w:szCs w:val="20"/>
          <w:lang w:eastAsia="en-AU"/>
        </w:rPr>
        <w:t xml:space="preserve"> to state that both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and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should be negative prior to proceeding with FISH.</w:t>
      </w:r>
    </w:p>
    <w:p w14:paraId="782332D6" w14:textId="77777777" w:rsidR="00181DB4" w:rsidRPr="00DE6CC6" w:rsidRDefault="00181DB4" w:rsidP="0097544E">
      <w:pPr>
        <w:spacing w:before="24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The ESCs noted that the comparator for </w:t>
      </w:r>
      <w:r w:rsidRPr="00DE6CC6">
        <w:rPr>
          <w:rFonts w:ascii="Times New Roman" w:eastAsia="Times New Roman" w:hAnsi="Times New Roman" w:cs="Times New Roman"/>
          <w:i/>
          <w:szCs w:val="20"/>
          <w:lang w:eastAsia="en-AU"/>
        </w:rPr>
        <w:t>KRAS</w:t>
      </w:r>
      <w:r w:rsidRPr="00DE6CC6">
        <w:rPr>
          <w:rFonts w:ascii="Times New Roman" w:eastAsia="Times New Roman" w:hAnsi="Times New Roman" w:cs="Times New Roman"/>
          <w:szCs w:val="20"/>
          <w:lang w:eastAsia="en-AU"/>
        </w:rPr>
        <w:t xml:space="preserve"> G12C variant testing is </w:t>
      </w:r>
      <w:proofErr w:type="gramStart"/>
      <w:r w:rsidRPr="00DE6CC6">
        <w:rPr>
          <w:rFonts w:ascii="Times New Roman" w:eastAsia="Times New Roman" w:hAnsi="Times New Roman" w:cs="Times New Roman"/>
          <w:szCs w:val="20"/>
          <w:lang w:eastAsia="en-AU"/>
        </w:rPr>
        <w:t>no</w:t>
      </w:r>
      <w:proofErr w:type="gramEnd"/>
      <w:r w:rsidRPr="00DE6CC6">
        <w:rPr>
          <w:rFonts w:ascii="Times New Roman" w:eastAsia="Times New Roman" w:hAnsi="Times New Roman" w:cs="Times New Roman"/>
          <w:szCs w:val="20"/>
          <w:lang w:eastAsia="en-AU"/>
        </w:rPr>
        <w:t xml:space="preserve"> testing, i.e. the MBS item 73337 in its current format with</w:t>
      </w:r>
      <w:r>
        <w:rPr>
          <w:rFonts w:ascii="Times New Roman" w:eastAsia="Times New Roman" w:hAnsi="Times New Roman" w:cs="Times New Roman"/>
          <w:szCs w:val="20"/>
          <w:lang w:eastAsia="en-AU"/>
        </w:rPr>
        <w:t>out</w:t>
      </w:r>
      <w:r w:rsidRPr="00DE6CC6">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G12C variant testing.</w:t>
      </w:r>
    </w:p>
    <w:p w14:paraId="4A09D46B" w14:textId="77777777" w:rsidR="00181DB4" w:rsidRPr="00DE6CC6" w:rsidRDefault="00181DB4" w:rsidP="0097544E">
      <w:pPr>
        <w:tabs>
          <w:tab w:val="left" w:pos="2265"/>
          <w:tab w:val="left" w:pos="3420"/>
          <w:tab w:val="left" w:pos="4320"/>
        </w:tabs>
        <w:spacing w:before="24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The ESCs noted that testing for a pathogenic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variant using NGS is common practice at diagnosis in many Australia laboratories, and in many instances would also include pathogenic </w:t>
      </w:r>
      <w:r w:rsidRPr="00DE6CC6">
        <w:rPr>
          <w:rFonts w:ascii="Times New Roman" w:eastAsia="Times New Roman" w:hAnsi="Times New Roman" w:cs="Times New Roman"/>
          <w:i/>
          <w:szCs w:val="20"/>
          <w:lang w:eastAsia="en-AU"/>
        </w:rPr>
        <w:t>KRAS</w:t>
      </w:r>
      <w:r w:rsidRPr="00DE6CC6">
        <w:rPr>
          <w:rFonts w:ascii="Times New Roman" w:eastAsia="Times New Roman" w:hAnsi="Times New Roman" w:cs="Times New Roman"/>
          <w:szCs w:val="20"/>
          <w:lang w:eastAsia="en-AU"/>
        </w:rPr>
        <w:t xml:space="preserve"> variant testing. Patients with insufficient material for the initial NGS analysis would already require an additional biopsy. Thus, the ESCs noted that the safety of NGS pathogenic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variant testing would not change with the addition of </w:t>
      </w:r>
      <w:r w:rsidRPr="00DE6CC6">
        <w:rPr>
          <w:rFonts w:ascii="Times New Roman" w:eastAsia="Times New Roman" w:hAnsi="Times New Roman" w:cs="Times New Roman"/>
          <w:i/>
          <w:iCs/>
          <w:szCs w:val="20"/>
          <w:lang w:eastAsia="en-AU"/>
        </w:rPr>
        <w:t>KRAS</w:t>
      </w:r>
      <w:r w:rsidRPr="00DE6CC6">
        <w:rPr>
          <w:rFonts w:ascii="Times New Roman" w:eastAsia="Times New Roman" w:hAnsi="Times New Roman" w:cs="Times New Roman"/>
          <w:szCs w:val="20"/>
          <w:lang w:eastAsia="en-AU"/>
        </w:rPr>
        <w:t xml:space="preserve"> G12C variant identification. The ESCs </w:t>
      </w:r>
      <w:r>
        <w:rPr>
          <w:rFonts w:ascii="Times New Roman" w:eastAsia="Times New Roman" w:hAnsi="Times New Roman" w:cs="Times New Roman"/>
          <w:szCs w:val="20"/>
          <w:lang w:eastAsia="en-AU"/>
        </w:rPr>
        <w:t xml:space="preserve">therefore considered that it would be rare for this addition to require an additional </w:t>
      </w:r>
      <w:proofErr w:type="spellStart"/>
      <w:r>
        <w:rPr>
          <w:rFonts w:ascii="Times New Roman" w:eastAsia="Times New Roman" w:hAnsi="Times New Roman" w:cs="Times New Roman"/>
          <w:szCs w:val="20"/>
          <w:lang w:eastAsia="en-AU"/>
        </w:rPr>
        <w:t>rebiopsy</w:t>
      </w:r>
      <w:proofErr w:type="spellEnd"/>
      <w:r>
        <w:rPr>
          <w:rFonts w:ascii="Times New Roman" w:eastAsia="Times New Roman" w:hAnsi="Times New Roman" w:cs="Times New Roman"/>
          <w:szCs w:val="20"/>
          <w:lang w:eastAsia="en-AU"/>
        </w:rPr>
        <w:t xml:space="preserve"> because it would be rare </w:t>
      </w:r>
      <w:r w:rsidRPr="00DE6CC6">
        <w:rPr>
          <w:rFonts w:ascii="Times New Roman" w:eastAsia="Times New Roman" w:hAnsi="Times New Roman" w:cs="Times New Roman"/>
          <w:szCs w:val="20"/>
          <w:lang w:eastAsia="en-AU"/>
        </w:rPr>
        <w:t xml:space="preserve">where a tumour sample </w:t>
      </w:r>
      <w:r>
        <w:rPr>
          <w:rFonts w:ascii="Times New Roman" w:eastAsia="Times New Roman" w:hAnsi="Times New Roman" w:cs="Times New Roman"/>
          <w:szCs w:val="20"/>
          <w:lang w:eastAsia="en-AU"/>
        </w:rPr>
        <w:t>would</w:t>
      </w:r>
      <w:r w:rsidRPr="00DE6CC6">
        <w:rPr>
          <w:rFonts w:ascii="Times New Roman" w:eastAsia="Times New Roman" w:hAnsi="Times New Roman" w:cs="Times New Roman"/>
          <w:szCs w:val="20"/>
          <w:lang w:eastAsia="en-AU"/>
        </w:rPr>
        <w:t xml:space="preserve"> not </w:t>
      </w:r>
      <w:r>
        <w:rPr>
          <w:rFonts w:ascii="Times New Roman" w:eastAsia="Times New Roman" w:hAnsi="Times New Roman" w:cs="Times New Roman"/>
          <w:szCs w:val="20"/>
          <w:lang w:eastAsia="en-AU"/>
        </w:rPr>
        <w:t xml:space="preserve">have </w:t>
      </w:r>
      <w:r w:rsidRPr="00DE6CC6">
        <w:rPr>
          <w:rFonts w:ascii="Times New Roman" w:eastAsia="Times New Roman" w:hAnsi="Times New Roman" w:cs="Times New Roman"/>
          <w:szCs w:val="20"/>
          <w:lang w:eastAsia="en-AU"/>
        </w:rPr>
        <w:t>receive</w:t>
      </w:r>
      <w:r>
        <w:rPr>
          <w:rFonts w:ascii="Times New Roman" w:eastAsia="Times New Roman" w:hAnsi="Times New Roman" w:cs="Times New Roman"/>
          <w:szCs w:val="20"/>
          <w:lang w:eastAsia="en-AU"/>
        </w:rPr>
        <w:t>d</w:t>
      </w:r>
      <w:r w:rsidRPr="00DE6CC6">
        <w:rPr>
          <w:rFonts w:ascii="Times New Roman" w:eastAsia="Times New Roman" w:hAnsi="Times New Roman" w:cs="Times New Roman"/>
          <w:szCs w:val="20"/>
          <w:lang w:eastAsia="en-AU"/>
        </w:rPr>
        <w:t xml:space="preserve"> NGS panel testing for pathogenic </w:t>
      </w:r>
      <w:r w:rsidRPr="00DE6CC6">
        <w:rPr>
          <w:rFonts w:ascii="Times New Roman" w:eastAsia="Times New Roman" w:hAnsi="Times New Roman" w:cs="Times New Roman"/>
          <w:i/>
          <w:szCs w:val="20"/>
          <w:lang w:eastAsia="en-AU"/>
        </w:rPr>
        <w:t>EGFR</w:t>
      </w:r>
      <w:r w:rsidRPr="00DE6CC6">
        <w:rPr>
          <w:rFonts w:ascii="Times New Roman" w:eastAsia="Times New Roman" w:hAnsi="Times New Roman" w:cs="Times New Roman"/>
          <w:szCs w:val="20"/>
          <w:lang w:eastAsia="en-AU"/>
        </w:rPr>
        <w:t xml:space="preserve"> ± </w:t>
      </w:r>
      <w:r w:rsidRPr="00DE6CC6">
        <w:rPr>
          <w:rFonts w:ascii="Times New Roman" w:eastAsia="Times New Roman" w:hAnsi="Times New Roman" w:cs="Times New Roman"/>
          <w:i/>
          <w:szCs w:val="20"/>
          <w:lang w:eastAsia="en-AU"/>
        </w:rPr>
        <w:t>KRAS</w:t>
      </w:r>
      <w:r w:rsidRPr="00DE6CC6">
        <w:rPr>
          <w:rFonts w:ascii="Times New Roman" w:eastAsia="Times New Roman" w:hAnsi="Times New Roman" w:cs="Times New Roman"/>
          <w:szCs w:val="20"/>
          <w:lang w:eastAsia="en-AU"/>
        </w:rPr>
        <w:t xml:space="preserve"> variants at diagnosis, and </w:t>
      </w:r>
      <w:r w:rsidRPr="00DE6CC6">
        <w:rPr>
          <w:rFonts w:ascii="Times New Roman" w:eastAsia="Times New Roman" w:hAnsi="Times New Roman" w:cs="Times New Roman"/>
          <w:szCs w:val="20"/>
          <w:lang w:eastAsia="en-AU"/>
        </w:rPr>
        <w:lastRenderedPageBreak/>
        <w:t xml:space="preserve">there </w:t>
      </w:r>
      <w:r>
        <w:rPr>
          <w:rFonts w:ascii="Times New Roman" w:eastAsia="Times New Roman" w:hAnsi="Times New Roman" w:cs="Times New Roman"/>
          <w:szCs w:val="20"/>
          <w:lang w:eastAsia="en-AU"/>
        </w:rPr>
        <w:t xml:space="preserve">would not be </w:t>
      </w:r>
      <w:r w:rsidRPr="00DE6CC6">
        <w:rPr>
          <w:rFonts w:ascii="Times New Roman" w:eastAsia="Times New Roman" w:hAnsi="Times New Roman" w:cs="Times New Roman"/>
          <w:szCs w:val="20"/>
          <w:lang w:eastAsia="en-AU"/>
        </w:rPr>
        <w:t>sufficient archival formalin-fixed paraffin-embedded (FFPE) tumour sample available for retesting.</w:t>
      </w:r>
    </w:p>
    <w:p w14:paraId="50A9808B" w14:textId="77777777" w:rsidR="00181DB4" w:rsidRPr="00DC4181" w:rsidRDefault="00181DB4" w:rsidP="0097544E">
      <w:pPr>
        <w:tabs>
          <w:tab w:val="left" w:pos="2265"/>
          <w:tab w:val="left" w:pos="3420"/>
          <w:tab w:val="left" w:pos="4320"/>
        </w:tabs>
        <w:spacing w:before="240" w:after="0"/>
        <w:jc w:val="left"/>
        <w:rPr>
          <w:rFonts w:ascii="Times New Roman" w:eastAsia="Times New Roman" w:hAnsi="Times New Roman" w:cs="Times New Roman"/>
          <w:bCs/>
          <w:szCs w:val="24"/>
          <w:lang w:eastAsia="en-AU"/>
        </w:rPr>
      </w:pPr>
      <w:r w:rsidRPr="00DC4181">
        <w:rPr>
          <w:rFonts w:ascii="Times New Roman" w:eastAsia="Times New Roman" w:hAnsi="Times New Roman" w:cs="Times New Roman"/>
          <w:bCs/>
          <w:szCs w:val="24"/>
          <w:lang w:eastAsia="en-AU"/>
        </w:rPr>
        <w:t>The ESCs</w:t>
      </w:r>
      <w:r>
        <w:rPr>
          <w:rFonts w:ascii="Times New Roman" w:eastAsia="Times New Roman" w:hAnsi="Times New Roman" w:cs="Times New Roman"/>
          <w:bCs/>
          <w:szCs w:val="24"/>
          <w:lang w:eastAsia="en-AU"/>
        </w:rPr>
        <w:t xml:space="preserve"> noted the disagreement between the commentary and </w:t>
      </w:r>
      <w:r w:rsidRPr="00DE6CC6">
        <w:rPr>
          <w:rFonts w:ascii="Times New Roman" w:eastAsia="Times New Roman" w:hAnsi="Times New Roman" w:cs="Times New Roman"/>
          <w:bCs/>
          <w:szCs w:val="20"/>
          <w:lang w:eastAsia="en-AU"/>
        </w:rPr>
        <w:t>pre-</w:t>
      </w:r>
      <w:r>
        <w:rPr>
          <w:rFonts w:ascii="Times New Roman" w:eastAsia="Times New Roman" w:hAnsi="Times New Roman" w:cs="Times New Roman"/>
          <w:bCs/>
          <w:szCs w:val="20"/>
          <w:lang w:eastAsia="en-AU"/>
        </w:rPr>
        <w:t>subcommittee</w:t>
      </w:r>
      <w:r w:rsidRPr="00DE6CC6">
        <w:rPr>
          <w:rFonts w:ascii="Times New Roman" w:eastAsia="Times New Roman" w:hAnsi="Times New Roman" w:cs="Times New Roman"/>
          <w:bCs/>
          <w:szCs w:val="20"/>
          <w:lang w:eastAsia="en-AU"/>
        </w:rPr>
        <w:t xml:space="preserve"> response </w:t>
      </w:r>
      <w:r>
        <w:rPr>
          <w:rFonts w:ascii="Times New Roman" w:eastAsia="Times New Roman" w:hAnsi="Times New Roman" w:cs="Times New Roman"/>
          <w:bCs/>
          <w:szCs w:val="20"/>
          <w:lang w:eastAsia="en-AU"/>
        </w:rPr>
        <w:t>(</w:t>
      </w:r>
      <w:r>
        <w:rPr>
          <w:rFonts w:ascii="Times New Roman" w:eastAsia="Times New Roman" w:hAnsi="Times New Roman" w:cs="Times New Roman"/>
          <w:bCs/>
          <w:szCs w:val="24"/>
          <w:lang w:eastAsia="en-AU"/>
        </w:rPr>
        <w:t>PSCR) in assessing</w:t>
      </w:r>
      <w:r w:rsidRPr="00DC4181">
        <w:rPr>
          <w:rFonts w:ascii="Times New Roman" w:eastAsia="Times New Roman" w:hAnsi="Times New Roman" w:cs="Times New Roman"/>
          <w:bCs/>
          <w:szCs w:val="24"/>
          <w:lang w:eastAsia="en-AU"/>
        </w:rPr>
        <w:t xml:space="preserve"> the prognostic value of </w:t>
      </w:r>
      <w:r w:rsidRPr="00DC4181">
        <w:rPr>
          <w:rFonts w:ascii="Times New Roman" w:eastAsia="Times New Roman" w:hAnsi="Times New Roman" w:cs="Times New Roman"/>
          <w:bCs/>
          <w:i/>
          <w:iCs/>
          <w:szCs w:val="24"/>
          <w:lang w:eastAsia="en-AU"/>
        </w:rPr>
        <w:t xml:space="preserve">KRAS </w:t>
      </w:r>
      <w:r w:rsidRPr="00DC4181">
        <w:rPr>
          <w:rFonts w:ascii="Times New Roman" w:eastAsia="Times New Roman" w:hAnsi="Times New Roman" w:cs="Times New Roman"/>
          <w:bCs/>
          <w:szCs w:val="24"/>
          <w:lang w:eastAsia="en-AU"/>
        </w:rPr>
        <w:t xml:space="preserve">G12C compared with </w:t>
      </w:r>
      <w:r w:rsidRPr="00DC4181">
        <w:rPr>
          <w:rFonts w:ascii="Times New Roman" w:eastAsia="Times New Roman" w:hAnsi="Times New Roman" w:cs="Times New Roman"/>
          <w:bCs/>
          <w:i/>
          <w:iCs/>
          <w:szCs w:val="24"/>
          <w:lang w:eastAsia="en-AU"/>
        </w:rPr>
        <w:t>KRAS</w:t>
      </w:r>
      <w:r w:rsidRPr="00DC4181">
        <w:rPr>
          <w:rFonts w:ascii="Times New Roman" w:eastAsia="Times New Roman" w:hAnsi="Times New Roman" w:cs="Times New Roman"/>
          <w:bCs/>
          <w:szCs w:val="24"/>
          <w:lang w:eastAsia="en-AU"/>
        </w:rPr>
        <w:t xml:space="preserve"> wild type or other </w:t>
      </w:r>
      <w:r w:rsidRPr="00DC4181">
        <w:rPr>
          <w:rFonts w:ascii="Times New Roman" w:eastAsia="Times New Roman" w:hAnsi="Times New Roman" w:cs="Times New Roman"/>
          <w:bCs/>
          <w:i/>
          <w:iCs/>
          <w:szCs w:val="24"/>
          <w:lang w:eastAsia="en-AU"/>
        </w:rPr>
        <w:t>KRAS</w:t>
      </w:r>
      <w:r w:rsidRPr="00DC4181">
        <w:rPr>
          <w:rFonts w:ascii="Times New Roman" w:eastAsia="Times New Roman" w:hAnsi="Times New Roman" w:cs="Times New Roman"/>
          <w:bCs/>
          <w:szCs w:val="24"/>
          <w:lang w:eastAsia="en-AU"/>
        </w:rPr>
        <w:t xml:space="preserve"> variants</w:t>
      </w:r>
      <w:r>
        <w:rPr>
          <w:rFonts w:ascii="Times New Roman" w:eastAsia="Times New Roman" w:hAnsi="Times New Roman" w:cs="Times New Roman"/>
          <w:bCs/>
          <w:szCs w:val="24"/>
          <w:lang w:eastAsia="en-AU"/>
        </w:rPr>
        <w:t xml:space="preserve"> but </w:t>
      </w:r>
      <w:r w:rsidRPr="00DC4181">
        <w:rPr>
          <w:rFonts w:ascii="Times New Roman" w:eastAsia="Times New Roman" w:hAnsi="Times New Roman" w:cs="Times New Roman"/>
          <w:bCs/>
          <w:noProof/>
          <w:szCs w:val="24"/>
          <w:lang w:eastAsia="en-AU"/>
        </w:rPr>
        <w:t xml:space="preserve">considered that most studies </w:t>
      </w:r>
      <w:r w:rsidRPr="00DC4181">
        <w:rPr>
          <w:rFonts w:ascii="Times New Roman" w:eastAsia="Times New Roman" w:hAnsi="Times New Roman" w:cs="Times New Roman"/>
          <w:bCs/>
          <w:szCs w:val="24"/>
          <w:lang w:eastAsia="en-AU"/>
        </w:rPr>
        <w:t xml:space="preserve">were </w:t>
      </w:r>
      <w:r w:rsidRPr="00DC4181">
        <w:rPr>
          <w:rFonts w:ascii="Times New Roman" w:eastAsia="Times New Roman" w:hAnsi="Times New Roman" w:cs="Times New Roman"/>
          <w:bCs/>
          <w:noProof/>
          <w:szCs w:val="24"/>
          <w:lang w:eastAsia="en-AU"/>
        </w:rPr>
        <w:t>of low risk of bias and showed no significant diffrerences on progression-free or overall survival</w:t>
      </w:r>
      <w:r w:rsidRPr="00DC4181">
        <w:rPr>
          <w:rFonts w:ascii="Times New Roman" w:eastAsia="Times New Roman" w:hAnsi="Times New Roman" w:cs="Times New Roman"/>
          <w:iCs/>
          <w:szCs w:val="24"/>
          <w:lang w:eastAsia="en-AU"/>
        </w:rPr>
        <w:t>.</w:t>
      </w:r>
    </w:p>
    <w:p w14:paraId="6F0FE74A" w14:textId="77777777" w:rsidR="00181DB4" w:rsidRPr="00DE6CC6" w:rsidRDefault="00181DB4" w:rsidP="0097544E">
      <w:pPr>
        <w:tabs>
          <w:tab w:val="left" w:pos="2265"/>
          <w:tab w:val="left" w:pos="3420"/>
          <w:tab w:val="left" w:pos="4320"/>
        </w:tabs>
        <w:spacing w:before="240" w:after="0"/>
        <w:jc w:val="left"/>
        <w:rPr>
          <w:rFonts w:ascii="Times New Roman" w:eastAsia="Times New Roman" w:hAnsi="Times New Roman" w:cs="Times New Roman"/>
          <w:bCs/>
          <w:szCs w:val="20"/>
          <w:lang w:eastAsia="en-AU"/>
        </w:rPr>
      </w:pPr>
      <w:r>
        <w:rPr>
          <w:rFonts w:ascii="Times New Roman" w:eastAsia="Times New Roman" w:hAnsi="Times New Roman" w:cs="Times New Roman"/>
          <w:bCs/>
          <w:szCs w:val="20"/>
          <w:lang w:eastAsia="en-AU"/>
        </w:rPr>
        <w:t>The ESCs considered that</w:t>
      </w:r>
      <w:r w:rsidRPr="00DE6CC6">
        <w:rPr>
          <w:rFonts w:ascii="Times New Roman" w:eastAsia="Times New Roman" w:hAnsi="Times New Roman" w:cs="Times New Roman"/>
          <w:bCs/>
          <w:szCs w:val="20"/>
          <w:lang w:eastAsia="en-AU"/>
        </w:rPr>
        <w:t xml:space="preserve"> the rationale for </w:t>
      </w:r>
      <w:proofErr w:type="spellStart"/>
      <w:r w:rsidRPr="00DE6CC6">
        <w:rPr>
          <w:rFonts w:ascii="Times New Roman" w:eastAsia="Times New Roman" w:hAnsi="Times New Roman" w:cs="Times New Roman"/>
          <w:bCs/>
          <w:szCs w:val="20"/>
          <w:lang w:eastAsia="en-AU"/>
        </w:rPr>
        <w:t>codependency</w:t>
      </w:r>
      <w:proofErr w:type="spellEnd"/>
      <w:r w:rsidRPr="00DE6CC6">
        <w:rPr>
          <w:rFonts w:ascii="Times New Roman" w:eastAsia="Times New Roman" w:hAnsi="Times New Roman" w:cs="Times New Roman"/>
          <w:bCs/>
          <w:szCs w:val="20"/>
          <w:lang w:eastAsia="en-AU"/>
        </w:rPr>
        <w:t xml:space="preserve"> was based on biological plausibility as the </w:t>
      </w:r>
      <w:proofErr w:type="spellStart"/>
      <w:r w:rsidRPr="00DE6CC6">
        <w:rPr>
          <w:rFonts w:ascii="Times New Roman" w:eastAsia="Times New Roman" w:hAnsi="Times New Roman" w:cs="Times New Roman"/>
          <w:bCs/>
          <w:szCs w:val="20"/>
          <w:lang w:eastAsia="en-AU"/>
        </w:rPr>
        <w:t>Codebreak</w:t>
      </w:r>
      <w:proofErr w:type="spellEnd"/>
      <w:r w:rsidRPr="00DE6CC6">
        <w:rPr>
          <w:rFonts w:ascii="Times New Roman" w:eastAsia="Times New Roman" w:hAnsi="Times New Roman" w:cs="Times New Roman"/>
          <w:bCs/>
          <w:szCs w:val="20"/>
          <w:lang w:eastAsia="en-AU"/>
        </w:rPr>
        <w:t xml:space="preserve"> 100 study only enrolled patients with NSCLC who were </w:t>
      </w:r>
      <w:r w:rsidRPr="00DE6CC6">
        <w:rPr>
          <w:rFonts w:ascii="Times New Roman" w:eastAsia="Times New Roman" w:hAnsi="Times New Roman" w:cs="Times New Roman"/>
          <w:i/>
          <w:szCs w:val="20"/>
          <w:lang w:eastAsia="en-AU"/>
        </w:rPr>
        <w:t>KRAS</w:t>
      </w:r>
      <w:r w:rsidRPr="00DE6CC6">
        <w:rPr>
          <w:rFonts w:ascii="Times New Roman" w:eastAsia="Times New Roman" w:hAnsi="Times New Roman" w:cs="Times New Roman"/>
          <w:szCs w:val="20"/>
          <w:lang w:eastAsia="en-AU"/>
        </w:rPr>
        <w:t xml:space="preserve"> G12C positive.</w:t>
      </w:r>
    </w:p>
    <w:p w14:paraId="50251908" w14:textId="77777777" w:rsidR="00181DB4" w:rsidRPr="00DE6CC6" w:rsidRDefault="00181DB4" w:rsidP="0097544E">
      <w:pPr>
        <w:tabs>
          <w:tab w:val="left" w:pos="2265"/>
          <w:tab w:val="left" w:pos="3420"/>
          <w:tab w:val="left" w:pos="4320"/>
        </w:tabs>
        <w:spacing w:before="240" w:after="0"/>
        <w:jc w:val="left"/>
        <w:rPr>
          <w:rFonts w:ascii="Times New Roman" w:eastAsia="Times New Roman" w:hAnsi="Times New Roman" w:cs="Times New Roman"/>
          <w:bCs/>
          <w:szCs w:val="20"/>
          <w:lang w:eastAsia="en-AU"/>
        </w:rPr>
      </w:pPr>
      <w:r w:rsidRPr="00DE6CC6">
        <w:rPr>
          <w:rFonts w:ascii="Times New Roman" w:eastAsia="Times New Roman" w:hAnsi="Times New Roman" w:cs="Times New Roman"/>
          <w:bCs/>
          <w:szCs w:val="20"/>
          <w:lang w:eastAsia="en-AU"/>
        </w:rPr>
        <w:t xml:space="preserve">The ESCs noted the high concordance (calculated </w:t>
      </w:r>
      <w:r w:rsidRPr="00DE6CC6">
        <w:rPr>
          <w:rFonts w:ascii="Times New Roman" w:eastAsia="Times New Roman" w:hAnsi="Times New Roman" w:cs="Times New Roman"/>
          <w:szCs w:val="20"/>
          <w:lang w:eastAsia="en-AU"/>
        </w:rPr>
        <w:t>positive percent agreement [PPA]: 96% and negative percent agreement [NPA]: 100%)</w:t>
      </w:r>
      <w:r w:rsidRPr="00DE6CC6">
        <w:rPr>
          <w:rFonts w:ascii="Times New Roman" w:eastAsia="Times New Roman" w:hAnsi="Times New Roman" w:cs="Times New Roman"/>
          <w:bCs/>
          <w:szCs w:val="20"/>
          <w:lang w:eastAsia="en-AU"/>
        </w:rPr>
        <w:t xml:space="preserve"> between the clinical utility standard (</w:t>
      </w:r>
      <w:proofErr w:type="spellStart"/>
      <w:r w:rsidRPr="00DE6CC6">
        <w:rPr>
          <w:rFonts w:ascii="Times New Roman" w:eastAsia="Times New Roman" w:hAnsi="Times New Roman" w:cs="Times New Roman"/>
          <w:bCs/>
          <w:i/>
          <w:iCs/>
          <w:szCs w:val="20"/>
          <w:lang w:eastAsia="en-AU"/>
        </w:rPr>
        <w:t>therascreen</w:t>
      </w:r>
      <w:proofErr w:type="spellEnd"/>
      <w:r w:rsidRPr="00DE6CC6">
        <w:rPr>
          <w:rFonts w:ascii="Times New Roman" w:eastAsia="Times New Roman" w:hAnsi="Times New Roman" w:cs="Times New Roman"/>
          <w:bCs/>
          <w:i/>
          <w:iCs/>
          <w:szCs w:val="20"/>
          <w:lang w:eastAsia="en-AU"/>
        </w:rPr>
        <w:t xml:space="preserve"> KRAS </w:t>
      </w:r>
      <w:r w:rsidRPr="00DE6CC6">
        <w:rPr>
          <w:rFonts w:ascii="Times New Roman" w:eastAsia="Times New Roman" w:hAnsi="Times New Roman" w:cs="Times New Roman"/>
          <w:bCs/>
          <w:szCs w:val="20"/>
          <w:lang w:eastAsia="en-AU"/>
        </w:rPr>
        <w:t xml:space="preserve">polymerase chain reaction [PCR] kit) and NGS for the detection of pathogenic </w:t>
      </w:r>
      <w:r w:rsidRPr="00DE6CC6">
        <w:rPr>
          <w:rFonts w:ascii="Times New Roman" w:eastAsia="Times New Roman" w:hAnsi="Times New Roman" w:cs="Times New Roman"/>
          <w:bCs/>
          <w:i/>
          <w:iCs/>
          <w:szCs w:val="20"/>
          <w:lang w:eastAsia="en-AU"/>
        </w:rPr>
        <w:t>KRAS</w:t>
      </w:r>
      <w:r w:rsidRPr="00DE6CC6">
        <w:rPr>
          <w:rFonts w:ascii="Times New Roman" w:eastAsia="Times New Roman" w:hAnsi="Times New Roman" w:cs="Times New Roman"/>
          <w:bCs/>
          <w:szCs w:val="20"/>
          <w:lang w:eastAsia="en-AU"/>
        </w:rPr>
        <w:t xml:space="preserve"> (</w:t>
      </w:r>
      <w:proofErr w:type="spellStart"/>
      <w:r w:rsidRPr="00DE6CC6">
        <w:rPr>
          <w:rFonts w:ascii="Times New Roman" w:eastAsia="Times New Roman" w:hAnsi="Times New Roman" w:cs="Times New Roman"/>
          <w:szCs w:val="20"/>
          <w:lang w:eastAsia="en-AU"/>
        </w:rPr>
        <w:t>Tuononen</w:t>
      </w:r>
      <w:proofErr w:type="spellEnd"/>
      <w:r w:rsidRPr="00DE6CC6">
        <w:rPr>
          <w:rFonts w:ascii="Times New Roman" w:eastAsia="Times New Roman" w:hAnsi="Times New Roman" w:cs="Times New Roman"/>
          <w:szCs w:val="20"/>
          <w:lang w:eastAsia="en-AU"/>
        </w:rPr>
        <w:t xml:space="preserve"> et al 2013)</w:t>
      </w:r>
      <w:r w:rsidRPr="00DE6CC6">
        <w:rPr>
          <w:rFonts w:ascii="Times New Roman" w:eastAsia="Times New Roman" w:hAnsi="Times New Roman" w:cs="Times New Roman"/>
          <w:bCs/>
          <w:szCs w:val="20"/>
          <w:lang w:eastAsia="en-AU"/>
        </w:rPr>
        <w:t xml:space="preserve">. </w:t>
      </w:r>
      <w:r>
        <w:rPr>
          <w:rFonts w:ascii="Times New Roman" w:eastAsia="Times New Roman" w:hAnsi="Times New Roman" w:cs="Times New Roman"/>
          <w:bCs/>
          <w:szCs w:val="20"/>
          <w:lang w:eastAsia="en-AU"/>
        </w:rPr>
        <w:t xml:space="preserve">The ESCs noted that these </w:t>
      </w:r>
      <w:r w:rsidRPr="00DE6CC6">
        <w:rPr>
          <w:rFonts w:ascii="Times New Roman" w:eastAsia="Times New Roman" w:hAnsi="Times New Roman" w:cs="Times New Roman"/>
          <w:bCs/>
          <w:szCs w:val="20"/>
          <w:lang w:eastAsia="en-AU"/>
        </w:rPr>
        <w:t>results w</w:t>
      </w:r>
      <w:r>
        <w:rPr>
          <w:rFonts w:ascii="Times New Roman" w:eastAsia="Times New Roman" w:hAnsi="Times New Roman" w:cs="Times New Roman"/>
          <w:bCs/>
          <w:szCs w:val="20"/>
          <w:lang w:eastAsia="en-AU"/>
        </w:rPr>
        <w:t>ere</w:t>
      </w:r>
      <w:r w:rsidRPr="00DE6CC6">
        <w:rPr>
          <w:rFonts w:ascii="Times New Roman" w:eastAsia="Times New Roman" w:hAnsi="Times New Roman" w:cs="Times New Roman"/>
          <w:bCs/>
          <w:szCs w:val="20"/>
          <w:lang w:eastAsia="en-AU"/>
        </w:rPr>
        <w:t xml:space="preserve"> limited to a single study with small patient numbers</w:t>
      </w:r>
      <w:r>
        <w:rPr>
          <w:rFonts w:ascii="Times New Roman" w:eastAsia="Times New Roman" w:hAnsi="Times New Roman" w:cs="Times New Roman"/>
          <w:bCs/>
          <w:szCs w:val="20"/>
          <w:lang w:eastAsia="en-AU"/>
        </w:rPr>
        <w:t>, particularly for the G12C variant.</w:t>
      </w:r>
      <w:r w:rsidRPr="00DE6CC6">
        <w:rPr>
          <w:rFonts w:ascii="Times New Roman" w:eastAsia="Times New Roman" w:hAnsi="Times New Roman" w:cs="Times New Roman"/>
          <w:bCs/>
          <w:szCs w:val="20"/>
          <w:lang w:eastAsia="en-AU"/>
        </w:rPr>
        <w:t xml:space="preserve"> In addition, the ESCs noted this study had a high risk of bias due to uncertainties around sample selection and that blinding of the results was not reported.</w:t>
      </w:r>
      <w:r>
        <w:rPr>
          <w:rFonts w:ascii="Times New Roman" w:eastAsia="Times New Roman" w:hAnsi="Times New Roman" w:cs="Times New Roman"/>
          <w:bCs/>
          <w:szCs w:val="20"/>
          <w:lang w:eastAsia="en-AU"/>
        </w:rPr>
        <w:t xml:space="preserve"> The ESCs recalled that MSAC had previously accepted that concordance need not be demonstrated across NGS methodologies in detecting </w:t>
      </w:r>
      <w:proofErr w:type="gramStart"/>
      <w:r>
        <w:rPr>
          <w:rFonts w:ascii="Times New Roman" w:eastAsia="Times New Roman" w:hAnsi="Times New Roman" w:cs="Times New Roman"/>
          <w:bCs/>
          <w:szCs w:val="20"/>
          <w:lang w:eastAsia="en-AU"/>
        </w:rPr>
        <w:t>particular biomarkers</w:t>
      </w:r>
      <w:proofErr w:type="gramEnd"/>
      <w:r>
        <w:rPr>
          <w:rFonts w:ascii="Times New Roman" w:eastAsia="Times New Roman" w:hAnsi="Times New Roman" w:cs="Times New Roman"/>
          <w:bCs/>
          <w:szCs w:val="20"/>
          <w:lang w:eastAsia="en-AU"/>
        </w:rPr>
        <w:t xml:space="preserve">, in this case, the </w:t>
      </w:r>
      <w:r w:rsidRPr="00DC28A5">
        <w:rPr>
          <w:rFonts w:ascii="Times New Roman" w:eastAsia="Times New Roman" w:hAnsi="Times New Roman" w:cs="Times New Roman"/>
          <w:bCs/>
          <w:i/>
          <w:iCs/>
          <w:szCs w:val="20"/>
          <w:lang w:eastAsia="en-AU"/>
        </w:rPr>
        <w:t>KRAS</w:t>
      </w:r>
      <w:r>
        <w:rPr>
          <w:rFonts w:ascii="Times New Roman" w:eastAsia="Times New Roman" w:hAnsi="Times New Roman" w:cs="Times New Roman"/>
          <w:bCs/>
          <w:szCs w:val="20"/>
          <w:lang w:eastAsia="en-AU"/>
        </w:rPr>
        <w:t xml:space="preserve"> G12C variant.</w:t>
      </w:r>
    </w:p>
    <w:p w14:paraId="7E08BDE4" w14:textId="77777777" w:rsidR="00181DB4" w:rsidRPr="00DE6CC6" w:rsidRDefault="00181DB4" w:rsidP="0097544E">
      <w:pPr>
        <w:tabs>
          <w:tab w:val="left" w:pos="2265"/>
          <w:tab w:val="left" w:pos="3420"/>
          <w:tab w:val="left" w:pos="4320"/>
        </w:tabs>
        <w:spacing w:before="240" w:after="0"/>
        <w:jc w:val="left"/>
        <w:rPr>
          <w:rFonts w:ascii="Times New Roman" w:eastAsia="Times New Roman" w:hAnsi="Times New Roman" w:cs="Times New Roman"/>
          <w:bCs/>
          <w:szCs w:val="20"/>
          <w:lang w:eastAsia="en-AU"/>
        </w:rPr>
      </w:pPr>
      <w:r w:rsidRPr="00DE6CC6">
        <w:rPr>
          <w:rFonts w:ascii="Times New Roman" w:eastAsia="Times New Roman" w:hAnsi="Times New Roman" w:cs="Times New Roman"/>
          <w:bCs/>
          <w:szCs w:val="20"/>
          <w:lang w:eastAsia="en-AU"/>
        </w:rPr>
        <w:t xml:space="preserve">The ESCs noted the median prevalence of pathogenic </w:t>
      </w:r>
      <w:r w:rsidRPr="00DE6CC6">
        <w:rPr>
          <w:rFonts w:ascii="Times New Roman" w:eastAsia="Times New Roman" w:hAnsi="Times New Roman" w:cs="Times New Roman"/>
          <w:bCs/>
          <w:i/>
          <w:iCs/>
          <w:szCs w:val="20"/>
          <w:lang w:eastAsia="en-AU"/>
        </w:rPr>
        <w:t>KRAS</w:t>
      </w:r>
      <w:r w:rsidRPr="00DE6CC6">
        <w:rPr>
          <w:rFonts w:ascii="Times New Roman" w:eastAsia="Times New Roman" w:hAnsi="Times New Roman" w:cs="Times New Roman"/>
          <w:bCs/>
          <w:szCs w:val="20"/>
          <w:lang w:eastAsia="en-AU"/>
        </w:rPr>
        <w:t xml:space="preserve"> variants in the NSCLC testing population (</w:t>
      </w:r>
      <w:r w:rsidRPr="00DE6CC6">
        <w:rPr>
          <w:rFonts w:ascii="Times New Roman" w:eastAsia="Times New Roman" w:hAnsi="Times New Roman" w:cs="Times New Roman"/>
          <w:szCs w:val="20"/>
          <w:lang w:eastAsia="en-AU"/>
        </w:rPr>
        <w:t>patients diagnosed with non-squamous NSCLC at any stage)</w:t>
      </w:r>
      <w:r w:rsidRPr="00DE6CC6">
        <w:rPr>
          <w:rFonts w:ascii="Times New Roman" w:eastAsia="Times New Roman" w:hAnsi="Times New Roman" w:cs="Times New Roman"/>
          <w:bCs/>
          <w:szCs w:val="20"/>
          <w:lang w:eastAsia="en-AU"/>
        </w:rPr>
        <w:t xml:space="preserve"> was 37.5% (range 24</w:t>
      </w:r>
      <w:r>
        <w:rPr>
          <w:rFonts w:ascii="Times New Roman" w:eastAsia="Times New Roman" w:hAnsi="Times New Roman" w:cs="Times New Roman"/>
          <w:bCs/>
          <w:szCs w:val="20"/>
          <w:lang w:eastAsia="en-AU"/>
        </w:rPr>
        <w:t>%</w:t>
      </w:r>
      <w:r w:rsidRPr="00DE6CC6">
        <w:rPr>
          <w:rFonts w:ascii="Times New Roman" w:eastAsia="Times New Roman" w:hAnsi="Times New Roman" w:cs="Times New Roman"/>
          <w:bCs/>
          <w:szCs w:val="20"/>
          <w:lang w:eastAsia="en-AU"/>
        </w:rPr>
        <w:t>–49</w:t>
      </w:r>
      <w:r>
        <w:rPr>
          <w:rFonts w:ascii="Times New Roman" w:eastAsia="Times New Roman" w:hAnsi="Times New Roman" w:cs="Times New Roman"/>
          <w:bCs/>
          <w:szCs w:val="20"/>
          <w:lang w:eastAsia="en-AU"/>
        </w:rPr>
        <w:t>%</w:t>
      </w:r>
      <w:r w:rsidRPr="00DE6CC6">
        <w:rPr>
          <w:rFonts w:ascii="Times New Roman" w:eastAsia="Times New Roman" w:hAnsi="Times New Roman" w:cs="Times New Roman"/>
          <w:bCs/>
          <w:szCs w:val="20"/>
          <w:lang w:eastAsia="en-AU"/>
        </w:rPr>
        <w:t xml:space="preserve">) for any pathogenic </w:t>
      </w:r>
      <w:r w:rsidRPr="00DE6CC6">
        <w:rPr>
          <w:rFonts w:ascii="Times New Roman" w:eastAsia="Times New Roman" w:hAnsi="Times New Roman" w:cs="Times New Roman"/>
          <w:bCs/>
          <w:i/>
          <w:iCs/>
          <w:szCs w:val="20"/>
          <w:lang w:eastAsia="en-AU"/>
        </w:rPr>
        <w:t>KRAS</w:t>
      </w:r>
      <w:r w:rsidRPr="00DE6CC6">
        <w:rPr>
          <w:rFonts w:ascii="Times New Roman" w:eastAsia="Times New Roman" w:hAnsi="Times New Roman" w:cs="Times New Roman"/>
          <w:bCs/>
          <w:szCs w:val="20"/>
          <w:lang w:eastAsia="en-AU"/>
        </w:rPr>
        <w:t xml:space="preserve"> variant; and 14.5% (range 10</w:t>
      </w:r>
      <w:r>
        <w:rPr>
          <w:rFonts w:ascii="Times New Roman" w:eastAsia="Times New Roman" w:hAnsi="Times New Roman" w:cs="Times New Roman"/>
          <w:bCs/>
          <w:szCs w:val="20"/>
          <w:lang w:eastAsia="en-AU"/>
        </w:rPr>
        <w:t>%</w:t>
      </w:r>
      <w:r w:rsidRPr="00DE6CC6">
        <w:rPr>
          <w:rFonts w:ascii="Times New Roman" w:eastAsia="Times New Roman" w:hAnsi="Times New Roman" w:cs="Times New Roman"/>
          <w:bCs/>
          <w:szCs w:val="20"/>
          <w:lang w:eastAsia="en-AU"/>
        </w:rPr>
        <w:t>–20</w:t>
      </w:r>
      <w:r>
        <w:rPr>
          <w:rFonts w:ascii="Times New Roman" w:eastAsia="Times New Roman" w:hAnsi="Times New Roman" w:cs="Times New Roman"/>
          <w:bCs/>
          <w:szCs w:val="20"/>
          <w:lang w:eastAsia="en-AU"/>
        </w:rPr>
        <w:t>%</w:t>
      </w:r>
      <w:r w:rsidRPr="00DE6CC6">
        <w:rPr>
          <w:rFonts w:ascii="Times New Roman" w:eastAsia="Times New Roman" w:hAnsi="Times New Roman" w:cs="Times New Roman"/>
          <w:bCs/>
          <w:szCs w:val="20"/>
          <w:lang w:eastAsia="en-AU"/>
        </w:rPr>
        <w:t xml:space="preserve">) for the </w:t>
      </w:r>
      <w:r w:rsidRPr="00DE6CC6">
        <w:rPr>
          <w:rFonts w:ascii="Times New Roman" w:eastAsia="Times New Roman" w:hAnsi="Times New Roman" w:cs="Times New Roman"/>
          <w:bCs/>
          <w:i/>
          <w:iCs/>
          <w:szCs w:val="20"/>
          <w:lang w:eastAsia="en-AU"/>
        </w:rPr>
        <w:t>KRAS</w:t>
      </w:r>
      <w:r w:rsidRPr="00DE6CC6">
        <w:rPr>
          <w:rFonts w:ascii="Times New Roman" w:eastAsia="Times New Roman" w:hAnsi="Times New Roman" w:cs="Times New Roman"/>
          <w:bCs/>
          <w:szCs w:val="20"/>
          <w:lang w:eastAsia="en-AU"/>
        </w:rPr>
        <w:t xml:space="preserve"> G12C variant. The median prevalence of </w:t>
      </w:r>
      <w:r>
        <w:rPr>
          <w:rFonts w:ascii="Times New Roman" w:eastAsia="Times New Roman" w:hAnsi="Times New Roman" w:cs="Times New Roman"/>
          <w:bCs/>
          <w:szCs w:val="20"/>
          <w:lang w:eastAsia="en-AU"/>
        </w:rPr>
        <w:t xml:space="preserve">all </w:t>
      </w:r>
      <w:r w:rsidRPr="00DE6CC6">
        <w:rPr>
          <w:rFonts w:ascii="Times New Roman" w:eastAsia="Times New Roman" w:hAnsi="Times New Roman" w:cs="Times New Roman"/>
          <w:bCs/>
          <w:szCs w:val="20"/>
          <w:lang w:eastAsia="en-AU"/>
        </w:rPr>
        <w:t xml:space="preserve">pathogenic </w:t>
      </w:r>
      <w:r w:rsidRPr="00DE6CC6">
        <w:rPr>
          <w:rFonts w:ascii="Times New Roman" w:eastAsia="Times New Roman" w:hAnsi="Times New Roman" w:cs="Times New Roman"/>
          <w:bCs/>
          <w:i/>
          <w:iCs/>
          <w:szCs w:val="20"/>
          <w:lang w:eastAsia="en-AU"/>
        </w:rPr>
        <w:t>KRAS</w:t>
      </w:r>
      <w:r w:rsidRPr="00DE6CC6">
        <w:rPr>
          <w:rFonts w:ascii="Times New Roman" w:eastAsia="Times New Roman" w:hAnsi="Times New Roman" w:cs="Times New Roman"/>
          <w:bCs/>
          <w:szCs w:val="20"/>
          <w:lang w:eastAsia="en-AU"/>
        </w:rPr>
        <w:t xml:space="preserve"> variants appears to be slightly higher among the testing population when compared to the treatment population </w:t>
      </w:r>
      <w:r w:rsidRPr="00DE6CC6">
        <w:rPr>
          <w:rFonts w:ascii="Times New Roman" w:eastAsia="Times New Roman" w:hAnsi="Times New Roman" w:cs="Times New Roman"/>
          <w:iCs/>
          <w:szCs w:val="20"/>
          <w:lang w:eastAsia="en-AU"/>
        </w:rPr>
        <w:t>(non-squamous NSCLC with advanced disease)</w:t>
      </w:r>
      <w:r w:rsidRPr="00DE6CC6">
        <w:rPr>
          <w:rFonts w:ascii="Times New Roman" w:eastAsia="Times New Roman" w:hAnsi="Times New Roman" w:cs="Times New Roman"/>
          <w:i/>
          <w:szCs w:val="20"/>
          <w:lang w:eastAsia="en-AU"/>
        </w:rPr>
        <w:t xml:space="preserve"> </w:t>
      </w:r>
      <w:r w:rsidRPr="00DE6CC6">
        <w:rPr>
          <w:rFonts w:ascii="Times New Roman" w:eastAsia="Times New Roman" w:hAnsi="Times New Roman" w:cs="Times New Roman"/>
          <w:bCs/>
          <w:szCs w:val="20"/>
          <w:lang w:eastAsia="en-AU"/>
        </w:rPr>
        <w:t>but the difference did not quite reach statistical significance (37.5% versus 30% respectively; p=0.053).</w:t>
      </w:r>
      <w:r>
        <w:rPr>
          <w:rFonts w:ascii="Times New Roman" w:eastAsia="Times New Roman" w:hAnsi="Times New Roman" w:cs="Times New Roman"/>
          <w:bCs/>
          <w:szCs w:val="20"/>
          <w:lang w:eastAsia="en-AU"/>
        </w:rPr>
        <w:t xml:space="preserve"> In addition, t</w:t>
      </w:r>
      <w:r w:rsidRPr="00201014">
        <w:rPr>
          <w:rFonts w:ascii="Times New Roman" w:eastAsia="Times New Roman" w:hAnsi="Times New Roman" w:cs="Times New Roman"/>
          <w:bCs/>
          <w:szCs w:val="20"/>
          <w:lang w:eastAsia="en-AU"/>
        </w:rPr>
        <w:t xml:space="preserve">here was no statistical difference between the median prevalence rates of the </w:t>
      </w:r>
      <w:r w:rsidRPr="00DC28A5">
        <w:rPr>
          <w:rFonts w:ascii="Times New Roman" w:eastAsia="Times New Roman" w:hAnsi="Times New Roman" w:cs="Times New Roman"/>
          <w:bCs/>
          <w:i/>
          <w:iCs/>
          <w:szCs w:val="20"/>
          <w:lang w:eastAsia="en-AU"/>
        </w:rPr>
        <w:t>KRAS</w:t>
      </w:r>
      <w:r w:rsidRPr="00201014">
        <w:rPr>
          <w:rFonts w:ascii="Times New Roman" w:eastAsia="Times New Roman" w:hAnsi="Times New Roman" w:cs="Times New Roman"/>
          <w:bCs/>
          <w:szCs w:val="20"/>
          <w:lang w:eastAsia="en-AU"/>
        </w:rPr>
        <w:t xml:space="preserve"> G12C variant </w:t>
      </w:r>
      <w:r>
        <w:rPr>
          <w:rFonts w:ascii="Times New Roman" w:eastAsia="Times New Roman" w:hAnsi="Times New Roman" w:cs="Times New Roman"/>
          <w:bCs/>
          <w:szCs w:val="20"/>
          <w:lang w:eastAsia="en-AU"/>
        </w:rPr>
        <w:t>between</w:t>
      </w:r>
      <w:r w:rsidRPr="00201014">
        <w:rPr>
          <w:rFonts w:ascii="Times New Roman" w:eastAsia="Times New Roman" w:hAnsi="Times New Roman" w:cs="Times New Roman"/>
          <w:bCs/>
          <w:szCs w:val="20"/>
          <w:lang w:eastAsia="en-AU"/>
        </w:rPr>
        <w:t xml:space="preserve"> these populations (p = 0.109).</w:t>
      </w:r>
      <w:r w:rsidRPr="00DE6CC6">
        <w:rPr>
          <w:rFonts w:ascii="Times New Roman" w:eastAsia="Times New Roman" w:hAnsi="Times New Roman" w:cs="Times New Roman"/>
          <w:bCs/>
          <w:szCs w:val="20"/>
          <w:lang w:eastAsia="en-AU"/>
        </w:rPr>
        <w:t xml:space="preserve"> The ESCs also noted the eight studies providing diagnostic yield data were assessed </w:t>
      </w:r>
      <w:r>
        <w:rPr>
          <w:rFonts w:ascii="Times New Roman" w:eastAsia="Times New Roman" w:hAnsi="Times New Roman" w:cs="Times New Roman"/>
          <w:bCs/>
          <w:szCs w:val="20"/>
          <w:lang w:eastAsia="en-AU"/>
        </w:rPr>
        <w:t xml:space="preserve">overall </w:t>
      </w:r>
      <w:r w:rsidRPr="00DE6CC6">
        <w:rPr>
          <w:rFonts w:ascii="Times New Roman" w:eastAsia="Times New Roman" w:hAnsi="Times New Roman" w:cs="Times New Roman"/>
          <w:bCs/>
          <w:szCs w:val="20"/>
          <w:lang w:eastAsia="en-AU"/>
        </w:rPr>
        <w:t>at high risk of bias due to patient selection.</w:t>
      </w:r>
    </w:p>
    <w:p w14:paraId="647145D3" w14:textId="2E4DCEBF" w:rsidR="00181DB4" w:rsidRPr="00DE6CC6" w:rsidRDefault="00181DB4" w:rsidP="0097544E">
      <w:pPr>
        <w:tabs>
          <w:tab w:val="left" w:pos="2265"/>
          <w:tab w:val="left" w:pos="3420"/>
          <w:tab w:val="left" w:pos="4320"/>
        </w:tabs>
        <w:spacing w:before="240" w:after="0"/>
        <w:jc w:val="left"/>
        <w:rPr>
          <w:rFonts w:ascii="Times New Roman" w:eastAsia="Times New Roman" w:hAnsi="Times New Roman" w:cs="Times New Roman"/>
          <w:bCs/>
          <w:szCs w:val="20"/>
          <w:lang w:eastAsia="en-AU"/>
        </w:rPr>
      </w:pPr>
      <w:r w:rsidRPr="00DE6CC6">
        <w:rPr>
          <w:rFonts w:ascii="Times New Roman" w:eastAsia="Times New Roman" w:hAnsi="Times New Roman" w:cs="Times New Roman"/>
          <w:bCs/>
          <w:szCs w:val="20"/>
          <w:lang w:eastAsia="en-AU"/>
        </w:rPr>
        <w:t xml:space="preserve">The ESCs noted that the submission’s base case economic evaluation did not include the implications of testing as </w:t>
      </w:r>
      <w:r>
        <w:rPr>
          <w:rFonts w:ascii="Times New Roman" w:eastAsia="Times New Roman" w:hAnsi="Times New Roman" w:cs="Times New Roman"/>
          <w:bCs/>
          <w:szCs w:val="20"/>
          <w:lang w:eastAsia="en-AU"/>
        </w:rPr>
        <w:t>it</w:t>
      </w:r>
      <w:r w:rsidRPr="00DE6CC6">
        <w:rPr>
          <w:rFonts w:ascii="Times New Roman" w:eastAsia="Times New Roman" w:hAnsi="Times New Roman" w:cs="Times New Roman"/>
          <w:bCs/>
          <w:szCs w:val="20"/>
          <w:lang w:eastAsia="en-AU"/>
        </w:rPr>
        <w:t xml:space="preserve"> assumed perfect test performance (</w:t>
      </w:r>
      <w:proofErr w:type="gramStart"/>
      <w:r w:rsidRPr="00DE6CC6">
        <w:rPr>
          <w:rFonts w:ascii="Times New Roman" w:eastAsia="Times New Roman" w:hAnsi="Times New Roman" w:cs="Times New Roman"/>
          <w:bCs/>
          <w:szCs w:val="20"/>
          <w:lang w:eastAsia="en-AU"/>
        </w:rPr>
        <w:t>i.e.</w:t>
      </w:r>
      <w:proofErr w:type="gramEnd"/>
      <w:r w:rsidRPr="00DE6CC6">
        <w:rPr>
          <w:rFonts w:ascii="Times New Roman" w:eastAsia="Times New Roman" w:hAnsi="Times New Roman" w:cs="Times New Roman"/>
          <w:bCs/>
          <w:szCs w:val="20"/>
          <w:lang w:eastAsia="en-AU"/>
        </w:rPr>
        <w:t xml:space="preserve"> 100% sensitivity and specificity) based on the high concordance of PCR and NGS; and that testing is associated with no additional cost based on that </w:t>
      </w:r>
      <w:r w:rsidRPr="00DE6CC6">
        <w:rPr>
          <w:rFonts w:ascii="Times New Roman" w:eastAsia="Times New Roman" w:hAnsi="Times New Roman" w:cs="Times New Roman"/>
          <w:bCs/>
          <w:i/>
          <w:iCs/>
          <w:szCs w:val="20"/>
          <w:lang w:eastAsia="en-AU"/>
        </w:rPr>
        <w:t>KRAS</w:t>
      </w:r>
      <w:r w:rsidRPr="00DE6CC6">
        <w:rPr>
          <w:rFonts w:ascii="Times New Roman" w:eastAsia="Times New Roman" w:hAnsi="Times New Roman" w:cs="Times New Roman"/>
          <w:bCs/>
          <w:szCs w:val="20"/>
          <w:lang w:eastAsia="en-AU"/>
        </w:rPr>
        <w:t xml:space="preserve"> variant testing </w:t>
      </w:r>
      <w:r w:rsidRPr="00DE6CC6">
        <w:rPr>
          <w:rFonts w:ascii="Times New Roman" w:eastAsia="Times New Roman" w:hAnsi="Times New Roman" w:cs="Times New Roman"/>
          <w:szCs w:val="20"/>
          <w:lang w:eastAsia="en-AU"/>
        </w:rPr>
        <w:t xml:space="preserve">will occur with all current </w:t>
      </w:r>
      <w:r w:rsidRPr="00DE6CC6">
        <w:rPr>
          <w:rFonts w:ascii="Times New Roman" w:eastAsia="Times New Roman" w:hAnsi="Times New Roman" w:cs="Times New Roman"/>
          <w:i/>
          <w:iCs/>
          <w:szCs w:val="20"/>
          <w:lang w:eastAsia="en-AU"/>
        </w:rPr>
        <w:t>EGFR</w:t>
      </w:r>
      <w:r w:rsidRPr="00DE6CC6">
        <w:rPr>
          <w:rFonts w:ascii="Times New Roman" w:eastAsia="Times New Roman" w:hAnsi="Times New Roman" w:cs="Times New Roman"/>
          <w:szCs w:val="20"/>
          <w:lang w:eastAsia="en-AU"/>
        </w:rPr>
        <w:t xml:space="preserve"> variant testing using NGS. The ESCs noted </w:t>
      </w:r>
      <w:r>
        <w:rPr>
          <w:rFonts w:ascii="Times New Roman" w:eastAsia="Times New Roman" w:hAnsi="Times New Roman" w:cs="Times New Roman"/>
          <w:szCs w:val="20"/>
          <w:lang w:eastAsia="en-AU"/>
        </w:rPr>
        <w:t>that the commentary considered</w:t>
      </w:r>
      <w:r w:rsidRPr="00DE6CC6">
        <w:rPr>
          <w:rFonts w:ascii="Times New Roman" w:eastAsia="Times New Roman" w:hAnsi="Times New Roman" w:cs="Times New Roman"/>
          <w:szCs w:val="20"/>
          <w:lang w:eastAsia="en-AU"/>
        </w:rPr>
        <w:t xml:space="preserve"> it is well-known that NGS performed with poor quality or inadequate tumour DNA samples have an increased likelihood of having a false negative result. However, the ESCs also noted that </w:t>
      </w:r>
      <w:r>
        <w:rPr>
          <w:rFonts w:ascii="Times New Roman" w:eastAsia="Times New Roman" w:hAnsi="Times New Roman" w:cs="Times New Roman"/>
          <w:szCs w:val="20"/>
          <w:lang w:eastAsia="en-AU"/>
        </w:rPr>
        <w:t xml:space="preserve">a </w:t>
      </w:r>
      <w:r w:rsidRPr="00DE6CC6">
        <w:rPr>
          <w:rFonts w:ascii="Times New Roman" w:eastAsia="Times New Roman" w:hAnsi="Times New Roman" w:cs="Times New Roman"/>
          <w:szCs w:val="20"/>
          <w:lang w:eastAsia="en-AU"/>
        </w:rPr>
        <w:t>sensitivity analysis showed that the incremental cost-effectiveness ratio (ICER) was insensitive to variation in testing parameters (see Table 6).</w:t>
      </w:r>
    </w:p>
    <w:p w14:paraId="0EF6F5EB" w14:textId="77777777" w:rsidR="00181DB4" w:rsidRPr="00DE6CC6" w:rsidRDefault="00181DB4" w:rsidP="0097544E">
      <w:pPr>
        <w:tabs>
          <w:tab w:val="left" w:pos="2265"/>
          <w:tab w:val="left" w:pos="3420"/>
          <w:tab w:val="left" w:pos="4320"/>
        </w:tabs>
        <w:spacing w:before="24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bCs/>
          <w:szCs w:val="20"/>
          <w:lang w:eastAsia="en-AU"/>
        </w:rPr>
        <w:t xml:space="preserve">The ESCs noted that the </w:t>
      </w:r>
      <w:r w:rsidRPr="00DE6CC6">
        <w:rPr>
          <w:rFonts w:ascii="Times New Roman" w:eastAsia="Times New Roman" w:hAnsi="Times New Roman" w:cs="Times New Roman"/>
          <w:iCs/>
          <w:szCs w:val="20"/>
          <w:lang w:eastAsia="en-AU"/>
        </w:rPr>
        <w:t>submission considered no change in utilisation related to testing and thus no additional cost to the MBS.</w:t>
      </w:r>
      <w:r w:rsidRPr="00DE6CC6">
        <w:rPr>
          <w:rFonts w:ascii="Times New Roman" w:eastAsia="Times New Roman" w:hAnsi="Times New Roman" w:cs="Times New Roman"/>
          <w:i/>
          <w:szCs w:val="20"/>
          <w:lang w:eastAsia="en-AU"/>
        </w:rPr>
        <w:t xml:space="preserve"> </w:t>
      </w:r>
      <w:r w:rsidRPr="00DE6CC6">
        <w:rPr>
          <w:rFonts w:ascii="Times New Roman" w:eastAsia="Times New Roman" w:hAnsi="Times New Roman" w:cs="Times New Roman"/>
          <w:bCs/>
          <w:szCs w:val="20"/>
          <w:lang w:eastAsia="en-AU"/>
        </w:rPr>
        <w:t xml:space="preserve">However, the </w:t>
      </w:r>
      <w:r>
        <w:rPr>
          <w:rFonts w:ascii="Times New Roman" w:eastAsia="Times New Roman" w:hAnsi="Times New Roman" w:cs="Times New Roman"/>
          <w:bCs/>
          <w:szCs w:val="20"/>
          <w:lang w:eastAsia="en-AU"/>
        </w:rPr>
        <w:t xml:space="preserve">PSCR </w:t>
      </w:r>
      <w:r w:rsidRPr="00DE6CC6">
        <w:rPr>
          <w:rFonts w:ascii="Times New Roman" w:eastAsia="Times New Roman" w:hAnsi="Times New Roman" w:cs="Times New Roman"/>
          <w:bCs/>
          <w:szCs w:val="20"/>
          <w:lang w:eastAsia="en-AU"/>
        </w:rPr>
        <w:t xml:space="preserve">acknowledged that there may be a </w:t>
      </w:r>
      <w:r w:rsidRPr="00DE6CC6">
        <w:rPr>
          <w:rFonts w:ascii="Times New Roman" w:eastAsia="Times New Roman" w:hAnsi="Times New Roman" w:cs="Calibri"/>
          <w:szCs w:val="20"/>
          <w:lang w:eastAsia="en-AU"/>
        </w:rPr>
        <w:t xml:space="preserve">small increase in MBS testing costs from a small number of low throughput laboratories still using single-gene testing which is difficult to quantify and may diminish over time as more laboratories move to NGS. The ESCs also noted that the submission did not quantify any cost offsets associated with a reduction </w:t>
      </w:r>
      <w:r w:rsidRPr="00DE6CC6">
        <w:rPr>
          <w:rFonts w:ascii="Times New Roman" w:eastAsia="Times New Roman" w:hAnsi="Times New Roman" w:cs="Times New Roman"/>
          <w:iCs/>
          <w:szCs w:val="20"/>
          <w:lang w:eastAsia="en-AU"/>
        </w:rPr>
        <w:t xml:space="preserve">in the use of </w:t>
      </w:r>
      <w:r w:rsidRPr="00DE6CC6">
        <w:rPr>
          <w:rFonts w:ascii="Times New Roman" w:eastAsia="Times New Roman" w:hAnsi="Times New Roman" w:cs="Times New Roman"/>
          <w:i/>
          <w:szCs w:val="20"/>
          <w:lang w:eastAsia="en-AU"/>
        </w:rPr>
        <w:t>ALK</w:t>
      </w:r>
      <w:r w:rsidRPr="00DE6CC6">
        <w:rPr>
          <w:rFonts w:ascii="Times New Roman" w:eastAsia="Times New Roman" w:hAnsi="Times New Roman" w:cs="Times New Roman"/>
          <w:iCs/>
          <w:szCs w:val="20"/>
          <w:lang w:eastAsia="en-AU"/>
        </w:rPr>
        <w:t xml:space="preserve"> and </w:t>
      </w:r>
      <w:r w:rsidRPr="00DE6CC6">
        <w:rPr>
          <w:rFonts w:ascii="Times New Roman" w:eastAsia="Times New Roman" w:hAnsi="Times New Roman" w:cs="Times New Roman"/>
          <w:i/>
          <w:szCs w:val="20"/>
          <w:lang w:eastAsia="en-AU"/>
        </w:rPr>
        <w:t>ROS1</w:t>
      </w:r>
      <w:r w:rsidRPr="00DE6CC6">
        <w:rPr>
          <w:rFonts w:ascii="Times New Roman" w:eastAsia="Times New Roman" w:hAnsi="Times New Roman" w:cs="Times New Roman"/>
          <w:iCs/>
          <w:szCs w:val="20"/>
          <w:lang w:eastAsia="en-AU"/>
        </w:rPr>
        <w:t xml:space="preserve"> fluorescence </w:t>
      </w:r>
      <w:r w:rsidRPr="006A3464">
        <w:rPr>
          <w:rFonts w:ascii="Times New Roman" w:eastAsia="Times New Roman" w:hAnsi="Times New Roman" w:cs="Times New Roman"/>
          <w:i/>
          <w:szCs w:val="20"/>
          <w:lang w:eastAsia="en-AU"/>
        </w:rPr>
        <w:t>in situ</w:t>
      </w:r>
      <w:r w:rsidRPr="00DE6CC6">
        <w:rPr>
          <w:rFonts w:ascii="Times New Roman" w:eastAsia="Times New Roman" w:hAnsi="Times New Roman" w:cs="Times New Roman"/>
          <w:iCs/>
          <w:szCs w:val="20"/>
          <w:lang w:eastAsia="en-AU"/>
        </w:rPr>
        <w:t xml:space="preserve"> hybridization (FISH) testing due to </w:t>
      </w:r>
      <w:r w:rsidRPr="00DE6CC6">
        <w:rPr>
          <w:rFonts w:ascii="Times New Roman" w:eastAsia="Times New Roman" w:hAnsi="Times New Roman" w:cs="Times New Roman"/>
          <w:szCs w:val="20"/>
          <w:lang w:eastAsia="en-AU"/>
        </w:rPr>
        <w:t xml:space="preserve">identifying all pathogenic </w:t>
      </w:r>
      <w:r w:rsidRPr="00DE6CC6">
        <w:rPr>
          <w:rFonts w:ascii="Times New Roman" w:eastAsia="Times New Roman" w:hAnsi="Times New Roman" w:cs="Times New Roman"/>
          <w:i/>
          <w:szCs w:val="20"/>
          <w:lang w:eastAsia="en-AU"/>
        </w:rPr>
        <w:t>KRAS</w:t>
      </w:r>
      <w:r w:rsidRPr="00DE6CC6">
        <w:rPr>
          <w:rFonts w:ascii="Times New Roman" w:eastAsia="Times New Roman" w:hAnsi="Times New Roman" w:cs="Times New Roman"/>
          <w:szCs w:val="20"/>
          <w:lang w:eastAsia="en-AU"/>
        </w:rPr>
        <w:t xml:space="preserve"> variants</w:t>
      </w:r>
      <w:r>
        <w:rPr>
          <w:rFonts w:ascii="Times New Roman" w:eastAsia="Times New Roman" w:hAnsi="Times New Roman" w:cs="Times New Roman"/>
          <w:szCs w:val="20"/>
          <w:lang w:eastAsia="en-AU"/>
        </w:rPr>
        <w:t xml:space="preserve"> which are mutually exclusive of the </w:t>
      </w:r>
      <w:r w:rsidRPr="00A837BB">
        <w:rPr>
          <w:rFonts w:ascii="Times New Roman" w:eastAsia="Times New Roman" w:hAnsi="Times New Roman" w:cs="Times New Roman"/>
          <w:i/>
          <w:iCs/>
          <w:szCs w:val="20"/>
          <w:lang w:eastAsia="en-AU"/>
        </w:rPr>
        <w:t>ALK</w:t>
      </w:r>
      <w:r>
        <w:rPr>
          <w:rFonts w:ascii="Times New Roman" w:eastAsia="Times New Roman" w:hAnsi="Times New Roman" w:cs="Times New Roman"/>
          <w:szCs w:val="20"/>
          <w:lang w:eastAsia="en-AU"/>
        </w:rPr>
        <w:t xml:space="preserve"> and </w:t>
      </w:r>
      <w:r w:rsidRPr="00A837BB">
        <w:rPr>
          <w:rFonts w:ascii="Times New Roman" w:eastAsia="Times New Roman" w:hAnsi="Times New Roman" w:cs="Times New Roman"/>
          <w:i/>
          <w:iCs/>
          <w:szCs w:val="20"/>
          <w:lang w:eastAsia="en-AU"/>
        </w:rPr>
        <w:t>ROS1</w:t>
      </w:r>
      <w:r>
        <w:rPr>
          <w:rFonts w:ascii="Times New Roman" w:eastAsia="Times New Roman" w:hAnsi="Times New Roman" w:cs="Times New Roman"/>
          <w:szCs w:val="20"/>
          <w:lang w:eastAsia="en-AU"/>
        </w:rPr>
        <w:t xml:space="preserve"> biomarkers</w:t>
      </w:r>
      <w:r w:rsidRPr="00DE6CC6">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 xml:space="preserve">The ESCs considered that </w:t>
      </w:r>
      <w:r>
        <w:rPr>
          <w:rFonts w:ascii="Times New Roman" w:eastAsia="Times New Roman" w:hAnsi="Times New Roman" w:cs="Times New Roman"/>
          <w:szCs w:val="20"/>
          <w:lang w:eastAsia="en-AU"/>
        </w:rPr>
        <w:lastRenderedPageBreak/>
        <w:t>consideration should be given to amending the related MBS item descriptors (73341 and 73344, respectively) to reflect this consequence. However, t</w:t>
      </w:r>
      <w:r w:rsidRPr="00DE6CC6">
        <w:rPr>
          <w:rFonts w:ascii="Times New Roman" w:eastAsia="Times New Roman" w:hAnsi="Times New Roman" w:cs="Times New Roman"/>
          <w:szCs w:val="20"/>
          <w:lang w:eastAsia="en-AU"/>
        </w:rPr>
        <w:t xml:space="preserve">he ESCs </w:t>
      </w:r>
      <w:r>
        <w:rPr>
          <w:rFonts w:ascii="Times New Roman" w:eastAsia="Times New Roman" w:hAnsi="Times New Roman" w:cs="Times New Roman"/>
          <w:szCs w:val="20"/>
          <w:lang w:eastAsia="en-AU"/>
        </w:rPr>
        <w:t xml:space="preserve">also </w:t>
      </w:r>
      <w:r w:rsidRPr="00DE6CC6">
        <w:rPr>
          <w:rFonts w:ascii="Times New Roman" w:eastAsia="Times New Roman" w:hAnsi="Times New Roman" w:cs="Times New Roman"/>
          <w:szCs w:val="20"/>
          <w:lang w:eastAsia="en-AU"/>
        </w:rPr>
        <w:t xml:space="preserve">considered </w:t>
      </w:r>
      <w:r>
        <w:rPr>
          <w:rFonts w:ascii="Times New Roman" w:eastAsia="Times New Roman" w:hAnsi="Times New Roman" w:cs="Times New Roman"/>
          <w:szCs w:val="20"/>
          <w:lang w:eastAsia="en-AU"/>
        </w:rPr>
        <w:t xml:space="preserve">that offsets from reduced FISH testing would likely be small in magnitude, and offsets associated with </w:t>
      </w:r>
      <w:r w:rsidRPr="00DE6CC6">
        <w:rPr>
          <w:rFonts w:ascii="Times New Roman" w:eastAsia="Times New Roman" w:hAnsi="Times New Roman" w:cs="Times New Roman"/>
          <w:szCs w:val="20"/>
          <w:lang w:eastAsia="en-AU"/>
        </w:rPr>
        <w:t>reflex immunohistochemical (IHC) testing (typically performed at diagnosis of non-squamous NSCLC)</w:t>
      </w:r>
      <w:r>
        <w:rPr>
          <w:rFonts w:ascii="Times New Roman" w:eastAsia="Times New Roman" w:hAnsi="Times New Roman" w:cs="Times New Roman"/>
          <w:szCs w:val="20"/>
          <w:lang w:eastAsia="en-AU"/>
        </w:rPr>
        <w:t xml:space="preserve"> </w:t>
      </w:r>
      <w:r w:rsidRPr="00DE6CC6">
        <w:rPr>
          <w:rFonts w:ascii="Times New Roman" w:eastAsia="Times New Roman" w:hAnsi="Times New Roman" w:cs="Times New Roman"/>
          <w:szCs w:val="20"/>
          <w:lang w:eastAsia="en-AU"/>
        </w:rPr>
        <w:t>would be unlikely to be realised due to the longer turnaround time of NGS relative to reflex IHC testing</w:t>
      </w:r>
      <w:r>
        <w:rPr>
          <w:rFonts w:ascii="Times New Roman" w:eastAsia="Times New Roman" w:hAnsi="Times New Roman" w:cs="Times New Roman"/>
          <w:szCs w:val="20"/>
          <w:lang w:eastAsia="en-AU"/>
        </w:rPr>
        <w:t>.</w:t>
      </w:r>
    </w:p>
    <w:p w14:paraId="3344F79D" w14:textId="77777777" w:rsidR="00181DB4" w:rsidRDefault="00181DB4" w:rsidP="0097544E">
      <w:pPr>
        <w:spacing w:before="240" w:after="0"/>
        <w:jc w:val="left"/>
        <w:rPr>
          <w:rFonts w:ascii="Times New Roman" w:eastAsia="Times New Roman" w:hAnsi="Times New Roman" w:cs="Times New Roman"/>
          <w:szCs w:val="20"/>
          <w:lang w:eastAsia="en-AU"/>
        </w:rPr>
      </w:pPr>
      <w:r w:rsidRPr="00DE6CC6">
        <w:rPr>
          <w:rFonts w:ascii="Times New Roman" w:eastAsia="Times New Roman" w:hAnsi="Times New Roman" w:cs="Times New Roman"/>
          <w:szCs w:val="20"/>
          <w:lang w:eastAsia="en-AU"/>
        </w:rPr>
        <w:t xml:space="preserve">The ESCs noted that a related application is Application 1634 – </w:t>
      </w:r>
      <w:r w:rsidRPr="00DE6CC6">
        <w:rPr>
          <w:rFonts w:ascii="Times New Roman" w:eastAsia="Times New Roman" w:hAnsi="Times New Roman" w:cs="Times New Roman"/>
          <w:i/>
          <w:iCs/>
          <w:szCs w:val="20"/>
          <w:lang w:eastAsia="en-AU"/>
        </w:rPr>
        <w:t>Comprehensive genomic profiling of non-small cell lung cancer tumour tissue specimens using next generation sequencing assays</w:t>
      </w:r>
      <w:r w:rsidRPr="00DE6CC6">
        <w:rPr>
          <w:rFonts w:ascii="Times New Roman" w:eastAsia="Times New Roman" w:hAnsi="Times New Roman" w:cs="Times New Roman"/>
          <w:szCs w:val="20"/>
          <w:lang w:eastAsia="en-AU"/>
        </w:rPr>
        <w:t xml:space="preserve">. This application was considered by PASC in April 2021 and proposes a </w:t>
      </w:r>
      <w:r>
        <w:rPr>
          <w:rFonts w:ascii="Times New Roman" w:eastAsia="Times New Roman" w:hAnsi="Times New Roman" w:cs="Times New Roman"/>
          <w:szCs w:val="20"/>
          <w:lang w:eastAsia="en-AU"/>
        </w:rPr>
        <w:t xml:space="preserve">comprehensive </w:t>
      </w:r>
      <w:r w:rsidRPr="00DE6CC6">
        <w:rPr>
          <w:rFonts w:ascii="Times New Roman" w:eastAsia="Times New Roman" w:hAnsi="Times New Roman" w:cs="Times New Roman"/>
          <w:szCs w:val="20"/>
          <w:lang w:eastAsia="en-AU"/>
        </w:rPr>
        <w:t>gene panel test for NSCLC biomarkers.</w:t>
      </w:r>
    </w:p>
    <w:p w14:paraId="77E59F8A" w14:textId="1C8748A2" w:rsidR="00A928BA" w:rsidRDefault="00181DB4" w:rsidP="0097544E">
      <w:pPr>
        <w:spacing w:before="240" w:after="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ESCs noted that MBS items and the access restrictions for use of molecular diagnostics in lung cancer is behind current clinical practice. Consistent with the consultation feedback, the ESCs suggested that small gene panels should be proposed as an option for MSAC consideration </w:t>
      </w:r>
      <w:proofErr w:type="gramStart"/>
      <w:r>
        <w:rPr>
          <w:rFonts w:ascii="Times New Roman" w:eastAsia="Times New Roman" w:hAnsi="Times New Roman" w:cs="Times New Roman"/>
          <w:szCs w:val="20"/>
          <w:lang w:eastAsia="en-AU"/>
        </w:rPr>
        <w:t>in the near future</w:t>
      </w:r>
      <w:proofErr w:type="gramEnd"/>
      <w:r w:rsidR="0097544E">
        <w:rPr>
          <w:rFonts w:ascii="Times New Roman" w:eastAsia="Times New Roman" w:hAnsi="Times New Roman" w:cs="Times New Roman"/>
          <w:szCs w:val="20"/>
          <w:lang w:eastAsia="en-AU"/>
        </w:rPr>
        <w:t>.</w:t>
      </w:r>
    </w:p>
    <w:p w14:paraId="74EC6C33" w14:textId="19D67213" w:rsidR="0097544E" w:rsidRPr="0097544E" w:rsidRDefault="0097544E" w:rsidP="0097544E">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97544E">
        <w:rPr>
          <w:rFonts w:ascii="Arial" w:eastAsia="Times New Roman" w:hAnsi="Arial" w:cs="Arial"/>
          <w:b/>
          <w:bCs/>
          <w:szCs w:val="28"/>
          <w:lang w:eastAsia="en-AU"/>
        </w:rPr>
        <w:t>Applicant comments on MSAC’s Public Summary Document</w:t>
      </w:r>
    </w:p>
    <w:p w14:paraId="1645E95F" w14:textId="731B8AA1" w:rsidR="002F48EA" w:rsidRPr="002F48EA" w:rsidRDefault="002F48EA" w:rsidP="0097544E">
      <w:pPr>
        <w:rPr>
          <w:rFonts w:ascii="Times New Roman" w:hAnsi="Times New Roman" w:cs="Times New Roman"/>
        </w:rPr>
      </w:pPr>
      <w:r>
        <w:rPr>
          <w:rFonts w:ascii="Times New Roman" w:hAnsi="Times New Roman" w:cs="Times New Roman"/>
        </w:rPr>
        <w:t xml:space="preserve">Amgen is pleased with the </w:t>
      </w:r>
      <w:r w:rsidR="004D26C3">
        <w:rPr>
          <w:rFonts w:ascii="Times New Roman" w:hAnsi="Times New Roman" w:cs="Times New Roman"/>
        </w:rPr>
        <w:t xml:space="preserve">commitment by </w:t>
      </w:r>
      <w:r>
        <w:rPr>
          <w:rFonts w:ascii="Times New Roman" w:hAnsi="Times New Roman" w:cs="Times New Roman"/>
        </w:rPr>
        <w:t>MSAC</w:t>
      </w:r>
      <w:r w:rsidR="004D26C3">
        <w:rPr>
          <w:rFonts w:ascii="Times New Roman" w:hAnsi="Times New Roman" w:cs="Times New Roman"/>
        </w:rPr>
        <w:t xml:space="preserve"> to </w:t>
      </w:r>
      <w:r w:rsidR="007143CF" w:rsidRPr="004B2CA1">
        <w:rPr>
          <w:rFonts w:ascii="Times New Roman" w:eastAsia="Times New Roman" w:hAnsi="Times New Roman" w:cs="Times New Roman"/>
          <w:szCs w:val="20"/>
          <w:lang w:eastAsia="en-AU"/>
        </w:rPr>
        <w:t xml:space="preserve">expeditiously reconsider </w:t>
      </w:r>
      <w:r w:rsidR="003B59B9" w:rsidRPr="008765E4">
        <w:rPr>
          <w:rFonts w:ascii="Times New Roman" w:eastAsia="Times New Roman" w:hAnsi="Times New Roman" w:cs="Times New Roman"/>
          <w:i/>
          <w:iCs/>
          <w:szCs w:val="20"/>
          <w:lang w:eastAsia="en-AU"/>
        </w:rPr>
        <w:t>KRAS</w:t>
      </w:r>
      <w:r w:rsidR="003B59B9">
        <w:rPr>
          <w:rFonts w:ascii="Times New Roman" w:eastAsia="Times New Roman" w:hAnsi="Times New Roman" w:cs="Times New Roman"/>
          <w:szCs w:val="20"/>
          <w:lang w:eastAsia="en-AU"/>
        </w:rPr>
        <w:t xml:space="preserve"> G12C</w:t>
      </w:r>
      <w:r w:rsidR="007143CF" w:rsidRPr="004B2CA1">
        <w:rPr>
          <w:rFonts w:ascii="Times New Roman" w:eastAsia="Times New Roman" w:hAnsi="Times New Roman" w:cs="Times New Roman"/>
          <w:szCs w:val="20"/>
          <w:lang w:eastAsia="en-AU"/>
        </w:rPr>
        <w:t xml:space="preserve"> testing if </w:t>
      </w:r>
      <w:r w:rsidR="00845B94">
        <w:rPr>
          <w:rFonts w:ascii="Times New Roman" w:eastAsia="Times New Roman" w:hAnsi="Times New Roman" w:cs="Times New Roman"/>
          <w:szCs w:val="20"/>
          <w:lang w:eastAsia="en-AU"/>
        </w:rPr>
        <w:t xml:space="preserve">the </w:t>
      </w:r>
      <w:r w:rsidR="007143CF" w:rsidRPr="004B2CA1">
        <w:rPr>
          <w:rFonts w:ascii="Times New Roman" w:eastAsia="Times New Roman" w:hAnsi="Times New Roman" w:cs="Times New Roman"/>
          <w:szCs w:val="20"/>
          <w:lang w:eastAsia="en-AU"/>
        </w:rPr>
        <w:t xml:space="preserve">PBAC recommends </w:t>
      </w:r>
      <w:proofErr w:type="spellStart"/>
      <w:r w:rsidR="007143CF" w:rsidRPr="004B2CA1">
        <w:rPr>
          <w:rFonts w:ascii="Times New Roman" w:eastAsia="Times New Roman" w:hAnsi="Times New Roman" w:cs="Times New Roman"/>
          <w:szCs w:val="20"/>
          <w:lang w:eastAsia="en-AU"/>
        </w:rPr>
        <w:t>sotorasib</w:t>
      </w:r>
      <w:proofErr w:type="spellEnd"/>
      <w:r>
        <w:rPr>
          <w:rFonts w:ascii="Times New Roman" w:hAnsi="Times New Roman" w:cs="Times New Roman"/>
        </w:rPr>
        <w:t xml:space="preserve">.  </w:t>
      </w:r>
      <w:r w:rsidR="004D26C3" w:rsidRPr="008765E4">
        <w:rPr>
          <w:rFonts w:ascii="Times New Roman" w:hAnsi="Times New Roman" w:cs="Times New Roman"/>
        </w:rPr>
        <w:t xml:space="preserve">Amgen </w:t>
      </w:r>
      <w:r w:rsidR="003B59B9">
        <w:rPr>
          <w:rFonts w:ascii="Times New Roman" w:hAnsi="Times New Roman" w:cs="Times New Roman"/>
        </w:rPr>
        <w:t>is</w:t>
      </w:r>
      <w:r w:rsidR="004D26C3" w:rsidRPr="008765E4">
        <w:rPr>
          <w:rFonts w:ascii="Times New Roman" w:hAnsi="Times New Roman" w:cs="Times New Roman"/>
        </w:rPr>
        <w:t xml:space="preserve"> continu</w:t>
      </w:r>
      <w:r w:rsidR="003B59B9">
        <w:rPr>
          <w:rFonts w:ascii="Times New Roman" w:hAnsi="Times New Roman" w:cs="Times New Roman"/>
        </w:rPr>
        <w:t>ing</w:t>
      </w:r>
      <w:r w:rsidR="004D26C3" w:rsidRPr="008765E4">
        <w:rPr>
          <w:rFonts w:ascii="Times New Roman" w:hAnsi="Times New Roman" w:cs="Times New Roman"/>
        </w:rPr>
        <w:t xml:space="preserve"> to work with the PBAC to secure reimbursement of </w:t>
      </w:r>
      <w:proofErr w:type="spellStart"/>
      <w:r w:rsidR="004D26C3" w:rsidRPr="008765E4">
        <w:rPr>
          <w:rFonts w:ascii="Times New Roman" w:hAnsi="Times New Roman" w:cs="Times New Roman"/>
        </w:rPr>
        <w:t>sotorasib</w:t>
      </w:r>
      <w:proofErr w:type="spellEnd"/>
      <w:r w:rsidR="004D26C3" w:rsidRPr="008765E4">
        <w:rPr>
          <w:rFonts w:ascii="Times New Roman" w:hAnsi="Times New Roman" w:cs="Times New Roman"/>
        </w:rPr>
        <w:t xml:space="preserve"> for eligible Australian lung cancer patients.</w:t>
      </w:r>
    </w:p>
    <w:p w14:paraId="6DCAC9C9" w14:textId="32238D4D" w:rsidR="0097544E" w:rsidRPr="0097544E" w:rsidRDefault="0097544E" w:rsidP="0097544E">
      <w:pPr>
        <w:keepNext/>
        <w:keepLines/>
        <w:numPr>
          <w:ilvl w:val="0"/>
          <w:numId w:val="92"/>
        </w:numPr>
        <w:spacing w:before="360" w:after="240"/>
        <w:ind w:hanging="720"/>
        <w:jc w:val="left"/>
        <w:outlineLvl w:val="0"/>
        <w:rPr>
          <w:rFonts w:ascii="Arial" w:eastAsia="Times New Roman" w:hAnsi="Arial" w:cs="Arial"/>
          <w:b/>
          <w:bCs/>
          <w:szCs w:val="28"/>
          <w:lang w:eastAsia="en-AU"/>
        </w:rPr>
      </w:pPr>
      <w:r w:rsidRPr="0097544E">
        <w:rPr>
          <w:rFonts w:ascii="Arial" w:eastAsia="Times New Roman" w:hAnsi="Arial" w:cs="Arial"/>
          <w:b/>
          <w:bCs/>
          <w:szCs w:val="28"/>
          <w:lang w:eastAsia="en-AU"/>
        </w:rPr>
        <w:t>Further information on MSAC</w:t>
      </w:r>
    </w:p>
    <w:p w14:paraId="0CFA2F12" w14:textId="17AC05E1" w:rsidR="0097544E" w:rsidRPr="0097544E" w:rsidRDefault="0097544E" w:rsidP="0097544E">
      <w:pPr>
        <w:spacing w:before="240" w:after="0"/>
        <w:jc w:val="left"/>
        <w:rPr>
          <w:rFonts w:ascii="Times New Roman" w:hAnsi="Times New Roman" w:cs="Times New Roman"/>
        </w:rPr>
      </w:pPr>
      <w:r w:rsidRPr="0097544E">
        <w:rPr>
          <w:rFonts w:ascii="Times New Roman" w:hAnsi="Times New Roman" w:cs="Times New Roman"/>
        </w:rPr>
        <w:t xml:space="preserve">MSAC Terms of Reference and other information are available on the MSAC Website: </w:t>
      </w:r>
      <w:hyperlink r:id="rId9" w:tooltip="Link to the MSAC website" w:history="1">
        <w:r w:rsidRPr="0097544E">
          <w:rPr>
            <w:rStyle w:val="Hyperlink"/>
            <w:rFonts w:ascii="Times New Roman" w:hAnsi="Times New Roman" w:cs="Times New Roman"/>
          </w:rPr>
          <w:t>visit the MSAC website</w:t>
        </w:r>
      </w:hyperlink>
    </w:p>
    <w:sectPr w:rsidR="0097544E" w:rsidRPr="009754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43674" w14:textId="77777777" w:rsidR="00C72387" w:rsidRDefault="00C72387" w:rsidP="00BA3306">
      <w:pPr>
        <w:spacing w:before="0" w:after="0"/>
      </w:pPr>
      <w:r>
        <w:separator/>
      </w:r>
    </w:p>
    <w:p w14:paraId="56F9E106" w14:textId="77777777" w:rsidR="00C72387" w:rsidRDefault="00C72387"/>
  </w:endnote>
  <w:endnote w:type="continuationSeparator" w:id="0">
    <w:p w14:paraId="1D0EE3AC" w14:textId="77777777" w:rsidR="00C72387" w:rsidRDefault="00C72387" w:rsidP="00BA3306">
      <w:pPr>
        <w:spacing w:before="0" w:after="0"/>
      </w:pPr>
      <w:r>
        <w:continuationSeparator/>
      </w:r>
    </w:p>
    <w:p w14:paraId="5F410890" w14:textId="77777777" w:rsidR="00C72387" w:rsidRDefault="00C72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umanist 77 7 B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8A601" w14:textId="77777777" w:rsidR="008765E4" w:rsidRDefault="00876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16B7" w14:textId="77777777" w:rsidR="008765E4" w:rsidRDefault="00876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CF73" w14:textId="77777777" w:rsidR="008765E4" w:rsidRDefault="00876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F2B6A" w14:textId="77777777" w:rsidR="00C72387" w:rsidRDefault="00C72387" w:rsidP="00BA3306">
      <w:pPr>
        <w:spacing w:before="0" w:after="0"/>
      </w:pPr>
      <w:r>
        <w:separator/>
      </w:r>
    </w:p>
    <w:p w14:paraId="6C51683B" w14:textId="77777777" w:rsidR="00C72387" w:rsidRDefault="00C72387"/>
  </w:footnote>
  <w:footnote w:type="continuationSeparator" w:id="0">
    <w:p w14:paraId="6DDC2018" w14:textId="77777777" w:rsidR="00C72387" w:rsidRDefault="00C72387" w:rsidP="00BA3306">
      <w:pPr>
        <w:spacing w:before="0" w:after="0"/>
      </w:pPr>
      <w:r>
        <w:continuationSeparator/>
      </w:r>
    </w:p>
    <w:p w14:paraId="30C82EF5" w14:textId="77777777" w:rsidR="00C72387" w:rsidRDefault="00C72387"/>
  </w:footnote>
  <w:footnote w:id="1">
    <w:p w14:paraId="234488FA" w14:textId="77777777" w:rsidR="00C72387" w:rsidRDefault="00C72387" w:rsidP="00DE6CC6">
      <w:pPr>
        <w:pStyle w:val="FootnoteText"/>
      </w:pPr>
      <w:r>
        <w:rPr>
          <w:rStyle w:val="FootnoteReference"/>
        </w:rPr>
        <w:footnoteRef/>
      </w:r>
      <w:r>
        <w:t xml:space="preserve"> No common comparator arm between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ABCCA" w14:textId="77777777" w:rsidR="008765E4" w:rsidRDefault="00876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09737" w14:textId="77777777" w:rsidR="00C72387" w:rsidRDefault="00C72387" w:rsidP="00C317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347C2" w14:textId="77777777" w:rsidR="008765E4" w:rsidRDefault="00876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36E1E"/>
    <w:multiLevelType w:val="hybridMultilevel"/>
    <w:tmpl w:val="72280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97483"/>
    <w:multiLevelType w:val="hybridMultilevel"/>
    <w:tmpl w:val="1E24B09A"/>
    <w:lvl w:ilvl="0" w:tplc="EFC4F59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653B68"/>
    <w:multiLevelType w:val="hybridMultilevel"/>
    <w:tmpl w:val="8DB6F97C"/>
    <w:lvl w:ilvl="0" w:tplc="48F662A2">
      <w:start w:val="1"/>
      <w:numFmt w:val="lowerLetter"/>
      <w:lvlText w:val="(%1)"/>
      <w:lvlJc w:val="left"/>
      <w:pPr>
        <w:ind w:left="990" w:hanging="360"/>
      </w:pPr>
      <w:rPr>
        <w:rFonts w:hint="default"/>
        <w:i/>
        <w:color w:val="auto"/>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6" w15:restartNumberingAfterBreak="0">
    <w:nsid w:val="12F575CC"/>
    <w:multiLevelType w:val="hybridMultilevel"/>
    <w:tmpl w:val="E1447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64EBB"/>
    <w:multiLevelType w:val="multilevel"/>
    <w:tmpl w:val="569C13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41C25FA"/>
    <w:multiLevelType w:val="hybridMultilevel"/>
    <w:tmpl w:val="5E76637E"/>
    <w:lvl w:ilvl="0" w:tplc="3C6A24B4">
      <w:start w:val="1"/>
      <w:numFmt w:val="bullet"/>
      <w:lvlText w:val="•"/>
      <w:lvlJc w:val="left"/>
      <w:pPr>
        <w:tabs>
          <w:tab w:val="num" w:pos="720"/>
        </w:tabs>
        <w:ind w:left="720" w:hanging="360"/>
      </w:pPr>
      <w:rPr>
        <w:rFonts w:ascii="Arial" w:hAnsi="Arial" w:hint="default"/>
      </w:rPr>
    </w:lvl>
    <w:lvl w:ilvl="1" w:tplc="677ECE9E" w:tentative="1">
      <w:start w:val="1"/>
      <w:numFmt w:val="bullet"/>
      <w:lvlText w:val="•"/>
      <w:lvlJc w:val="left"/>
      <w:pPr>
        <w:tabs>
          <w:tab w:val="num" w:pos="1440"/>
        </w:tabs>
        <w:ind w:left="1440" w:hanging="360"/>
      </w:pPr>
      <w:rPr>
        <w:rFonts w:ascii="Arial" w:hAnsi="Arial" w:hint="default"/>
      </w:rPr>
    </w:lvl>
    <w:lvl w:ilvl="2" w:tplc="24B6C41C" w:tentative="1">
      <w:start w:val="1"/>
      <w:numFmt w:val="bullet"/>
      <w:lvlText w:val="•"/>
      <w:lvlJc w:val="left"/>
      <w:pPr>
        <w:tabs>
          <w:tab w:val="num" w:pos="2160"/>
        </w:tabs>
        <w:ind w:left="2160" w:hanging="360"/>
      </w:pPr>
      <w:rPr>
        <w:rFonts w:ascii="Arial" w:hAnsi="Arial" w:hint="default"/>
      </w:rPr>
    </w:lvl>
    <w:lvl w:ilvl="3" w:tplc="FB26707C" w:tentative="1">
      <w:start w:val="1"/>
      <w:numFmt w:val="bullet"/>
      <w:lvlText w:val="•"/>
      <w:lvlJc w:val="left"/>
      <w:pPr>
        <w:tabs>
          <w:tab w:val="num" w:pos="2880"/>
        </w:tabs>
        <w:ind w:left="2880" w:hanging="360"/>
      </w:pPr>
      <w:rPr>
        <w:rFonts w:ascii="Arial" w:hAnsi="Arial" w:hint="default"/>
      </w:rPr>
    </w:lvl>
    <w:lvl w:ilvl="4" w:tplc="A066ECDA" w:tentative="1">
      <w:start w:val="1"/>
      <w:numFmt w:val="bullet"/>
      <w:lvlText w:val="•"/>
      <w:lvlJc w:val="left"/>
      <w:pPr>
        <w:tabs>
          <w:tab w:val="num" w:pos="3600"/>
        </w:tabs>
        <w:ind w:left="3600" w:hanging="360"/>
      </w:pPr>
      <w:rPr>
        <w:rFonts w:ascii="Arial" w:hAnsi="Arial" w:hint="default"/>
      </w:rPr>
    </w:lvl>
    <w:lvl w:ilvl="5" w:tplc="0282B340" w:tentative="1">
      <w:start w:val="1"/>
      <w:numFmt w:val="bullet"/>
      <w:lvlText w:val="•"/>
      <w:lvlJc w:val="left"/>
      <w:pPr>
        <w:tabs>
          <w:tab w:val="num" w:pos="4320"/>
        </w:tabs>
        <w:ind w:left="4320" w:hanging="360"/>
      </w:pPr>
      <w:rPr>
        <w:rFonts w:ascii="Arial" w:hAnsi="Arial" w:hint="default"/>
      </w:rPr>
    </w:lvl>
    <w:lvl w:ilvl="6" w:tplc="459265BE" w:tentative="1">
      <w:start w:val="1"/>
      <w:numFmt w:val="bullet"/>
      <w:lvlText w:val="•"/>
      <w:lvlJc w:val="left"/>
      <w:pPr>
        <w:tabs>
          <w:tab w:val="num" w:pos="5040"/>
        </w:tabs>
        <w:ind w:left="5040" w:hanging="360"/>
      </w:pPr>
      <w:rPr>
        <w:rFonts w:ascii="Arial" w:hAnsi="Arial" w:hint="default"/>
      </w:rPr>
    </w:lvl>
    <w:lvl w:ilvl="7" w:tplc="AE94F9C0" w:tentative="1">
      <w:start w:val="1"/>
      <w:numFmt w:val="bullet"/>
      <w:lvlText w:val="•"/>
      <w:lvlJc w:val="left"/>
      <w:pPr>
        <w:tabs>
          <w:tab w:val="num" w:pos="5760"/>
        </w:tabs>
        <w:ind w:left="5760" w:hanging="360"/>
      </w:pPr>
      <w:rPr>
        <w:rFonts w:ascii="Arial" w:hAnsi="Arial" w:hint="default"/>
      </w:rPr>
    </w:lvl>
    <w:lvl w:ilvl="8" w:tplc="BE66EC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4856813"/>
    <w:multiLevelType w:val="hybridMultilevel"/>
    <w:tmpl w:val="B2DE8E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490F8C"/>
    <w:multiLevelType w:val="multilevel"/>
    <w:tmpl w:val="28583982"/>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B6E0D0B"/>
    <w:multiLevelType w:val="hybridMultilevel"/>
    <w:tmpl w:val="10525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BF3806"/>
    <w:multiLevelType w:val="multilevel"/>
    <w:tmpl w:val="F392E874"/>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i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6E3FEB"/>
    <w:multiLevelType w:val="hybridMultilevel"/>
    <w:tmpl w:val="C06A2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02383"/>
    <w:multiLevelType w:val="hybridMultilevel"/>
    <w:tmpl w:val="1722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D41F88"/>
    <w:multiLevelType w:val="hybridMultilevel"/>
    <w:tmpl w:val="D742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02AAC"/>
    <w:multiLevelType w:val="hybridMultilevel"/>
    <w:tmpl w:val="71983004"/>
    <w:lvl w:ilvl="0" w:tplc="C6F659A0">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5B2762"/>
    <w:multiLevelType w:val="hybridMultilevel"/>
    <w:tmpl w:val="0A302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6F06BA"/>
    <w:multiLevelType w:val="hybridMultilevel"/>
    <w:tmpl w:val="7C5C4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21DE4"/>
    <w:multiLevelType w:val="hybridMultilevel"/>
    <w:tmpl w:val="F318A744"/>
    <w:lvl w:ilvl="0" w:tplc="648A5F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B52ED5"/>
    <w:multiLevelType w:val="hybridMultilevel"/>
    <w:tmpl w:val="87FC71E4"/>
    <w:lvl w:ilvl="0" w:tplc="0176847E">
      <w:start w:val="1"/>
      <w:numFmt w:val="lowerLetter"/>
      <w:lvlText w:val="%1."/>
      <w:lvlJc w:val="left"/>
      <w:pPr>
        <w:ind w:left="674" w:hanging="360"/>
      </w:pPr>
      <w:rPr>
        <w:rFonts w:hint="default"/>
        <w:color w:val="FF0000"/>
      </w:rPr>
    </w:lvl>
    <w:lvl w:ilvl="1" w:tplc="0C090019" w:tentative="1">
      <w:start w:val="1"/>
      <w:numFmt w:val="lowerLetter"/>
      <w:lvlText w:val="%2."/>
      <w:lvlJc w:val="left"/>
      <w:pPr>
        <w:ind w:left="1394" w:hanging="360"/>
      </w:pPr>
    </w:lvl>
    <w:lvl w:ilvl="2" w:tplc="0C09001B" w:tentative="1">
      <w:start w:val="1"/>
      <w:numFmt w:val="lowerRoman"/>
      <w:lvlText w:val="%3."/>
      <w:lvlJc w:val="right"/>
      <w:pPr>
        <w:ind w:left="2114" w:hanging="180"/>
      </w:pPr>
    </w:lvl>
    <w:lvl w:ilvl="3" w:tplc="0C09000F" w:tentative="1">
      <w:start w:val="1"/>
      <w:numFmt w:val="decimal"/>
      <w:lvlText w:val="%4."/>
      <w:lvlJc w:val="left"/>
      <w:pPr>
        <w:ind w:left="2834" w:hanging="360"/>
      </w:pPr>
    </w:lvl>
    <w:lvl w:ilvl="4" w:tplc="0C090019" w:tentative="1">
      <w:start w:val="1"/>
      <w:numFmt w:val="lowerLetter"/>
      <w:lvlText w:val="%5."/>
      <w:lvlJc w:val="left"/>
      <w:pPr>
        <w:ind w:left="3554" w:hanging="360"/>
      </w:pPr>
    </w:lvl>
    <w:lvl w:ilvl="5" w:tplc="0C09001B" w:tentative="1">
      <w:start w:val="1"/>
      <w:numFmt w:val="lowerRoman"/>
      <w:lvlText w:val="%6."/>
      <w:lvlJc w:val="right"/>
      <w:pPr>
        <w:ind w:left="4274" w:hanging="180"/>
      </w:pPr>
    </w:lvl>
    <w:lvl w:ilvl="6" w:tplc="0C09000F" w:tentative="1">
      <w:start w:val="1"/>
      <w:numFmt w:val="decimal"/>
      <w:lvlText w:val="%7."/>
      <w:lvlJc w:val="left"/>
      <w:pPr>
        <w:ind w:left="4994" w:hanging="360"/>
      </w:pPr>
    </w:lvl>
    <w:lvl w:ilvl="7" w:tplc="0C090019" w:tentative="1">
      <w:start w:val="1"/>
      <w:numFmt w:val="lowerLetter"/>
      <w:lvlText w:val="%8."/>
      <w:lvlJc w:val="left"/>
      <w:pPr>
        <w:ind w:left="5714" w:hanging="360"/>
      </w:pPr>
    </w:lvl>
    <w:lvl w:ilvl="8" w:tplc="0C09001B" w:tentative="1">
      <w:start w:val="1"/>
      <w:numFmt w:val="lowerRoman"/>
      <w:lvlText w:val="%9."/>
      <w:lvlJc w:val="right"/>
      <w:pPr>
        <w:ind w:left="6434" w:hanging="180"/>
      </w:pPr>
    </w:lvl>
  </w:abstractNum>
  <w:abstractNum w:abstractNumId="27" w15:restartNumberingAfterBreak="0">
    <w:nsid w:val="368D03CD"/>
    <w:multiLevelType w:val="hybridMultilevel"/>
    <w:tmpl w:val="FF668A04"/>
    <w:lvl w:ilvl="0" w:tplc="648A5FE0">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D46C77"/>
    <w:multiLevelType w:val="hybridMultilevel"/>
    <w:tmpl w:val="AC722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A24454"/>
    <w:multiLevelType w:val="hybridMultilevel"/>
    <w:tmpl w:val="73864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BC16B6"/>
    <w:multiLevelType w:val="hybridMultilevel"/>
    <w:tmpl w:val="13D8B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55215E"/>
    <w:multiLevelType w:val="hybridMultilevel"/>
    <w:tmpl w:val="E7042A48"/>
    <w:lvl w:ilvl="0" w:tplc="648A5FE0">
      <w:start w:val="1"/>
      <w:numFmt w:val="bullet"/>
      <w:lvlText w:val=""/>
      <w:lvlJc w:val="left"/>
      <w:pPr>
        <w:ind w:left="720" w:hanging="360"/>
      </w:pPr>
      <w:rPr>
        <w:rFonts w:ascii="Symbol" w:hAnsi="Symbol" w:hint="default"/>
      </w:rPr>
    </w:lvl>
    <w:lvl w:ilvl="1" w:tplc="7F22C0D2">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641B3F"/>
    <w:multiLevelType w:val="hybridMultilevel"/>
    <w:tmpl w:val="09A0A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6E1E1A"/>
    <w:multiLevelType w:val="multilevel"/>
    <w:tmpl w:val="D376D87C"/>
    <w:lvl w:ilvl="0">
      <w:start w:val="1"/>
      <w:numFmt w:val="decimal"/>
      <w:lvlText w:val="%1."/>
      <w:lvlJc w:val="left"/>
      <w:pPr>
        <w:ind w:left="630" w:hanging="630"/>
      </w:pPr>
      <w:rPr>
        <w:rFonts w:hint="default"/>
      </w:rPr>
    </w:lvl>
    <w:lvl w:ilvl="1">
      <w:start w:val="1"/>
      <w:numFmt w:val="decimal"/>
      <w:lvlText w:val="%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D8D1632"/>
    <w:multiLevelType w:val="hybridMultilevel"/>
    <w:tmpl w:val="527C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2C5551"/>
    <w:multiLevelType w:val="hybridMultilevel"/>
    <w:tmpl w:val="21260F28"/>
    <w:lvl w:ilvl="0" w:tplc="DDBE685A">
      <w:start w:val="1"/>
      <w:numFmt w:val="lowerLetter"/>
      <w:lvlText w:val="%1."/>
      <w:lvlJc w:val="left"/>
      <w:pPr>
        <w:ind w:left="674" w:hanging="360"/>
      </w:pPr>
      <w:rPr>
        <w:rFonts w:hint="default"/>
        <w:color w:val="auto"/>
      </w:rPr>
    </w:lvl>
    <w:lvl w:ilvl="1" w:tplc="0C090019" w:tentative="1">
      <w:start w:val="1"/>
      <w:numFmt w:val="lowerLetter"/>
      <w:lvlText w:val="%2."/>
      <w:lvlJc w:val="left"/>
      <w:pPr>
        <w:ind w:left="1394" w:hanging="360"/>
      </w:pPr>
    </w:lvl>
    <w:lvl w:ilvl="2" w:tplc="0C09001B" w:tentative="1">
      <w:start w:val="1"/>
      <w:numFmt w:val="lowerRoman"/>
      <w:lvlText w:val="%3."/>
      <w:lvlJc w:val="right"/>
      <w:pPr>
        <w:ind w:left="2114" w:hanging="180"/>
      </w:pPr>
    </w:lvl>
    <w:lvl w:ilvl="3" w:tplc="0C09000F" w:tentative="1">
      <w:start w:val="1"/>
      <w:numFmt w:val="decimal"/>
      <w:lvlText w:val="%4."/>
      <w:lvlJc w:val="left"/>
      <w:pPr>
        <w:ind w:left="2834" w:hanging="360"/>
      </w:pPr>
    </w:lvl>
    <w:lvl w:ilvl="4" w:tplc="0C090019" w:tentative="1">
      <w:start w:val="1"/>
      <w:numFmt w:val="lowerLetter"/>
      <w:lvlText w:val="%5."/>
      <w:lvlJc w:val="left"/>
      <w:pPr>
        <w:ind w:left="3554" w:hanging="360"/>
      </w:pPr>
    </w:lvl>
    <w:lvl w:ilvl="5" w:tplc="0C09001B" w:tentative="1">
      <w:start w:val="1"/>
      <w:numFmt w:val="lowerRoman"/>
      <w:lvlText w:val="%6."/>
      <w:lvlJc w:val="right"/>
      <w:pPr>
        <w:ind w:left="4274" w:hanging="180"/>
      </w:pPr>
    </w:lvl>
    <w:lvl w:ilvl="6" w:tplc="0C09000F" w:tentative="1">
      <w:start w:val="1"/>
      <w:numFmt w:val="decimal"/>
      <w:lvlText w:val="%7."/>
      <w:lvlJc w:val="left"/>
      <w:pPr>
        <w:ind w:left="4994" w:hanging="360"/>
      </w:pPr>
    </w:lvl>
    <w:lvl w:ilvl="7" w:tplc="0C090019" w:tentative="1">
      <w:start w:val="1"/>
      <w:numFmt w:val="lowerLetter"/>
      <w:lvlText w:val="%8."/>
      <w:lvlJc w:val="left"/>
      <w:pPr>
        <w:ind w:left="5714" w:hanging="360"/>
      </w:pPr>
    </w:lvl>
    <w:lvl w:ilvl="8" w:tplc="0C09001B" w:tentative="1">
      <w:start w:val="1"/>
      <w:numFmt w:val="lowerRoman"/>
      <w:lvlText w:val="%9."/>
      <w:lvlJc w:val="right"/>
      <w:pPr>
        <w:ind w:left="6434" w:hanging="180"/>
      </w:pPr>
    </w:lvl>
  </w:abstractNum>
  <w:abstractNum w:abstractNumId="37" w15:restartNumberingAfterBreak="0">
    <w:nsid w:val="3E8E7CDD"/>
    <w:multiLevelType w:val="hybridMultilevel"/>
    <w:tmpl w:val="19F2B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FE32B63"/>
    <w:multiLevelType w:val="hybridMultilevel"/>
    <w:tmpl w:val="73F4B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40A42503"/>
    <w:multiLevelType w:val="hybridMultilevel"/>
    <w:tmpl w:val="36FE2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1330B33"/>
    <w:multiLevelType w:val="hybridMultilevel"/>
    <w:tmpl w:val="33F6D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42" w15:restartNumberingAfterBreak="0">
    <w:nsid w:val="426B3AC0"/>
    <w:multiLevelType w:val="hybridMultilevel"/>
    <w:tmpl w:val="29703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666D52"/>
    <w:multiLevelType w:val="hybridMultilevel"/>
    <w:tmpl w:val="66E84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855298F"/>
    <w:multiLevelType w:val="multilevel"/>
    <w:tmpl w:val="1CF073C0"/>
    <w:lvl w:ilvl="0">
      <w:start w:val="3"/>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DAC1142"/>
    <w:multiLevelType w:val="multilevel"/>
    <w:tmpl w:val="6EFE96F0"/>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5470138A"/>
    <w:multiLevelType w:val="hybridMultilevel"/>
    <w:tmpl w:val="6A16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671A17"/>
    <w:multiLevelType w:val="hybridMultilevel"/>
    <w:tmpl w:val="1DD4A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C591419"/>
    <w:multiLevelType w:val="hybridMultilevel"/>
    <w:tmpl w:val="B692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D387448"/>
    <w:multiLevelType w:val="multilevel"/>
    <w:tmpl w:val="B22A93B6"/>
    <w:numStyleLink w:val="Heading1a"/>
  </w:abstractNum>
  <w:abstractNum w:abstractNumId="54"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E9A7EA7"/>
    <w:multiLevelType w:val="hybridMultilevel"/>
    <w:tmpl w:val="366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032B37"/>
    <w:multiLevelType w:val="hybridMultilevel"/>
    <w:tmpl w:val="133C2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606F5374"/>
    <w:multiLevelType w:val="hybridMultilevel"/>
    <w:tmpl w:val="B08A31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8" w15:restartNumberingAfterBreak="0">
    <w:nsid w:val="62551F16"/>
    <w:multiLevelType w:val="hybridMultilevel"/>
    <w:tmpl w:val="AF16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6940AFE"/>
    <w:multiLevelType w:val="hybridMultilevel"/>
    <w:tmpl w:val="ABF4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6CD1669"/>
    <w:multiLevelType w:val="hybridMultilevel"/>
    <w:tmpl w:val="C08EC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82B02F0"/>
    <w:multiLevelType w:val="multilevel"/>
    <w:tmpl w:val="F37448BA"/>
    <w:lvl w:ilvl="0">
      <w:start w:val="1"/>
      <w:numFmt w:val="decimal"/>
      <w:lvlText w:val="%1."/>
      <w:lvlJc w:val="left"/>
      <w:pPr>
        <w:ind w:left="360" w:hanging="360"/>
      </w:pPr>
      <w:rPr>
        <w:b w:val="0"/>
        <w:bCs w:val="0"/>
        <w:color w:val="000000" w:themeColor="text1"/>
      </w:rPr>
    </w:lvl>
    <w:lvl w:ilvl="1">
      <w:start w:val="1"/>
      <w:numFmt w:val="decimal"/>
      <w:lvlText w:val="%1.%2."/>
      <w:lvlJc w:val="left"/>
      <w:pPr>
        <w:ind w:left="1425" w:hanging="432"/>
      </w:pPr>
      <w:rPr>
        <w:b w:val="0"/>
        <w:bCs w:val="0"/>
        <w:color w:val="auto"/>
      </w:rPr>
    </w:lvl>
    <w:lvl w:ilvl="2">
      <w:start w:val="1"/>
      <w:numFmt w:val="decimal"/>
      <w:lvlText w:val="%1.%2.%3."/>
      <w:lvlJc w:val="left"/>
      <w:pPr>
        <w:ind w:left="1224" w:hanging="504"/>
      </w:pPr>
      <w:rPr>
        <w:b w:val="0"/>
        <w:bCs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B532E00"/>
    <w:multiLevelType w:val="hybridMultilevel"/>
    <w:tmpl w:val="02828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B781DEE"/>
    <w:multiLevelType w:val="hybridMultilevel"/>
    <w:tmpl w:val="4544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C375333"/>
    <w:multiLevelType w:val="hybridMultilevel"/>
    <w:tmpl w:val="44F6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D603E11"/>
    <w:multiLevelType w:val="hybridMultilevel"/>
    <w:tmpl w:val="CC4E5ED0"/>
    <w:lvl w:ilvl="0" w:tplc="DC6E1D96">
      <w:start w:val="1"/>
      <w:numFmt w:val="bullet"/>
      <w:lvlText w:val="•"/>
      <w:lvlJc w:val="left"/>
      <w:pPr>
        <w:tabs>
          <w:tab w:val="num" w:pos="720"/>
        </w:tabs>
        <w:ind w:left="720" w:hanging="360"/>
      </w:pPr>
      <w:rPr>
        <w:rFonts w:ascii="Arial" w:hAnsi="Arial" w:hint="default"/>
      </w:rPr>
    </w:lvl>
    <w:lvl w:ilvl="1" w:tplc="8214DD80" w:tentative="1">
      <w:start w:val="1"/>
      <w:numFmt w:val="bullet"/>
      <w:lvlText w:val="•"/>
      <w:lvlJc w:val="left"/>
      <w:pPr>
        <w:tabs>
          <w:tab w:val="num" w:pos="1440"/>
        </w:tabs>
        <w:ind w:left="1440" w:hanging="360"/>
      </w:pPr>
      <w:rPr>
        <w:rFonts w:ascii="Arial" w:hAnsi="Arial" w:hint="default"/>
      </w:rPr>
    </w:lvl>
    <w:lvl w:ilvl="2" w:tplc="153AB26C" w:tentative="1">
      <w:start w:val="1"/>
      <w:numFmt w:val="bullet"/>
      <w:lvlText w:val="•"/>
      <w:lvlJc w:val="left"/>
      <w:pPr>
        <w:tabs>
          <w:tab w:val="num" w:pos="2160"/>
        </w:tabs>
        <w:ind w:left="2160" w:hanging="360"/>
      </w:pPr>
      <w:rPr>
        <w:rFonts w:ascii="Arial" w:hAnsi="Arial" w:hint="default"/>
      </w:rPr>
    </w:lvl>
    <w:lvl w:ilvl="3" w:tplc="4D88F2C6" w:tentative="1">
      <w:start w:val="1"/>
      <w:numFmt w:val="bullet"/>
      <w:lvlText w:val="•"/>
      <w:lvlJc w:val="left"/>
      <w:pPr>
        <w:tabs>
          <w:tab w:val="num" w:pos="2880"/>
        </w:tabs>
        <w:ind w:left="2880" w:hanging="360"/>
      </w:pPr>
      <w:rPr>
        <w:rFonts w:ascii="Arial" w:hAnsi="Arial" w:hint="default"/>
      </w:rPr>
    </w:lvl>
    <w:lvl w:ilvl="4" w:tplc="48F69A16" w:tentative="1">
      <w:start w:val="1"/>
      <w:numFmt w:val="bullet"/>
      <w:lvlText w:val="•"/>
      <w:lvlJc w:val="left"/>
      <w:pPr>
        <w:tabs>
          <w:tab w:val="num" w:pos="3600"/>
        </w:tabs>
        <w:ind w:left="3600" w:hanging="360"/>
      </w:pPr>
      <w:rPr>
        <w:rFonts w:ascii="Arial" w:hAnsi="Arial" w:hint="default"/>
      </w:rPr>
    </w:lvl>
    <w:lvl w:ilvl="5" w:tplc="AB3CB9EE" w:tentative="1">
      <w:start w:val="1"/>
      <w:numFmt w:val="bullet"/>
      <w:lvlText w:val="•"/>
      <w:lvlJc w:val="left"/>
      <w:pPr>
        <w:tabs>
          <w:tab w:val="num" w:pos="4320"/>
        </w:tabs>
        <w:ind w:left="4320" w:hanging="360"/>
      </w:pPr>
      <w:rPr>
        <w:rFonts w:ascii="Arial" w:hAnsi="Arial" w:hint="default"/>
      </w:rPr>
    </w:lvl>
    <w:lvl w:ilvl="6" w:tplc="7CC05D6A" w:tentative="1">
      <w:start w:val="1"/>
      <w:numFmt w:val="bullet"/>
      <w:lvlText w:val="•"/>
      <w:lvlJc w:val="left"/>
      <w:pPr>
        <w:tabs>
          <w:tab w:val="num" w:pos="5040"/>
        </w:tabs>
        <w:ind w:left="5040" w:hanging="360"/>
      </w:pPr>
      <w:rPr>
        <w:rFonts w:ascii="Arial" w:hAnsi="Arial" w:hint="default"/>
      </w:rPr>
    </w:lvl>
    <w:lvl w:ilvl="7" w:tplc="10F01F9E" w:tentative="1">
      <w:start w:val="1"/>
      <w:numFmt w:val="bullet"/>
      <w:lvlText w:val="•"/>
      <w:lvlJc w:val="left"/>
      <w:pPr>
        <w:tabs>
          <w:tab w:val="num" w:pos="5760"/>
        </w:tabs>
        <w:ind w:left="5760" w:hanging="360"/>
      </w:pPr>
      <w:rPr>
        <w:rFonts w:ascii="Arial" w:hAnsi="Arial" w:hint="default"/>
      </w:rPr>
    </w:lvl>
    <w:lvl w:ilvl="8" w:tplc="441C4FE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D80158D"/>
    <w:multiLevelType w:val="hybridMultilevel"/>
    <w:tmpl w:val="B2DE8E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4E12148"/>
    <w:multiLevelType w:val="hybridMultilevel"/>
    <w:tmpl w:val="E514E3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76F26BC6"/>
    <w:multiLevelType w:val="multilevel"/>
    <w:tmpl w:val="C8A852D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94" w:hanging="794"/>
      </w:pPr>
      <w:rPr>
        <w:rFonts w:ascii="Symbol" w:hAnsi="Symbol" w:hint="default"/>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84D033C"/>
    <w:multiLevelType w:val="multilevel"/>
    <w:tmpl w:val="ED38052C"/>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8924B36"/>
    <w:multiLevelType w:val="hybridMultilevel"/>
    <w:tmpl w:val="519EA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9A328C"/>
    <w:multiLevelType w:val="hybridMultilevel"/>
    <w:tmpl w:val="DE1C9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7"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19"/>
  </w:num>
  <w:num w:numId="3">
    <w:abstractNumId w:val="48"/>
  </w:num>
  <w:num w:numId="4">
    <w:abstractNumId w:val="32"/>
  </w:num>
  <w:num w:numId="5">
    <w:abstractNumId w:val="11"/>
  </w:num>
  <w:num w:numId="6">
    <w:abstractNumId w:val="1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4"/>
    </w:lvlOverride>
    <w:lvlOverride w:ilvl="6">
      <w:startOverride w:val="2"/>
    </w:lvlOverride>
    <w:lvlOverride w:ilvl="7">
      <w:startOverride w:val="1"/>
    </w:lvlOverride>
    <w:lvlOverride w:ilvl="8">
      <w:startOverride w:val="1"/>
    </w:lvlOverride>
  </w:num>
  <w:num w:numId="7">
    <w:abstractNumId w:val="9"/>
  </w:num>
  <w:num w:numId="8">
    <w:abstractNumId w:val="7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2"/>
  </w:num>
  <w:num w:numId="12">
    <w:abstractNumId w:val="17"/>
  </w:num>
  <w:num w:numId="13">
    <w:abstractNumId w:val="50"/>
  </w:num>
  <w:num w:numId="14">
    <w:abstractNumId w:val="0"/>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num>
  <w:num w:numId="17">
    <w:abstractNumId w:val="29"/>
  </w:num>
  <w:num w:numId="18">
    <w:abstractNumId w:val="25"/>
  </w:num>
  <w:num w:numId="19">
    <w:abstractNumId w:val="61"/>
  </w:num>
  <w:num w:numId="20">
    <w:abstractNumId w:val="12"/>
  </w:num>
  <w:num w:numId="21">
    <w:abstractNumId w:val="36"/>
  </w:num>
  <w:num w:numId="22">
    <w:abstractNumId w:val="68"/>
  </w:num>
  <w:num w:numId="23">
    <w:abstractNumId w:val="10"/>
  </w:num>
  <w:num w:numId="24">
    <w:abstractNumId w:val="44"/>
  </w:num>
  <w:num w:numId="25">
    <w:abstractNumId w:val="23"/>
  </w:num>
  <w:num w:numId="26">
    <w:abstractNumId w:val="42"/>
  </w:num>
  <w:num w:numId="27">
    <w:abstractNumId w:val="58"/>
  </w:num>
  <w:num w:numId="28">
    <w:abstractNumId w:val="16"/>
  </w:num>
  <w:num w:numId="29">
    <w:abstractNumId w:val="37"/>
  </w:num>
  <w:num w:numId="30">
    <w:abstractNumId w:val="64"/>
  </w:num>
  <w:num w:numId="31">
    <w:abstractNumId w:val="66"/>
  </w:num>
  <w:num w:numId="32">
    <w:abstractNumId w:val="65"/>
  </w:num>
  <w:num w:numId="33">
    <w:abstractNumId w:val="31"/>
  </w:num>
  <w:num w:numId="34">
    <w:abstractNumId w:val="27"/>
  </w:num>
  <w:num w:numId="35">
    <w:abstractNumId w:val="71"/>
  </w:num>
  <w:num w:numId="36">
    <w:abstractNumId w:val="28"/>
  </w:num>
  <w:num w:numId="37">
    <w:abstractNumId w:val="51"/>
  </w:num>
  <w:num w:numId="38">
    <w:abstractNumId w:val="74"/>
  </w:num>
  <w:num w:numId="39">
    <w:abstractNumId w:val="75"/>
  </w:num>
  <w:num w:numId="40">
    <w:abstractNumId w:val="39"/>
  </w:num>
  <w:num w:numId="41">
    <w:abstractNumId w:val="24"/>
  </w:num>
  <w:num w:numId="42">
    <w:abstractNumId w:val="55"/>
  </w:num>
  <w:num w:numId="43">
    <w:abstractNumId w:val="14"/>
  </w:num>
  <w:num w:numId="44">
    <w:abstractNumId w:val="60"/>
  </w:num>
  <w:num w:numId="45">
    <w:abstractNumId w:val="18"/>
  </w:num>
  <w:num w:numId="46">
    <w:abstractNumId w:val="33"/>
  </w:num>
  <w:num w:numId="47">
    <w:abstractNumId w:val="40"/>
  </w:num>
  <w:num w:numId="48">
    <w:abstractNumId w:val="46"/>
  </w:num>
  <w:num w:numId="49">
    <w:abstractNumId w:val="70"/>
  </w:num>
  <w:num w:numId="50">
    <w:abstractNumId w:val="17"/>
  </w:num>
  <w:num w:numId="51">
    <w:abstractNumId w:val="17"/>
  </w:num>
  <w:num w:numId="52">
    <w:abstractNumId w:val="6"/>
  </w:num>
  <w:num w:numId="53">
    <w:abstractNumId w:val="26"/>
  </w:num>
  <w:num w:numId="54">
    <w:abstractNumId w:val="13"/>
  </w:num>
  <w:num w:numId="55">
    <w:abstractNumId w:val="72"/>
  </w:num>
  <w:num w:numId="56">
    <w:abstractNumId w:val="72"/>
  </w:num>
  <w:num w:numId="57">
    <w:abstractNumId w:val="72"/>
  </w:num>
  <w:num w:numId="58">
    <w:abstractNumId w:val="57"/>
  </w:num>
  <w:num w:numId="59">
    <w:abstractNumId w:val="49"/>
  </w:num>
  <w:num w:numId="60">
    <w:abstractNumId w:val="72"/>
  </w:num>
  <w:num w:numId="61">
    <w:abstractNumId w:val="72"/>
  </w:num>
  <w:num w:numId="62">
    <w:abstractNumId w:val="72"/>
  </w:num>
  <w:num w:numId="63">
    <w:abstractNumId w:val="9"/>
  </w:num>
  <w:num w:numId="64">
    <w:abstractNumId w:val="17"/>
  </w:num>
  <w:num w:numId="65">
    <w:abstractNumId w:val="20"/>
  </w:num>
  <w:num w:numId="66">
    <w:abstractNumId w:val="34"/>
  </w:num>
  <w:num w:numId="67">
    <w:abstractNumId w:val="5"/>
  </w:num>
  <w:num w:numId="68">
    <w:abstractNumId w:val="63"/>
  </w:num>
  <w:num w:numId="69">
    <w:abstractNumId w:val="17"/>
  </w:num>
  <w:num w:numId="70">
    <w:abstractNumId w:val="32"/>
  </w:num>
  <w:num w:numId="71">
    <w:abstractNumId w:val="1"/>
  </w:num>
  <w:num w:numId="72">
    <w:abstractNumId w:val="8"/>
  </w:num>
  <w:num w:numId="73">
    <w:abstractNumId w:val="67"/>
  </w:num>
  <w:num w:numId="74">
    <w:abstractNumId w:val="15"/>
  </w:num>
  <w:num w:numId="75">
    <w:abstractNumId w:val="4"/>
  </w:num>
  <w:num w:numId="76">
    <w:abstractNumId w:val="45"/>
  </w:num>
  <w:num w:numId="77">
    <w:abstractNumId w:val="77"/>
  </w:num>
  <w:num w:numId="78">
    <w:abstractNumId w:val="59"/>
  </w:num>
  <w:num w:numId="79">
    <w:abstractNumId w:val="54"/>
  </w:num>
  <w:num w:numId="80">
    <w:abstractNumId w:val="41"/>
  </w:num>
  <w:num w:numId="81">
    <w:abstractNumId w:val="22"/>
  </w:num>
  <w:num w:numId="82">
    <w:abstractNumId w:val="69"/>
  </w:num>
  <w:num w:numId="83">
    <w:abstractNumId w:val="76"/>
  </w:num>
  <w:num w:numId="84">
    <w:abstractNumId w:val="21"/>
  </w:num>
  <w:num w:numId="85">
    <w:abstractNumId w:val="53"/>
  </w:num>
  <w:num w:numId="86">
    <w:abstractNumId w:val="43"/>
  </w:num>
  <w:num w:numId="87">
    <w:abstractNumId w:val="78"/>
  </w:num>
  <w:num w:numId="88">
    <w:abstractNumId w:val="56"/>
  </w:num>
  <w:num w:numId="89">
    <w:abstractNumId w:val="38"/>
  </w:num>
  <w:num w:numId="90">
    <w:abstractNumId w:val="30"/>
  </w:num>
  <w:num w:numId="91">
    <w:abstractNumId w:val="52"/>
  </w:num>
  <w:num w:numId="92">
    <w:abstractNumId w:val="3"/>
  </w:num>
  <w:num w:numId="93">
    <w:abstractNumId w:val="62"/>
  </w:num>
  <w:num w:numId="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num>
  <w:num w:numId="96">
    <w:abstractNumId w:val="7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r5ft2zgd0dd6e2p2sv2drisaawtt2tts5z&quot;&gt;SotorasibKRAS&lt;record-ids&gt;&lt;item&gt;5&lt;/item&gt;&lt;item&gt;6&lt;/item&gt;&lt;item&gt;7&lt;/item&gt;&lt;item&gt;8&lt;/item&gt;&lt;item&gt;9&lt;/item&gt;&lt;item&gt;10&lt;/item&gt;&lt;item&gt;11&lt;/item&gt;&lt;item&gt;13&lt;/item&gt;&lt;item&gt;14&lt;/item&gt;&lt;item&gt;15&lt;/item&gt;&lt;item&gt;16&lt;/item&gt;&lt;item&gt;17&lt;/item&gt;&lt;item&gt;21&lt;/item&gt;&lt;item&gt;23&lt;/item&gt;&lt;item&gt;25&lt;/item&gt;&lt;item&gt;26&lt;/item&gt;&lt;item&gt;29&lt;/item&gt;&lt;item&gt;31&lt;/item&gt;&lt;item&gt;32&lt;/item&gt;&lt;item&gt;33&lt;/item&gt;&lt;item&gt;35&lt;/item&gt;&lt;item&gt;36&lt;/item&gt;&lt;item&gt;37&lt;/item&gt;&lt;item&gt;38&lt;/item&gt;&lt;item&gt;45&lt;/item&gt;&lt;item&gt;52&lt;/item&gt;&lt;item&gt;53&lt;/item&gt;&lt;item&gt;54&lt;/item&gt;&lt;item&gt;55&lt;/item&gt;&lt;item&gt;56&lt;/item&gt;&lt;item&gt;59&lt;/item&gt;&lt;item&gt;60&lt;/item&gt;&lt;item&gt;63&lt;/item&gt;&lt;item&gt;65&lt;/item&gt;&lt;item&gt;66&lt;/item&gt;&lt;item&gt;68&lt;/item&gt;&lt;item&gt;69&lt;/item&gt;&lt;item&gt;70&lt;/item&gt;&lt;item&gt;71&lt;/item&gt;&lt;item&gt;72&lt;/item&gt;&lt;item&gt;73&lt;/item&gt;&lt;item&gt;74&lt;/item&gt;&lt;item&gt;76&lt;/item&gt;&lt;item&gt;77&lt;/item&gt;&lt;item&gt;78&lt;/item&gt;&lt;item&gt;79&lt;/item&gt;&lt;item&gt;80&lt;/item&gt;&lt;item&gt;81&lt;/item&gt;&lt;item&gt;82&lt;/item&gt;&lt;item&gt;83&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record-ids&gt;&lt;/item&gt;&lt;/Libraries&gt;"/>
  </w:docVars>
  <w:rsids>
    <w:rsidRoot w:val="00367EDC"/>
    <w:rsid w:val="0000192B"/>
    <w:rsid w:val="00001AB4"/>
    <w:rsid w:val="00002C48"/>
    <w:rsid w:val="00002D57"/>
    <w:rsid w:val="00002EE2"/>
    <w:rsid w:val="00003E38"/>
    <w:rsid w:val="000062E0"/>
    <w:rsid w:val="0000766F"/>
    <w:rsid w:val="00007D99"/>
    <w:rsid w:val="00010108"/>
    <w:rsid w:val="0001020C"/>
    <w:rsid w:val="0001066F"/>
    <w:rsid w:val="00010A1B"/>
    <w:rsid w:val="00010E0B"/>
    <w:rsid w:val="0001281E"/>
    <w:rsid w:val="000129CB"/>
    <w:rsid w:val="0001303D"/>
    <w:rsid w:val="000131C9"/>
    <w:rsid w:val="00013222"/>
    <w:rsid w:val="00014F6C"/>
    <w:rsid w:val="0001548D"/>
    <w:rsid w:val="0001602E"/>
    <w:rsid w:val="000170E1"/>
    <w:rsid w:val="0002095B"/>
    <w:rsid w:val="00021C7E"/>
    <w:rsid w:val="0002294D"/>
    <w:rsid w:val="00022B7C"/>
    <w:rsid w:val="00022B80"/>
    <w:rsid w:val="0002324A"/>
    <w:rsid w:val="00023669"/>
    <w:rsid w:val="0002413E"/>
    <w:rsid w:val="0002444E"/>
    <w:rsid w:val="00026836"/>
    <w:rsid w:val="00026F7B"/>
    <w:rsid w:val="00030D9F"/>
    <w:rsid w:val="00031ABE"/>
    <w:rsid w:val="000329ED"/>
    <w:rsid w:val="00033CE1"/>
    <w:rsid w:val="00034404"/>
    <w:rsid w:val="0003497C"/>
    <w:rsid w:val="00034A72"/>
    <w:rsid w:val="000352C3"/>
    <w:rsid w:val="000359BA"/>
    <w:rsid w:val="000365D0"/>
    <w:rsid w:val="0003748D"/>
    <w:rsid w:val="00037E3B"/>
    <w:rsid w:val="000400F9"/>
    <w:rsid w:val="00040D12"/>
    <w:rsid w:val="0004441D"/>
    <w:rsid w:val="0004501D"/>
    <w:rsid w:val="000461CF"/>
    <w:rsid w:val="0004680C"/>
    <w:rsid w:val="0004758F"/>
    <w:rsid w:val="00050509"/>
    <w:rsid w:val="000522EE"/>
    <w:rsid w:val="000528E3"/>
    <w:rsid w:val="00052BCD"/>
    <w:rsid w:val="000539D6"/>
    <w:rsid w:val="00054171"/>
    <w:rsid w:val="00054F76"/>
    <w:rsid w:val="00055DCD"/>
    <w:rsid w:val="00056B8A"/>
    <w:rsid w:val="000578D9"/>
    <w:rsid w:val="00057F71"/>
    <w:rsid w:val="00060EE6"/>
    <w:rsid w:val="00061600"/>
    <w:rsid w:val="00061989"/>
    <w:rsid w:val="00062018"/>
    <w:rsid w:val="00062067"/>
    <w:rsid w:val="000623ED"/>
    <w:rsid w:val="0006287B"/>
    <w:rsid w:val="0006442F"/>
    <w:rsid w:val="00064C84"/>
    <w:rsid w:val="00064D04"/>
    <w:rsid w:val="00065C62"/>
    <w:rsid w:val="00065CAC"/>
    <w:rsid w:val="00065CDE"/>
    <w:rsid w:val="00065F4A"/>
    <w:rsid w:val="00067226"/>
    <w:rsid w:val="000676E5"/>
    <w:rsid w:val="000677DE"/>
    <w:rsid w:val="0007063B"/>
    <w:rsid w:val="000708AA"/>
    <w:rsid w:val="00070C7D"/>
    <w:rsid w:val="00070D75"/>
    <w:rsid w:val="000718E3"/>
    <w:rsid w:val="000719A2"/>
    <w:rsid w:val="00074812"/>
    <w:rsid w:val="00074A03"/>
    <w:rsid w:val="00080FF3"/>
    <w:rsid w:val="00082868"/>
    <w:rsid w:val="00083BF8"/>
    <w:rsid w:val="00084184"/>
    <w:rsid w:val="000847FE"/>
    <w:rsid w:val="00084B18"/>
    <w:rsid w:val="00085619"/>
    <w:rsid w:val="00085A84"/>
    <w:rsid w:val="00085AE9"/>
    <w:rsid w:val="00085CC6"/>
    <w:rsid w:val="00086133"/>
    <w:rsid w:val="00087338"/>
    <w:rsid w:val="00087700"/>
    <w:rsid w:val="00087944"/>
    <w:rsid w:val="000910C1"/>
    <w:rsid w:val="000917C2"/>
    <w:rsid w:val="00092727"/>
    <w:rsid w:val="00092945"/>
    <w:rsid w:val="0009314D"/>
    <w:rsid w:val="00093B19"/>
    <w:rsid w:val="00094CDE"/>
    <w:rsid w:val="0009688E"/>
    <w:rsid w:val="00096BCD"/>
    <w:rsid w:val="00096E82"/>
    <w:rsid w:val="000A1F7B"/>
    <w:rsid w:val="000A22C5"/>
    <w:rsid w:val="000A2694"/>
    <w:rsid w:val="000A2EF1"/>
    <w:rsid w:val="000A3704"/>
    <w:rsid w:val="000A3D99"/>
    <w:rsid w:val="000A3F4C"/>
    <w:rsid w:val="000A4E54"/>
    <w:rsid w:val="000A54FC"/>
    <w:rsid w:val="000A63E6"/>
    <w:rsid w:val="000A6A49"/>
    <w:rsid w:val="000A6AFE"/>
    <w:rsid w:val="000A6FBD"/>
    <w:rsid w:val="000A7333"/>
    <w:rsid w:val="000A7EA5"/>
    <w:rsid w:val="000B00B9"/>
    <w:rsid w:val="000B2016"/>
    <w:rsid w:val="000B2BE3"/>
    <w:rsid w:val="000B3128"/>
    <w:rsid w:val="000B35EA"/>
    <w:rsid w:val="000B39B9"/>
    <w:rsid w:val="000B432E"/>
    <w:rsid w:val="000B510F"/>
    <w:rsid w:val="000B56CD"/>
    <w:rsid w:val="000B5A45"/>
    <w:rsid w:val="000B62BC"/>
    <w:rsid w:val="000B6B69"/>
    <w:rsid w:val="000B7AED"/>
    <w:rsid w:val="000C0142"/>
    <w:rsid w:val="000C082B"/>
    <w:rsid w:val="000C11CC"/>
    <w:rsid w:val="000C1D52"/>
    <w:rsid w:val="000C211D"/>
    <w:rsid w:val="000C32C1"/>
    <w:rsid w:val="000C434F"/>
    <w:rsid w:val="000C5EE4"/>
    <w:rsid w:val="000C668E"/>
    <w:rsid w:val="000C69C4"/>
    <w:rsid w:val="000C6A40"/>
    <w:rsid w:val="000C7883"/>
    <w:rsid w:val="000C793A"/>
    <w:rsid w:val="000D0023"/>
    <w:rsid w:val="000D0753"/>
    <w:rsid w:val="000D0A81"/>
    <w:rsid w:val="000D169F"/>
    <w:rsid w:val="000D1AB4"/>
    <w:rsid w:val="000D1D3A"/>
    <w:rsid w:val="000D373A"/>
    <w:rsid w:val="000D39EF"/>
    <w:rsid w:val="000D3E32"/>
    <w:rsid w:val="000D44AA"/>
    <w:rsid w:val="000D5996"/>
    <w:rsid w:val="000D6062"/>
    <w:rsid w:val="000D6688"/>
    <w:rsid w:val="000E07CD"/>
    <w:rsid w:val="000E1EA9"/>
    <w:rsid w:val="000E2553"/>
    <w:rsid w:val="000E4B21"/>
    <w:rsid w:val="000E51E6"/>
    <w:rsid w:val="000E7019"/>
    <w:rsid w:val="000F0178"/>
    <w:rsid w:val="000F243A"/>
    <w:rsid w:val="000F2534"/>
    <w:rsid w:val="000F313A"/>
    <w:rsid w:val="000F3652"/>
    <w:rsid w:val="000F4512"/>
    <w:rsid w:val="000F5BB0"/>
    <w:rsid w:val="000F6A04"/>
    <w:rsid w:val="000F7058"/>
    <w:rsid w:val="0010086D"/>
    <w:rsid w:val="001009FA"/>
    <w:rsid w:val="00101780"/>
    <w:rsid w:val="001018A8"/>
    <w:rsid w:val="001019F7"/>
    <w:rsid w:val="00101BE8"/>
    <w:rsid w:val="00103CE5"/>
    <w:rsid w:val="00104A1D"/>
    <w:rsid w:val="001059D6"/>
    <w:rsid w:val="00106854"/>
    <w:rsid w:val="00111951"/>
    <w:rsid w:val="00111C67"/>
    <w:rsid w:val="00112C2E"/>
    <w:rsid w:val="00112F1A"/>
    <w:rsid w:val="0011419E"/>
    <w:rsid w:val="00116983"/>
    <w:rsid w:val="00116FEE"/>
    <w:rsid w:val="00122939"/>
    <w:rsid w:val="00122C04"/>
    <w:rsid w:val="00123D30"/>
    <w:rsid w:val="00124A96"/>
    <w:rsid w:val="0012523C"/>
    <w:rsid w:val="00125673"/>
    <w:rsid w:val="00125B1B"/>
    <w:rsid w:val="0012701F"/>
    <w:rsid w:val="001279AE"/>
    <w:rsid w:val="00127B8D"/>
    <w:rsid w:val="00131C2E"/>
    <w:rsid w:val="001323D6"/>
    <w:rsid w:val="00132934"/>
    <w:rsid w:val="00133B1C"/>
    <w:rsid w:val="00135050"/>
    <w:rsid w:val="00136399"/>
    <w:rsid w:val="00136E76"/>
    <w:rsid w:val="00137F43"/>
    <w:rsid w:val="00140A20"/>
    <w:rsid w:val="00140AD0"/>
    <w:rsid w:val="00141EFB"/>
    <w:rsid w:val="00143F57"/>
    <w:rsid w:val="001468C6"/>
    <w:rsid w:val="00146C47"/>
    <w:rsid w:val="0015150F"/>
    <w:rsid w:val="00151E21"/>
    <w:rsid w:val="00152635"/>
    <w:rsid w:val="00153406"/>
    <w:rsid w:val="00154735"/>
    <w:rsid w:val="001557CC"/>
    <w:rsid w:val="001570E7"/>
    <w:rsid w:val="00157350"/>
    <w:rsid w:val="00157E36"/>
    <w:rsid w:val="00161E75"/>
    <w:rsid w:val="00163009"/>
    <w:rsid w:val="00163149"/>
    <w:rsid w:val="00163373"/>
    <w:rsid w:val="001643E8"/>
    <w:rsid w:val="00165A49"/>
    <w:rsid w:val="00166551"/>
    <w:rsid w:val="001667A9"/>
    <w:rsid w:val="001709D4"/>
    <w:rsid w:val="00170B4F"/>
    <w:rsid w:val="00171370"/>
    <w:rsid w:val="00172346"/>
    <w:rsid w:val="00173577"/>
    <w:rsid w:val="00173E55"/>
    <w:rsid w:val="001740C6"/>
    <w:rsid w:val="00176658"/>
    <w:rsid w:val="00176AA5"/>
    <w:rsid w:val="001770A7"/>
    <w:rsid w:val="0017720E"/>
    <w:rsid w:val="001772CC"/>
    <w:rsid w:val="0017730E"/>
    <w:rsid w:val="00177893"/>
    <w:rsid w:val="0018141A"/>
    <w:rsid w:val="00181DB4"/>
    <w:rsid w:val="0018373E"/>
    <w:rsid w:val="001839C0"/>
    <w:rsid w:val="00184221"/>
    <w:rsid w:val="001843B4"/>
    <w:rsid w:val="0018443E"/>
    <w:rsid w:val="0018526A"/>
    <w:rsid w:val="001856C4"/>
    <w:rsid w:val="00185C35"/>
    <w:rsid w:val="00185CD4"/>
    <w:rsid w:val="00186307"/>
    <w:rsid w:val="001863F7"/>
    <w:rsid w:val="00186EBC"/>
    <w:rsid w:val="001916C0"/>
    <w:rsid w:val="001918B2"/>
    <w:rsid w:val="00192D26"/>
    <w:rsid w:val="00193DFD"/>
    <w:rsid w:val="00195B36"/>
    <w:rsid w:val="00195DA4"/>
    <w:rsid w:val="00197D31"/>
    <w:rsid w:val="001A0142"/>
    <w:rsid w:val="001A07A3"/>
    <w:rsid w:val="001A20DC"/>
    <w:rsid w:val="001A2953"/>
    <w:rsid w:val="001A3DC9"/>
    <w:rsid w:val="001A3FEB"/>
    <w:rsid w:val="001A5958"/>
    <w:rsid w:val="001A71A7"/>
    <w:rsid w:val="001A74F8"/>
    <w:rsid w:val="001B00CE"/>
    <w:rsid w:val="001B12A9"/>
    <w:rsid w:val="001B14DF"/>
    <w:rsid w:val="001B2429"/>
    <w:rsid w:val="001B2545"/>
    <w:rsid w:val="001B4659"/>
    <w:rsid w:val="001B49C1"/>
    <w:rsid w:val="001B5B6B"/>
    <w:rsid w:val="001B6176"/>
    <w:rsid w:val="001B6389"/>
    <w:rsid w:val="001B651D"/>
    <w:rsid w:val="001B6574"/>
    <w:rsid w:val="001C04CC"/>
    <w:rsid w:val="001C051E"/>
    <w:rsid w:val="001C06AA"/>
    <w:rsid w:val="001C0E91"/>
    <w:rsid w:val="001C1D27"/>
    <w:rsid w:val="001C40A1"/>
    <w:rsid w:val="001C4EF4"/>
    <w:rsid w:val="001C5DD5"/>
    <w:rsid w:val="001C6239"/>
    <w:rsid w:val="001C69D7"/>
    <w:rsid w:val="001C7497"/>
    <w:rsid w:val="001C796E"/>
    <w:rsid w:val="001C7D1B"/>
    <w:rsid w:val="001C7F88"/>
    <w:rsid w:val="001D46F3"/>
    <w:rsid w:val="001D5D47"/>
    <w:rsid w:val="001D5DE3"/>
    <w:rsid w:val="001D6051"/>
    <w:rsid w:val="001D6E88"/>
    <w:rsid w:val="001D7D1A"/>
    <w:rsid w:val="001E0994"/>
    <w:rsid w:val="001E0B0D"/>
    <w:rsid w:val="001E0C84"/>
    <w:rsid w:val="001E1827"/>
    <w:rsid w:val="001E25EC"/>
    <w:rsid w:val="001E4E98"/>
    <w:rsid w:val="001E5896"/>
    <w:rsid w:val="001E5918"/>
    <w:rsid w:val="001E596F"/>
    <w:rsid w:val="001E5F14"/>
    <w:rsid w:val="001E615C"/>
    <w:rsid w:val="001E6561"/>
    <w:rsid w:val="001E6DBD"/>
    <w:rsid w:val="001F073C"/>
    <w:rsid w:val="001F0D0A"/>
    <w:rsid w:val="001F2912"/>
    <w:rsid w:val="001F2D99"/>
    <w:rsid w:val="001F2F47"/>
    <w:rsid w:val="001F44A4"/>
    <w:rsid w:val="001F4BBC"/>
    <w:rsid w:val="001F5487"/>
    <w:rsid w:val="001F5C9F"/>
    <w:rsid w:val="001F664D"/>
    <w:rsid w:val="001F6896"/>
    <w:rsid w:val="001F6D54"/>
    <w:rsid w:val="001F6FCA"/>
    <w:rsid w:val="00200296"/>
    <w:rsid w:val="00200414"/>
    <w:rsid w:val="00201014"/>
    <w:rsid w:val="00201ADB"/>
    <w:rsid w:val="002029D8"/>
    <w:rsid w:val="00202FB6"/>
    <w:rsid w:val="00203DD8"/>
    <w:rsid w:val="00204287"/>
    <w:rsid w:val="002047E5"/>
    <w:rsid w:val="00204B6C"/>
    <w:rsid w:val="00204B71"/>
    <w:rsid w:val="00204C2F"/>
    <w:rsid w:val="00204D5B"/>
    <w:rsid w:val="0020572F"/>
    <w:rsid w:val="002058E5"/>
    <w:rsid w:val="002064C4"/>
    <w:rsid w:val="00207C9B"/>
    <w:rsid w:val="00210F88"/>
    <w:rsid w:val="00210FAA"/>
    <w:rsid w:val="00211340"/>
    <w:rsid w:val="00211F51"/>
    <w:rsid w:val="0021292C"/>
    <w:rsid w:val="002138ED"/>
    <w:rsid w:val="00214438"/>
    <w:rsid w:val="00215787"/>
    <w:rsid w:val="002166FB"/>
    <w:rsid w:val="00216816"/>
    <w:rsid w:val="00217426"/>
    <w:rsid w:val="002205EB"/>
    <w:rsid w:val="00220FE5"/>
    <w:rsid w:val="002210F5"/>
    <w:rsid w:val="0022112C"/>
    <w:rsid w:val="002234A6"/>
    <w:rsid w:val="00224FC5"/>
    <w:rsid w:val="0022554F"/>
    <w:rsid w:val="00225891"/>
    <w:rsid w:val="00225924"/>
    <w:rsid w:val="00225FCB"/>
    <w:rsid w:val="00226868"/>
    <w:rsid w:val="002319C1"/>
    <w:rsid w:val="00232AEE"/>
    <w:rsid w:val="00233296"/>
    <w:rsid w:val="0023738C"/>
    <w:rsid w:val="00240F77"/>
    <w:rsid w:val="002411AE"/>
    <w:rsid w:val="00241EA8"/>
    <w:rsid w:val="002425EA"/>
    <w:rsid w:val="00242C2D"/>
    <w:rsid w:val="00242EA0"/>
    <w:rsid w:val="0024326B"/>
    <w:rsid w:val="00243685"/>
    <w:rsid w:val="00243F24"/>
    <w:rsid w:val="0024418E"/>
    <w:rsid w:val="0024459C"/>
    <w:rsid w:val="00245249"/>
    <w:rsid w:val="00245AD1"/>
    <w:rsid w:val="00246BDF"/>
    <w:rsid w:val="002470BB"/>
    <w:rsid w:val="00247572"/>
    <w:rsid w:val="00251C64"/>
    <w:rsid w:val="00252D91"/>
    <w:rsid w:val="002530E7"/>
    <w:rsid w:val="002532B4"/>
    <w:rsid w:val="0025487C"/>
    <w:rsid w:val="00254EEB"/>
    <w:rsid w:val="00255181"/>
    <w:rsid w:val="0025613F"/>
    <w:rsid w:val="00257C43"/>
    <w:rsid w:val="00257F91"/>
    <w:rsid w:val="00260601"/>
    <w:rsid w:val="0026105D"/>
    <w:rsid w:val="00261DC6"/>
    <w:rsid w:val="00262C13"/>
    <w:rsid w:val="00263256"/>
    <w:rsid w:val="00263BB7"/>
    <w:rsid w:val="00264511"/>
    <w:rsid w:val="00264623"/>
    <w:rsid w:val="00264773"/>
    <w:rsid w:val="00264E52"/>
    <w:rsid w:val="00265D92"/>
    <w:rsid w:val="00265F97"/>
    <w:rsid w:val="00266917"/>
    <w:rsid w:val="00270BBC"/>
    <w:rsid w:val="002755AC"/>
    <w:rsid w:val="0027575E"/>
    <w:rsid w:val="00276C8A"/>
    <w:rsid w:val="00277D40"/>
    <w:rsid w:val="00277D72"/>
    <w:rsid w:val="002801F4"/>
    <w:rsid w:val="00280B5B"/>
    <w:rsid w:val="00280D8D"/>
    <w:rsid w:val="00281DCF"/>
    <w:rsid w:val="002827BF"/>
    <w:rsid w:val="002836DF"/>
    <w:rsid w:val="00283B06"/>
    <w:rsid w:val="00284AF8"/>
    <w:rsid w:val="00285091"/>
    <w:rsid w:val="00285912"/>
    <w:rsid w:val="002861AB"/>
    <w:rsid w:val="00287596"/>
    <w:rsid w:val="00287E1E"/>
    <w:rsid w:val="00290624"/>
    <w:rsid w:val="00291BA0"/>
    <w:rsid w:val="002923DF"/>
    <w:rsid w:val="0029289C"/>
    <w:rsid w:val="002928F4"/>
    <w:rsid w:val="00294D7C"/>
    <w:rsid w:val="00295BAA"/>
    <w:rsid w:val="00296C14"/>
    <w:rsid w:val="002A12FA"/>
    <w:rsid w:val="002A17FD"/>
    <w:rsid w:val="002A2083"/>
    <w:rsid w:val="002A391F"/>
    <w:rsid w:val="002A3DBF"/>
    <w:rsid w:val="002A44D7"/>
    <w:rsid w:val="002A4503"/>
    <w:rsid w:val="002A78B9"/>
    <w:rsid w:val="002B05B8"/>
    <w:rsid w:val="002B14D5"/>
    <w:rsid w:val="002B214D"/>
    <w:rsid w:val="002B473C"/>
    <w:rsid w:val="002B4941"/>
    <w:rsid w:val="002B4CF5"/>
    <w:rsid w:val="002B5D74"/>
    <w:rsid w:val="002B67CA"/>
    <w:rsid w:val="002B6817"/>
    <w:rsid w:val="002B74E3"/>
    <w:rsid w:val="002B7ADB"/>
    <w:rsid w:val="002B7E84"/>
    <w:rsid w:val="002C00F5"/>
    <w:rsid w:val="002C1543"/>
    <w:rsid w:val="002C17C7"/>
    <w:rsid w:val="002C1D2F"/>
    <w:rsid w:val="002C2BBB"/>
    <w:rsid w:val="002C60C0"/>
    <w:rsid w:val="002C73CE"/>
    <w:rsid w:val="002C7C13"/>
    <w:rsid w:val="002C7F66"/>
    <w:rsid w:val="002D0EF2"/>
    <w:rsid w:val="002D1242"/>
    <w:rsid w:val="002D23E6"/>
    <w:rsid w:val="002D24AC"/>
    <w:rsid w:val="002D2FCA"/>
    <w:rsid w:val="002D3B07"/>
    <w:rsid w:val="002D3EBA"/>
    <w:rsid w:val="002D449F"/>
    <w:rsid w:val="002D63AC"/>
    <w:rsid w:val="002D7823"/>
    <w:rsid w:val="002E0C7F"/>
    <w:rsid w:val="002E2087"/>
    <w:rsid w:val="002E2FC7"/>
    <w:rsid w:val="002E3277"/>
    <w:rsid w:val="002E39F1"/>
    <w:rsid w:val="002E4293"/>
    <w:rsid w:val="002E4C2D"/>
    <w:rsid w:val="002E5285"/>
    <w:rsid w:val="002E5DEA"/>
    <w:rsid w:val="002E724A"/>
    <w:rsid w:val="002F0192"/>
    <w:rsid w:val="002F078A"/>
    <w:rsid w:val="002F26E6"/>
    <w:rsid w:val="002F311E"/>
    <w:rsid w:val="002F313A"/>
    <w:rsid w:val="002F345B"/>
    <w:rsid w:val="002F4515"/>
    <w:rsid w:val="002F48EA"/>
    <w:rsid w:val="002F595A"/>
    <w:rsid w:val="002F5FEC"/>
    <w:rsid w:val="002F71B8"/>
    <w:rsid w:val="002F71F4"/>
    <w:rsid w:val="00300B52"/>
    <w:rsid w:val="0030158A"/>
    <w:rsid w:val="00301EA1"/>
    <w:rsid w:val="00301F26"/>
    <w:rsid w:val="00302836"/>
    <w:rsid w:val="00302FCC"/>
    <w:rsid w:val="003032E8"/>
    <w:rsid w:val="00303467"/>
    <w:rsid w:val="00303B73"/>
    <w:rsid w:val="00303CE7"/>
    <w:rsid w:val="003062AE"/>
    <w:rsid w:val="0031033B"/>
    <w:rsid w:val="003108A1"/>
    <w:rsid w:val="00310E37"/>
    <w:rsid w:val="003112C8"/>
    <w:rsid w:val="0031240F"/>
    <w:rsid w:val="0031480D"/>
    <w:rsid w:val="00314BFC"/>
    <w:rsid w:val="00315514"/>
    <w:rsid w:val="0031572A"/>
    <w:rsid w:val="00315F48"/>
    <w:rsid w:val="00316902"/>
    <w:rsid w:val="00316ACB"/>
    <w:rsid w:val="00317E18"/>
    <w:rsid w:val="0032001C"/>
    <w:rsid w:val="003208AE"/>
    <w:rsid w:val="00320FCA"/>
    <w:rsid w:val="0032187A"/>
    <w:rsid w:val="00321AC7"/>
    <w:rsid w:val="00322DBF"/>
    <w:rsid w:val="00323CDD"/>
    <w:rsid w:val="00324141"/>
    <w:rsid w:val="00324B19"/>
    <w:rsid w:val="00324B79"/>
    <w:rsid w:val="00325C33"/>
    <w:rsid w:val="003273CF"/>
    <w:rsid w:val="00331A16"/>
    <w:rsid w:val="00333C84"/>
    <w:rsid w:val="0033460D"/>
    <w:rsid w:val="0033469D"/>
    <w:rsid w:val="0033473D"/>
    <w:rsid w:val="00334ACF"/>
    <w:rsid w:val="003362D2"/>
    <w:rsid w:val="00340171"/>
    <w:rsid w:val="003412BF"/>
    <w:rsid w:val="003414EB"/>
    <w:rsid w:val="00341A14"/>
    <w:rsid w:val="00342AFD"/>
    <w:rsid w:val="00345331"/>
    <w:rsid w:val="00345A49"/>
    <w:rsid w:val="00345E01"/>
    <w:rsid w:val="003472CE"/>
    <w:rsid w:val="00350416"/>
    <w:rsid w:val="0035045D"/>
    <w:rsid w:val="00350571"/>
    <w:rsid w:val="00351381"/>
    <w:rsid w:val="0035187B"/>
    <w:rsid w:val="00352FBE"/>
    <w:rsid w:val="003530A6"/>
    <w:rsid w:val="00353627"/>
    <w:rsid w:val="00355773"/>
    <w:rsid w:val="00355F72"/>
    <w:rsid w:val="0035634F"/>
    <w:rsid w:val="00357657"/>
    <w:rsid w:val="00357AC1"/>
    <w:rsid w:val="00357E32"/>
    <w:rsid w:val="003602B6"/>
    <w:rsid w:val="00360D3B"/>
    <w:rsid w:val="00362977"/>
    <w:rsid w:val="00362D70"/>
    <w:rsid w:val="003639A6"/>
    <w:rsid w:val="003645D5"/>
    <w:rsid w:val="00366510"/>
    <w:rsid w:val="003668F7"/>
    <w:rsid w:val="003679AE"/>
    <w:rsid w:val="00367EDC"/>
    <w:rsid w:val="00367EE6"/>
    <w:rsid w:val="00370688"/>
    <w:rsid w:val="003714BA"/>
    <w:rsid w:val="00373220"/>
    <w:rsid w:val="003732AA"/>
    <w:rsid w:val="0037425F"/>
    <w:rsid w:val="003747E5"/>
    <w:rsid w:val="003747ED"/>
    <w:rsid w:val="003750CF"/>
    <w:rsid w:val="00375B1D"/>
    <w:rsid w:val="00376372"/>
    <w:rsid w:val="00376503"/>
    <w:rsid w:val="0037756F"/>
    <w:rsid w:val="00381B8A"/>
    <w:rsid w:val="003823F9"/>
    <w:rsid w:val="0038281C"/>
    <w:rsid w:val="00384C0F"/>
    <w:rsid w:val="0038516B"/>
    <w:rsid w:val="00385683"/>
    <w:rsid w:val="00385A64"/>
    <w:rsid w:val="00386D1A"/>
    <w:rsid w:val="0039045D"/>
    <w:rsid w:val="00390EF6"/>
    <w:rsid w:val="00391479"/>
    <w:rsid w:val="0039182E"/>
    <w:rsid w:val="0039342B"/>
    <w:rsid w:val="00393855"/>
    <w:rsid w:val="003938A4"/>
    <w:rsid w:val="00394C83"/>
    <w:rsid w:val="0039521E"/>
    <w:rsid w:val="00395A12"/>
    <w:rsid w:val="00395C5F"/>
    <w:rsid w:val="00396339"/>
    <w:rsid w:val="00397170"/>
    <w:rsid w:val="0039795E"/>
    <w:rsid w:val="003A04B8"/>
    <w:rsid w:val="003A0540"/>
    <w:rsid w:val="003A096A"/>
    <w:rsid w:val="003A3433"/>
    <w:rsid w:val="003A537E"/>
    <w:rsid w:val="003A660F"/>
    <w:rsid w:val="003A693E"/>
    <w:rsid w:val="003A730D"/>
    <w:rsid w:val="003A79A4"/>
    <w:rsid w:val="003B095E"/>
    <w:rsid w:val="003B0D22"/>
    <w:rsid w:val="003B31E9"/>
    <w:rsid w:val="003B34A7"/>
    <w:rsid w:val="003B3C35"/>
    <w:rsid w:val="003B4C17"/>
    <w:rsid w:val="003B503E"/>
    <w:rsid w:val="003B528D"/>
    <w:rsid w:val="003B59B9"/>
    <w:rsid w:val="003B7303"/>
    <w:rsid w:val="003B759A"/>
    <w:rsid w:val="003C0127"/>
    <w:rsid w:val="003C055D"/>
    <w:rsid w:val="003C0EAF"/>
    <w:rsid w:val="003C1A9F"/>
    <w:rsid w:val="003C3210"/>
    <w:rsid w:val="003C390A"/>
    <w:rsid w:val="003C3EB9"/>
    <w:rsid w:val="003C3EED"/>
    <w:rsid w:val="003C54D2"/>
    <w:rsid w:val="003C5D5D"/>
    <w:rsid w:val="003C68F9"/>
    <w:rsid w:val="003C777E"/>
    <w:rsid w:val="003D0A3D"/>
    <w:rsid w:val="003D11A9"/>
    <w:rsid w:val="003D1451"/>
    <w:rsid w:val="003D1547"/>
    <w:rsid w:val="003D1FB3"/>
    <w:rsid w:val="003D2A37"/>
    <w:rsid w:val="003D3E6A"/>
    <w:rsid w:val="003D3EFE"/>
    <w:rsid w:val="003D69EF"/>
    <w:rsid w:val="003E01A3"/>
    <w:rsid w:val="003E0EDB"/>
    <w:rsid w:val="003E29EB"/>
    <w:rsid w:val="003E6196"/>
    <w:rsid w:val="003E6475"/>
    <w:rsid w:val="003E664C"/>
    <w:rsid w:val="003E7CCB"/>
    <w:rsid w:val="003F105A"/>
    <w:rsid w:val="003F2950"/>
    <w:rsid w:val="003F2B2F"/>
    <w:rsid w:val="003F2CC6"/>
    <w:rsid w:val="003F3F51"/>
    <w:rsid w:val="003F41A4"/>
    <w:rsid w:val="003F4E84"/>
    <w:rsid w:val="003F57E6"/>
    <w:rsid w:val="003F6199"/>
    <w:rsid w:val="003F72FF"/>
    <w:rsid w:val="00400D8D"/>
    <w:rsid w:val="00400FC1"/>
    <w:rsid w:val="00401A03"/>
    <w:rsid w:val="00401E77"/>
    <w:rsid w:val="004033BF"/>
    <w:rsid w:val="004044F2"/>
    <w:rsid w:val="00404B7C"/>
    <w:rsid w:val="00404C3E"/>
    <w:rsid w:val="004067E0"/>
    <w:rsid w:val="00406865"/>
    <w:rsid w:val="00407BD2"/>
    <w:rsid w:val="004112C2"/>
    <w:rsid w:val="00412BCA"/>
    <w:rsid w:val="0041357A"/>
    <w:rsid w:val="00413FE6"/>
    <w:rsid w:val="00414755"/>
    <w:rsid w:val="0041498A"/>
    <w:rsid w:val="00414FDC"/>
    <w:rsid w:val="004150C7"/>
    <w:rsid w:val="00415A03"/>
    <w:rsid w:val="00416479"/>
    <w:rsid w:val="0041685C"/>
    <w:rsid w:val="00416C4E"/>
    <w:rsid w:val="00417A0F"/>
    <w:rsid w:val="00420540"/>
    <w:rsid w:val="0042055C"/>
    <w:rsid w:val="004213D4"/>
    <w:rsid w:val="00421450"/>
    <w:rsid w:val="00422F23"/>
    <w:rsid w:val="0042350D"/>
    <w:rsid w:val="00423990"/>
    <w:rsid w:val="00423F3A"/>
    <w:rsid w:val="00425029"/>
    <w:rsid w:val="00425214"/>
    <w:rsid w:val="00426090"/>
    <w:rsid w:val="00426C29"/>
    <w:rsid w:val="00426CF2"/>
    <w:rsid w:val="00427A28"/>
    <w:rsid w:val="00427E55"/>
    <w:rsid w:val="00431C7E"/>
    <w:rsid w:val="00432CD2"/>
    <w:rsid w:val="00432D79"/>
    <w:rsid w:val="00434AB7"/>
    <w:rsid w:val="00435881"/>
    <w:rsid w:val="00437A92"/>
    <w:rsid w:val="00437BB5"/>
    <w:rsid w:val="00437CBF"/>
    <w:rsid w:val="004401C5"/>
    <w:rsid w:val="00440DA4"/>
    <w:rsid w:val="00440EAB"/>
    <w:rsid w:val="0044103A"/>
    <w:rsid w:val="00441FF2"/>
    <w:rsid w:val="00442A9F"/>
    <w:rsid w:val="004441F4"/>
    <w:rsid w:val="00444D7A"/>
    <w:rsid w:val="00445721"/>
    <w:rsid w:val="0044682E"/>
    <w:rsid w:val="00450789"/>
    <w:rsid w:val="004507F9"/>
    <w:rsid w:val="0045389C"/>
    <w:rsid w:val="00453BAE"/>
    <w:rsid w:val="00453D59"/>
    <w:rsid w:val="00454019"/>
    <w:rsid w:val="004548E9"/>
    <w:rsid w:val="00454A85"/>
    <w:rsid w:val="00456242"/>
    <w:rsid w:val="0045665D"/>
    <w:rsid w:val="004566E0"/>
    <w:rsid w:val="00457AE5"/>
    <w:rsid w:val="004606BF"/>
    <w:rsid w:val="00460B6A"/>
    <w:rsid w:val="00460DDB"/>
    <w:rsid w:val="004619BB"/>
    <w:rsid w:val="00461CA4"/>
    <w:rsid w:val="00465CD2"/>
    <w:rsid w:val="00465D3F"/>
    <w:rsid w:val="0046600B"/>
    <w:rsid w:val="0046621E"/>
    <w:rsid w:val="00467EFD"/>
    <w:rsid w:val="00470F3C"/>
    <w:rsid w:val="00471017"/>
    <w:rsid w:val="00471BC7"/>
    <w:rsid w:val="0047271F"/>
    <w:rsid w:val="00472D4D"/>
    <w:rsid w:val="00473105"/>
    <w:rsid w:val="00473128"/>
    <w:rsid w:val="00473996"/>
    <w:rsid w:val="00475305"/>
    <w:rsid w:val="00475CC6"/>
    <w:rsid w:val="004805E5"/>
    <w:rsid w:val="004809C0"/>
    <w:rsid w:val="00480AA5"/>
    <w:rsid w:val="00481549"/>
    <w:rsid w:val="00481866"/>
    <w:rsid w:val="0048232A"/>
    <w:rsid w:val="00484524"/>
    <w:rsid w:val="00484F6D"/>
    <w:rsid w:val="00484F8B"/>
    <w:rsid w:val="00485748"/>
    <w:rsid w:val="0048761C"/>
    <w:rsid w:val="00487876"/>
    <w:rsid w:val="004900F8"/>
    <w:rsid w:val="004902AF"/>
    <w:rsid w:val="004908B7"/>
    <w:rsid w:val="00490986"/>
    <w:rsid w:val="00490A71"/>
    <w:rsid w:val="004910AF"/>
    <w:rsid w:val="004919DD"/>
    <w:rsid w:val="00493231"/>
    <w:rsid w:val="004935EF"/>
    <w:rsid w:val="004947EC"/>
    <w:rsid w:val="00494F7C"/>
    <w:rsid w:val="00497687"/>
    <w:rsid w:val="004A0733"/>
    <w:rsid w:val="004A0C6D"/>
    <w:rsid w:val="004A2DF5"/>
    <w:rsid w:val="004A471A"/>
    <w:rsid w:val="004A4D17"/>
    <w:rsid w:val="004A4EF3"/>
    <w:rsid w:val="004A5746"/>
    <w:rsid w:val="004A5C71"/>
    <w:rsid w:val="004B0071"/>
    <w:rsid w:val="004B0D9D"/>
    <w:rsid w:val="004B0FD3"/>
    <w:rsid w:val="004B21AF"/>
    <w:rsid w:val="004B2918"/>
    <w:rsid w:val="004B2CA1"/>
    <w:rsid w:val="004B33BE"/>
    <w:rsid w:val="004B33C1"/>
    <w:rsid w:val="004B3A5A"/>
    <w:rsid w:val="004B3C00"/>
    <w:rsid w:val="004B6362"/>
    <w:rsid w:val="004B6592"/>
    <w:rsid w:val="004B6DD2"/>
    <w:rsid w:val="004B7D80"/>
    <w:rsid w:val="004C0ED5"/>
    <w:rsid w:val="004C1A54"/>
    <w:rsid w:val="004C1D0C"/>
    <w:rsid w:val="004C1E95"/>
    <w:rsid w:val="004C26B3"/>
    <w:rsid w:val="004C277C"/>
    <w:rsid w:val="004C2FF3"/>
    <w:rsid w:val="004C305C"/>
    <w:rsid w:val="004C3ACC"/>
    <w:rsid w:val="004C3B63"/>
    <w:rsid w:val="004C445C"/>
    <w:rsid w:val="004C4D33"/>
    <w:rsid w:val="004C5586"/>
    <w:rsid w:val="004C5F62"/>
    <w:rsid w:val="004C6EF4"/>
    <w:rsid w:val="004C7740"/>
    <w:rsid w:val="004D0DAC"/>
    <w:rsid w:val="004D1006"/>
    <w:rsid w:val="004D18EB"/>
    <w:rsid w:val="004D196A"/>
    <w:rsid w:val="004D1C6B"/>
    <w:rsid w:val="004D26C3"/>
    <w:rsid w:val="004D387F"/>
    <w:rsid w:val="004D3E5E"/>
    <w:rsid w:val="004D45DF"/>
    <w:rsid w:val="004D5466"/>
    <w:rsid w:val="004D7DFD"/>
    <w:rsid w:val="004D7F30"/>
    <w:rsid w:val="004E0333"/>
    <w:rsid w:val="004E0666"/>
    <w:rsid w:val="004E0C0B"/>
    <w:rsid w:val="004E2125"/>
    <w:rsid w:val="004E2845"/>
    <w:rsid w:val="004E346E"/>
    <w:rsid w:val="004E58D6"/>
    <w:rsid w:val="004E5DAC"/>
    <w:rsid w:val="004E5F8F"/>
    <w:rsid w:val="004E6CFF"/>
    <w:rsid w:val="004E6D75"/>
    <w:rsid w:val="004E6DB8"/>
    <w:rsid w:val="004E6FD1"/>
    <w:rsid w:val="004E7789"/>
    <w:rsid w:val="004E7AD4"/>
    <w:rsid w:val="004F098F"/>
    <w:rsid w:val="004F1802"/>
    <w:rsid w:val="004F3688"/>
    <w:rsid w:val="004F3AAE"/>
    <w:rsid w:val="004F4BDE"/>
    <w:rsid w:val="004F6665"/>
    <w:rsid w:val="004F7CAC"/>
    <w:rsid w:val="0050175A"/>
    <w:rsid w:val="00502B52"/>
    <w:rsid w:val="00503B42"/>
    <w:rsid w:val="00503E77"/>
    <w:rsid w:val="00504DA3"/>
    <w:rsid w:val="00506770"/>
    <w:rsid w:val="0050712A"/>
    <w:rsid w:val="00511320"/>
    <w:rsid w:val="005119C9"/>
    <w:rsid w:val="00511AF5"/>
    <w:rsid w:val="00513692"/>
    <w:rsid w:val="005139D3"/>
    <w:rsid w:val="00513EC8"/>
    <w:rsid w:val="005143F9"/>
    <w:rsid w:val="00514E56"/>
    <w:rsid w:val="005150EF"/>
    <w:rsid w:val="00516566"/>
    <w:rsid w:val="00520787"/>
    <w:rsid w:val="00520FAF"/>
    <w:rsid w:val="005218C3"/>
    <w:rsid w:val="00521C64"/>
    <w:rsid w:val="0052224E"/>
    <w:rsid w:val="00522E70"/>
    <w:rsid w:val="00522EA8"/>
    <w:rsid w:val="005231C3"/>
    <w:rsid w:val="00523227"/>
    <w:rsid w:val="005240B3"/>
    <w:rsid w:val="00524442"/>
    <w:rsid w:val="0052574B"/>
    <w:rsid w:val="00527183"/>
    <w:rsid w:val="0052725B"/>
    <w:rsid w:val="0052758B"/>
    <w:rsid w:val="005278F5"/>
    <w:rsid w:val="005318CF"/>
    <w:rsid w:val="00531B14"/>
    <w:rsid w:val="00531C11"/>
    <w:rsid w:val="0053211C"/>
    <w:rsid w:val="005329B8"/>
    <w:rsid w:val="00532D7C"/>
    <w:rsid w:val="0053350B"/>
    <w:rsid w:val="00535C74"/>
    <w:rsid w:val="005361AB"/>
    <w:rsid w:val="00540D5E"/>
    <w:rsid w:val="005416CF"/>
    <w:rsid w:val="00541AFA"/>
    <w:rsid w:val="00541D43"/>
    <w:rsid w:val="00542068"/>
    <w:rsid w:val="00542BAD"/>
    <w:rsid w:val="005431EC"/>
    <w:rsid w:val="005439E5"/>
    <w:rsid w:val="00543AF9"/>
    <w:rsid w:val="00544B3C"/>
    <w:rsid w:val="00544B81"/>
    <w:rsid w:val="00544C74"/>
    <w:rsid w:val="00544DE1"/>
    <w:rsid w:val="005452A7"/>
    <w:rsid w:val="00545978"/>
    <w:rsid w:val="00545C3B"/>
    <w:rsid w:val="00546399"/>
    <w:rsid w:val="00546701"/>
    <w:rsid w:val="00547FC0"/>
    <w:rsid w:val="005513FD"/>
    <w:rsid w:val="0055180E"/>
    <w:rsid w:val="00551DCF"/>
    <w:rsid w:val="00552760"/>
    <w:rsid w:val="00552DED"/>
    <w:rsid w:val="0055323C"/>
    <w:rsid w:val="005535A0"/>
    <w:rsid w:val="005538BA"/>
    <w:rsid w:val="0055532F"/>
    <w:rsid w:val="005558A9"/>
    <w:rsid w:val="0055652E"/>
    <w:rsid w:val="00556533"/>
    <w:rsid w:val="00557628"/>
    <w:rsid w:val="0055780A"/>
    <w:rsid w:val="00557938"/>
    <w:rsid w:val="005606E2"/>
    <w:rsid w:val="00560728"/>
    <w:rsid w:val="00560B4A"/>
    <w:rsid w:val="00560BC3"/>
    <w:rsid w:val="00560C34"/>
    <w:rsid w:val="005617DF"/>
    <w:rsid w:val="00561D24"/>
    <w:rsid w:val="005628DF"/>
    <w:rsid w:val="00563075"/>
    <w:rsid w:val="0056429D"/>
    <w:rsid w:val="00564FD4"/>
    <w:rsid w:val="00565F9F"/>
    <w:rsid w:val="00566926"/>
    <w:rsid w:val="00566D1D"/>
    <w:rsid w:val="0056776C"/>
    <w:rsid w:val="00571B9D"/>
    <w:rsid w:val="0057324A"/>
    <w:rsid w:val="005737FF"/>
    <w:rsid w:val="005738A6"/>
    <w:rsid w:val="00574252"/>
    <w:rsid w:val="005749AB"/>
    <w:rsid w:val="00575488"/>
    <w:rsid w:val="00575688"/>
    <w:rsid w:val="0057574B"/>
    <w:rsid w:val="00576ADE"/>
    <w:rsid w:val="00577726"/>
    <w:rsid w:val="00577CFD"/>
    <w:rsid w:val="00577DEF"/>
    <w:rsid w:val="005811E6"/>
    <w:rsid w:val="005833FE"/>
    <w:rsid w:val="005836FF"/>
    <w:rsid w:val="005868DF"/>
    <w:rsid w:val="00587326"/>
    <w:rsid w:val="005916EE"/>
    <w:rsid w:val="0059196B"/>
    <w:rsid w:val="00592FC3"/>
    <w:rsid w:val="00593393"/>
    <w:rsid w:val="00593CDC"/>
    <w:rsid w:val="00597972"/>
    <w:rsid w:val="00597F3A"/>
    <w:rsid w:val="00597FAB"/>
    <w:rsid w:val="005A1435"/>
    <w:rsid w:val="005A1975"/>
    <w:rsid w:val="005A1B92"/>
    <w:rsid w:val="005A2470"/>
    <w:rsid w:val="005A3281"/>
    <w:rsid w:val="005A4974"/>
    <w:rsid w:val="005A4C43"/>
    <w:rsid w:val="005A5AB7"/>
    <w:rsid w:val="005A617F"/>
    <w:rsid w:val="005B104C"/>
    <w:rsid w:val="005B3194"/>
    <w:rsid w:val="005B3C6D"/>
    <w:rsid w:val="005B585B"/>
    <w:rsid w:val="005B5DED"/>
    <w:rsid w:val="005B5EED"/>
    <w:rsid w:val="005B61EA"/>
    <w:rsid w:val="005B7C19"/>
    <w:rsid w:val="005C2085"/>
    <w:rsid w:val="005C3889"/>
    <w:rsid w:val="005C3A10"/>
    <w:rsid w:val="005C407E"/>
    <w:rsid w:val="005C435A"/>
    <w:rsid w:val="005C60F1"/>
    <w:rsid w:val="005C6144"/>
    <w:rsid w:val="005C6A66"/>
    <w:rsid w:val="005C793C"/>
    <w:rsid w:val="005D0BC0"/>
    <w:rsid w:val="005D1586"/>
    <w:rsid w:val="005D1B15"/>
    <w:rsid w:val="005D2EC1"/>
    <w:rsid w:val="005D3585"/>
    <w:rsid w:val="005D50BF"/>
    <w:rsid w:val="005D5BA1"/>
    <w:rsid w:val="005D697E"/>
    <w:rsid w:val="005D7B4D"/>
    <w:rsid w:val="005E0B37"/>
    <w:rsid w:val="005E1D68"/>
    <w:rsid w:val="005E30B4"/>
    <w:rsid w:val="005E49B2"/>
    <w:rsid w:val="005E4FC3"/>
    <w:rsid w:val="005E5FE2"/>
    <w:rsid w:val="005E6358"/>
    <w:rsid w:val="005E7472"/>
    <w:rsid w:val="005F04D5"/>
    <w:rsid w:val="005F0AE8"/>
    <w:rsid w:val="005F0F83"/>
    <w:rsid w:val="005F1FD6"/>
    <w:rsid w:val="005F2515"/>
    <w:rsid w:val="005F27DC"/>
    <w:rsid w:val="005F2A6B"/>
    <w:rsid w:val="005F2BA3"/>
    <w:rsid w:val="005F3207"/>
    <w:rsid w:val="005F324B"/>
    <w:rsid w:val="005F3366"/>
    <w:rsid w:val="005F3A94"/>
    <w:rsid w:val="005F3BEA"/>
    <w:rsid w:val="005F40C1"/>
    <w:rsid w:val="005F49B2"/>
    <w:rsid w:val="005F7B96"/>
    <w:rsid w:val="00600A39"/>
    <w:rsid w:val="00600CAD"/>
    <w:rsid w:val="00600DC1"/>
    <w:rsid w:val="006024D3"/>
    <w:rsid w:val="00602D1A"/>
    <w:rsid w:val="00602DD2"/>
    <w:rsid w:val="00602DD3"/>
    <w:rsid w:val="006035C6"/>
    <w:rsid w:val="0060407A"/>
    <w:rsid w:val="00604B29"/>
    <w:rsid w:val="00605E89"/>
    <w:rsid w:val="00606DDE"/>
    <w:rsid w:val="00606EF9"/>
    <w:rsid w:val="0060706A"/>
    <w:rsid w:val="00607758"/>
    <w:rsid w:val="006103DB"/>
    <w:rsid w:val="00610582"/>
    <w:rsid w:val="00610674"/>
    <w:rsid w:val="00610D5E"/>
    <w:rsid w:val="006110E8"/>
    <w:rsid w:val="006112E3"/>
    <w:rsid w:val="006113BE"/>
    <w:rsid w:val="00613467"/>
    <w:rsid w:val="00614359"/>
    <w:rsid w:val="00616C56"/>
    <w:rsid w:val="006178A3"/>
    <w:rsid w:val="0062027A"/>
    <w:rsid w:val="00622727"/>
    <w:rsid w:val="00623092"/>
    <w:rsid w:val="00623454"/>
    <w:rsid w:val="0062398E"/>
    <w:rsid w:val="00624315"/>
    <w:rsid w:val="006245AB"/>
    <w:rsid w:val="00624778"/>
    <w:rsid w:val="0062545B"/>
    <w:rsid w:val="006254AE"/>
    <w:rsid w:val="0062552A"/>
    <w:rsid w:val="00625CBF"/>
    <w:rsid w:val="00626CF8"/>
    <w:rsid w:val="0062726F"/>
    <w:rsid w:val="00627871"/>
    <w:rsid w:val="00627CBD"/>
    <w:rsid w:val="00630496"/>
    <w:rsid w:val="00630CB8"/>
    <w:rsid w:val="006328E1"/>
    <w:rsid w:val="006330B7"/>
    <w:rsid w:val="006332BE"/>
    <w:rsid w:val="00633551"/>
    <w:rsid w:val="00635079"/>
    <w:rsid w:val="00636CF0"/>
    <w:rsid w:val="00637C5B"/>
    <w:rsid w:val="00637D80"/>
    <w:rsid w:val="00637E38"/>
    <w:rsid w:val="0064077C"/>
    <w:rsid w:val="006408C3"/>
    <w:rsid w:val="00640E65"/>
    <w:rsid w:val="00641AE0"/>
    <w:rsid w:val="00641D84"/>
    <w:rsid w:val="00641F9D"/>
    <w:rsid w:val="0064290C"/>
    <w:rsid w:val="00642C1A"/>
    <w:rsid w:val="0064344A"/>
    <w:rsid w:val="006436B7"/>
    <w:rsid w:val="006448C0"/>
    <w:rsid w:val="00644B1E"/>
    <w:rsid w:val="00644D10"/>
    <w:rsid w:val="00645AB3"/>
    <w:rsid w:val="0064620D"/>
    <w:rsid w:val="0064719A"/>
    <w:rsid w:val="006508B4"/>
    <w:rsid w:val="00651257"/>
    <w:rsid w:val="0065226B"/>
    <w:rsid w:val="00655158"/>
    <w:rsid w:val="00656A27"/>
    <w:rsid w:val="00656EB8"/>
    <w:rsid w:val="00657754"/>
    <w:rsid w:val="00660E11"/>
    <w:rsid w:val="00660E64"/>
    <w:rsid w:val="006618AA"/>
    <w:rsid w:val="0066209B"/>
    <w:rsid w:val="00662DFF"/>
    <w:rsid w:val="00664356"/>
    <w:rsid w:val="00664F60"/>
    <w:rsid w:val="00665FC6"/>
    <w:rsid w:val="0066622A"/>
    <w:rsid w:val="00667104"/>
    <w:rsid w:val="0066729A"/>
    <w:rsid w:val="00667CBF"/>
    <w:rsid w:val="00670931"/>
    <w:rsid w:val="0067133C"/>
    <w:rsid w:val="00671667"/>
    <w:rsid w:val="00671884"/>
    <w:rsid w:val="00671F9F"/>
    <w:rsid w:val="00672120"/>
    <w:rsid w:val="0067327D"/>
    <w:rsid w:val="00673352"/>
    <w:rsid w:val="00673843"/>
    <w:rsid w:val="00673B49"/>
    <w:rsid w:val="00675680"/>
    <w:rsid w:val="00675A54"/>
    <w:rsid w:val="006765F4"/>
    <w:rsid w:val="006767D3"/>
    <w:rsid w:val="006770D5"/>
    <w:rsid w:val="00681C5B"/>
    <w:rsid w:val="00682546"/>
    <w:rsid w:val="0068368C"/>
    <w:rsid w:val="0068446B"/>
    <w:rsid w:val="006844BA"/>
    <w:rsid w:val="006845A4"/>
    <w:rsid w:val="006845FD"/>
    <w:rsid w:val="00684F7E"/>
    <w:rsid w:val="0068626E"/>
    <w:rsid w:val="0068650C"/>
    <w:rsid w:val="00686A71"/>
    <w:rsid w:val="00686C4E"/>
    <w:rsid w:val="00686F22"/>
    <w:rsid w:val="00687274"/>
    <w:rsid w:val="00687CA0"/>
    <w:rsid w:val="0069123E"/>
    <w:rsid w:val="00691913"/>
    <w:rsid w:val="00693399"/>
    <w:rsid w:val="006938DF"/>
    <w:rsid w:val="0069459C"/>
    <w:rsid w:val="006946C8"/>
    <w:rsid w:val="0069537E"/>
    <w:rsid w:val="00696C6D"/>
    <w:rsid w:val="00697F92"/>
    <w:rsid w:val="006A138B"/>
    <w:rsid w:val="006A1569"/>
    <w:rsid w:val="006A15B9"/>
    <w:rsid w:val="006A3144"/>
    <w:rsid w:val="006A3464"/>
    <w:rsid w:val="006A593F"/>
    <w:rsid w:val="006A65AB"/>
    <w:rsid w:val="006A7AE4"/>
    <w:rsid w:val="006B0139"/>
    <w:rsid w:val="006B0480"/>
    <w:rsid w:val="006B140A"/>
    <w:rsid w:val="006B19F3"/>
    <w:rsid w:val="006B1ABC"/>
    <w:rsid w:val="006B1F67"/>
    <w:rsid w:val="006B2AF3"/>
    <w:rsid w:val="006B2C5F"/>
    <w:rsid w:val="006B34D6"/>
    <w:rsid w:val="006B4436"/>
    <w:rsid w:val="006B48F4"/>
    <w:rsid w:val="006B4BA6"/>
    <w:rsid w:val="006B5449"/>
    <w:rsid w:val="006B5892"/>
    <w:rsid w:val="006B5D29"/>
    <w:rsid w:val="006B6044"/>
    <w:rsid w:val="006B65F5"/>
    <w:rsid w:val="006B6DE4"/>
    <w:rsid w:val="006C014A"/>
    <w:rsid w:val="006C0974"/>
    <w:rsid w:val="006C2952"/>
    <w:rsid w:val="006C2F78"/>
    <w:rsid w:val="006C4906"/>
    <w:rsid w:val="006C6AA6"/>
    <w:rsid w:val="006C7455"/>
    <w:rsid w:val="006D073C"/>
    <w:rsid w:val="006D3271"/>
    <w:rsid w:val="006D33C5"/>
    <w:rsid w:val="006D3438"/>
    <w:rsid w:val="006D37CD"/>
    <w:rsid w:val="006D4556"/>
    <w:rsid w:val="006D4E1F"/>
    <w:rsid w:val="006D51B9"/>
    <w:rsid w:val="006D5D03"/>
    <w:rsid w:val="006D5F43"/>
    <w:rsid w:val="006D66DE"/>
    <w:rsid w:val="006D7D25"/>
    <w:rsid w:val="006E2745"/>
    <w:rsid w:val="006E29AA"/>
    <w:rsid w:val="006E44A8"/>
    <w:rsid w:val="006E650C"/>
    <w:rsid w:val="006E7302"/>
    <w:rsid w:val="006E7940"/>
    <w:rsid w:val="006F161E"/>
    <w:rsid w:val="006F1BB3"/>
    <w:rsid w:val="006F21CC"/>
    <w:rsid w:val="006F350A"/>
    <w:rsid w:val="006F40A9"/>
    <w:rsid w:val="006F5EE8"/>
    <w:rsid w:val="006F5F09"/>
    <w:rsid w:val="0070097C"/>
    <w:rsid w:val="00700DE9"/>
    <w:rsid w:val="00700FE7"/>
    <w:rsid w:val="00703418"/>
    <w:rsid w:val="00703498"/>
    <w:rsid w:val="007061AA"/>
    <w:rsid w:val="00706271"/>
    <w:rsid w:val="007063D3"/>
    <w:rsid w:val="00706AE9"/>
    <w:rsid w:val="00707C24"/>
    <w:rsid w:val="00710485"/>
    <w:rsid w:val="007109D8"/>
    <w:rsid w:val="00712C73"/>
    <w:rsid w:val="007134D5"/>
    <w:rsid w:val="0071362E"/>
    <w:rsid w:val="007143CF"/>
    <w:rsid w:val="00714E0D"/>
    <w:rsid w:val="00715033"/>
    <w:rsid w:val="00715181"/>
    <w:rsid w:val="0071644D"/>
    <w:rsid w:val="00717C8E"/>
    <w:rsid w:val="00720746"/>
    <w:rsid w:val="007209B0"/>
    <w:rsid w:val="007219FD"/>
    <w:rsid w:val="00721E54"/>
    <w:rsid w:val="00722107"/>
    <w:rsid w:val="00722446"/>
    <w:rsid w:val="00722695"/>
    <w:rsid w:val="00723E1E"/>
    <w:rsid w:val="0072424D"/>
    <w:rsid w:val="00724A4A"/>
    <w:rsid w:val="00727155"/>
    <w:rsid w:val="00730D7F"/>
    <w:rsid w:val="00730FF8"/>
    <w:rsid w:val="00732FD9"/>
    <w:rsid w:val="007349AE"/>
    <w:rsid w:val="00735846"/>
    <w:rsid w:val="00737CC5"/>
    <w:rsid w:val="00737EDF"/>
    <w:rsid w:val="007408F2"/>
    <w:rsid w:val="007415BD"/>
    <w:rsid w:val="0074289A"/>
    <w:rsid w:val="00743B80"/>
    <w:rsid w:val="00745037"/>
    <w:rsid w:val="00746479"/>
    <w:rsid w:val="00746F2C"/>
    <w:rsid w:val="007503C5"/>
    <w:rsid w:val="00750420"/>
    <w:rsid w:val="007505D6"/>
    <w:rsid w:val="0075082C"/>
    <w:rsid w:val="007509A6"/>
    <w:rsid w:val="00750B5A"/>
    <w:rsid w:val="00751C6B"/>
    <w:rsid w:val="00751F15"/>
    <w:rsid w:val="0075289A"/>
    <w:rsid w:val="00753B3A"/>
    <w:rsid w:val="007552DB"/>
    <w:rsid w:val="007574C9"/>
    <w:rsid w:val="00760CE2"/>
    <w:rsid w:val="00760DDD"/>
    <w:rsid w:val="007610DA"/>
    <w:rsid w:val="007620EE"/>
    <w:rsid w:val="0076446C"/>
    <w:rsid w:val="00766434"/>
    <w:rsid w:val="00770966"/>
    <w:rsid w:val="00770C5C"/>
    <w:rsid w:val="007725FF"/>
    <w:rsid w:val="00772C70"/>
    <w:rsid w:val="00772D45"/>
    <w:rsid w:val="007738CD"/>
    <w:rsid w:val="00773DBC"/>
    <w:rsid w:val="00774372"/>
    <w:rsid w:val="0077548D"/>
    <w:rsid w:val="00781606"/>
    <w:rsid w:val="00781777"/>
    <w:rsid w:val="007818DD"/>
    <w:rsid w:val="00781EC7"/>
    <w:rsid w:val="00781F4B"/>
    <w:rsid w:val="0078218C"/>
    <w:rsid w:val="007832D5"/>
    <w:rsid w:val="007847FA"/>
    <w:rsid w:val="00784F4F"/>
    <w:rsid w:val="00785178"/>
    <w:rsid w:val="00787202"/>
    <w:rsid w:val="00787332"/>
    <w:rsid w:val="007873B4"/>
    <w:rsid w:val="00790148"/>
    <w:rsid w:val="007907B7"/>
    <w:rsid w:val="00790910"/>
    <w:rsid w:val="00791B51"/>
    <w:rsid w:val="00791DE1"/>
    <w:rsid w:val="00793420"/>
    <w:rsid w:val="0079375E"/>
    <w:rsid w:val="0079439B"/>
    <w:rsid w:val="0079515E"/>
    <w:rsid w:val="00796DCA"/>
    <w:rsid w:val="00797B91"/>
    <w:rsid w:val="00797D36"/>
    <w:rsid w:val="007A0667"/>
    <w:rsid w:val="007A07C1"/>
    <w:rsid w:val="007A0C94"/>
    <w:rsid w:val="007A321D"/>
    <w:rsid w:val="007A37EA"/>
    <w:rsid w:val="007A3A8C"/>
    <w:rsid w:val="007A4500"/>
    <w:rsid w:val="007A5FB6"/>
    <w:rsid w:val="007A6254"/>
    <w:rsid w:val="007A6C76"/>
    <w:rsid w:val="007B0123"/>
    <w:rsid w:val="007B0E0C"/>
    <w:rsid w:val="007B23AF"/>
    <w:rsid w:val="007B2AF8"/>
    <w:rsid w:val="007B41C9"/>
    <w:rsid w:val="007C0228"/>
    <w:rsid w:val="007C0B7E"/>
    <w:rsid w:val="007C0D0E"/>
    <w:rsid w:val="007C26E5"/>
    <w:rsid w:val="007C2B82"/>
    <w:rsid w:val="007C2F4A"/>
    <w:rsid w:val="007C3579"/>
    <w:rsid w:val="007C4FFC"/>
    <w:rsid w:val="007C56C6"/>
    <w:rsid w:val="007C62DE"/>
    <w:rsid w:val="007C6B1D"/>
    <w:rsid w:val="007C720A"/>
    <w:rsid w:val="007C7499"/>
    <w:rsid w:val="007C7874"/>
    <w:rsid w:val="007D1092"/>
    <w:rsid w:val="007D118C"/>
    <w:rsid w:val="007D13EE"/>
    <w:rsid w:val="007D1924"/>
    <w:rsid w:val="007D250A"/>
    <w:rsid w:val="007D2621"/>
    <w:rsid w:val="007D39C9"/>
    <w:rsid w:val="007D484D"/>
    <w:rsid w:val="007D5343"/>
    <w:rsid w:val="007D542B"/>
    <w:rsid w:val="007D5CA8"/>
    <w:rsid w:val="007D6B9E"/>
    <w:rsid w:val="007E0341"/>
    <w:rsid w:val="007E0CAF"/>
    <w:rsid w:val="007E28BA"/>
    <w:rsid w:val="007E2B80"/>
    <w:rsid w:val="007E2C67"/>
    <w:rsid w:val="007E2F09"/>
    <w:rsid w:val="007E4597"/>
    <w:rsid w:val="007E58EB"/>
    <w:rsid w:val="007E6A70"/>
    <w:rsid w:val="007F08CA"/>
    <w:rsid w:val="007F0CE5"/>
    <w:rsid w:val="007F2076"/>
    <w:rsid w:val="007F2F77"/>
    <w:rsid w:val="007F3B6E"/>
    <w:rsid w:val="007F4097"/>
    <w:rsid w:val="007F4463"/>
    <w:rsid w:val="007F7AC2"/>
    <w:rsid w:val="0080051C"/>
    <w:rsid w:val="0080058C"/>
    <w:rsid w:val="00800D17"/>
    <w:rsid w:val="00802841"/>
    <w:rsid w:val="00802B63"/>
    <w:rsid w:val="00802FDE"/>
    <w:rsid w:val="00803B25"/>
    <w:rsid w:val="00804981"/>
    <w:rsid w:val="008061BC"/>
    <w:rsid w:val="00806434"/>
    <w:rsid w:val="00807559"/>
    <w:rsid w:val="008105CA"/>
    <w:rsid w:val="008115C2"/>
    <w:rsid w:val="008117BF"/>
    <w:rsid w:val="00811A1B"/>
    <w:rsid w:val="008127AA"/>
    <w:rsid w:val="00813288"/>
    <w:rsid w:val="00813C2A"/>
    <w:rsid w:val="0081467B"/>
    <w:rsid w:val="0082111A"/>
    <w:rsid w:val="00821A29"/>
    <w:rsid w:val="00822D70"/>
    <w:rsid w:val="008231DD"/>
    <w:rsid w:val="00823233"/>
    <w:rsid w:val="008240FF"/>
    <w:rsid w:val="00824426"/>
    <w:rsid w:val="00824B0E"/>
    <w:rsid w:val="00824C9D"/>
    <w:rsid w:val="008251F6"/>
    <w:rsid w:val="008260B8"/>
    <w:rsid w:val="00826386"/>
    <w:rsid w:val="00826CB9"/>
    <w:rsid w:val="00827126"/>
    <w:rsid w:val="00827343"/>
    <w:rsid w:val="00830597"/>
    <w:rsid w:val="00830E52"/>
    <w:rsid w:val="008311E3"/>
    <w:rsid w:val="00831A57"/>
    <w:rsid w:val="00832020"/>
    <w:rsid w:val="0083233F"/>
    <w:rsid w:val="008324E3"/>
    <w:rsid w:val="00833E59"/>
    <w:rsid w:val="00836319"/>
    <w:rsid w:val="00836369"/>
    <w:rsid w:val="00836E8D"/>
    <w:rsid w:val="00837EA0"/>
    <w:rsid w:val="00840EFA"/>
    <w:rsid w:val="008410EC"/>
    <w:rsid w:val="0084345B"/>
    <w:rsid w:val="00844347"/>
    <w:rsid w:val="0084437F"/>
    <w:rsid w:val="0084489D"/>
    <w:rsid w:val="008450F3"/>
    <w:rsid w:val="00845946"/>
    <w:rsid w:val="00845B94"/>
    <w:rsid w:val="0084681B"/>
    <w:rsid w:val="008476A0"/>
    <w:rsid w:val="00847E79"/>
    <w:rsid w:val="00850140"/>
    <w:rsid w:val="0085041B"/>
    <w:rsid w:val="008505AF"/>
    <w:rsid w:val="008505DF"/>
    <w:rsid w:val="00850942"/>
    <w:rsid w:val="008509E0"/>
    <w:rsid w:val="00851C5E"/>
    <w:rsid w:val="00852F38"/>
    <w:rsid w:val="00854EF0"/>
    <w:rsid w:val="00856C34"/>
    <w:rsid w:val="00860E32"/>
    <w:rsid w:val="0086103B"/>
    <w:rsid w:val="008621C6"/>
    <w:rsid w:val="00862B69"/>
    <w:rsid w:val="00862BA2"/>
    <w:rsid w:val="0086317D"/>
    <w:rsid w:val="008631B5"/>
    <w:rsid w:val="0086385D"/>
    <w:rsid w:val="00863E95"/>
    <w:rsid w:val="0086483A"/>
    <w:rsid w:val="00865546"/>
    <w:rsid w:val="00865AF4"/>
    <w:rsid w:val="00865DC1"/>
    <w:rsid w:val="00866FB0"/>
    <w:rsid w:val="00867E67"/>
    <w:rsid w:val="00870112"/>
    <w:rsid w:val="00870C8E"/>
    <w:rsid w:val="00872A3B"/>
    <w:rsid w:val="0087365A"/>
    <w:rsid w:val="008743C7"/>
    <w:rsid w:val="00875070"/>
    <w:rsid w:val="008750F9"/>
    <w:rsid w:val="00875341"/>
    <w:rsid w:val="0087536F"/>
    <w:rsid w:val="00875A29"/>
    <w:rsid w:val="00876252"/>
    <w:rsid w:val="0087659D"/>
    <w:rsid w:val="008765E4"/>
    <w:rsid w:val="008801E4"/>
    <w:rsid w:val="00880A40"/>
    <w:rsid w:val="00880BAC"/>
    <w:rsid w:val="008810DB"/>
    <w:rsid w:val="00881C81"/>
    <w:rsid w:val="0088213C"/>
    <w:rsid w:val="00882C06"/>
    <w:rsid w:val="00882CC7"/>
    <w:rsid w:val="00883CC3"/>
    <w:rsid w:val="0088535F"/>
    <w:rsid w:val="00885C19"/>
    <w:rsid w:val="008869F4"/>
    <w:rsid w:val="0089089E"/>
    <w:rsid w:val="00890B4D"/>
    <w:rsid w:val="008910D5"/>
    <w:rsid w:val="008911CB"/>
    <w:rsid w:val="00893B21"/>
    <w:rsid w:val="00893EEF"/>
    <w:rsid w:val="0089448C"/>
    <w:rsid w:val="008975A2"/>
    <w:rsid w:val="008976A3"/>
    <w:rsid w:val="00897B51"/>
    <w:rsid w:val="008A0F4C"/>
    <w:rsid w:val="008A12B3"/>
    <w:rsid w:val="008A14CB"/>
    <w:rsid w:val="008A184F"/>
    <w:rsid w:val="008A1CA6"/>
    <w:rsid w:val="008A2C72"/>
    <w:rsid w:val="008A3ADD"/>
    <w:rsid w:val="008A40BC"/>
    <w:rsid w:val="008A40DD"/>
    <w:rsid w:val="008A4880"/>
    <w:rsid w:val="008A52B1"/>
    <w:rsid w:val="008A5754"/>
    <w:rsid w:val="008A5E0E"/>
    <w:rsid w:val="008A657E"/>
    <w:rsid w:val="008B0C53"/>
    <w:rsid w:val="008B0D60"/>
    <w:rsid w:val="008B1FFD"/>
    <w:rsid w:val="008B2287"/>
    <w:rsid w:val="008B2C31"/>
    <w:rsid w:val="008B2E71"/>
    <w:rsid w:val="008B2FDE"/>
    <w:rsid w:val="008B3292"/>
    <w:rsid w:val="008B383D"/>
    <w:rsid w:val="008B4E2F"/>
    <w:rsid w:val="008B4E5D"/>
    <w:rsid w:val="008B4EA4"/>
    <w:rsid w:val="008B5749"/>
    <w:rsid w:val="008B5B32"/>
    <w:rsid w:val="008B72C4"/>
    <w:rsid w:val="008B76F4"/>
    <w:rsid w:val="008B79F6"/>
    <w:rsid w:val="008C2989"/>
    <w:rsid w:val="008C3B4E"/>
    <w:rsid w:val="008C3D0F"/>
    <w:rsid w:val="008C460D"/>
    <w:rsid w:val="008C5E5C"/>
    <w:rsid w:val="008C647D"/>
    <w:rsid w:val="008C67E8"/>
    <w:rsid w:val="008C69C5"/>
    <w:rsid w:val="008D0878"/>
    <w:rsid w:val="008D08BB"/>
    <w:rsid w:val="008D09DD"/>
    <w:rsid w:val="008D1784"/>
    <w:rsid w:val="008D1E52"/>
    <w:rsid w:val="008D32E3"/>
    <w:rsid w:val="008D475B"/>
    <w:rsid w:val="008D5A62"/>
    <w:rsid w:val="008D6F2E"/>
    <w:rsid w:val="008D78FF"/>
    <w:rsid w:val="008D7BF5"/>
    <w:rsid w:val="008E0DE6"/>
    <w:rsid w:val="008E1538"/>
    <w:rsid w:val="008E3D23"/>
    <w:rsid w:val="008E461B"/>
    <w:rsid w:val="008E5C3C"/>
    <w:rsid w:val="008E7763"/>
    <w:rsid w:val="008F07FC"/>
    <w:rsid w:val="008F17A5"/>
    <w:rsid w:val="008F2410"/>
    <w:rsid w:val="008F3519"/>
    <w:rsid w:val="008F357C"/>
    <w:rsid w:val="008F3AB1"/>
    <w:rsid w:val="008F4A7E"/>
    <w:rsid w:val="008F5299"/>
    <w:rsid w:val="008F5E79"/>
    <w:rsid w:val="008F67A9"/>
    <w:rsid w:val="008F703E"/>
    <w:rsid w:val="008F70C0"/>
    <w:rsid w:val="00900174"/>
    <w:rsid w:val="009003BE"/>
    <w:rsid w:val="0090071B"/>
    <w:rsid w:val="009023B3"/>
    <w:rsid w:val="009026A3"/>
    <w:rsid w:val="009029EE"/>
    <w:rsid w:val="00903F33"/>
    <w:rsid w:val="00906C2F"/>
    <w:rsid w:val="0090710D"/>
    <w:rsid w:val="0090734D"/>
    <w:rsid w:val="00907899"/>
    <w:rsid w:val="00910801"/>
    <w:rsid w:val="0091090E"/>
    <w:rsid w:val="00910F20"/>
    <w:rsid w:val="00911F33"/>
    <w:rsid w:val="00912114"/>
    <w:rsid w:val="0091238F"/>
    <w:rsid w:val="00912B33"/>
    <w:rsid w:val="00913638"/>
    <w:rsid w:val="00914DA7"/>
    <w:rsid w:val="00915F63"/>
    <w:rsid w:val="00916AFA"/>
    <w:rsid w:val="00917266"/>
    <w:rsid w:val="009177E9"/>
    <w:rsid w:val="00917C86"/>
    <w:rsid w:val="00920A43"/>
    <w:rsid w:val="0092176C"/>
    <w:rsid w:val="00921D5E"/>
    <w:rsid w:val="009221AD"/>
    <w:rsid w:val="00923366"/>
    <w:rsid w:val="009240B7"/>
    <w:rsid w:val="0092600B"/>
    <w:rsid w:val="00926118"/>
    <w:rsid w:val="009265C7"/>
    <w:rsid w:val="00930452"/>
    <w:rsid w:val="00930508"/>
    <w:rsid w:val="00930D09"/>
    <w:rsid w:val="00931EAD"/>
    <w:rsid w:val="009322A5"/>
    <w:rsid w:val="009328C9"/>
    <w:rsid w:val="00932F06"/>
    <w:rsid w:val="009331CF"/>
    <w:rsid w:val="009334AC"/>
    <w:rsid w:val="00934564"/>
    <w:rsid w:val="0093645E"/>
    <w:rsid w:val="009372F6"/>
    <w:rsid w:val="009378E3"/>
    <w:rsid w:val="00937E53"/>
    <w:rsid w:val="00941A22"/>
    <w:rsid w:val="00941D97"/>
    <w:rsid w:val="00941ED9"/>
    <w:rsid w:val="00942010"/>
    <w:rsid w:val="0094252B"/>
    <w:rsid w:val="0094320A"/>
    <w:rsid w:val="009439A7"/>
    <w:rsid w:val="00944C35"/>
    <w:rsid w:val="00945A89"/>
    <w:rsid w:val="009469B9"/>
    <w:rsid w:val="0094748B"/>
    <w:rsid w:val="00947C88"/>
    <w:rsid w:val="00950C70"/>
    <w:rsid w:val="0095170D"/>
    <w:rsid w:val="00951802"/>
    <w:rsid w:val="00951945"/>
    <w:rsid w:val="00952632"/>
    <w:rsid w:val="0095307F"/>
    <w:rsid w:val="009548FF"/>
    <w:rsid w:val="00955526"/>
    <w:rsid w:val="009567FA"/>
    <w:rsid w:val="00957FD5"/>
    <w:rsid w:val="00960CDC"/>
    <w:rsid w:val="0096125E"/>
    <w:rsid w:val="009624F6"/>
    <w:rsid w:val="00962538"/>
    <w:rsid w:val="00962C8E"/>
    <w:rsid w:val="009632D0"/>
    <w:rsid w:val="009648FD"/>
    <w:rsid w:val="009649EB"/>
    <w:rsid w:val="00965269"/>
    <w:rsid w:val="00966269"/>
    <w:rsid w:val="00966C09"/>
    <w:rsid w:val="009677C5"/>
    <w:rsid w:val="00967CE3"/>
    <w:rsid w:val="009708FB"/>
    <w:rsid w:val="00970934"/>
    <w:rsid w:val="00970D2E"/>
    <w:rsid w:val="00971C39"/>
    <w:rsid w:val="009732E6"/>
    <w:rsid w:val="00973BCD"/>
    <w:rsid w:val="00973E9B"/>
    <w:rsid w:val="0097544E"/>
    <w:rsid w:val="009754D5"/>
    <w:rsid w:val="00975A73"/>
    <w:rsid w:val="009777F3"/>
    <w:rsid w:val="00977CF1"/>
    <w:rsid w:val="00977E1A"/>
    <w:rsid w:val="00977E1F"/>
    <w:rsid w:val="00980F87"/>
    <w:rsid w:val="00981467"/>
    <w:rsid w:val="00981E92"/>
    <w:rsid w:val="00983677"/>
    <w:rsid w:val="00984441"/>
    <w:rsid w:val="009844CF"/>
    <w:rsid w:val="00984DD8"/>
    <w:rsid w:val="00985001"/>
    <w:rsid w:val="009850A1"/>
    <w:rsid w:val="009862A7"/>
    <w:rsid w:val="009871B6"/>
    <w:rsid w:val="00987B9A"/>
    <w:rsid w:val="00987DF0"/>
    <w:rsid w:val="00987E9F"/>
    <w:rsid w:val="0099085F"/>
    <w:rsid w:val="00991145"/>
    <w:rsid w:val="00992328"/>
    <w:rsid w:val="009925DB"/>
    <w:rsid w:val="0099286E"/>
    <w:rsid w:val="00993114"/>
    <w:rsid w:val="009937B5"/>
    <w:rsid w:val="00993CC9"/>
    <w:rsid w:val="009940A4"/>
    <w:rsid w:val="00994E2B"/>
    <w:rsid w:val="00995AD7"/>
    <w:rsid w:val="00995DCD"/>
    <w:rsid w:val="009962F9"/>
    <w:rsid w:val="00997191"/>
    <w:rsid w:val="0099745A"/>
    <w:rsid w:val="009A0B92"/>
    <w:rsid w:val="009A0DA7"/>
    <w:rsid w:val="009A1740"/>
    <w:rsid w:val="009A2132"/>
    <w:rsid w:val="009A2953"/>
    <w:rsid w:val="009A2CDB"/>
    <w:rsid w:val="009A3E7C"/>
    <w:rsid w:val="009A4305"/>
    <w:rsid w:val="009A580E"/>
    <w:rsid w:val="009A66A9"/>
    <w:rsid w:val="009A6A4D"/>
    <w:rsid w:val="009A6F74"/>
    <w:rsid w:val="009A735A"/>
    <w:rsid w:val="009B0435"/>
    <w:rsid w:val="009B0768"/>
    <w:rsid w:val="009B0890"/>
    <w:rsid w:val="009B0939"/>
    <w:rsid w:val="009B147B"/>
    <w:rsid w:val="009B170B"/>
    <w:rsid w:val="009B22BD"/>
    <w:rsid w:val="009B270D"/>
    <w:rsid w:val="009B3012"/>
    <w:rsid w:val="009B4E54"/>
    <w:rsid w:val="009B56F6"/>
    <w:rsid w:val="009B5AC4"/>
    <w:rsid w:val="009B7632"/>
    <w:rsid w:val="009C098E"/>
    <w:rsid w:val="009C0CC4"/>
    <w:rsid w:val="009C0F03"/>
    <w:rsid w:val="009C105E"/>
    <w:rsid w:val="009C21CD"/>
    <w:rsid w:val="009C293A"/>
    <w:rsid w:val="009C2FA3"/>
    <w:rsid w:val="009C3B8C"/>
    <w:rsid w:val="009C4D08"/>
    <w:rsid w:val="009C4F22"/>
    <w:rsid w:val="009C5005"/>
    <w:rsid w:val="009C6B5F"/>
    <w:rsid w:val="009C6F7D"/>
    <w:rsid w:val="009D0A54"/>
    <w:rsid w:val="009D3237"/>
    <w:rsid w:val="009D34D8"/>
    <w:rsid w:val="009D3628"/>
    <w:rsid w:val="009D470C"/>
    <w:rsid w:val="009D4C2A"/>
    <w:rsid w:val="009D6914"/>
    <w:rsid w:val="009E0C68"/>
    <w:rsid w:val="009E0DFF"/>
    <w:rsid w:val="009E1A3C"/>
    <w:rsid w:val="009E1C22"/>
    <w:rsid w:val="009E1EFB"/>
    <w:rsid w:val="009E2481"/>
    <w:rsid w:val="009E2542"/>
    <w:rsid w:val="009E25D4"/>
    <w:rsid w:val="009E2845"/>
    <w:rsid w:val="009E2FF9"/>
    <w:rsid w:val="009E35FC"/>
    <w:rsid w:val="009E37E4"/>
    <w:rsid w:val="009E3C7E"/>
    <w:rsid w:val="009E3EEC"/>
    <w:rsid w:val="009E43E8"/>
    <w:rsid w:val="009E4528"/>
    <w:rsid w:val="009E560D"/>
    <w:rsid w:val="009E56DB"/>
    <w:rsid w:val="009E7696"/>
    <w:rsid w:val="009E7A04"/>
    <w:rsid w:val="009E7AFF"/>
    <w:rsid w:val="009F0381"/>
    <w:rsid w:val="009F07E4"/>
    <w:rsid w:val="009F1693"/>
    <w:rsid w:val="009F193A"/>
    <w:rsid w:val="009F3021"/>
    <w:rsid w:val="009F3631"/>
    <w:rsid w:val="009F363C"/>
    <w:rsid w:val="009F3790"/>
    <w:rsid w:val="009F3AD7"/>
    <w:rsid w:val="009F476C"/>
    <w:rsid w:val="009F586C"/>
    <w:rsid w:val="009F5D30"/>
    <w:rsid w:val="009F7913"/>
    <w:rsid w:val="009F7A2D"/>
    <w:rsid w:val="009F7A90"/>
    <w:rsid w:val="009F7CEB"/>
    <w:rsid w:val="00A02380"/>
    <w:rsid w:val="00A03256"/>
    <w:rsid w:val="00A03E92"/>
    <w:rsid w:val="00A040FD"/>
    <w:rsid w:val="00A0426A"/>
    <w:rsid w:val="00A04C0D"/>
    <w:rsid w:val="00A05067"/>
    <w:rsid w:val="00A056BC"/>
    <w:rsid w:val="00A0630C"/>
    <w:rsid w:val="00A07327"/>
    <w:rsid w:val="00A073A8"/>
    <w:rsid w:val="00A07723"/>
    <w:rsid w:val="00A101E6"/>
    <w:rsid w:val="00A10D31"/>
    <w:rsid w:val="00A10DA1"/>
    <w:rsid w:val="00A10FBF"/>
    <w:rsid w:val="00A112E0"/>
    <w:rsid w:val="00A12A44"/>
    <w:rsid w:val="00A142A8"/>
    <w:rsid w:val="00A15954"/>
    <w:rsid w:val="00A15E0D"/>
    <w:rsid w:val="00A16638"/>
    <w:rsid w:val="00A17199"/>
    <w:rsid w:val="00A17490"/>
    <w:rsid w:val="00A179C8"/>
    <w:rsid w:val="00A17F04"/>
    <w:rsid w:val="00A20B1A"/>
    <w:rsid w:val="00A216F9"/>
    <w:rsid w:val="00A22A39"/>
    <w:rsid w:val="00A230F4"/>
    <w:rsid w:val="00A2315A"/>
    <w:rsid w:val="00A2379E"/>
    <w:rsid w:val="00A23D48"/>
    <w:rsid w:val="00A24B5F"/>
    <w:rsid w:val="00A24CB0"/>
    <w:rsid w:val="00A24EF5"/>
    <w:rsid w:val="00A25D27"/>
    <w:rsid w:val="00A25FF1"/>
    <w:rsid w:val="00A2672F"/>
    <w:rsid w:val="00A26E4A"/>
    <w:rsid w:val="00A26F22"/>
    <w:rsid w:val="00A27627"/>
    <w:rsid w:val="00A27C35"/>
    <w:rsid w:val="00A32C2D"/>
    <w:rsid w:val="00A33362"/>
    <w:rsid w:val="00A34324"/>
    <w:rsid w:val="00A34436"/>
    <w:rsid w:val="00A35734"/>
    <w:rsid w:val="00A371B1"/>
    <w:rsid w:val="00A372D2"/>
    <w:rsid w:val="00A37D6B"/>
    <w:rsid w:val="00A40BDA"/>
    <w:rsid w:val="00A41E5D"/>
    <w:rsid w:val="00A45200"/>
    <w:rsid w:val="00A45378"/>
    <w:rsid w:val="00A45BCB"/>
    <w:rsid w:val="00A45F62"/>
    <w:rsid w:val="00A46600"/>
    <w:rsid w:val="00A50605"/>
    <w:rsid w:val="00A5359E"/>
    <w:rsid w:val="00A535FB"/>
    <w:rsid w:val="00A5387F"/>
    <w:rsid w:val="00A53FA8"/>
    <w:rsid w:val="00A550AE"/>
    <w:rsid w:val="00A578E3"/>
    <w:rsid w:val="00A57FA3"/>
    <w:rsid w:val="00A621A2"/>
    <w:rsid w:val="00A63630"/>
    <w:rsid w:val="00A6374D"/>
    <w:rsid w:val="00A64DDA"/>
    <w:rsid w:val="00A6517D"/>
    <w:rsid w:val="00A65598"/>
    <w:rsid w:val="00A65C1F"/>
    <w:rsid w:val="00A65C41"/>
    <w:rsid w:val="00A6665E"/>
    <w:rsid w:val="00A6726C"/>
    <w:rsid w:val="00A70351"/>
    <w:rsid w:val="00A706D1"/>
    <w:rsid w:val="00A71ABC"/>
    <w:rsid w:val="00A71B5A"/>
    <w:rsid w:val="00A71C48"/>
    <w:rsid w:val="00A73A9C"/>
    <w:rsid w:val="00A73B2A"/>
    <w:rsid w:val="00A73FC6"/>
    <w:rsid w:val="00A7486F"/>
    <w:rsid w:val="00A75112"/>
    <w:rsid w:val="00A75DA1"/>
    <w:rsid w:val="00A75DEF"/>
    <w:rsid w:val="00A76EA4"/>
    <w:rsid w:val="00A77BDE"/>
    <w:rsid w:val="00A77CBB"/>
    <w:rsid w:val="00A77F64"/>
    <w:rsid w:val="00A8063A"/>
    <w:rsid w:val="00A8070C"/>
    <w:rsid w:val="00A80C8B"/>
    <w:rsid w:val="00A81096"/>
    <w:rsid w:val="00A810C9"/>
    <w:rsid w:val="00A81392"/>
    <w:rsid w:val="00A81F82"/>
    <w:rsid w:val="00A8226B"/>
    <w:rsid w:val="00A82AB5"/>
    <w:rsid w:val="00A832EE"/>
    <w:rsid w:val="00A837BB"/>
    <w:rsid w:val="00A83F66"/>
    <w:rsid w:val="00A841B0"/>
    <w:rsid w:val="00A84EAA"/>
    <w:rsid w:val="00A85A2B"/>
    <w:rsid w:val="00A85F2A"/>
    <w:rsid w:val="00A85FF3"/>
    <w:rsid w:val="00A86148"/>
    <w:rsid w:val="00A86781"/>
    <w:rsid w:val="00A87436"/>
    <w:rsid w:val="00A87581"/>
    <w:rsid w:val="00A8794F"/>
    <w:rsid w:val="00A901FF"/>
    <w:rsid w:val="00A928BA"/>
    <w:rsid w:val="00A93543"/>
    <w:rsid w:val="00A93F16"/>
    <w:rsid w:val="00A93F6B"/>
    <w:rsid w:val="00A9407E"/>
    <w:rsid w:val="00A942C9"/>
    <w:rsid w:val="00A94E78"/>
    <w:rsid w:val="00A94EC9"/>
    <w:rsid w:val="00A94EFC"/>
    <w:rsid w:val="00A95CC8"/>
    <w:rsid w:val="00A963DD"/>
    <w:rsid w:val="00A9644D"/>
    <w:rsid w:val="00A97899"/>
    <w:rsid w:val="00AA0557"/>
    <w:rsid w:val="00AA07C1"/>
    <w:rsid w:val="00AA09D9"/>
    <w:rsid w:val="00AA0B4C"/>
    <w:rsid w:val="00AA0C17"/>
    <w:rsid w:val="00AA0D8E"/>
    <w:rsid w:val="00AA1044"/>
    <w:rsid w:val="00AA1681"/>
    <w:rsid w:val="00AA1CEE"/>
    <w:rsid w:val="00AA2FA1"/>
    <w:rsid w:val="00AA352C"/>
    <w:rsid w:val="00AA3B9E"/>
    <w:rsid w:val="00AA4C4A"/>
    <w:rsid w:val="00AA51C1"/>
    <w:rsid w:val="00AA6067"/>
    <w:rsid w:val="00AA6156"/>
    <w:rsid w:val="00AA6690"/>
    <w:rsid w:val="00AA6FF4"/>
    <w:rsid w:val="00AA73AC"/>
    <w:rsid w:val="00AA7B77"/>
    <w:rsid w:val="00AB064B"/>
    <w:rsid w:val="00AB1483"/>
    <w:rsid w:val="00AB1837"/>
    <w:rsid w:val="00AB187A"/>
    <w:rsid w:val="00AB514A"/>
    <w:rsid w:val="00AB6EEF"/>
    <w:rsid w:val="00AB75B3"/>
    <w:rsid w:val="00AC1E12"/>
    <w:rsid w:val="00AC2D2E"/>
    <w:rsid w:val="00AC36AF"/>
    <w:rsid w:val="00AC38BF"/>
    <w:rsid w:val="00AC39EE"/>
    <w:rsid w:val="00AC40E6"/>
    <w:rsid w:val="00AC4468"/>
    <w:rsid w:val="00AC4EC6"/>
    <w:rsid w:val="00AC50E3"/>
    <w:rsid w:val="00AC512D"/>
    <w:rsid w:val="00AC59CF"/>
    <w:rsid w:val="00AC5DB0"/>
    <w:rsid w:val="00AC6048"/>
    <w:rsid w:val="00AC68DD"/>
    <w:rsid w:val="00AC6E3B"/>
    <w:rsid w:val="00AC7316"/>
    <w:rsid w:val="00AD20D2"/>
    <w:rsid w:val="00AD3181"/>
    <w:rsid w:val="00AD34B3"/>
    <w:rsid w:val="00AD35BC"/>
    <w:rsid w:val="00AD4825"/>
    <w:rsid w:val="00AD4B98"/>
    <w:rsid w:val="00AD51C9"/>
    <w:rsid w:val="00AD5261"/>
    <w:rsid w:val="00AD542F"/>
    <w:rsid w:val="00AD6065"/>
    <w:rsid w:val="00AD6259"/>
    <w:rsid w:val="00AD6F75"/>
    <w:rsid w:val="00AD77E4"/>
    <w:rsid w:val="00AE117E"/>
    <w:rsid w:val="00AE1D30"/>
    <w:rsid w:val="00AE2192"/>
    <w:rsid w:val="00AE2A68"/>
    <w:rsid w:val="00AE2DFC"/>
    <w:rsid w:val="00AE36AC"/>
    <w:rsid w:val="00AE3A5A"/>
    <w:rsid w:val="00AE4AC4"/>
    <w:rsid w:val="00AE5F9E"/>
    <w:rsid w:val="00AE772D"/>
    <w:rsid w:val="00AF04E2"/>
    <w:rsid w:val="00AF0891"/>
    <w:rsid w:val="00AF0DF9"/>
    <w:rsid w:val="00AF1A88"/>
    <w:rsid w:val="00AF2062"/>
    <w:rsid w:val="00AF20C8"/>
    <w:rsid w:val="00AF2AEA"/>
    <w:rsid w:val="00AF42F2"/>
    <w:rsid w:val="00AF485F"/>
    <w:rsid w:val="00AF4BE4"/>
    <w:rsid w:val="00AF4C16"/>
    <w:rsid w:val="00AF56F1"/>
    <w:rsid w:val="00AF5CA7"/>
    <w:rsid w:val="00AF6E53"/>
    <w:rsid w:val="00AF7178"/>
    <w:rsid w:val="00B00828"/>
    <w:rsid w:val="00B00A74"/>
    <w:rsid w:val="00B00DC9"/>
    <w:rsid w:val="00B01079"/>
    <w:rsid w:val="00B0230D"/>
    <w:rsid w:val="00B0529B"/>
    <w:rsid w:val="00B05A6C"/>
    <w:rsid w:val="00B05CD6"/>
    <w:rsid w:val="00B05E21"/>
    <w:rsid w:val="00B06147"/>
    <w:rsid w:val="00B07BF4"/>
    <w:rsid w:val="00B10298"/>
    <w:rsid w:val="00B10316"/>
    <w:rsid w:val="00B106DE"/>
    <w:rsid w:val="00B11EA0"/>
    <w:rsid w:val="00B12A6E"/>
    <w:rsid w:val="00B13338"/>
    <w:rsid w:val="00B13984"/>
    <w:rsid w:val="00B143EC"/>
    <w:rsid w:val="00B1542E"/>
    <w:rsid w:val="00B15633"/>
    <w:rsid w:val="00B1593C"/>
    <w:rsid w:val="00B17FDB"/>
    <w:rsid w:val="00B2023E"/>
    <w:rsid w:val="00B20690"/>
    <w:rsid w:val="00B209C4"/>
    <w:rsid w:val="00B2127A"/>
    <w:rsid w:val="00B215BA"/>
    <w:rsid w:val="00B216E9"/>
    <w:rsid w:val="00B21BB1"/>
    <w:rsid w:val="00B225D0"/>
    <w:rsid w:val="00B23AF6"/>
    <w:rsid w:val="00B259DF"/>
    <w:rsid w:val="00B25BDA"/>
    <w:rsid w:val="00B25D68"/>
    <w:rsid w:val="00B2777B"/>
    <w:rsid w:val="00B30120"/>
    <w:rsid w:val="00B30587"/>
    <w:rsid w:val="00B3060C"/>
    <w:rsid w:val="00B30D73"/>
    <w:rsid w:val="00B32484"/>
    <w:rsid w:val="00B33387"/>
    <w:rsid w:val="00B33914"/>
    <w:rsid w:val="00B348EF"/>
    <w:rsid w:val="00B3523B"/>
    <w:rsid w:val="00B35F51"/>
    <w:rsid w:val="00B367E2"/>
    <w:rsid w:val="00B37000"/>
    <w:rsid w:val="00B37973"/>
    <w:rsid w:val="00B4220C"/>
    <w:rsid w:val="00B426C5"/>
    <w:rsid w:val="00B446C2"/>
    <w:rsid w:val="00B448A2"/>
    <w:rsid w:val="00B45107"/>
    <w:rsid w:val="00B451B0"/>
    <w:rsid w:val="00B4656A"/>
    <w:rsid w:val="00B47BCE"/>
    <w:rsid w:val="00B5024F"/>
    <w:rsid w:val="00B50280"/>
    <w:rsid w:val="00B52328"/>
    <w:rsid w:val="00B52EA4"/>
    <w:rsid w:val="00B55CAC"/>
    <w:rsid w:val="00B561AE"/>
    <w:rsid w:val="00B561FE"/>
    <w:rsid w:val="00B56D6A"/>
    <w:rsid w:val="00B57492"/>
    <w:rsid w:val="00B57BDC"/>
    <w:rsid w:val="00B61168"/>
    <w:rsid w:val="00B611ED"/>
    <w:rsid w:val="00B63460"/>
    <w:rsid w:val="00B636C2"/>
    <w:rsid w:val="00B655BE"/>
    <w:rsid w:val="00B66C04"/>
    <w:rsid w:val="00B66C37"/>
    <w:rsid w:val="00B66E65"/>
    <w:rsid w:val="00B67119"/>
    <w:rsid w:val="00B70522"/>
    <w:rsid w:val="00B70F1B"/>
    <w:rsid w:val="00B714E3"/>
    <w:rsid w:val="00B71675"/>
    <w:rsid w:val="00B71B62"/>
    <w:rsid w:val="00B71EC3"/>
    <w:rsid w:val="00B720DA"/>
    <w:rsid w:val="00B721CA"/>
    <w:rsid w:val="00B72A24"/>
    <w:rsid w:val="00B72D22"/>
    <w:rsid w:val="00B72D8A"/>
    <w:rsid w:val="00B73EC5"/>
    <w:rsid w:val="00B75BC0"/>
    <w:rsid w:val="00B7636B"/>
    <w:rsid w:val="00B76492"/>
    <w:rsid w:val="00B765D7"/>
    <w:rsid w:val="00B7796D"/>
    <w:rsid w:val="00B77E30"/>
    <w:rsid w:val="00B8083B"/>
    <w:rsid w:val="00B80B83"/>
    <w:rsid w:val="00B81B1F"/>
    <w:rsid w:val="00B81CC2"/>
    <w:rsid w:val="00B82171"/>
    <w:rsid w:val="00B8254D"/>
    <w:rsid w:val="00B83300"/>
    <w:rsid w:val="00B83924"/>
    <w:rsid w:val="00B83D11"/>
    <w:rsid w:val="00B846AE"/>
    <w:rsid w:val="00B84C0B"/>
    <w:rsid w:val="00B8560C"/>
    <w:rsid w:val="00B863A0"/>
    <w:rsid w:val="00B86E13"/>
    <w:rsid w:val="00B90036"/>
    <w:rsid w:val="00B90903"/>
    <w:rsid w:val="00B930C3"/>
    <w:rsid w:val="00B9331A"/>
    <w:rsid w:val="00B93A3E"/>
    <w:rsid w:val="00B94919"/>
    <w:rsid w:val="00B953AA"/>
    <w:rsid w:val="00BA01AB"/>
    <w:rsid w:val="00BA0FC5"/>
    <w:rsid w:val="00BA2B4E"/>
    <w:rsid w:val="00BA3306"/>
    <w:rsid w:val="00BA5724"/>
    <w:rsid w:val="00BA708B"/>
    <w:rsid w:val="00BA73EE"/>
    <w:rsid w:val="00BB192C"/>
    <w:rsid w:val="00BB2329"/>
    <w:rsid w:val="00BB23E6"/>
    <w:rsid w:val="00BB2DD1"/>
    <w:rsid w:val="00BB3110"/>
    <w:rsid w:val="00BB54A6"/>
    <w:rsid w:val="00BB5DE1"/>
    <w:rsid w:val="00BB5FF9"/>
    <w:rsid w:val="00BB6875"/>
    <w:rsid w:val="00BB6D1E"/>
    <w:rsid w:val="00BB7E07"/>
    <w:rsid w:val="00BC1469"/>
    <w:rsid w:val="00BC1B0A"/>
    <w:rsid w:val="00BC1CAF"/>
    <w:rsid w:val="00BC1CFB"/>
    <w:rsid w:val="00BC1ECD"/>
    <w:rsid w:val="00BC5965"/>
    <w:rsid w:val="00BC7AC3"/>
    <w:rsid w:val="00BD03EC"/>
    <w:rsid w:val="00BD3B15"/>
    <w:rsid w:val="00BD3D01"/>
    <w:rsid w:val="00BD590A"/>
    <w:rsid w:val="00BD60A1"/>
    <w:rsid w:val="00BD65EE"/>
    <w:rsid w:val="00BE0532"/>
    <w:rsid w:val="00BE07C5"/>
    <w:rsid w:val="00BE0902"/>
    <w:rsid w:val="00BE3CAA"/>
    <w:rsid w:val="00BE3D49"/>
    <w:rsid w:val="00BE3E5F"/>
    <w:rsid w:val="00BE583A"/>
    <w:rsid w:val="00BF10F5"/>
    <w:rsid w:val="00BF17E6"/>
    <w:rsid w:val="00BF1BEC"/>
    <w:rsid w:val="00BF2FF5"/>
    <w:rsid w:val="00BF4373"/>
    <w:rsid w:val="00BF49D8"/>
    <w:rsid w:val="00BF4B58"/>
    <w:rsid w:val="00BF7E30"/>
    <w:rsid w:val="00C011EB"/>
    <w:rsid w:val="00C019A2"/>
    <w:rsid w:val="00C031FA"/>
    <w:rsid w:val="00C0408D"/>
    <w:rsid w:val="00C04C4C"/>
    <w:rsid w:val="00C05AEB"/>
    <w:rsid w:val="00C05EB4"/>
    <w:rsid w:val="00C06459"/>
    <w:rsid w:val="00C064C2"/>
    <w:rsid w:val="00C07417"/>
    <w:rsid w:val="00C07BBA"/>
    <w:rsid w:val="00C10407"/>
    <w:rsid w:val="00C10831"/>
    <w:rsid w:val="00C108DF"/>
    <w:rsid w:val="00C10B20"/>
    <w:rsid w:val="00C10B79"/>
    <w:rsid w:val="00C115F0"/>
    <w:rsid w:val="00C11731"/>
    <w:rsid w:val="00C13119"/>
    <w:rsid w:val="00C134E4"/>
    <w:rsid w:val="00C14785"/>
    <w:rsid w:val="00C14CE0"/>
    <w:rsid w:val="00C164A4"/>
    <w:rsid w:val="00C16ACC"/>
    <w:rsid w:val="00C17105"/>
    <w:rsid w:val="00C176D0"/>
    <w:rsid w:val="00C2162A"/>
    <w:rsid w:val="00C21DC8"/>
    <w:rsid w:val="00C21F25"/>
    <w:rsid w:val="00C221BF"/>
    <w:rsid w:val="00C23FEA"/>
    <w:rsid w:val="00C24F69"/>
    <w:rsid w:val="00C25582"/>
    <w:rsid w:val="00C262DC"/>
    <w:rsid w:val="00C268CF"/>
    <w:rsid w:val="00C26A0A"/>
    <w:rsid w:val="00C30414"/>
    <w:rsid w:val="00C30FFD"/>
    <w:rsid w:val="00C3143A"/>
    <w:rsid w:val="00C317F3"/>
    <w:rsid w:val="00C31C8D"/>
    <w:rsid w:val="00C32157"/>
    <w:rsid w:val="00C339CC"/>
    <w:rsid w:val="00C341E1"/>
    <w:rsid w:val="00C349C2"/>
    <w:rsid w:val="00C361F4"/>
    <w:rsid w:val="00C3739B"/>
    <w:rsid w:val="00C376E4"/>
    <w:rsid w:val="00C41B8A"/>
    <w:rsid w:val="00C42422"/>
    <w:rsid w:val="00C4384D"/>
    <w:rsid w:val="00C43910"/>
    <w:rsid w:val="00C43D2C"/>
    <w:rsid w:val="00C44A0C"/>
    <w:rsid w:val="00C44C37"/>
    <w:rsid w:val="00C46973"/>
    <w:rsid w:val="00C46AE5"/>
    <w:rsid w:val="00C4719D"/>
    <w:rsid w:val="00C47654"/>
    <w:rsid w:val="00C47E70"/>
    <w:rsid w:val="00C501FE"/>
    <w:rsid w:val="00C50BED"/>
    <w:rsid w:val="00C51EB3"/>
    <w:rsid w:val="00C529B7"/>
    <w:rsid w:val="00C52BE0"/>
    <w:rsid w:val="00C5319E"/>
    <w:rsid w:val="00C56093"/>
    <w:rsid w:val="00C56E38"/>
    <w:rsid w:val="00C57403"/>
    <w:rsid w:val="00C57E4D"/>
    <w:rsid w:val="00C60D47"/>
    <w:rsid w:val="00C622A3"/>
    <w:rsid w:val="00C626E2"/>
    <w:rsid w:val="00C628C8"/>
    <w:rsid w:val="00C62C40"/>
    <w:rsid w:val="00C62F11"/>
    <w:rsid w:val="00C655D5"/>
    <w:rsid w:val="00C67305"/>
    <w:rsid w:val="00C67F48"/>
    <w:rsid w:val="00C705CC"/>
    <w:rsid w:val="00C718EB"/>
    <w:rsid w:val="00C71A5D"/>
    <w:rsid w:val="00C71AEB"/>
    <w:rsid w:val="00C72152"/>
    <w:rsid w:val="00C721CC"/>
    <w:rsid w:val="00C72387"/>
    <w:rsid w:val="00C73340"/>
    <w:rsid w:val="00C736E7"/>
    <w:rsid w:val="00C746F2"/>
    <w:rsid w:val="00C7519E"/>
    <w:rsid w:val="00C75BB5"/>
    <w:rsid w:val="00C771CB"/>
    <w:rsid w:val="00C81A12"/>
    <w:rsid w:val="00C82261"/>
    <w:rsid w:val="00C824E4"/>
    <w:rsid w:val="00C8296F"/>
    <w:rsid w:val="00C8369D"/>
    <w:rsid w:val="00C83896"/>
    <w:rsid w:val="00C846BE"/>
    <w:rsid w:val="00C847AA"/>
    <w:rsid w:val="00C84BFD"/>
    <w:rsid w:val="00C84C02"/>
    <w:rsid w:val="00C84D56"/>
    <w:rsid w:val="00C851B3"/>
    <w:rsid w:val="00C854C2"/>
    <w:rsid w:val="00C86300"/>
    <w:rsid w:val="00C86A0F"/>
    <w:rsid w:val="00C87120"/>
    <w:rsid w:val="00C87F5E"/>
    <w:rsid w:val="00C90D8B"/>
    <w:rsid w:val="00C9161F"/>
    <w:rsid w:val="00C918A6"/>
    <w:rsid w:val="00C91E9E"/>
    <w:rsid w:val="00C920A1"/>
    <w:rsid w:val="00C92D3C"/>
    <w:rsid w:val="00C934DC"/>
    <w:rsid w:val="00C9357F"/>
    <w:rsid w:val="00C93787"/>
    <w:rsid w:val="00C93D91"/>
    <w:rsid w:val="00C9409E"/>
    <w:rsid w:val="00C944F9"/>
    <w:rsid w:val="00C956F4"/>
    <w:rsid w:val="00C9634B"/>
    <w:rsid w:val="00C963DE"/>
    <w:rsid w:val="00CA0C26"/>
    <w:rsid w:val="00CA1F9A"/>
    <w:rsid w:val="00CA2CFF"/>
    <w:rsid w:val="00CA48CE"/>
    <w:rsid w:val="00CA63CB"/>
    <w:rsid w:val="00CA69AC"/>
    <w:rsid w:val="00CA75B3"/>
    <w:rsid w:val="00CA7668"/>
    <w:rsid w:val="00CB07A8"/>
    <w:rsid w:val="00CB0B09"/>
    <w:rsid w:val="00CB0DE5"/>
    <w:rsid w:val="00CB2072"/>
    <w:rsid w:val="00CB2415"/>
    <w:rsid w:val="00CB2757"/>
    <w:rsid w:val="00CB2CFE"/>
    <w:rsid w:val="00CB3FC0"/>
    <w:rsid w:val="00CB5389"/>
    <w:rsid w:val="00CB56F8"/>
    <w:rsid w:val="00CB5D2A"/>
    <w:rsid w:val="00CB61BC"/>
    <w:rsid w:val="00CB676E"/>
    <w:rsid w:val="00CB6C6F"/>
    <w:rsid w:val="00CB6CF5"/>
    <w:rsid w:val="00CC0FCB"/>
    <w:rsid w:val="00CC10E1"/>
    <w:rsid w:val="00CC1319"/>
    <w:rsid w:val="00CC1883"/>
    <w:rsid w:val="00CC25E3"/>
    <w:rsid w:val="00CC2E85"/>
    <w:rsid w:val="00CC3543"/>
    <w:rsid w:val="00CC47C2"/>
    <w:rsid w:val="00CC4878"/>
    <w:rsid w:val="00CC5EED"/>
    <w:rsid w:val="00CC7612"/>
    <w:rsid w:val="00CC79A7"/>
    <w:rsid w:val="00CD0198"/>
    <w:rsid w:val="00CD0505"/>
    <w:rsid w:val="00CD0A27"/>
    <w:rsid w:val="00CD12E3"/>
    <w:rsid w:val="00CD17F3"/>
    <w:rsid w:val="00CD3934"/>
    <w:rsid w:val="00CD3A1A"/>
    <w:rsid w:val="00CD3D87"/>
    <w:rsid w:val="00CD4882"/>
    <w:rsid w:val="00CD54B3"/>
    <w:rsid w:val="00CD5BEE"/>
    <w:rsid w:val="00CD5C19"/>
    <w:rsid w:val="00CD6327"/>
    <w:rsid w:val="00CD71A2"/>
    <w:rsid w:val="00CD741B"/>
    <w:rsid w:val="00CE03B7"/>
    <w:rsid w:val="00CE119E"/>
    <w:rsid w:val="00CE2B78"/>
    <w:rsid w:val="00CE2D34"/>
    <w:rsid w:val="00CE353B"/>
    <w:rsid w:val="00CE539F"/>
    <w:rsid w:val="00CE5848"/>
    <w:rsid w:val="00CE5A4A"/>
    <w:rsid w:val="00CE5AB0"/>
    <w:rsid w:val="00CE611C"/>
    <w:rsid w:val="00CE74A3"/>
    <w:rsid w:val="00CE7A3F"/>
    <w:rsid w:val="00CF1275"/>
    <w:rsid w:val="00CF13B4"/>
    <w:rsid w:val="00CF151D"/>
    <w:rsid w:val="00CF2B76"/>
    <w:rsid w:val="00CF2DCB"/>
    <w:rsid w:val="00CF3373"/>
    <w:rsid w:val="00CF41C8"/>
    <w:rsid w:val="00CF4240"/>
    <w:rsid w:val="00CF437B"/>
    <w:rsid w:val="00CF56DC"/>
    <w:rsid w:val="00CF66A5"/>
    <w:rsid w:val="00CF75FF"/>
    <w:rsid w:val="00D011FD"/>
    <w:rsid w:val="00D01FB7"/>
    <w:rsid w:val="00D026F7"/>
    <w:rsid w:val="00D02D97"/>
    <w:rsid w:val="00D034DD"/>
    <w:rsid w:val="00D03799"/>
    <w:rsid w:val="00D04952"/>
    <w:rsid w:val="00D0501F"/>
    <w:rsid w:val="00D06A16"/>
    <w:rsid w:val="00D06C48"/>
    <w:rsid w:val="00D1078F"/>
    <w:rsid w:val="00D10E60"/>
    <w:rsid w:val="00D12550"/>
    <w:rsid w:val="00D128BB"/>
    <w:rsid w:val="00D12A03"/>
    <w:rsid w:val="00D12CD2"/>
    <w:rsid w:val="00D13039"/>
    <w:rsid w:val="00D130D1"/>
    <w:rsid w:val="00D136A4"/>
    <w:rsid w:val="00D13D64"/>
    <w:rsid w:val="00D141DA"/>
    <w:rsid w:val="00D14D23"/>
    <w:rsid w:val="00D15755"/>
    <w:rsid w:val="00D15D8B"/>
    <w:rsid w:val="00D17984"/>
    <w:rsid w:val="00D17B4B"/>
    <w:rsid w:val="00D20C02"/>
    <w:rsid w:val="00D20C6E"/>
    <w:rsid w:val="00D23207"/>
    <w:rsid w:val="00D23ADA"/>
    <w:rsid w:val="00D24D4B"/>
    <w:rsid w:val="00D24DAD"/>
    <w:rsid w:val="00D25916"/>
    <w:rsid w:val="00D26D97"/>
    <w:rsid w:val="00D271D7"/>
    <w:rsid w:val="00D27F55"/>
    <w:rsid w:val="00D30385"/>
    <w:rsid w:val="00D30AA5"/>
    <w:rsid w:val="00D31525"/>
    <w:rsid w:val="00D319F5"/>
    <w:rsid w:val="00D329E6"/>
    <w:rsid w:val="00D340C0"/>
    <w:rsid w:val="00D34BDC"/>
    <w:rsid w:val="00D363B4"/>
    <w:rsid w:val="00D36907"/>
    <w:rsid w:val="00D3695A"/>
    <w:rsid w:val="00D3696A"/>
    <w:rsid w:val="00D36B8C"/>
    <w:rsid w:val="00D37972"/>
    <w:rsid w:val="00D40187"/>
    <w:rsid w:val="00D40896"/>
    <w:rsid w:val="00D41534"/>
    <w:rsid w:val="00D42CE3"/>
    <w:rsid w:val="00D451FC"/>
    <w:rsid w:val="00D455EE"/>
    <w:rsid w:val="00D50B8F"/>
    <w:rsid w:val="00D5238F"/>
    <w:rsid w:val="00D53F67"/>
    <w:rsid w:val="00D54AED"/>
    <w:rsid w:val="00D54BAB"/>
    <w:rsid w:val="00D55939"/>
    <w:rsid w:val="00D55E0F"/>
    <w:rsid w:val="00D5613E"/>
    <w:rsid w:val="00D5647B"/>
    <w:rsid w:val="00D570B6"/>
    <w:rsid w:val="00D5750F"/>
    <w:rsid w:val="00D579FE"/>
    <w:rsid w:val="00D6060D"/>
    <w:rsid w:val="00D608E4"/>
    <w:rsid w:val="00D60A73"/>
    <w:rsid w:val="00D61F15"/>
    <w:rsid w:val="00D63C48"/>
    <w:rsid w:val="00D64289"/>
    <w:rsid w:val="00D65178"/>
    <w:rsid w:val="00D6667B"/>
    <w:rsid w:val="00D6742C"/>
    <w:rsid w:val="00D67F1C"/>
    <w:rsid w:val="00D70497"/>
    <w:rsid w:val="00D704E6"/>
    <w:rsid w:val="00D70DD2"/>
    <w:rsid w:val="00D71194"/>
    <w:rsid w:val="00D71400"/>
    <w:rsid w:val="00D7174E"/>
    <w:rsid w:val="00D719AB"/>
    <w:rsid w:val="00D7296B"/>
    <w:rsid w:val="00D7312D"/>
    <w:rsid w:val="00D73561"/>
    <w:rsid w:val="00D73796"/>
    <w:rsid w:val="00D73C08"/>
    <w:rsid w:val="00D74B1A"/>
    <w:rsid w:val="00D762B4"/>
    <w:rsid w:val="00D766C1"/>
    <w:rsid w:val="00D77BB4"/>
    <w:rsid w:val="00D8013B"/>
    <w:rsid w:val="00D80DFE"/>
    <w:rsid w:val="00D8264B"/>
    <w:rsid w:val="00D834BB"/>
    <w:rsid w:val="00D8359F"/>
    <w:rsid w:val="00D8366C"/>
    <w:rsid w:val="00D83CE3"/>
    <w:rsid w:val="00D8441F"/>
    <w:rsid w:val="00D856ED"/>
    <w:rsid w:val="00D862E5"/>
    <w:rsid w:val="00D86B56"/>
    <w:rsid w:val="00D874F0"/>
    <w:rsid w:val="00D879AA"/>
    <w:rsid w:val="00D90A20"/>
    <w:rsid w:val="00D90D1F"/>
    <w:rsid w:val="00D915F9"/>
    <w:rsid w:val="00D91C09"/>
    <w:rsid w:val="00D921FA"/>
    <w:rsid w:val="00D93937"/>
    <w:rsid w:val="00D93D75"/>
    <w:rsid w:val="00D95394"/>
    <w:rsid w:val="00D970E7"/>
    <w:rsid w:val="00DA01E5"/>
    <w:rsid w:val="00DA032B"/>
    <w:rsid w:val="00DA0456"/>
    <w:rsid w:val="00DA05A4"/>
    <w:rsid w:val="00DA07B2"/>
    <w:rsid w:val="00DA17A5"/>
    <w:rsid w:val="00DA1DE8"/>
    <w:rsid w:val="00DA3467"/>
    <w:rsid w:val="00DA40BA"/>
    <w:rsid w:val="00DA55BB"/>
    <w:rsid w:val="00DA59E8"/>
    <w:rsid w:val="00DA6517"/>
    <w:rsid w:val="00DA6C81"/>
    <w:rsid w:val="00DA73EE"/>
    <w:rsid w:val="00DA7E63"/>
    <w:rsid w:val="00DB17BE"/>
    <w:rsid w:val="00DB2AED"/>
    <w:rsid w:val="00DB3EEB"/>
    <w:rsid w:val="00DB4D03"/>
    <w:rsid w:val="00DB5FAD"/>
    <w:rsid w:val="00DB64BA"/>
    <w:rsid w:val="00DC09BB"/>
    <w:rsid w:val="00DC15E3"/>
    <w:rsid w:val="00DC1743"/>
    <w:rsid w:val="00DC1929"/>
    <w:rsid w:val="00DC1A65"/>
    <w:rsid w:val="00DC2410"/>
    <w:rsid w:val="00DC273B"/>
    <w:rsid w:val="00DC28A5"/>
    <w:rsid w:val="00DC2BF5"/>
    <w:rsid w:val="00DC320E"/>
    <w:rsid w:val="00DC3A5D"/>
    <w:rsid w:val="00DC4181"/>
    <w:rsid w:val="00DC4CC9"/>
    <w:rsid w:val="00DC54EA"/>
    <w:rsid w:val="00DC6F32"/>
    <w:rsid w:val="00DC7746"/>
    <w:rsid w:val="00DD007C"/>
    <w:rsid w:val="00DD0C46"/>
    <w:rsid w:val="00DD1F70"/>
    <w:rsid w:val="00DD2409"/>
    <w:rsid w:val="00DD3049"/>
    <w:rsid w:val="00DD30CC"/>
    <w:rsid w:val="00DD4AB8"/>
    <w:rsid w:val="00DD547B"/>
    <w:rsid w:val="00DD5714"/>
    <w:rsid w:val="00DD624A"/>
    <w:rsid w:val="00DD661F"/>
    <w:rsid w:val="00DD7268"/>
    <w:rsid w:val="00DD77E4"/>
    <w:rsid w:val="00DD7812"/>
    <w:rsid w:val="00DD7BF5"/>
    <w:rsid w:val="00DD7FEE"/>
    <w:rsid w:val="00DE127D"/>
    <w:rsid w:val="00DE1F52"/>
    <w:rsid w:val="00DE30E2"/>
    <w:rsid w:val="00DE3A9A"/>
    <w:rsid w:val="00DE626C"/>
    <w:rsid w:val="00DE6421"/>
    <w:rsid w:val="00DE6CC6"/>
    <w:rsid w:val="00DE706B"/>
    <w:rsid w:val="00DE74A7"/>
    <w:rsid w:val="00DF069F"/>
    <w:rsid w:val="00DF0F10"/>
    <w:rsid w:val="00DF1399"/>
    <w:rsid w:val="00DF16C0"/>
    <w:rsid w:val="00DF2D1A"/>
    <w:rsid w:val="00DF330F"/>
    <w:rsid w:val="00DF35FD"/>
    <w:rsid w:val="00DF3A42"/>
    <w:rsid w:val="00DF3B72"/>
    <w:rsid w:val="00DF3D90"/>
    <w:rsid w:val="00DF4CD9"/>
    <w:rsid w:val="00DF548B"/>
    <w:rsid w:val="00DF627A"/>
    <w:rsid w:val="00DF634D"/>
    <w:rsid w:val="00E01465"/>
    <w:rsid w:val="00E01D22"/>
    <w:rsid w:val="00E038AF"/>
    <w:rsid w:val="00E03A21"/>
    <w:rsid w:val="00E03F50"/>
    <w:rsid w:val="00E04074"/>
    <w:rsid w:val="00E041E4"/>
    <w:rsid w:val="00E05146"/>
    <w:rsid w:val="00E0543E"/>
    <w:rsid w:val="00E05FBC"/>
    <w:rsid w:val="00E069EC"/>
    <w:rsid w:val="00E10B7D"/>
    <w:rsid w:val="00E12D01"/>
    <w:rsid w:val="00E133E1"/>
    <w:rsid w:val="00E1356D"/>
    <w:rsid w:val="00E13586"/>
    <w:rsid w:val="00E147EC"/>
    <w:rsid w:val="00E15B7C"/>
    <w:rsid w:val="00E15EB0"/>
    <w:rsid w:val="00E20C17"/>
    <w:rsid w:val="00E20C98"/>
    <w:rsid w:val="00E21F39"/>
    <w:rsid w:val="00E2267B"/>
    <w:rsid w:val="00E227EA"/>
    <w:rsid w:val="00E23426"/>
    <w:rsid w:val="00E23660"/>
    <w:rsid w:val="00E236E3"/>
    <w:rsid w:val="00E249B2"/>
    <w:rsid w:val="00E264A6"/>
    <w:rsid w:val="00E2761D"/>
    <w:rsid w:val="00E278C8"/>
    <w:rsid w:val="00E27C0E"/>
    <w:rsid w:val="00E30740"/>
    <w:rsid w:val="00E31326"/>
    <w:rsid w:val="00E31A1E"/>
    <w:rsid w:val="00E31A29"/>
    <w:rsid w:val="00E31B9C"/>
    <w:rsid w:val="00E32A22"/>
    <w:rsid w:val="00E32C18"/>
    <w:rsid w:val="00E33688"/>
    <w:rsid w:val="00E33732"/>
    <w:rsid w:val="00E3419D"/>
    <w:rsid w:val="00E34484"/>
    <w:rsid w:val="00E3476C"/>
    <w:rsid w:val="00E36D07"/>
    <w:rsid w:val="00E37424"/>
    <w:rsid w:val="00E40679"/>
    <w:rsid w:val="00E412D7"/>
    <w:rsid w:val="00E41F20"/>
    <w:rsid w:val="00E45153"/>
    <w:rsid w:val="00E45180"/>
    <w:rsid w:val="00E45305"/>
    <w:rsid w:val="00E457F5"/>
    <w:rsid w:val="00E45E7E"/>
    <w:rsid w:val="00E469DB"/>
    <w:rsid w:val="00E46AC9"/>
    <w:rsid w:val="00E47A38"/>
    <w:rsid w:val="00E5158C"/>
    <w:rsid w:val="00E526DE"/>
    <w:rsid w:val="00E52D4E"/>
    <w:rsid w:val="00E53065"/>
    <w:rsid w:val="00E53379"/>
    <w:rsid w:val="00E53407"/>
    <w:rsid w:val="00E53DB6"/>
    <w:rsid w:val="00E53E47"/>
    <w:rsid w:val="00E53F15"/>
    <w:rsid w:val="00E54ACA"/>
    <w:rsid w:val="00E54FB3"/>
    <w:rsid w:val="00E55904"/>
    <w:rsid w:val="00E55B2F"/>
    <w:rsid w:val="00E55E72"/>
    <w:rsid w:val="00E569BD"/>
    <w:rsid w:val="00E57521"/>
    <w:rsid w:val="00E60005"/>
    <w:rsid w:val="00E60616"/>
    <w:rsid w:val="00E6157A"/>
    <w:rsid w:val="00E628DC"/>
    <w:rsid w:val="00E6346D"/>
    <w:rsid w:val="00E65EC5"/>
    <w:rsid w:val="00E66614"/>
    <w:rsid w:val="00E66924"/>
    <w:rsid w:val="00E66B00"/>
    <w:rsid w:val="00E7176C"/>
    <w:rsid w:val="00E719E9"/>
    <w:rsid w:val="00E71CEB"/>
    <w:rsid w:val="00E72446"/>
    <w:rsid w:val="00E7398B"/>
    <w:rsid w:val="00E74154"/>
    <w:rsid w:val="00E7460E"/>
    <w:rsid w:val="00E74A95"/>
    <w:rsid w:val="00E74C84"/>
    <w:rsid w:val="00E74F5B"/>
    <w:rsid w:val="00E7609A"/>
    <w:rsid w:val="00E77BD4"/>
    <w:rsid w:val="00E77C5E"/>
    <w:rsid w:val="00E80035"/>
    <w:rsid w:val="00E802C0"/>
    <w:rsid w:val="00E81CD8"/>
    <w:rsid w:val="00E8269B"/>
    <w:rsid w:val="00E84E0B"/>
    <w:rsid w:val="00E85860"/>
    <w:rsid w:val="00E87229"/>
    <w:rsid w:val="00E87C71"/>
    <w:rsid w:val="00E90039"/>
    <w:rsid w:val="00E90403"/>
    <w:rsid w:val="00E90431"/>
    <w:rsid w:val="00E91172"/>
    <w:rsid w:val="00E92B30"/>
    <w:rsid w:val="00E930FA"/>
    <w:rsid w:val="00E93202"/>
    <w:rsid w:val="00E94311"/>
    <w:rsid w:val="00E96679"/>
    <w:rsid w:val="00E96D7F"/>
    <w:rsid w:val="00E96DD2"/>
    <w:rsid w:val="00E9728D"/>
    <w:rsid w:val="00E976DF"/>
    <w:rsid w:val="00EA043E"/>
    <w:rsid w:val="00EA1417"/>
    <w:rsid w:val="00EA1B29"/>
    <w:rsid w:val="00EA4B4A"/>
    <w:rsid w:val="00EA4CAB"/>
    <w:rsid w:val="00EA52A1"/>
    <w:rsid w:val="00EA5552"/>
    <w:rsid w:val="00EA655D"/>
    <w:rsid w:val="00EA66E6"/>
    <w:rsid w:val="00EA701D"/>
    <w:rsid w:val="00EB295A"/>
    <w:rsid w:val="00EB30D2"/>
    <w:rsid w:val="00EB360C"/>
    <w:rsid w:val="00EB382C"/>
    <w:rsid w:val="00EB3E46"/>
    <w:rsid w:val="00EB41F5"/>
    <w:rsid w:val="00EB426B"/>
    <w:rsid w:val="00EB4612"/>
    <w:rsid w:val="00EB5C9F"/>
    <w:rsid w:val="00EB5E6D"/>
    <w:rsid w:val="00EC228F"/>
    <w:rsid w:val="00EC32A5"/>
    <w:rsid w:val="00EC32E5"/>
    <w:rsid w:val="00EC39D6"/>
    <w:rsid w:val="00EC4758"/>
    <w:rsid w:val="00EC5505"/>
    <w:rsid w:val="00EC57D3"/>
    <w:rsid w:val="00EC5EB6"/>
    <w:rsid w:val="00EC6741"/>
    <w:rsid w:val="00EC7AD1"/>
    <w:rsid w:val="00EC7E7E"/>
    <w:rsid w:val="00ED024D"/>
    <w:rsid w:val="00ED0EF9"/>
    <w:rsid w:val="00ED13F4"/>
    <w:rsid w:val="00ED1618"/>
    <w:rsid w:val="00ED29A2"/>
    <w:rsid w:val="00ED415C"/>
    <w:rsid w:val="00ED4717"/>
    <w:rsid w:val="00ED50F3"/>
    <w:rsid w:val="00ED5BB3"/>
    <w:rsid w:val="00ED6110"/>
    <w:rsid w:val="00ED7509"/>
    <w:rsid w:val="00ED7997"/>
    <w:rsid w:val="00EE094C"/>
    <w:rsid w:val="00EE1765"/>
    <w:rsid w:val="00EE1BEE"/>
    <w:rsid w:val="00EE1E91"/>
    <w:rsid w:val="00EE2852"/>
    <w:rsid w:val="00EE5014"/>
    <w:rsid w:val="00EE65F2"/>
    <w:rsid w:val="00EE7134"/>
    <w:rsid w:val="00EE723A"/>
    <w:rsid w:val="00EE72A6"/>
    <w:rsid w:val="00EE7327"/>
    <w:rsid w:val="00EE7B9F"/>
    <w:rsid w:val="00EF0675"/>
    <w:rsid w:val="00EF0EFE"/>
    <w:rsid w:val="00EF1371"/>
    <w:rsid w:val="00EF16DF"/>
    <w:rsid w:val="00EF3278"/>
    <w:rsid w:val="00EF3E8B"/>
    <w:rsid w:val="00EF5BE3"/>
    <w:rsid w:val="00EF760E"/>
    <w:rsid w:val="00EF7FF3"/>
    <w:rsid w:val="00F00678"/>
    <w:rsid w:val="00F0152D"/>
    <w:rsid w:val="00F01723"/>
    <w:rsid w:val="00F02DCA"/>
    <w:rsid w:val="00F049EC"/>
    <w:rsid w:val="00F04D64"/>
    <w:rsid w:val="00F0542E"/>
    <w:rsid w:val="00F06270"/>
    <w:rsid w:val="00F0645B"/>
    <w:rsid w:val="00F101F8"/>
    <w:rsid w:val="00F10AFA"/>
    <w:rsid w:val="00F12ED0"/>
    <w:rsid w:val="00F130FE"/>
    <w:rsid w:val="00F13CFE"/>
    <w:rsid w:val="00F145A6"/>
    <w:rsid w:val="00F1546C"/>
    <w:rsid w:val="00F15A89"/>
    <w:rsid w:val="00F16853"/>
    <w:rsid w:val="00F16C77"/>
    <w:rsid w:val="00F16DBE"/>
    <w:rsid w:val="00F17930"/>
    <w:rsid w:val="00F21A83"/>
    <w:rsid w:val="00F21F02"/>
    <w:rsid w:val="00F226A1"/>
    <w:rsid w:val="00F235D5"/>
    <w:rsid w:val="00F237C6"/>
    <w:rsid w:val="00F23AA3"/>
    <w:rsid w:val="00F247BA"/>
    <w:rsid w:val="00F254FF"/>
    <w:rsid w:val="00F25670"/>
    <w:rsid w:val="00F26024"/>
    <w:rsid w:val="00F26B4B"/>
    <w:rsid w:val="00F26DFE"/>
    <w:rsid w:val="00F2706C"/>
    <w:rsid w:val="00F30372"/>
    <w:rsid w:val="00F3094A"/>
    <w:rsid w:val="00F309EB"/>
    <w:rsid w:val="00F31FEB"/>
    <w:rsid w:val="00F331E5"/>
    <w:rsid w:val="00F3320A"/>
    <w:rsid w:val="00F335C3"/>
    <w:rsid w:val="00F34DF3"/>
    <w:rsid w:val="00F34EA7"/>
    <w:rsid w:val="00F35382"/>
    <w:rsid w:val="00F35A1D"/>
    <w:rsid w:val="00F35B4C"/>
    <w:rsid w:val="00F36331"/>
    <w:rsid w:val="00F3680F"/>
    <w:rsid w:val="00F36B62"/>
    <w:rsid w:val="00F37864"/>
    <w:rsid w:val="00F412E1"/>
    <w:rsid w:val="00F42097"/>
    <w:rsid w:val="00F426D2"/>
    <w:rsid w:val="00F429E4"/>
    <w:rsid w:val="00F42A37"/>
    <w:rsid w:val="00F4424D"/>
    <w:rsid w:val="00F446FA"/>
    <w:rsid w:val="00F4610A"/>
    <w:rsid w:val="00F46127"/>
    <w:rsid w:val="00F46FCD"/>
    <w:rsid w:val="00F47CAA"/>
    <w:rsid w:val="00F47E86"/>
    <w:rsid w:val="00F51050"/>
    <w:rsid w:val="00F512F7"/>
    <w:rsid w:val="00F52291"/>
    <w:rsid w:val="00F530BF"/>
    <w:rsid w:val="00F5338E"/>
    <w:rsid w:val="00F547F3"/>
    <w:rsid w:val="00F54CA5"/>
    <w:rsid w:val="00F55C98"/>
    <w:rsid w:val="00F5620B"/>
    <w:rsid w:val="00F56314"/>
    <w:rsid w:val="00F573E3"/>
    <w:rsid w:val="00F57424"/>
    <w:rsid w:val="00F6177B"/>
    <w:rsid w:val="00F61E38"/>
    <w:rsid w:val="00F62334"/>
    <w:rsid w:val="00F625F2"/>
    <w:rsid w:val="00F62A4D"/>
    <w:rsid w:val="00F62D03"/>
    <w:rsid w:val="00F62EF2"/>
    <w:rsid w:val="00F630AF"/>
    <w:rsid w:val="00F630C9"/>
    <w:rsid w:val="00F63474"/>
    <w:rsid w:val="00F63477"/>
    <w:rsid w:val="00F63D8C"/>
    <w:rsid w:val="00F64EEC"/>
    <w:rsid w:val="00F65B07"/>
    <w:rsid w:val="00F663F9"/>
    <w:rsid w:val="00F6662E"/>
    <w:rsid w:val="00F72134"/>
    <w:rsid w:val="00F72B42"/>
    <w:rsid w:val="00F72BB2"/>
    <w:rsid w:val="00F730C9"/>
    <w:rsid w:val="00F733F3"/>
    <w:rsid w:val="00F73A39"/>
    <w:rsid w:val="00F73E47"/>
    <w:rsid w:val="00F758FF"/>
    <w:rsid w:val="00F75D3A"/>
    <w:rsid w:val="00F7645E"/>
    <w:rsid w:val="00F7777A"/>
    <w:rsid w:val="00F80139"/>
    <w:rsid w:val="00F81DB4"/>
    <w:rsid w:val="00F820EF"/>
    <w:rsid w:val="00F825B5"/>
    <w:rsid w:val="00F82EA5"/>
    <w:rsid w:val="00F841CA"/>
    <w:rsid w:val="00F87C31"/>
    <w:rsid w:val="00F9212E"/>
    <w:rsid w:val="00F92D1B"/>
    <w:rsid w:val="00F938D0"/>
    <w:rsid w:val="00F93CB9"/>
    <w:rsid w:val="00F94319"/>
    <w:rsid w:val="00F9445F"/>
    <w:rsid w:val="00F95F0A"/>
    <w:rsid w:val="00F96E21"/>
    <w:rsid w:val="00F97406"/>
    <w:rsid w:val="00F97882"/>
    <w:rsid w:val="00F97B4F"/>
    <w:rsid w:val="00FA0329"/>
    <w:rsid w:val="00FA1A77"/>
    <w:rsid w:val="00FA28EC"/>
    <w:rsid w:val="00FA3738"/>
    <w:rsid w:val="00FA3998"/>
    <w:rsid w:val="00FA39F2"/>
    <w:rsid w:val="00FA440D"/>
    <w:rsid w:val="00FA4952"/>
    <w:rsid w:val="00FA50AE"/>
    <w:rsid w:val="00FA5504"/>
    <w:rsid w:val="00FA5780"/>
    <w:rsid w:val="00FA6B41"/>
    <w:rsid w:val="00FA6B7E"/>
    <w:rsid w:val="00FA7E16"/>
    <w:rsid w:val="00FB07F2"/>
    <w:rsid w:val="00FB08E4"/>
    <w:rsid w:val="00FB095C"/>
    <w:rsid w:val="00FB2092"/>
    <w:rsid w:val="00FB351A"/>
    <w:rsid w:val="00FB495B"/>
    <w:rsid w:val="00FB50BE"/>
    <w:rsid w:val="00FB57DB"/>
    <w:rsid w:val="00FB5841"/>
    <w:rsid w:val="00FB6669"/>
    <w:rsid w:val="00FB6B8A"/>
    <w:rsid w:val="00FB72A1"/>
    <w:rsid w:val="00FB7864"/>
    <w:rsid w:val="00FC06E3"/>
    <w:rsid w:val="00FC2250"/>
    <w:rsid w:val="00FC22AB"/>
    <w:rsid w:val="00FC272E"/>
    <w:rsid w:val="00FC294A"/>
    <w:rsid w:val="00FC30F3"/>
    <w:rsid w:val="00FC4BE8"/>
    <w:rsid w:val="00FC4DBD"/>
    <w:rsid w:val="00FC56D6"/>
    <w:rsid w:val="00FC594B"/>
    <w:rsid w:val="00FC5C23"/>
    <w:rsid w:val="00FC5C5C"/>
    <w:rsid w:val="00FC7DDB"/>
    <w:rsid w:val="00FC7EF4"/>
    <w:rsid w:val="00FD0DA5"/>
    <w:rsid w:val="00FD0ED2"/>
    <w:rsid w:val="00FD1088"/>
    <w:rsid w:val="00FD114B"/>
    <w:rsid w:val="00FD166E"/>
    <w:rsid w:val="00FD1899"/>
    <w:rsid w:val="00FD2394"/>
    <w:rsid w:val="00FD2752"/>
    <w:rsid w:val="00FD2E62"/>
    <w:rsid w:val="00FD2FB9"/>
    <w:rsid w:val="00FD3325"/>
    <w:rsid w:val="00FD4211"/>
    <w:rsid w:val="00FD555D"/>
    <w:rsid w:val="00FD5FAA"/>
    <w:rsid w:val="00FD6A7E"/>
    <w:rsid w:val="00FD6FD7"/>
    <w:rsid w:val="00FD7841"/>
    <w:rsid w:val="00FE02BE"/>
    <w:rsid w:val="00FE1777"/>
    <w:rsid w:val="00FE20BF"/>
    <w:rsid w:val="00FE2431"/>
    <w:rsid w:val="00FE26D9"/>
    <w:rsid w:val="00FE3119"/>
    <w:rsid w:val="00FE351E"/>
    <w:rsid w:val="00FE426E"/>
    <w:rsid w:val="00FE4C58"/>
    <w:rsid w:val="00FE6746"/>
    <w:rsid w:val="00FE7EE9"/>
    <w:rsid w:val="00FF10AF"/>
    <w:rsid w:val="00FF1488"/>
    <w:rsid w:val="00FF2550"/>
    <w:rsid w:val="00FF321A"/>
    <w:rsid w:val="00FF3592"/>
    <w:rsid w:val="00FF44BA"/>
    <w:rsid w:val="00FF492B"/>
    <w:rsid w:val="00FF5299"/>
    <w:rsid w:val="00FF610D"/>
    <w:rsid w:val="00FF658B"/>
    <w:rsid w:val="00FF6A0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79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5AC"/>
    <w:pPr>
      <w:spacing w:before="120" w:line="240" w:lineRule="auto"/>
      <w:jc w:val="both"/>
    </w:pPr>
    <w:rPr>
      <w:sz w:val="24"/>
    </w:rPr>
  </w:style>
  <w:style w:type="paragraph" w:styleId="Heading1">
    <w:name w:val="heading 1"/>
    <w:next w:val="MSACESParagraph"/>
    <w:link w:val="Heading1Char"/>
    <w:uiPriority w:val="9"/>
    <w:qFormat/>
    <w:rsid w:val="005C2085"/>
    <w:pPr>
      <w:keepNext/>
      <w:keepLines/>
      <w:numPr>
        <w:numId w:val="5"/>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5"/>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ED415C"/>
    <w:pPr>
      <w:keepNext/>
      <w:keepLines/>
      <w:numPr>
        <w:ilvl w:val="5"/>
        <w:numId w:val="5"/>
      </w:numPr>
      <w:tabs>
        <w:tab w:val="left" w:pos="896"/>
      </w:tabs>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ED415C"/>
    <w:rPr>
      <w:rFonts w:eastAsiaTheme="majorEastAsia" w:cstheme="majorBidi"/>
      <w:b/>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4908B7"/>
    <w:pPr>
      <w:numPr>
        <w:ilvl w:val="4"/>
        <w:numId w:val="8"/>
      </w:numPr>
    </w:pPr>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9"/>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RTI AMCP Table,new style,ASD Table,HTAtableplain"/>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Bullet"/>
    <w:next w:val="Normal"/>
    <w:link w:val="CaptionChar"/>
    <w:qFormat/>
    <w:rsid w:val="00F63D8C"/>
    <w:pPr>
      <w:keepNext/>
      <w:tabs>
        <w:tab w:val="left" w:pos="1418"/>
      </w:tabs>
      <w:spacing w:before="240" w:after="0"/>
      <w:ind w:left="1418" w:hanging="1418"/>
      <w:contextualSpacing/>
      <w:jc w:val="both"/>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Bullet Char"/>
    <w:link w:val="Caption"/>
    <w:rsid w:val="00F63D8C"/>
    <w:rPr>
      <w:rFonts w:ascii="Arial Narrow" w:hAnsi="Arial Narrow"/>
      <w:b/>
      <w:iCs/>
      <w:sz w:val="20"/>
      <w:szCs w:val="18"/>
    </w:rPr>
  </w:style>
  <w:style w:type="paragraph" w:customStyle="1" w:styleId="TableFooter">
    <w:name w:val="Table Footer"/>
    <w:basedOn w:val="Normal"/>
    <w:link w:val="TableFooterChar"/>
    <w:qFormat/>
    <w:rsid w:val="008C647D"/>
    <w:pPr>
      <w:widowControl w:val="0"/>
      <w:spacing w:before="4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8C647D"/>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8"/>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12"/>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8"/>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olor w:val="0070C0"/>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13"/>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8"/>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8"/>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7"/>
      </w:numPr>
      <w:spacing w:before="120" w:after="120"/>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10"/>
      </w:numPr>
    </w:pPr>
  </w:style>
  <w:style w:type="paragraph" w:customStyle="1" w:styleId="MainBodyBulletPoint">
    <w:name w:val="MainBody Bullet Point"/>
    <w:basedOn w:val="InstructionBulletpoint"/>
    <w:link w:val="MainBodyBulletPointChar"/>
    <w:uiPriority w:val="1"/>
    <w:qFormat/>
    <w:rsid w:val="002532B4"/>
    <w:pPr>
      <w:numPr>
        <w:numId w:val="11"/>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4"/>
      </w:numPr>
    </w:pPr>
  </w:style>
  <w:style w:type="numbering" w:customStyle="1" w:styleId="Style2">
    <w:name w:val="Style2"/>
    <w:uiPriority w:val="99"/>
    <w:rsid w:val="002A391F"/>
    <w:pPr>
      <w:numPr>
        <w:numId w:val="16"/>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7"/>
      </w:numPr>
    </w:pPr>
  </w:style>
  <w:style w:type="character" w:customStyle="1" w:styleId="TableRowHeaderChar">
    <w:name w:val="Table Row Header Char"/>
    <w:basedOn w:val="TableTextChar"/>
    <w:link w:val="TableRowHeader"/>
    <w:rsid w:val="0015150F"/>
    <w:rPr>
      <w:rFonts w:ascii="Arial Narrow" w:hAnsi="Arial Narrow"/>
      <w:b/>
      <w:sz w:val="20"/>
    </w:rPr>
  </w:style>
  <w:style w:type="table" w:customStyle="1" w:styleId="HTATableshaded">
    <w:name w:val="HTA Table shaded"/>
    <w:basedOn w:val="TableNormal"/>
    <w:rsid w:val="00F35A1D"/>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left">
    <w:name w:val="Table text left"/>
    <w:basedOn w:val="Normal"/>
    <w:link w:val="TabletextleftChar"/>
    <w:qFormat/>
    <w:rsid w:val="00F35A1D"/>
    <w:pPr>
      <w:spacing w:before="20" w:after="20"/>
      <w:jc w:val="left"/>
    </w:pPr>
    <w:rPr>
      <w:rFonts w:ascii="Arial Narrow" w:eastAsia="Times New Roman" w:hAnsi="Arial Narrow" w:cs="Times New Roman"/>
      <w:sz w:val="20"/>
      <w:szCs w:val="20"/>
      <w:lang w:eastAsia="en-AU"/>
    </w:rPr>
  </w:style>
  <w:style w:type="character" w:customStyle="1" w:styleId="TabletextleftChar">
    <w:name w:val="Table text left Char"/>
    <w:basedOn w:val="DefaultParagraphFont"/>
    <w:link w:val="Tabletextleft"/>
    <w:rsid w:val="00F35A1D"/>
    <w:rPr>
      <w:rFonts w:ascii="Arial Narrow" w:eastAsia="Times New Roman" w:hAnsi="Arial Narrow" w:cs="Times New Roman"/>
      <w:sz w:val="20"/>
      <w:szCs w:val="20"/>
      <w:lang w:eastAsia="en-AU"/>
    </w:rPr>
  </w:style>
  <w:style w:type="paragraph" w:customStyle="1" w:styleId="TableHeadingleft">
    <w:name w:val="Table Heading left"/>
    <w:basedOn w:val="Normal"/>
    <w:next w:val="Tabletextleft"/>
    <w:qFormat/>
    <w:rsid w:val="008F17A5"/>
    <w:pPr>
      <w:keepNext/>
      <w:tabs>
        <w:tab w:val="left" w:pos="1134"/>
      </w:tabs>
      <w:spacing w:before="40" w:after="40"/>
      <w:ind w:left="1134" w:hanging="1134"/>
      <w:jc w:val="left"/>
    </w:pPr>
    <w:rPr>
      <w:rFonts w:ascii="Arial Narrow" w:hAnsi="Arial Narrow" w:cs="Tahoma"/>
      <w:b/>
      <w:sz w:val="20"/>
      <w:szCs w:val="18"/>
      <w:lang w:val="de-DE"/>
    </w:rPr>
  </w:style>
  <w:style w:type="paragraph" w:customStyle="1" w:styleId="TableFigNotes18">
    <w:name w:val="TableFigNotes+18"/>
    <w:basedOn w:val="BodyText"/>
    <w:next w:val="BodyText"/>
    <w:link w:val="TableFigNotes18Char"/>
    <w:uiPriority w:val="4"/>
    <w:qFormat/>
    <w:rsid w:val="00AA6067"/>
    <w:pPr>
      <w:keepLines/>
      <w:spacing w:before="0" w:after="360" w:line="276" w:lineRule="auto"/>
      <w:contextualSpacing/>
      <w:jc w:val="left"/>
    </w:pPr>
    <w:rPr>
      <w:rFonts w:cs="Tahoma"/>
      <w:color w:val="000000"/>
      <w:sz w:val="16"/>
      <w:szCs w:val="18"/>
      <w:lang w:eastAsia="en-AU"/>
    </w:rPr>
  </w:style>
  <w:style w:type="character" w:customStyle="1" w:styleId="TableFigNotes18Char">
    <w:name w:val="TableFigNotes+18 Char"/>
    <w:basedOn w:val="DefaultParagraphFont"/>
    <w:link w:val="TableFigNotes18"/>
    <w:uiPriority w:val="4"/>
    <w:rsid w:val="00AA6067"/>
    <w:rPr>
      <w:rFonts w:cs="Tahoma"/>
      <w:color w:val="000000"/>
      <w:sz w:val="16"/>
      <w:szCs w:val="18"/>
      <w:lang w:eastAsia="en-AU"/>
    </w:rPr>
  </w:style>
  <w:style w:type="paragraph" w:styleId="BodyText">
    <w:name w:val="Body Text"/>
    <w:basedOn w:val="Normal"/>
    <w:link w:val="BodyTextChar"/>
    <w:uiPriority w:val="4"/>
    <w:unhideWhenUsed/>
    <w:qFormat/>
    <w:rsid w:val="00AA6067"/>
    <w:pPr>
      <w:spacing w:after="120"/>
    </w:pPr>
  </w:style>
  <w:style w:type="character" w:customStyle="1" w:styleId="BodyTextChar">
    <w:name w:val="Body Text Char"/>
    <w:basedOn w:val="DefaultParagraphFont"/>
    <w:link w:val="BodyText"/>
    <w:uiPriority w:val="4"/>
    <w:rsid w:val="00AA6067"/>
    <w:rPr>
      <w:sz w:val="24"/>
    </w:rPr>
  </w:style>
  <w:style w:type="paragraph" w:customStyle="1" w:styleId="TableFigNotes0">
    <w:name w:val="TableFigNotes+0"/>
    <w:basedOn w:val="Normal"/>
    <w:uiPriority w:val="4"/>
    <w:qFormat/>
    <w:rsid w:val="005329B8"/>
    <w:pPr>
      <w:keepNext/>
      <w:keepLines/>
      <w:spacing w:before="0" w:after="0"/>
      <w:jc w:val="left"/>
    </w:pPr>
    <w:rPr>
      <w:rFonts w:ascii="Calibri" w:eastAsia="Times New Roman" w:hAnsi="Calibri" w:cs="Tahoma"/>
      <w:color w:val="000000"/>
      <w:sz w:val="16"/>
      <w:szCs w:val="18"/>
      <w:lang w:val="en-US" w:eastAsia="en-AU"/>
    </w:rPr>
  </w:style>
  <w:style w:type="paragraph" w:customStyle="1" w:styleId="Tabletextcent">
    <w:name w:val="Table text cent"/>
    <w:basedOn w:val="Tabletextleft"/>
    <w:qFormat/>
    <w:rsid w:val="009E0C68"/>
    <w:pPr>
      <w:jc w:val="center"/>
    </w:pPr>
    <w:rPr>
      <w:lang w:val="de-DE"/>
    </w:rPr>
  </w:style>
  <w:style w:type="paragraph" w:customStyle="1" w:styleId="Tableheadingcent">
    <w:name w:val="Table heading cent"/>
    <w:basedOn w:val="TableHeadingleft"/>
    <w:qFormat/>
    <w:rsid w:val="009E0C68"/>
    <w:pPr>
      <w:keepNext w:val="0"/>
      <w:tabs>
        <w:tab w:val="clear" w:pos="1134"/>
      </w:tabs>
      <w:jc w:val="center"/>
    </w:pPr>
  </w:style>
  <w:style w:type="paragraph" w:customStyle="1" w:styleId="Tabletextbold">
    <w:name w:val="Table text bold"/>
    <w:basedOn w:val="Tabletextleft"/>
    <w:link w:val="TabletextboldChar"/>
    <w:qFormat/>
    <w:rsid w:val="009E0C68"/>
    <w:pPr>
      <w:ind w:left="57" w:right="57"/>
    </w:pPr>
    <w:rPr>
      <w:rFonts w:eastAsia="Arial"/>
      <w:b/>
      <w:lang w:val="de-DE"/>
    </w:rPr>
  </w:style>
  <w:style w:type="character" w:customStyle="1" w:styleId="TabletextboldChar">
    <w:name w:val="Table text bold Char"/>
    <w:basedOn w:val="TabletextleftChar"/>
    <w:link w:val="Tabletextbold"/>
    <w:rsid w:val="009E0C68"/>
    <w:rPr>
      <w:rFonts w:ascii="Arial Narrow" w:eastAsia="Arial" w:hAnsi="Arial Narrow" w:cs="Times New Roman"/>
      <w:b/>
      <w:sz w:val="20"/>
      <w:szCs w:val="20"/>
      <w:lang w:val="de-DE" w:eastAsia="en-AU"/>
    </w:rPr>
  </w:style>
  <w:style w:type="paragraph" w:styleId="CommentText">
    <w:name w:val="annotation text"/>
    <w:aliases w:val="- H19,Comment Text Char1 Char,Comment Text Char Char Char"/>
    <w:basedOn w:val="Normal"/>
    <w:link w:val="CommentTextChar"/>
    <w:uiPriority w:val="99"/>
    <w:unhideWhenUsed/>
    <w:qFormat/>
    <w:rsid w:val="00912114"/>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912114"/>
    <w:rPr>
      <w:sz w:val="20"/>
      <w:szCs w:val="20"/>
    </w:rPr>
  </w:style>
  <w:style w:type="numbering" w:customStyle="1" w:styleId="NoList1">
    <w:name w:val="No List1"/>
    <w:next w:val="NoList"/>
    <w:uiPriority w:val="99"/>
    <w:semiHidden/>
    <w:unhideWhenUsed/>
    <w:rsid w:val="00316902"/>
  </w:style>
  <w:style w:type="character" w:customStyle="1" w:styleId="PersonalComposeStyle">
    <w:name w:val="Personal Compose Style"/>
    <w:basedOn w:val="DefaultParagraphFont"/>
    <w:rsid w:val="00316902"/>
    <w:rPr>
      <w:rFonts w:ascii="Arial" w:hAnsi="Arial" w:cs="Arial"/>
      <w:color w:val="auto"/>
      <w:sz w:val="20"/>
    </w:rPr>
  </w:style>
  <w:style w:type="character" w:customStyle="1" w:styleId="PersonalReplyStyle">
    <w:name w:val="Personal Reply Style"/>
    <w:basedOn w:val="DefaultParagraphFont"/>
    <w:rsid w:val="00316902"/>
    <w:rPr>
      <w:rFonts w:ascii="Arial" w:hAnsi="Arial" w:cs="Arial"/>
      <w:color w:val="auto"/>
      <w:sz w:val="20"/>
    </w:rPr>
  </w:style>
  <w:style w:type="table" w:customStyle="1" w:styleId="TableGrid10">
    <w:name w:val="Table Grid1"/>
    <w:basedOn w:val="TableNormal"/>
    <w:next w:val="TableGrid"/>
    <w:rsid w:val="0031690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1">
    <w:name w:val="PBAC Table Style1"/>
    <w:basedOn w:val="TableGrid1"/>
    <w:uiPriority w:val="99"/>
    <w:rsid w:val="0089089E"/>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HTATableshaded1">
    <w:name w:val="HTA Table shaded1"/>
    <w:basedOn w:val="TableNormal"/>
    <w:rsid w:val="00B216E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
    <w:name w:val="HTA Table shaded2"/>
    <w:basedOn w:val="TableNormal"/>
    <w:rsid w:val="00552760"/>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rsid w:val="00B72D8A"/>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balloon">
    <w:name w:val="balloon"/>
    <w:basedOn w:val="DefaultParagraphFont"/>
    <w:rsid w:val="00F16DBE"/>
  </w:style>
  <w:style w:type="character" w:customStyle="1" w:styleId="nlmstring-name">
    <w:name w:val="nlm_string-name"/>
    <w:basedOn w:val="DefaultParagraphFont"/>
    <w:rsid w:val="00F16DBE"/>
  </w:style>
  <w:style w:type="character" w:customStyle="1" w:styleId="nlmgiven-names">
    <w:name w:val="nlm_given-names"/>
    <w:basedOn w:val="DefaultParagraphFont"/>
    <w:rsid w:val="00F16DBE"/>
  </w:style>
  <w:style w:type="character" w:customStyle="1" w:styleId="nlmarticle-title">
    <w:name w:val="nlm_article-title"/>
    <w:basedOn w:val="DefaultParagraphFont"/>
    <w:rsid w:val="00F16DBE"/>
  </w:style>
  <w:style w:type="character" w:customStyle="1" w:styleId="nlmfpage">
    <w:name w:val="nlm_fpage"/>
    <w:basedOn w:val="DefaultParagraphFont"/>
    <w:rsid w:val="00F16DBE"/>
  </w:style>
  <w:style w:type="character" w:customStyle="1" w:styleId="nlmlpage">
    <w:name w:val="nlm_lpage"/>
    <w:basedOn w:val="DefaultParagraphFont"/>
    <w:rsid w:val="00F16DBE"/>
  </w:style>
  <w:style w:type="character" w:customStyle="1" w:styleId="nlmyear">
    <w:name w:val="nlm_year"/>
    <w:basedOn w:val="DefaultParagraphFont"/>
    <w:rsid w:val="00F16DBE"/>
  </w:style>
  <w:style w:type="paragraph" w:customStyle="1" w:styleId="Bulletintro">
    <w:name w:val="Bullet intro"/>
    <w:basedOn w:val="BodyText"/>
    <w:uiPriority w:val="2"/>
    <w:qFormat/>
    <w:rsid w:val="00CD0198"/>
    <w:pPr>
      <w:spacing w:before="0" w:line="276" w:lineRule="auto"/>
      <w:jc w:val="left"/>
    </w:pPr>
    <w:rPr>
      <w:rFonts w:cs="Arial"/>
      <w:sz w:val="22"/>
    </w:rPr>
  </w:style>
  <w:style w:type="paragraph" w:customStyle="1" w:styleId="TableH1">
    <w:name w:val="Table H1"/>
    <w:basedOn w:val="BodyText"/>
    <w:uiPriority w:val="4"/>
    <w:qFormat/>
    <w:rsid w:val="00CD0198"/>
    <w:pPr>
      <w:keepNext/>
      <w:tabs>
        <w:tab w:val="left" w:pos="416"/>
        <w:tab w:val="left" w:pos="582"/>
        <w:tab w:val="left" w:pos="1134"/>
      </w:tabs>
      <w:spacing w:before="40" w:after="40"/>
      <w:jc w:val="left"/>
    </w:pPr>
    <w:rPr>
      <w:rFonts w:cs="Tahoma"/>
      <w:b/>
      <w:spacing w:val="-1"/>
      <w:sz w:val="18"/>
      <w:szCs w:val="18"/>
      <w:lang w:val="en-US"/>
    </w:rPr>
  </w:style>
  <w:style w:type="paragraph" w:customStyle="1" w:styleId="Dash12">
    <w:name w:val="Dash+12"/>
    <w:basedOn w:val="Normal"/>
    <w:uiPriority w:val="2"/>
    <w:rsid w:val="00CD0198"/>
    <w:pPr>
      <w:tabs>
        <w:tab w:val="left" w:pos="1134"/>
      </w:tabs>
      <w:spacing w:before="0" w:after="240" w:line="276" w:lineRule="auto"/>
      <w:jc w:val="left"/>
    </w:pPr>
    <w:rPr>
      <w:rFonts w:cs="Tahoma"/>
      <w:color w:val="000000"/>
      <w:sz w:val="22"/>
      <w:lang w:eastAsia="en-AU"/>
    </w:rPr>
  </w:style>
  <w:style w:type="paragraph" w:customStyle="1" w:styleId="Page">
    <w:name w:val="Page"/>
    <w:basedOn w:val="Normal"/>
    <w:rsid w:val="00CD0198"/>
    <w:pPr>
      <w:suppressAutoHyphens/>
      <w:spacing w:before="0" w:after="0"/>
      <w:jc w:val="right"/>
    </w:pPr>
    <w:rPr>
      <w:rFonts w:ascii="Arial" w:eastAsia="Times New Roman" w:hAnsi="Arial" w:cs="Times New Roman"/>
      <w:b/>
      <w:sz w:val="22"/>
      <w:szCs w:val="20"/>
      <w:lang w:val="en-US"/>
    </w:rPr>
  </w:style>
  <w:style w:type="paragraph" w:customStyle="1" w:styleId="Text">
    <w:name w:val="Text"/>
    <w:basedOn w:val="Normal"/>
    <w:link w:val="TextChar"/>
    <w:rsid w:val="00CD0198"/>
    <w:pPr>
      <w:suppressAutoHyphens/>
      <w:spacing w:after="120" w:line="360" w:lineRule="auto"/>
      <w:jc w:val="left"/>
    </w:pPr>
    <w:rPr>
      <w:rFonts w:ascii="Arial" w:eastAsia="Times New Roman" w:hAnsi="Arial" w:cs="Times New Roman"/>
      <w:sz w:val="22"/>
      <w:szCs w:val="20"/>
      <w:lang w:val="en-US"/>
    </w:rPr>
  </w:style>
  <w:style w:type="character" w:customStyle="1" w:styleId="TextChar">
    <w:name w:val="Text Char"/>
    <w:link w:val="Text"/>
    <w:locked/>
    <w:rsid w:val="00CD0198"/>
    <w:rPr>
      <w:rFonts w:ascii="Arial" w:eastAsia="Times New Roman" w:hAnsi="Arial" w:cs="Times New Roman"/>
      <w:szCs w:val="20"/>
      <w:lang w:val="en-US"/>
    </w:rPr>
  </w:style>
  <w:style w:type="paragraph" w:customStyle="1" w:styleId="BoxText">
    <w:name w:val="BoxText"/>
    <w:basedOn w:val="BodyText"/>
    <w:link w:val="BoxTextChar"/>
    <w:qFormat/>
    <w:rsid w:val="00CD0198"/>
    <w:pPr>
      <w:pBdr>
        <w:top w:val="single" w:sz="6" w:space="1" w:color="000000"/>
        <w:left w:val="single" w:sz="6" w:space="4" w:color="000000"/>
        <w:bottom w:val="single" w:sz="6" w:space="1" w:color="000000"/>
        <w:right w:val="single" w:sz="6" w:space="4" w:color="000000"/>
      </w:pBdr>
      <w:spacing w:before="0" w:after="200" w:line="276" w:lineRule="auto"/>
      <w:jc w:val="left"/>
    </w:pPr>
    <w:rPr>
      <w:rFonts w:cs="Tahoma"/>
      <w:sz w:val="22"/>
    </w:rPr>
  </w:style>
  <w:style w:type="character" w:customStyle="1" w:styleId="BoxTextChar">
    <w:name w:val="BoxText Char"/>
    <w:basedOn w:val="DefaultParagraphFont"/>
    <w:link w:val="BoxText"/>
    <w:uiPriority w:val="3"/>
    <w:rsid w:val="00CD0198"/>
    <w:rPr>
      <w:rFonts w:cs="Tahoma"/>
    </w:rPr>
  </w:style>
  <w:style w:type="paragraph" w:customStyle="1" w:styleId="text0">
    <w:name w:val="text"/>
    <w:basedOn w:val="Normal"/>
    <w:rsid w:val="00CD0198"/>
    <w:pPr>
      <w:spacing w:after="120" w:line="360" w:lineRule="auto"/>
      <w:jc w:val="left"/>
    </w:pPr>
    <w:rPr>
      <w:rFonts w:ascii="Arial" w:eastAsia="Calibri" w:hAnsi="Arial" w:cs="Arial"/>
      <w:color w:val="000000"/>
      <w:sz w:val="22"/>
      <w:lang w:val="en-US"/>
    </w:rPr>
  </w:style>
  <w:style w:type="paragraph" w:customStyle="1" w:styleId="BodyText0">
    <w:name w:val="BodyText"/>
    <w:basedOn w:val="Normal"/>
    <w:link w:val="BodyTextChar0"/>
    <w:qFormat/>
    <w:rsid w:val="00CD0198"/>
    <w:pPr>
      <w:suppressAutoHyphens/>
      <w:spacing w:after="120" w:line="276" w:lineRule="auto"/>
      <w:jc w:val="left"/>
    </w:pPr>
    <w:rPr>
      <w:rFonts w:ascii="Arial" w:eastAsia="Times New Roman" w:hAnsi="Arial" w:cs="Times New Roman"/>
      <w:sz w:val="22"/>
      <w:szCs w:val="20"/>
      <w:lang w:val="en-US"/>
    </w:rPr>
  </w:style>
  <w:style w:type="character" w:customStyle="1" w:styleId="BodyTextChar0">
    <w:name w:val="BodyText Char"/>
    <w:link w:val="BodyText0"/>
    <w:rsid w:val="00CD0198"/>
    <w:rPr>
      <w:rFonts w:ascii="Arial" w:eastAsia="Times New Roman" w:hAnsi="Arial" w:cs="Times New Roman"/>
      <w:szCs w:val="20"/>
      <w:lang w:val="en-US"/>
    </w:rPr>
  </w:style>
  <w:style w:type="paragraph" w:customStyle="1" w:styleId="2-SectionHeading">
    <w:name w:val="2-Section Heading"/>
    <w:uiPriority w:val="99"/>
    <w:qFormat/>
    <w:rsid w:val="00CD0198"/>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ExecSumBodyText">
    <w:name w:val="Exec Sum Body Text"/>
    <w:basedOn w:val="Normal"/>
    <w:link w:val="ExecSumBodyTextChar"/>
    <w:uiPriority w:val="99"/>
    <w:qFormat/>
    <w:rsid w:val="00CD0198"/>
    <w:pPr>
      <w:spacing w:before="0" w:after="120"/>
      <w:ind w:left="720" w:hanging="720"/>
    </w:pPr>
    <w:rPr>
      <w:rFonts w:eastAsia="Times New Roman" w:cs="Arial"/>
      <w:snapToGrid w:val="0"/>
      <w:szCs w:val="24"/>
      <w:lang w:eastAsia="en-AU"/>
    </w:rPr>
  </w:style>
  <w:style w:type="character" w:customStyle="1" w:styleId="ExecSumBodyTextChar">
    <w:name w:val="Exec Sum Body Text Char"/>
    <w:basedOn w:val="DefaultParagraphFont"/>
    <w:link w:val="ExecSumBodyText"/>
    <w:uiPriority w:val="99"/>
    <w:rsid w:val="00CD0198"/>
    <w:rPr>
      <w:rFonts w:eastAsia="Times New Roman" w:cs="Arial"/>
      <w:snapToGrid w:val="0"/>
      <w:sz w:val="24"/>
      <w:szCs w:val="24"/>
      <w:lang w:eastAsia="en-AU"/>
    </w:rPr>
  </w:style>
  <w:style w:type="paragraph" w:customStyle="1" w:styleId="In-tableHeading">
    <w:name w:val="In-table Heading"/>
    <w:qFormat/>
    <w:rsid w:val="00127B8D"/>
    <w:pPr>
      <w:keepNext/>
      <w:spacing w:after="0" w:line="240" w:lineRule="auto"/>
    </w:pPr>
    <w:rPr>
      <w:rFonts w:ascii="Arial Narrow" w:eastAsiaTheme="majorEastAsia" w:hAnsi="Arial Narrow" w:cs="Times New Roman"/>
      <w:b/>
      <w:sz w:val="20"/>
      <w:szCs w:val="24"/>
      <w:lang w:val="en-US" w:eastAsia="en-AU"/>
    </w:rPr>
  </w:style>
  <w:style w:type="paragraph" w:customStyle="1" w:styleId="RegularText">
    <w:name w:val="Regular Text"/>
    <w:basedOn w:val="BodyText"/>
    <w:link w:val="RegularTextChar"/>
    <w:rsid w:val="00127B8D"/>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127B8D"/>
    <w:rPr>
      <w:rFonts w:ascii="Calibri" w:eastAsia="Times New Roman" w:hAnsi="Calibri" w:cs="Arial"/>
      <w:b/>
      <w:sz w:val="24"/>
      <w:szCs w:val="24"/>
      <w:lang w:eastAsia="en-AU"/>
    </w:rPr>
  </w:style>
  <w:style w:type="paragraph" w:customStyle="1" w:styleId="EndNoteBibliographyTitle">
    <w:name w:val="EndNote Bibliography Title"/>
    <w:basedOn w:val="Normal"/>
    <w:link w:val="EndNoteBibliographyTitleChar"/>
    <w:rsid w:val="00675680"/>
    <w:pPr>
      <w:spacing w:after="0"/>
      <w:jc w:val="center"/>
    </w:pPr>
    <w:rPr>
      <w:rFonts w:ascii="Calibri" w:hAnsi="Calibri" w:cs="Calibri"/>
      <w:noProof/>
      <w:lang w:val="en-US"/>
    </w:rPr>
  </w:style>
  <w:style w:type="character" w:customStyle="1" w:styleId="EndNoteBibliographyTitleChar">
    <w:name w:val="EndNote Bibliography Title Char"/>
    <w:basedOn w:val="Heading4Char"/>
    <w:link w:val="EndNoteBibliographyTitle"/>
    <w:rsid w:val="00675680"/>
    <w:rPr>
      <w:rFonts w:ascii="Calibri" w:eastAsiaTheme="majorEastAsia" w:hAnsi="Calibri" w:cs="Calibri"/>
      <w:b w:val="0"/>
      <w:noProof/>
      <w:color w:val="000000" w:themeColor="text1"/>
      <w:sz w:val="24"/>
      <w:szCs w:val="28"/>
      <w:lang w:val="en-US"/>
    </w:rPr>
  </w:style>
  <w:style w:type="paragraph" w:customStyle="1" w:styleId="EndNoteBibliography">
    <w:name w:val="EndNote Bibliography"/>
    <w:basedOn w:val="Normal"/>
    <w:link w:val="EndNoteBibliographyChar"/>
    <w:rsid w:val="00675680"/>
    <w:rPr>
      <w:rFonts w:ascii="Calibri" w:hAnsi="Calibri" w:cs="Calibri"/>
      <w:noProof/>
      <w:lang w:val="en-US"/>
    </w:rPr>
  </w:style>
  <w:style w:type="character" w:customStyle="1" w:styleId="EndNoteBibliographyChar">
    <w:name w:val="EndNote Bibliography Char"/>
    <w:basedOn w:val="Heading4Char"/>
    <w:link w:val="EndNoteBibliography"/>
    <w:rsid w:val="00675680"/>
    <w:rPr>
      <w:rFonts w:ascii="Calibri" w:eastAsiaTheme="majorEastAsia" w:hAnsi="Calibri" w:cs="Calibri"/>
      <w:b w:val="0"/>
      <w:noProof/>
      <w:color w:val="000000" w:themeColor="text1"/>
      <w:sz w:val="24"/>
      <w:szCs w:val="28"/>
      <w:lang w:val="en-US"/>
    </w:rPr>
  </w:style>
  <w:style w:type="character" w:customStyle="1" w:styleId="UnresolvedMention1">
    <w:name w:val="Unresolved Mention1"/>
    <w:basedOn w:val="DefaultParagraphFont"/>
    <w:uiPriority w:val="99"/>
    <w:semiHidden/>
    <w:unhideWhenUsed/>
    <w:rsid w:val="00C57403"/>
    <w:rPr>
      <w:color w:val="605E5C"/>
      <w:shd w:val="clear" w:color="auto" w:fill="E1DFDD"/>
    </w:rPr>
  </w:style>
  <w:style w:type="character" w:customStyle="1" w:styleId="ng-binding">
    <w:name w:val="ng-binding"/>
    <w:basedOn w:val="DefaultParagraphFont"/>
    <w:rsid w:val="004507F9"/>
  </w:style>
  <w:style w:type="paragraph" w:customStyle="1" w:styleId="Bulletpoints">
    <w:name w:val="Bullet points"/>
    <w:basedOn w:val="Normal"/>
    <w:rsid w:val="00774372"/>
    <w:pPr>
      <w:spacing w:before="0" w:after="120"/>
      <w:ind w:left="720"/>
      <w:contextualSpacing/>
    </w:pPr>
    <w:rPr>
      <w:rFonts w:ascii="Calibri" w:eastAsia="Times New Roman" w:hAnsi="Calibri" w:cs="Arial"/>
      <w:snapToGrid w:val="0"/>
      <w:szCs w:val="24"/>
      <w:lang w:eastAsia="en-AU"/>
    </w:rPr>
  </w:style>
  <w:style w:type="numbering" w:customStyle="1" w:styleId="NoList2">
    <w:name w:val="No List2"/>
    <w:next w:val="NoList"/>
    <w:uiPriority w:val="99"/>
    <w:semiHidden/>
    <w:unhideWhenUsed/>
    <w:rsid w:val="00DE6CC6"/>
  </w:style>
  <w:style w:type="paragraph" w:customStyle="1" w:styleId="Table">
    <w:name w:val="Table"/>
    <w:basedOn w:val="Normal"/>
    <w:link w:val="TableChar"/>
    <w:qFormat/>
    <w:rsid w:val="00DE6CC6"/>
    <w:pPr>
      <w:spacing w:before="0" w:after="0"/>
      <w:jc w:val="left"/>
    </w:pPr>
    <w:rPr>
      <w:rFonts w:ascii="Candara" w:eastAsia="Times New Roman" w:hAnsi="Candara" w:cs="Times New Roman"/>
      <w:sz w:val="20"/>
      <w:lang w:bidi="en-US"/>
    </w:rPr>
  </w:style>
  <w:style w:type="character" w:customStyle="1" w:styleId="TableChar">
    <w:name w:val="Table Char"/>
    <w:basedOn w:val="DefaultParagraphFont"/>
    <w:link w:val="Table"/>
    <w:locked/>
    <w:rsid w:val="00DE6CC6"/>
    <w:rPr>
      <w:rFonts w:ascii="Candara" w:eastAsia="Times New Roman" w:hAnsi="Candara" w:cs="Times New Roman"/>
      <w:sz w:val="20"/>
      <w:lang w:bidi="en-US"/>
    </w:rPr>
  </w:style>
  <w:style w:type="paragraph" w:customStyle="1" w:styleId="TableCentre">
    <w:name w:val="Table Centre"/>
    <w:basedOn w:val="Table"/>
    <w:uiPriority w:val="99"/>
    <w:qFormat/>
    <w:rsid w:val="00DE6CC6"/>
    <w:pPr>
      <w:jc w:val="center"/>
    </w:pPr>
  </w:style>
  <w:style w:type="table" w:customStyle="1" w:styleId="PBACtable1">
    <w:name w:val="PBAC table1"/>
    <w:basedOn w:val="TableNormal"/>
    <w:next w:val="TableGrid"/>
    <w:uiPriority w:val="39"/>
    <w:rsid w:val="00DE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DE6CC6"/>
    <w:pPr>
      <w:spacing w:before="40" w:after="40"/>
      <w:jc w:val="left"/>
    </w:pPr>
    <w:rPr>
      <w:rFonts w:ascii="Arial Narrow" w:eastAsia="Times New Roman" w:hAnsi="Arial Narrow" w:cs="Times New Roman"/>
      <w:sz w:val="20"/>
      <w:szCs w:val="24"/>
    </w:rPr>
  </w:style>
  <w:style w:type="character" w:customStyle="1" w:styleId="TabletextChar0">
    <w:name w:val="Table text Char"/>
    <w:basedOn w:val="DefaultParagraphFont"/>
    <w:link w:val="Tabletext0"/>
    <w:rsid w:val="00DE6CC6"/>
    <w:rPr>
      <w:rFonts w:ascii="Arial Narrow" w:eastAsia="Times New Roman" w:hAnsi="Arial Narrow" w:cs="Times New Roman"/>
      <w:sz w:val="20"/>
      <w:szCs w:val="24"/>
    </w:rPr>
  </w:style>
  <w:style w:type="character" w:customStyle="1" w:styleId="ESHeading2Char">
    <w:name w:val="ES Heading 2 Char"/>
    <w:basedOn w:val="Heading2Char"/>
    <w:link w:val="ESHeading2"/>
    <w:rsid w:val="00DE6CC6"/>
    <w:rPr>
      <w:rFonts w:asciiTheme="majorHAnsi" w:eastAsiaTheme="majorEastAsia" w:hAnsiTheme="majorHAnsi" w:cstheme="majorBidi"/>
      <w:b/>
      <w:i/>
      <w:snapToGrid w:val="0"/>
      <w:sz w:val="28"/>
      <w:szCs w:val="28"/>
    </w:rPr>
  </w:style>
  <w:style w:type="table" w:customStyle="1" w:styleId="Submissiontemplate2">
    <w:name w:val="Submission template2"/>
    <w:basedOn w:val="TableNormal"/>
    <w:uiPriority w:val="99"/>
    <w:rsid w:val="00DE6CC6"/>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DE6CC6"/>
    <w:pPr>
      <w:keepNext/>
      <w:spacing w:before="0" w:after="0"/>
      <w:ind w:left="0" w:right="0"/>
    </w:pPr>
    <w:rPr>
      <w:rFonts w:eastAsia="Times New Roman" w:cs="Arial"/>
    </w:rPr>
  </w:style>
  <w:style w:type="character" w:customStyle="1" w:styleId="TabletextboldleftChar">
    <w:name w:val="Table text bold left Char"/>
    <w:basedOn w:val="TabletextboldChar"/>
    <w:link w:val="Tabletextboldleft"/>
    <w:rsid w:val="00DE6CC6"/>
    <w:rPr>
      <w:rFonts w:ascii="Arial Narrow" w:eastAsia="Times New Roman" w:hAnsi="Arial Narrow" w:cs="Arial"/>
      <w:b/>
      <w:sz w:val="20"/>
      <w:szCs w:val="20"/>
      <w:lang w:val="de-DE" w:eastAsia="en-AU"/>
    </w:rPr>
  </w:style>
  <w:style w:type="table" w:customStyle="1" w:styleId="Submissiontemplate7">
    <w:name w:val="Submission template7"/>
    <w:basedOn w:val="TableNormal"/>
    <w:uiPriority w:val="99"/>
    <w:rsid w:val="00DE6CC6"/>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DE6CC6"/>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DE6CC6"/>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DE6CC6"/>
    <w:pPr>
      <w:jc w:val="center"/>
    </w:pPr>
  </w:style>
  <w:style w:type="character" w:customStyle="1" w:styleId="TabletextcentredChar">
    <w:name w:val="Table text centred Char"/>
    <w:basedOn w:val="TabletextChar0"/>
    <w:link w:val="Tabletextcentred"/>
    <w:rsid w:val="00DE6CC6"/>
    <w:rPr>
      <w:rFonts w:ascii="Arial Narrow" w:eastAsia="Times New Roman" w:hAnsi="Arial Narrow" w:cs="Times New Roman"/>
      <w:sz w:val="20"/>
      <w:szCs w:val="24"/>
    </w:rPr>
  </w:style>
  <w:style w:type="character" w:customStyle="1" w:styleId="TableBold">
    <w:name w:val="Table Bold"/>
    <w:uiPriority w:val="4"/>
    <w:qFormat/>
    <w:rsid w:val="00DE6CC6"/>
    <w:rPr>
      <w:rFonts w:ascii="Calibri" w:hAnsi="Calibri" w:hint="default"/>
      <w:b/>
      <w:bCs w:val="0"/>
      <w:sz w:val="20"/>
      <w:lang w:val="en-AU"/>
    </w:rPr>
  </w:style>
  <w:style w:type="table" w:customStyle="1" w:styleId="TableGrid12">
    <w:name w:val="Table Grid12"/>
    <w:basedOn w:val="TableNormal"/>
    <w:next w:val="TableGrid"/>
    <w:uiPriority w:val="59"/>
    <w:rsid w:val="00DE6CC6"/>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DE6CC6"/>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DE6CC6"/>
    <w:pPr>
      <w:numPr>
        <w:numId w:val="80"/>
      </w:numPr>
      <w:spacing w:before="0" w:after="240" w:line="276" w:lineRule="auto"/>
      <w:ind w:left="717"/>
      <w:contextualSpacing/>
    </w:pPr>
    <w:rPr>
      <w:rFonts w:ascii="Candara" w:eastAsia="Times New Roman" w:hAnsi="Candara" w:cs="Times New Roman"/>
      <w:lang w:bidi="en-US"/>
    </w:rPr>
  </w:style>
  <w:style w:type="paragraph" w:styleId="EndnoteText">
    <w:name w:val="endnote text"/>
    <w:basedOn w:val="Normal"/>
    <w:link w:val="EndnoteTextChar"/>
    <w:rsid w:val="00DE6CC6"/>
    <w:pPr>
      <w:widowControl w:val="0"/>
      <w:spacing w:before="0" w:after="0"/>
      <w:jc w:val="left"/>
    </w:pPr>
    <w:rPr>
      <w:rFonts w:ascii="Times New Roman" w:eastAsia="Times New Roman" w:hAnsi="Times New Roman" w:cs="Times New Roman"/>
      <w:snapToGrid w:val="0"/>
      <w:sz w:val="20"/>
      <w:szCs w:val="20"/>
      <w:lang w:val="en-US"/>
    </w:rPr>
  </w:style>
  <w:style w:type="character" w:customStyle="1" w:styleId="EndnoteTextChar">
    <w:name w:val="Endnote Text Char"/>
    <w:basedOn w:val="DefaultParagraphFont"/>
    <w:link w:val="EndnoteText"/>
    <w:rsid w:val="00DE6CC6"/>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rsid w:val="00DE6CC6"/>
    <w:rPr>
      <w:vertAlign w:val="superscript"/>
    </w:rPr>
  </w:style>
  <w:style w:type="character" w:customStyle="1" w:styleId="SmallBold">
    <w:name w:val="Small Bold"/>
    <w:basedOn w:val="DefaultParagraphFont"/>
    <w:uiPriority w:val="4"/>
    <w:qFormat/>
    <w:rsid w:val="00DE6CC6"/>
    <w:rPr>
      <w:rFonts w:ascii="Candara" w:hAnsi="Candara"/>
      <w:b/>
      <w:sz w:val="20"/>
      <w:lang w:val="en-AU"/>
    </w:rPr>
  </w:style>
  <w:style w:type="table" w:customStyle="1" w:styleId="Submissiontemplate">
    <w:name w:val="Submission template"/>
    <w:basedOn w:val="TableNormal"/>
    <w:uiPriority w:val="99"/>
    <w:rsid w:val="00DE6CC6"/>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Heading">
    <w:name w:val="TableHeading"/>
    <w:basedOn w:val="Normal"/>
    <w:link w:val="TableHeadingChar"/>
    <w:qFormat/>
    <w:rsid w:val="00DE6CC6"/>
    <w:pPr>
      <w:keepNext/>
      <w:spacing w:before="40" w:after="40"/>
      <w:ind w:left="1134" w:hanging="1134"/>
    </w:pPr>
    <w:rPr>
      <w:rFonts w:ascii="Arial Narrow" w:eastAsia="Times New Roman" w:hAnsi="Arial Narrow" w:cs="Tahoma"/>
      <w:b/>
      <w:noProof/>
      <w:sz w:val="20"/>
      <w:szCs w:val="20"/>
      <w:lang w:eastAsia="en-AU"/>
    </w:rPr>
  </w:style>
  <w:style w:type="character" w:customStyle="1" w:styleId="TableHeadingChar">
    <w:name w:val="TableHeading Char"/>
    <w:link w:val="TableHeading"/>
    <w:rsid w:val="00DE6CC6"/>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DE6CC6"/>
    <w:pPr>
      <w:widowControl w:val="0"/>
      <w:spacing w:before="60" w:after="120"/>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DE6CC6"/>
    <w:rPr>
      <w:rFonts w:ascii="Arial Narrow" w:eastAsia="Times New Roman" w:hAnsi="Arial Narrow" w:cs="Arial"/>
      <w:snapToGrid w:val="0"/>
      <w:sz w:val="18"/>
      <w:szCs w:val="20"/>
    </w:rPr>
  </w:style>
  <w:style w:type="table" w:customStyle="1" w:styleId="TableGrid2">
    <w:name w:val="Table Grid2"/>
    <w:basedOn w:val="TableNormal"/>
    <w:next w:val="TableGrid"/>
    <w:rsid w:val="00DE6CC6"/>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DE6CC6"/>
    <w:pPr>
      <w:widowControl w:val="0"/>
      <w:spacing w:before="0" w:after="240"/>
      <w:contextualSpacing/>
      <w:jc w:val="left"/>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DE6CC6"/>
    <w:rPr>
      <w:rFonts w:ascii="Arial Narrow" w:eastAsia="Times New Roman" w:hAnsi="Arial Narrow" w:cs="Arial"/>
      <w:snapToGrid w:val="0"/>
      <w:sz w:val="18"/>
      <w:szCs w:val="20"/>
    </w:rPr>
  </w:style>
  <w:style w:type="numbering" w:customStyle="1" w:styleId="Heading1a">
    <w:name w:val="Heading 1a"/>
    <w:basedOn w:val="NoList"/>
    <w:uiPriority w:val="99"/>
    <w:rsid w:val="00DE6CC6"/>
    <w:pPr>
      <w:numPr>
        <w:numId w:val="84"/>
      </w:numPr>
    </w:pPr>
  </w:style>
  <w:style w:type="paragraph" w:customStyle="1" w:styleId="Tabletext-left">
    <w:name w:val="Table text - left"/>
    <w:basedOn w:val="Normal"/>
    <w:link w:val="Tabletext-leftChar"/>
    <w:rsid w:val="00DE6CC6"/>
    <w:pPr>
      <w:keepNext/>
      <w:tabs>
        <w:tab w:val="left" w:pos="2835"/>
      </w:tabs>
      <w:spacing w:after="120" w:line="312" w:lineRule="auto"/>
    </w:pPr>
    <w:rPr>
      <w:rFonts w:eastAsia="Times New Roman" w:cs="Arial"/>
      <w:sz w:val="20"/>
      <w:szCs w:val="20"/>
    </w:rPr>
  </w:style>
  <w:style w:type="character" w:customStyle="1" w:styleId="Tabletext-leftChar">
    <w:name w:val="Table text - left Char"/>
    <w:basedOn w:val="DefaultParagraphFont"/>
    <w:link w:val="Tabletext-left"/>
    <w:rsid w:val="00DE6CC6"/>
    <w:rPr>
      <w:rFonts w:eastAsia="Times New Roman" w:cs="Arial"/>
      <w:sz w:val="20"/>
      <w:szCs w:val="20"/>
    </w:rPr>
  </w:style>
  <w:style w:type="table" w:customStyle="1" w:styleId="TableGrid9">
    <w:name w:val="Table Grid9"/>
    <w:basedOn w:val="TableNormal"/>
    <w:next w:val="TableGrid"/>
    <w:uiPriority w:val="39"/>
    <w:rsid w:val="00DE6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E6CC6"/>
    <w:rPr>
      <w:color w:val="605E5C"/>
      <w:shd w:val="clear" w:color="auto" w:fill="E1DFDD"/>
    </w:rPr>
  </w:style>
  <w:style w:type="table" w:customStyle="1" w:styleId="PBACTableStyle2">
    <w:name w:val="PBAC Table Style2"/>
    <w:basedOn w:val="TableGrid1"/>
    <w:uiPriority w:val="99"/>
    <w:rsid w:val="00DE6CC6"/>
    <w:pPr>
      <w:widowControl w:val="0"/>
      <w:spacing w:after="0"/>
      <w:contextualSpacing/>
      <w:jc w:val="center"/>
    </w:pPr>
    <w:rPr>
      <w:rFonts w:ascii="Arial Narrow" w:hAnsi="Arial Narrow"/>
      <w:color w:val="00000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DE6CC6"/>
    <w:pPr>
      <w:spacing w:after="0" w:line="240" w:lineRule="auto"/>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ubtitle">
    <w:name w:val="Subtitle"/>
    <w:basedOn w:val="Normal"/>
    <w:next w:val="Normal"/>
    <w:link w:val="SubtitleChar"/>
    <w:qFormat/>
    <w:rsid w:val="00181DB4"/>
    <w:pPr>
      <w:spacing w:after="24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181DB4"/>
    <w:rPr>
      <w:rFonts w:ascii="Arial" w:eastAsia="Times New Roman" w:hAnsi="Arial" w:cs="Arial"/>
      <w:b/>
      <w:bCs/>
      <w:i/>
      <w:color w:val="000080"/>
      <w:sz w:val="28"/>
      <w:szCs w:val="28"/>
      <w:lang w:eastAsia="en-AU"/>
    </w:rPr>
  </w:style>
  <w:style w:type="paragraph" w:customStyle="1" w:styleId="Default">
    <w:name w:val="Default"/>
    <w:rsid w:val="00EE72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622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15880594">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42559315">
      <w:bodyDiv w:val="1"/>
      <w:marLeft w:val="0"/>
      <w:marRight w:val="0"/>
      <w:marTop w:val="0"/>
      <w:marBottom w:val="0"/>
      <w:divBdr>
        <w:top w:val="none" w:sz="0" w:space="0" w:color="auto"/>
        <w:left w:val="none" w:sz="0" w:space="0" w:color="auto"/>
        <w:bottom w:val="none" w:sz="0" w:space="0" w:color="auto"/>
        <w:right w:val="none" w:sz="0" w:space="0" w:color="auto"/>
      </w:divBdr>
      <w:divsChild>
        <w:div w:id="236089933">
          <w:marLeft w:val="360"/>
          <w:marRight w:val="0"/>
          <w:marTop w:val="200"/>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09549364">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2417256">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2451">
      <w:bodyDiv w:val="1"/>
      <w:marLeft w:val="0"/>
      <w:marRight w:val="0"/>
      <w:marTop w:val="0"/>
      <w:marBottom w:val="0"/>
      <w:divBdr>
        <w:top w:val="none" w:sz="0" w:space="0" w:color="auto"/>
        <w:left w:val="none" w:sz="0" w:space="0" w:color="auto"/>
        <w:bottom w:val="none" w:sz="0" w:space="0" w:color="auto"/>
        <w:right w:val="none" w:sz="0" w:space="0" w:color="auto"/>
      </w:divBdr>
    </w:div>
    <w:div w:id="1052313433">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2944381">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53020072">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46158344">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3353911">
      <w:bodyDiv w:val="1"/>
      <w:marLeft w:val="0"/>
      <w:marRight w:val="0"/>
      <w:marTop w:val="0"/>
      <w:marBottom w:val="0"/>
      <w:divBdr>
        <w:top w:val="none" w:sz="0" w:space="0" w:color="auto"/>
        <w:left w:val="none" w:sz="0" w:space="0" w:color="auto"/>
        <w:bottom w:val="none" w:sz="0" w:space="0" w:color="auto"/>
        <w:right w:val="none" w:sz="0" w:space="0" w:color="auto"/>
      </w:divBdr>
      <w:divsChild>
        <w:div w:id="16188713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sac.gov.au/internet/msac/publishing.nsf/Content/Home-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C5C31-A35B-4E51-AE33-C8B36282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8882</Words>
  <Characters>50634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2022-06-16T05:27:00Z</dcterms:created>
  <dcterms:modified xsi:type="dcterms:W3CDTF">2022-06-30T04:37:00Z</dcterms:modified>
</cp:coreProperties>
</file>